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1F4F">
      <w:pPr>
        <w:pStyle w:val="5"/>
        <w:spacing w:line="241" w:lineRule="auto"/>
        <w:ind w:left="-619" w:leftChars="-295" w:right="-903" w:rightChars="-430" w:firstLine="0" w:firstLineChars="0"/>
        <w:rPr>
          <w:color w:val="auto"/>
        </w:rPr>
      </w:pPr>
    </w:p>
    <w:p w14:paraId="46813088">
      <w:pPr>
        <w:pStyle w:val="5"/>
        <w:spacing w:line="241" w:lineRule="auto"/>
        <w:rPr>
          <w:color w:val="auto"/>
        </w:rPr>
      </w:pPr>
    </w:p>
    <w:p w14:paraId="0E964472">
      <w:pPr>
        <w:pStyle w:val="5"/>
        <w:spacing w:line="242" w:lineRule="auto"/>
        <w:rPr>
          <w:color w:val="auto"/>
        </w:rPr>
      </w:pPr>
    </w:p>
    <w:p w14:paraId="058D29CF">
      <w:pPr>
        <w:spacing w:before="153" w:line="385" w:lineRule="auto"/>
        <w:ind w:left="1654" w:right="52" w:hanging="1563"/>
        <w:jc w:val="center"/>
        <w:outlineLvl w:val="0"/>
        <w:rPr>
          <w:rFonts w:hint="eastAsia" w:ascii="黑体" w:hAnsi="黑体" w:eastAsia="黑体" w:cs="黑体"/>
          <w:color w:val="auto"/>
          <w:spacing w:val="11"/>
          <w:sz w:val="47"/>
          <w:szCs w:val="47"/>
          <w:lang w:eastAsia="zh-CN"/>
          <w14:textOutline w14:w="8717" w14:cap="sq" w14:cmpd="sng">
            <w14:solidFill>
              <w14:srgbClr w14:val="000000"/>
            </w14:solidFill>
            <w14:prstDash w14:val="solid"/>
            <w14:bevel/>
          </w14:textOutline>
        </w:rPr>
      </w:pPr>
    </w:p>
    <w:p w14:paraId="30485AD2">
      <w:pPr>
        <w:spacing w:before="153" w:line="385" w:lineRule="auto"/>
        <w:ind w:left="1654" w:right="52" w:hanging="1563"/>
        <w:jc w:val="center"/>
        <w:outlineLvl w:val="0"/>
        <w:rPr>
          <w:rFonts w:hint="eastAsia" w:ascii="黑体" w:hAnsi="黑体" w:eastAsia="黑体" w:cs="黑体"/>
          <w:color w:val="auto"/>
          <w:spacing w:val="11"/>
          <w:sz w:val="47"/>
          <w:szCs w:val="47"/>
          <w:lang w:eastAsia="zh-CN"/>
          <w14:textOutline w14:w="8717" w14:cap="sq" w14:cmpd="sng">
            <w14:solidFill>
              <w14:srgbClr w14:val="000000"/>
            </w14:solidFill>
            <w14:prstDash w14:val="solid"/>
            <w14:bevel/>
          </w14:textOutline>
        </w:rPr>
      </w:pPr>
    </w:p>
    <w:p w14:paraId="115A3B82">
      <w:pPr>
        <w:spacing w:before="153" w:line="385" w:lineRule="auto"/>
        <w:ind w:left="1654" w:right="52" w:hanging="1563"/>
        <w:jc w:val="center"/>
        <w:outlineLvl w:val="0"/>
        <w:rPr>
          <w:rFonts w:hint="eastAsia" w:ascii="黑体" w:hAnsi="黑体" w:eastAsia="黑体" w:cs="黑体"/>
          <w:color w:val="auto"/>
          <w:spacing w:val="11"/>
          <w:sz w:val="47"/>
          <w:szCs w:val="47"/>
          <w:lang w:eastAsia="zh-CN"/>
          <w14:textOutline w14:w="8717" w14:cap="sq" w14:cmpd="sng">
            <w14:solidFill>
              <w14:srgbClr w14:val="000000"/>
            </w14:solidFill>
            <w14:prstDash w14:val="solid"/>
            <w14:bevel/>
          </w14:textOutline>
        </w:rPr>
      </w:pPr>
    </w:p>
    <w:p w14:paraId="7D3036DB">
      <w:pPr>
        <w:spacing w:before="153" w:line="385" w:lineRule="auto"/>
        <w:ind w:left="1654" w:right="52" w:hanging="1563"/>
        <w:jc w:val="center"/>
        <w:outlineLvl w:val="0"/>
        <w:rPr>
          <w:rFonts w:hint="eastAsia" w:ascii="黑体" w:hAnsi="黑体" w:eastAsia="黑体" w:cs="黑体"/>
          <w:color w:val="auto"/>
          <w:spacing w:val="11"/>
          <w:sz w:val="47"/>
          <w:szCs w:val="47"/>
          <w:lang w:eastAsia="zh-CN"/>
          <w14:textOutline w14:w="8717" w14:cap="sq" w14:cmpd="sng">
            <w14:solidFill>
              <w14:srgbClr w14:val="000000"/>
            </w14:solidFill>
            <w14:prstDash w14:val="solid"/>
            <w14:bevel/>
          </w14:textOutline>
        </w:rPr>
      </w:pPr>
      <w:bookmarkStart w:id="0" w:name="_Toc30226"/>
      <w:r>
        <w:rPr>
          <w:rFonts w:hint="eastAsia" w:ascii="黑体" w:hAnsi="黑体" w:eastAsia="黑体" w:cs="黑体"/>
          <w:color w:val="auto"/>
          <w:spacing w:val="11"/>
          <w:sz w:val="47"/>
          <w:szCs w:val="47"/>
          <w:lang w:eastAsia="zh-CN"/>
          <w14:textOutline w14:w="8717" w14:cap="sq" w14:cmpd="sng">
            <w14:solidFill>
              <w14:srgbClr w14:val="000000"/>
            </w14:solidFill>
            <w14:prstDash w14:val="solid"/>
            <w14:bevel/>
          </w14:textOutline>
        </w:rPr>
        <w:t>竞争性磋商文件</w:t>
      </w:r>
      <w:bookmarkEnd w:id="0"/>
    </w:p>
    <w:p w14:paraId="5BBE03F7">
      <w:pPr>
        <w:pStyle w:val="5"/>
        <w:spacing w:line="252" w:lineRule="auto"/>
        <w:rPr>
          <w:color w:val="auto"/>
        </w:rPr>
      </w:pPr>
    </w:p>
    <w:p w14:paraId="7B1014EB">
      <w:pPr>
        <w:pStyle w:val="5"/>
        <w:spacing w:line="252" w:lineRule="auto"/>
        <w:rPr>
          <w:color w:val="auto"/>
        </w:rPr>
      </w:pPr>
    </w:p>
    <w:p w14:paraId="4198D547">
      <w:pPr>
        <w:pStyle w:val="5"/>
        <w:spacing w:line="252" w:lineRule="auto"/>
        <w:rPr>
          <w:color w:val="auto"/>
        </w:rPr>
      </w:pPr>
    </w:p>
    <w:p w14:paraId="4A81606A">
      <w:pPr>
        <w:pStyle w:val="5"/>
        <w:spacing w:line="253" w:lineRule="auto"/>
        <w:rPr>
          <w:color w:val="auto"/>
        </w:rPr>
      </w:pPr>
    </w:p>
    <w:p w14:paraId="148353C5">
      <w:pPr>
        <w:pStyle w:val="5"/>
        <w:spacing w:line="253" w:lineRule="auto"/>
        <w:rPr>
          <w:color w:val="auto"/>
        </w:rPr>
      </w:pPr>
    </w:p>
    <w:p w14:paraId="4180C873">
      <w:pPr>
        <w:pStyle w:val="5"/>
        <w:spacing w:line="253" w:lineRule="auto"/>
        <w:rPr>
          <w:color w:val="auto"/>
        </w:rPr>
      </w:pPr>
    </w:p>
    <w:p w14:paraId="6BE81803">
      <w:pPr>
        <w:pStyle w:val="5"/>
        <w:spacing w:line="253" w:lineRule="auto"/>
        <w:rPr>
          <w:color w:val="auto"/>
        </w:rPr>
      </w:pPr>
    </w:p>
    <w:p w14:paraId="2E3AF4B7">
      <w:pPr>
        <w:pStyle w:val="5"/>
        <w:spacing w:line="253" w:lineRule="auto"/>
        <w:rPr>
          <w:color w:val="auto"/>
        </w:rPr>
      </w:pPr>
    </w:p>
    <w:p w14:paraId="64045ED2">
      <w:pPr>
        <w:pStyle w:val="5"/>
        <w:spacing w:line="253" w:lineRule="auto"/>
        <w:rPr>
          <w:color w:val="auto"/>
        </w:rPr>
      </w:pPr>
    </w:p>
    <w:p w14:paraId="62C6D903">
      <w:pPr>
        <w:pStyle w:val="5"/>
        <w:spacing w:line="253" w:lineRule="auto"/>
        <w:rPr>
          <w:color w:val="auto"/>
        </w:rPr>
      </w:pPr>
    </w:p>
    <w:p w14:paraId="5EEFE93D">
      <w:pPr>
        <w:pStyle w:val="5"/>
        <w:spacing w:line="257" w:lineRule="auto"/>
        <w:rPr>
          <w:color w:val="auto"/>
        </w:rPr>
      </w:pPr>
    </w:p>
    <w:p w14:paraId="476D33D5">
      <w:pPr>
        <w:pStyle w:val="5"/>
        <w:spacing w:line="257" w:lineRule="auto"/>
        <w:rPr>
          <w:color w:val="auto"/>
        </w:rPr>
      </w:pPr>
    </w:p>
    <w:p w14:paraId="47D77233">
      <w:pPr>
        <w:pStyle w:val="5"/>
        <w:spacing w:line="257" w:lineRule="auto"/>
        <w:rPr>
          <w:color w:val="auto"/>
        </w:rPr>
      </w:pPr>
    </w:p>
    <w:p w14:paraId="1BE13F16">
      <w:pPr>
        <w:pStyle w:val="5"/>
        <w:spacing w:line="257" w:lineRule="auto"/>
        <w:rPr>
          <w:color w:val="auto"/>
        </w:rPr>
      </w:pPr>
    </w:p>
    <w:p w14:paraId="74843ACC">
      <w:pPr>
        <w:spacing w:before="91" w:line="222" w:lineRule="auto"/>
        <w:rPr>
          <w:rFonts w:hint="eastAsia" w:ascii="宋体" w:hAnsi="宋体" w:eastAsia="宋体" w:cs="宋体"/>
          <w:b/>
          <w:bCs/>
          <w:color w:val="auto"/>
          <w:spacing w:val="-3"/>
          <w:sz w:val="32"/>
          <w:szCs w:val="32"/>
          <w:lang w:val="en-US" w:eastAsia="zh-CN"/>
        </w:rPr>
      </w:pPr>
      <w:r>
        <w:rPr>
          <w:rFonts w:hint="eastAsia" w:ascii="宋体" w:hAnsi="宋体" w:eastAsia="宋体" w:cs="宋体"/>
          <w:b/>
          <w:bCs/>
          <w:color w:val="auto"/>
          <w:spacing w:val="-3"/>
          <w:sz w:val="32"/>
          <w:szCs w:val="32"/>
          <w:lang w:val="en-US" w:eastAsia="zh-CN"/>
        </w:rPr>
        <w:t>项目名称：民丰县尼雅乡阿克墩村示范村创建项目(道路提升）（二次）</w:t>
      </w:r>
    </w:p>
    <w:p w14:paraId="2DC111EC">
      <w:pPr>
        <w:spacing w:before="91" w:line="222" w:lineRule="auto"/>
        <w:rPr>
          <w:rFonts w:hint="default" w:ascii="宋体" w:hAnsi="宋体" w:eastAsia="宋体" w:cs="宋体"/>
          <w:b/>
          <w:bCs/>
          <w:color w:val="auto"/>
          <w:spacing w:val="-3"/>
          <w:sz w:val="32"/>
          <w:szCs w:val="32"/>
          <w:lang w:val="en-US" w:eastAsia="zh-CN"/>
        </w:rPr>
      </w:pPr>
    </w:p>
    <w:p w14:paraId="2E7152C6">
      <w:pPr>
        <w:spacing w:before="91" w:line="222" w:lineRule="auto"/>
        <w:rPr>
          <w:rFonts w:hint="eastAsia" w:ascii="宋体" w:hAnsi="宋体" w:eastAsia="宋体" w:cs="宋体"/>
          <w:b/>
          <w:bCs/>
          <w:color w:val="auto"/>
          <w:spacing w:val="-3"/>
          <w:sz w:val="32"/>
          <w:szCs w:val="32"/>
          <w:lang w:eastAsia="zh-CN"/>
        </w:rPr>
      </w:pPr>
      <w:r>
        <w:rPr>
          <w:rFonts w:hint="eastAsia" w:ascii="宋体" w:hAnsi="宋体" w:eastAsia="宋体" w:cs="宋体"/>
          <w:b/>
          <w:bCs/>
          <w:color w:val="auto"/>
          <w:spacing w:val="-3"/>
          <w:sz w:val="32"/>
          <w:szCs w:val="32"/>
          <w:lang w:eastAsia="zh-CN"/>
        </w:rPr>
        <w:t>项目编号：</w:t>
      </w:r>
      <w:r>
        <w:rPr>
          <w:rFonts w:hint="eastAsia" w:ascii="宋体" w:hAnsi="宋体" w:eastAsia="宋体" w:cs="宋体"/>
          <w:b/>
          <w:bCs/>
          <w:color w:val="auto"/>
          <w:spacing w:val="-3"/>
          <w:sz w:val="32"/>
          <w:szCs w:val="32"/>
          <w:lang w:val="en-US" w:eastAsia="zh-CN"/>
        </w:rPr>
        <w:t>XJTY-2025-619-1</w:t>
      </w:r>
    </w:p>
    <w:p w14:paraId="78A3315C">
      <w:pPr>
        <w:spacing w:before="91" w:line="222" w:lineRule="auto"/>
        <w:rPr>
          <w:rFonts w:hint="eastAsia" w:ascii="宋体" w:hAnsi="宋体" w:eastAsia="宋体" w:cs="宋体"/>
          <w:b/>
          <w:bCs/>
          <w:color w:val="auto"/>
          <w:spacing w:val="-3"/>
          <w:sz w:val="32"/>
          <w:szCs w:val="32"/>
          <w:lang w:eastAsia="zh-CN"/>
        </w:rPr>
      </w:pPr>
    </w:p>
    <w:p w14:paraId="2A914E81">
      <w:pPr>
        <w:spacing w:before="91" w:line="222" w:lineRule="auto"/>
        <w:rPr>
          <w:rFonts w:hint="eastAsia" w:ascii="宋体" w:hAnsi="宋体" w:eastAsia="宋体" w:cs="宋体"/>
          <w:b/>
          <w:bCs/>
          <w:color w:val="auto"/>
          <w:spacing w:val="-3"/>
          <w:sz w:val="32"/>
          <w:szCs w:val="32"/>
          <w:lang w:eastAsia="zh-CN"/>
        </w:rPr>
      </w:pPr>
      <w:r>
        <w:rPr>
          <w:rFonts w:hint="eastAsia" w:ascii="宋体" w:hAnsi="宋体" w:eastAsia="宋体" w:cs="宋体"/>
          <w:b/>
          <w:bCs/>
          <w:color w:val="auto"/>
          <w:spacing w:val="-3"/>
          <w:sz w:val="32"/>
          <w:szCs w:val="32"/>
          <w:lang w:eastAsia="zh-CN"/>
        </w:rPr>
        <w:t>采购人：民丰县尼雅乡人民政府</w:t>
      </w:r>
    </w:p>
    <w:p w14:paraId="707F7308">
      <w:pPr>
        <w:pStyle w:val="5"/>
        <w:spacing w:line="271" w:lineRule="auto"/>
        <w:rPr>
          <w:color w:val="auto"/>
        </w:rPr>
      </w:pPr>
    </w:p>
    <w:p w14:paraId="530A0165">
      <w:pPr>
        <w:pStyle w:val="5"/>
        <w:spacing w:line="272" w:lineRule="auto"/>
        <w:rPr>
          <w:color w:val="auto"/>
        </w:rPr>
      </w:pPr>
    </w:p>
    <w:p w14:paraId="0361FFE5">
      <w:pPr>
        <w:spacing w:before="91" w:line="222" w:lineRule="auto"/>
        <w:rPr>
          <w:rFonts w:hint="eastAsia" w:ascii="黑体" w:hAnsi="黑体" w:eastAsia="黑体" w:cs="黑体"/>
          <w:color w:val="auto"/>
          <w:sz w:val="28"/>
          <w:szCs w:val="28"/>
          <w:lang w:eastAsia="zh-CN"/>
        </w:rPr>
      </w:pPr>
      <w:r>
        <w:rPr>
          <w:rFonts w:hint="eastAsia" w:ascii="宋体" w:hAnsi="宋体" w:eastAsia="宋体" w:cs="宋体"/>
          <w:b/>
          <w:bCs/>
          <w:color w:val="auto"/>
          <w:spacing w:val="-3"/>
          <w:sz w:val="32"/>
          <w:szCs w:val="32"/>
          <w:lang w:eastAsia="zh-CN"/>
        </w:rPr>
        <w:t>采购代理机构：新疆拓源工程管理咨询有限公司</w:t>
      </w:r>
    </w:p>
    <w:p w14:paraId="3131259D">
      <w:pPr>
        <w:pStyle w:val="5"/>
        <w:spacing w:line="287" w:lineRule="auto"/>
        <w:rPr>
          <w:color w:val="auto"/>
        </w:rPr>
      </w:pPr>
    </w:p>
    <w:p w14:paraId="1DB8233B">
      <w:pPr>
        <w:pStyle w:val="5"/>
        <w:spacing w:line="287" w:lineRule="auto"/>
        <w:rPr>
          <w:color w:val="auto"/>
        </w:rPr>
      </w:pPr>
    </w:p>
    <w:p w14:paraId="6D2D4B21">
      <w:pPr>
        <w:pStyle w:val="5"/>
        <w:spacing w:line="287" w:lineRule="auto"/>
        <w:rPr>
          <w:color w:val="auto"/>
        </w:rPr>
      </w:pPr>
    </w:p>
    <w:p w14:paraId="714636C0">
      <w:pPr>
        <w:pStyle w:val="5"/>
        <w:spacing w:line="287" w:lineRule="auto"/>
        <w:rPr>
          <w:color w:val="auto"/>
        </w:rPr>
      </w:pPr>
    </w:p>
    <w:p w14:paraId="5B637C79">
      <w:pPr>
        <w:pStyle w:val="5"/>
        <w:spacing w:line="287" w:lineRule="auto"/>
        <w:rPr>
          <w:color w:val="auto"/>
        </w:rPr>
      </w:pPr>
    </w:p>
    <w:p w14:paraId="7A97EC52">
      <w:pPr>
        <w:spacing w:before="91" w:line="222" w:lineRule="auto"/>
        <w:ind w:left="841" w:firstLine="1892" w:firstLineChars="600"/>
        <w:rPr>
          <w:rFonts w:hint="eastAsia" w:ascii="宋体" w:hAnsi="宋体" w:eastAsia="宋体" w:cs="宋体"/>
          <w:b/>
          <w:bCs/>
          <w:color w:val="auto"/>
          <w:spacing w:val="-3"/>
          <w:sz w:val="32"/>
          <w:szCs w:val="32"/>
          <w:lang w:eastAsia="zh-CN"/>
        </w:rPr>
      </w:pPr>
      <w:r>
        <w:rPr>
          <w:rFonts w:hint="eastAsia" w:ascii="宋体" w:hAnsi="宋体" w:eastAsia="宋体" w:cs="宋体"/>
          <w:b/>
          <w:bCs/>
          <w:color w:val="auto"/>
          <w:spacing w:val="-3"/>
          <w:sz w:val="32"/>
          <w:szCs w:val="32"/>
          <w:lang w:eastAsia="zh-CN"/>
        </w:rPr>
        <w:t>日期：202</w:t>
      </w:r>
      <w:r>
        <w:rPr>
          <w:rFonts w:hint="eastAsia" w:ascii="宋体" w:hAnsi="宋体" w:eastAsia="宋体" w:cs="宋体"/>
          <w:b/>
          <w:bCs/>
          <w:color w:val="auto"/>
          <w:spacing w:val="-3"/>
          <w:sz w:val="32"/>
          <w:szCs w:val="32"/>
          <w:lang w:val="en-US" w:eastAsia="zh-CN"/>
        </w:rPr>
        <w:t>5</w:t>
      </w:r>
      <w:r>
        <w:rPr>
          <w:rFonts w:hint="eastAsia" w:ascii="宋体" w:hAnsi="宋体" w:eastAsia="宋体" w:cs="宋体"/>
          <w:b/>
          <w:bCs/>
          <w:color w:val="auto"/>
          <w:spacing w:val="-3"/>
          <w:sz w:val="32"/>
          <w:szCs w:val="32"/>
          <w:lang w:eastAsia="zh-CN"/>
        </w:rPr>
        <w:t>年</w:t>
      </w:r>
      <w:r>
        <w:rPr>
          <w:rFonts w:hint="eastAsia" w:ascii="宋体" w:hAnsi="宋体" w:eastAsia="宋体" w:cs="宋体"/>
          <w:b/>
          <w:bCs/>
          <w:color w:val="auto"/>
          <w:spacing w:val="-3"/>
          <w:sz w:val="32"/>
          <w:szCs w:val="32"/>
          <w:lang w:val="en-US" w:eastAsia="zh-CN"/>
        </w:rPr>
        <w:t>7</w:t>
      </w:r>
      <w:r>
        <w:rPr>
          <w:rFonts w:hint="eastAsia" w:ascii="宋体" w:hAnsi="宋体" w:eastAsia="宋体" w:cs="宋体"/>
          <w:b/>
          <w:bCs/>
          <w:color w:val="auto"/>
          <w:spacing w:val="-3"/>
          <w:sz w:val="32"/>
          <w:szCs w:val="32"/>
          <w:lang w:eastAsia="zh-CN"/>
        </w:rPr>
        <w:t>月</w:t>
      </w:r>
    </w:p>
    <w:p w14:paraId="4C08F615">
      <w:pPr>
        <w:spacing w:before="91" w:line="222" w:lineRule="auto"/>
        <w:ind w:left="841"/>
        <w:rPr>
          <w:rFonts w:hint="eastAsia" w:ascii="宋体" w:hAnsi="宋体" w:eastAsia="宋体" w:cs="宋体"/>
          <w:b/>
          <w:bCs/>
          <w:color w:val="auto"/>
          <w:spacing w:val="-3"/>
          <w:sz w:val="32"/>
          <w:szCs w:val="32"/>
          <w:lang w:eastAsia="zh-CN"/>
        </w:rPr>
        <w:sectPr>
          <w:pgSz w:w="11906" w:h="16839"/>
          <w:pgMar w:top="1431" w:right="1785" w:bottom="0" w:left="1785" w:header="0" w:footer="0" w:gutter="0"/>
          <w:cols w:space="720" w:num="1"/>
        </w:sectPr>
      </w:pPr>
    </w:p>
    <w:p w14:paraId="7CAC74EA">
      <w:pPr>
        <w:pStyle w:val="5"/>
        <w:spacing w:line="312" w:lineRule="auto"/>
        <w:rPr>
          <w:color w:val="auto"/>
        </w:rPr>
      </w:pPr>
    </w:p>
    <w:p w14:paraId="7820BF20">
      <w:pPr>
        <w:pStyle w:val="5"/>
        <w:spacing w:line="313" w:lineRule="auto"/>
        <w:rPr>
          <w:color w:val="auto"/>
        </w:rPr>
      </w:pPr>
    </w:p>
    <w:sdt>
      <w:sdtPr>
        <w:rPr>
          <w:rFonts w:ascii="宋体" w:hAnsi="宋体" w:eastAsia="宋体" w:cs="Arial"/>
          <w:snapToGrid w:val="0"/>
          <w:color w:val="000000"/>
          <w:kern w:val="0"/>
          <w:sz w:val="21"/>
          <w:szCs w:val="21"/>
          <w:lang w:val="en-US" w:eastAsia="en-US" w:bidi="ar-SA"/>
        </w:rPr>
        <w:id w:val="147471106"/>
        <w15:color w:val="DBDBDB"/>
        <w:docPartObj>
          <w:docPartGallery w:val="Table of Contents"/>
          <w:docPartUnique/>
        </w:docPartObj>
      </w:sdtPr>
      <w:sdtEndPr>
        <w:rPr>
          <w:rFonts w:ascii="Times New Roman" w:hAnsi="Times New Roman" w:eastAsia="Times New Roman" w:cs="Times New Roman"/>
          <w:snapToGrid w:val="0"/>
          <w:color w:val="auto"/>
          <w:kern w:val="0"/>
          <w:sz w:val="21"/>
          <w:szCs w:val="24"/>
          <w:lang w:val="en-US" w:eastAsia="en-US" w:bidi="ar-SA"/>
        </w:rPr>
      </w:sdtEndPr>
      <w:sdtContent>
        <w:p w14:paraId="35999200">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CA9C538">
          <w:pPr>
            <w:pStyle w:val="12"/>
            <w:tabs>
              <w:tab w:val="right" w:leader="dot" w:pos="9064"/>
            </w:tabs>
          </w:pPr>
          <w:r>
            <w:rPr>
              <w:rFonts w:ascii="Times New Roman" w:hAnsi="Times New Roman" w:eastAsia="Times New Roman" w:cs="Times New Roman"/>
              <w:color w:val="auto"/>
              <w:sz w:val="24"/>
              <w:szCs w:val="24"/>
            </w:rPr>
            <w:fldChar w:fldCharType="begin"/>
          </w:r>
          <w:r>
            <w:rPr>
              <w:rFonts w:ascii="Times New Roman" w:hAnsi="Times New Roman" w:eastAsia="Times New Roman" w:cs="Times New Roman"/>
              <w:color w:val="auto"/>
              <w:sz w:val="24"/>
              <w:szCs w:val="24"/>
            </w:rPr>
            <w:instrText xml:space="preserve">TOC \o "1-3" \h \u </w:instrText>
          </w:r>
          <w:r>
            <w:rPr>
              <w:rFonts w:ascii="Times New Roman" w:hAnsi="Times New Roman" w:eastAsia="Times New Roman" w:cs="Times New Roman"/>
              <w:color w:val="auto"/>
              <w:sz w:val="24"/>
              <w:szCs w:val="24"/>
            </w:rPr>
            <w:fldChar w:fldCharType="separate"/>
          </w: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_Toc30226 </w:instrText>
          </w:r>
          <w:r>
            <w:rPr>
              <w:rFonts w:ascii="Times New Roman" w:hAnsi="Times New Roman" w:eastAsia="Times New Roman" w:cs="Times New Roman"/>
              <w:szCs w:val="24"/>
            </w:rPr>
            <w:fldChar w:fldCharType="separate"/>
          </w:r>
          <w:r>
            <w:rPr>
              <w:rFonts w:hint="eastAsia" w:ascii="黑体" w:hAnsi="黑体" w:eastAsia="黑体" w:cs="黑体"/>
              <w:spacing w:val="11"/>
              <w:szCs w:val="47"/>
              <w:lang w:eastAsia="zh-CN"/>
              <w14:textOutline w14:w="8717" w14:cap="sq" w14:cmpd="sng">
                <w14:solidFill>
                  <w14:srgbClr w14:val="000000"/>
                </w14:solidFill>
                <w14:prstDash w14:val="solid"/>
                <w14:bevel/>
              </w14:textOutline>
            </w:rPr>
            <w:t>竞争性磋商文件</w:t>
          </w:r>
          <w:r>
            <w:tab/>
          </w:r>
          <w:r>
            <w:fldChar w:fldCharType="begin"/>
          </w:r>
          <w:r>
            <w:instrText xml:space="preserve"> PAGEREF _Toc30226 \h </w:instrText>
          </w:r>
          <w:r>
            <w:fldChar w:fldCharType="separate"/>
          </w:r>
          <w:r>
            <w:t>1</w:t>
          </w:r>
          <w:r>
            <w:fldChar w:fldCharType="end"/>
          </w:r>
          <w:r>
            <w:rPr>
              <w:rFonts w:ascii="Times New Roman" w:hAnsi="Times New Roman" w:eastAsia="Times New Roman" w:cs="Times New Roman"/>
              <w:color w:val="auto"/>
              <w:szCs w:val="24"/>
            </w:rPr>
            <w:fldChar w:fldCharType="end"/>
          </w:r>
        </w:p>
        <w:p w14:paraId="61877369">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_Toc1340 </w:instrText>
          </w:r>
          <w:r>
            <w:rPr>
              <w:rFonts w:ascii="Times New Roman" w:hAnsi="Times New Roman" w:eastAsia="Times New Roman" w:cs="Times New Roman"/>
              <w:szCs w:val="24"/>
            </w:rPr>
            <w:fldChar w:fldCharType="separate"/>
          </w:r>
          <w:r>
            <w:rPr>
              <w:rFonts w:ascii="黑体" w:hAnsi="黑体" w:eastAsia="黑体" w:cs="黑体"/>
              <w:spacing w:val="11"/>
              <w:szCs w:val="31"/>
              <w14:textOutline w14:w="5793" w14:cap="sq" w14:cmpd="sng">
                <w14:solidFill>
                  <w14:srgbClr w14:val="000000"/>
                </w14:solidFill>
                <w14:prstDash w14:val="solid"/>
                <w14:bevel/>
              </w14:textOutline>
            </w:rPr>
            <w:t>第一章</w:t>
          </w:r>
          <w:r>
            <w:rPr>
              <w:rFonts w:hint="eastAsia" w:ascii="黑体" w:hAnsi="黑体" w:eastAsia="黑体" w:cs="黑体"/>
              <w:spacing w:val="11"/>
              <w:szCs w:val="31"/>
              <w:lang w:val="en-US" w:eastAsia="zh-CN"/>
              <w14:textOutline w14:w="5793" w14:cap="sq" w14:cmpd="sng">
                <w14:solidFill>
                  <w14:srgbClr w14:val="000000"/>
                </w14:solidFill>
                <w14:prstDash w14:val="solid"/>
                <w14:bevel/>
              </w14:textOutline>
            </w:rPr>
            <w:t xml:space="preserve">   </w:t>
          </w:r>
          <w:r>
            <w:rPr>
              <w:rFonts w:ascii="黑体" w:hAnsi="黑体" w:eastAsia="黑体" w:cs="黑体"/>
              <w:spacing w:val="11"/>
              <w:szCs w:val="31"/>
              <w14:textOutline w14:w="5793" w14:cap="sq" w14:cmpd="sng">
                <w14:solidFill>
                  <w14:srgbClr w14:val="000000"/>
                </w14:solidFill>
                <w14:prstDash w14:val="solid"/>
                <w14:bevel/>
              </w14:textOutline>
            </w:rPr>
            <w:t>竞争性磋商公告</w:t>
          </w:r>
          <w:r>
            <w:tab/>
          </w:r>
          <w:r>
            <w:fldChar w:fldCharType="begin"/>
          </w:r>
          <w:r>
            <w:instrText xml:space="preserve"> PAGEREF _Toc1340 \h </w:instrText>
          </w:r>
          <w:r>
            <w:fldChar w:fldCharType="separate"/>
          </w:r>
          <w:r>
            <w:t>1</w:t>
          </w:r>
          <w:r>
            <w:fldChar w:fldCharType="end"/>
          </w:r>
          <w:r>
            <w:rPr>
              <w:rFonts w:ascii="Times New Roman" w:hAnsi="Times New Roman" w:eastAsia="Times New Roman" w:cs="Times New Roman"/>
              <w:color w:val="auto"/>
              <w:szCs w:val="24"/>
            </w:rPr>
            <w:fldChar w:fldCharType="end"/>
          </w:r>
        </w:p>
        <w:p w14:paraId="56761902">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_Toc21737 </w:instrText>
          </w:r>
          <w:r>
            <w:rPr>
              <w:rFonts w:ascii="Times New Roman" w:hAnsi="Times New Roman" w:eastAsia="Times New Roman" w:cs="Times New Roman"/>
              <w:szCs w:val="24"/>
            </w:rPr>
            <w:fldChar w:fldCharType="separate"/>
          </w:r>
          <w:r>
            <w:rPr>
              <w:rFonts w:ascii="黑体" w:hAnsi="黑体" w:eastAsia="黑体" w:cs="黑体"/>
              <w:spacing w:val="1"/>
              <w:szCs w:val="30"/>
              <w14:textOutline w14:w="5448" w14:cap="sq" w14:cmpd="sng">
                <w14:solidFill>
                  <w14:srgbClr w14:val="000000"/>
                </w14:solidFill>
                <w14:prstDash w14:val="solid"/>
                <w14:bevel/>
              </w14:textOutline>
            </w:rPr>
            <w:t>供应商须知前附表</w:t>
          </w:r>
          <w:r>
            <w:tab/>
          </w:r>
          <w:r>
            <w:fldChar w:fldCharType="begin"/>
          </w:r>
          <w:r>
            <w:instrText xml:space="preserve"> PAGEREF _Toc21737 \h </w:instrText>
          </w:r>
          <w:r>
            <w:fldChar w:fldCharType="separate"/>
          </w:r>
          <w:r>
            <w:t>4</w:t>
          </w:r>
          <w:r>
            <w:fldChar w:fldCharType="end"/>
          </w:r>
          <w:r>
            <w:rPr>
              <w:rFonts w:ascii="Times New Roman" w:hAnsi="Times New Roman" w:eastAsia="Times New Roman" w:cs="Times New Roman"/>
              <w:color w:val="auto"/>
              <w:szCs w:val="24"/>
            </w:rPr>
            <w:fldChar w:fldCharType="end"/>
          </w:r>
        </w:p>
        <w:p w14:paraId="5CCCCB58">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_Toc10447 </w:instrText>
          </w:r>
          <w:r>
            <w:rPr>
              <w:rFonts w:ascii="Times New Roman" w:hAnsi="Times New Roman" w:eastAsia="Times New Roman" w:cs="Times New Roman"/>
              <w:szCs w:val="24"/>
            </w:rPr>
            <w:fldChar w:fldCharType="separate"/>
          </w:r>
          <w:r>
            <w:rPr>
              <w:rFonts w:ascii="黑体" w:hAnsi="黑体" w:eastAsia="黑体" w:cs="黑体"/>
              <w:spacing w:val="3"/>
              <w:szCs w:val="24"/>
              <w14:textOutline w14:w="4358" w14:cap="sq" w14:cmpd="sng">
                <w14:solidFill>
                  <w14:srgbClr w14:val="000000"/>
                </w14:solidFill>
                <w14:prstDash w14:val="solid"/>
                <w14:bevel/>
              </w14:textOutline>
            </w:rPr>
            <w:t>磋商报价得分</w:t>
          </w:r>
          <w:r>
            <w:rPr>
              <w:rFonts w:ascii="黑体" w:hAnsi="黑体" w:eastAsia="黑体" w:cs="黑体"/>
              <w:spacing w:val="-26"/>
              <w:szCs w:val="24"/>
              <w14:textOutline w14:w="4358" w14:cap="sq" w14:cmpd="sng">
                <w14:solidFill>
                  <w14:srgbClr w14:val="000000"/>
                </w14:solidFill>
                <w14:prstDash w14:val="solid"/>
                <w14:bevel/>
              </w14:textOutline>
            </w:rPr>
            <w:t>＝（</w:t>
          </w:r>
          <w:r>
            <w:rPr>
              <w:rFonts w:ascii="黑体" w:hAnsi="黑体" w:eastAsia="黑体" w:cs="黑体"/>
              <w:spacing w:val="3"/>
              <w:szCs w:val="24"/>
              <w14:textOutline w14:w="4358" w14:cap="sq" w14:cmpd="sng">
                <w14:solidFill>
                  <w14:srgbClr w14:val="000000"/>
                </w14:solidFill>
                <w14:prstDash w14:val="solid"/>
                <w14:bevel/>
              </w14:textOutline>
            </w:rPr>
            <w:t>磋商基准价／最终磋商报价）×分值。</w:t>
          </w:r>
          <w:r>
            <w:tab/>
          </w:r>
          <w:r>
            <w:fldChar w:fldCharType="begin"/>
          </w:r>
          <w:r>
            <w:instrText xml:space="preserve"> PAGEREF _Toc10447 \h </w:instrText>
          </w:r>
          <w:r>
            <w:fldChar w:fldCharType="separate"/>
          </w:r>
          <w:r>
            <w:t>21</w:t>
          </w:r>
          <w:r>
            <w:fldChar w:fldCharType="end"/>
          </w:r>
          <w:r>
            <w:rPr>
              <w:rFonts w:ascii="Times New Roman" w:hAnsi="Times New Roman" w:eastAsia="Times New Roman" w:cs="Times New Roman"/>
              <w:color w:val="auto"/>
              <w:szCs w:val="24"/>
            </w:rPr>
            <w:fldChar w:fldCharType="end"/>
          </w:r>
        </w:p>
        <w:p w14:paraId="1103CC9B">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_Toc29962 </w:instrText>
          </w:r>
          <w:r>
            <w:rPr>
              <w:rFonts w:ascii="Times New Roman" w:hAnsi="Times New Roman" w:eastAsia="Times New Roman" w:cs="Times New Roman"/>
              <w:szCs w:val="24"/>
            </w:rPr>
            <w:fldChar w:fldCharType="separate"/>
          </w:r>
          <w:r>
            <w:rPr>
              <w:rFonts w:ascii="黑体" w:hAnsi="黑体" w:eastAsia="黑体" w:cs="黑体"/>
              <w:spacing w:val="-1"/>
              <w:szCs w:val="24"/>
              <w:highlight w:val="none"/>
              <w14:textOutline w14:w="4358" w14:cap="sq" w14:cmpd="sng">
                <w14:solidFill>
                  <w14:srgbClr w14:val="000000"/>
                </w14:solidFill>
                <w14:prstDash w14:val="solid"/>
                <w14:bevel/>
              </w14:textOutline>
            </w:rPr>
            <w:t>资格性审查表</w:t>
          </w:r>
          <w:r>
            <w:tab/>
          </w:r>
          <w:r>
            <w:fldChar w:fldCharType="begin"/>
          </w:r>
          <w:r>
            <w:instrText xml:space="preserve"> PAGEREF _Toc29962 \h </w:instrText>
          </w:r>
          <w:r>
            <w:fldChar w:fldCharType="separate"/>
          </w:r>
          <w:r>
            <w:t>22</w:t>
          </w:r>
          <w:r>
            <w:fldChar w:fldCharType="end"/>
          </w:r>
          <w:r>
            <w:rPr>
              <w:rFonts w:ascii="Times New Roman" w:hAnsi="Times New Roman" w:eastAsia="Times New Roman" w:cs="Times New Roman"/>
              <w:color w:val="auto"/>
              <w:szCs w:val="24"/>
            </w:rPr>
            <w:fldChar w:fldCharType="end"/>
          </w:r>
        </w:p>
        <w:p w14:paraId="6DCF166A">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_Toc18056 </w:instrText>
          </w:r>
          <w:r>
            <w:rPr>
              <w:rFonts w:ascii="Times New Roman" w:hAnsi="Times New Roman" w:eastAsia="Times New Roman" w:cs="Times New Roman"/>
              <w:szCs w:val="24"/>
            </w:rPr>
            <w:fldChar w:fldCharType="separate"/>
          </w:r>
          <w:r>
            <w:rPr>
              <w:rFonts w:ascii="黑体" w:hAnsi="黑体" w:eastAsia="黑体" w:cs="黑体"/>
              <w:spacing w:val="-4"/>
              <w:szCs w:val="24"/>
              <w14:textOutline w14:w="4358" w14:cap="sq" w14:cmpd="sng">
                <w14:solidFill>
                  <w14:srgbClr w14:val="000000"/>
                </w14:solidFill>
                <w14:prstDash w14:val="solid"/>
                <w14:bevel/>
              </w14:textOutline>
            </w:rPr>
            <w:t>附表二：</w:t>
          </w:r>
          <w:r>
            <w:tab/>
          </w:r>
          <w:r>
            <w:fldChar w:fldCharType="begin"/>
          </w:r>
          <w:r>
            <w:instrText xml:space="preserve"> PAGEREF _Toc18056 \h </w:instrText>
          </w:r>
          <w:r>
            <w:fldChar w:fldCharType="separate"/>
          </w:r>
          <w:r>
            <w:t>22</w:t>
          </w:r>
          <w:r>
            <w:fldChar w:fldCharType="end"/>
          </w:r>
          <w:r>
            <w:rPr>
              <w:rFonts w:ascii="Times New Roman" w:hAnsi="Times New Roman" w:eastAsia="Times New Roman" w:cs="Times New Roman"/>
              <w:color w:val="auto"/>
              <w:szCs w:val="24"/>
            </w:rPr>
            <w:fldChar w:fldCharType="end"/>
          </w:r>
        </w:p>
        <w:p w14:paraId="0E4D7CA8">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_Toc17839 </w:instrText>
          </w:r>
          <w:r>
            <w:rPr>
              <w:rFonts w:ascii="Times New Roman" w:hAnsi="Times New Roman" w:eastAsia="Times New Roman" w:cs="Times New Roman"/>
              <w:szCs w:val="24"/>
            </w:rPr>
            <w:fldChar w:fldCharType="separate"/>
          </w:r>
          <w:r>
            <w:rPr>
              <w:rFonts w:ascii="黑体" w:hAnsi="黑体" w:eastAsia="黑体" w:cs="黑体"/>
              <w:spacing w:val="1"/>
              <w:szCs w:val="24"/>
              <w14:textOutline w14:w="4358" w14:cap="sq" w14:cmpd="sng">
                <w14:solidFill>
                  <w14:srgbClr w14:val="000000"/>
                </w14:solidFill>
                <w14:prstDash w14:val="solid"/>
                <w14:bevel/>
              </w14:textOutline>
            </w:rPr>
            <w:t>符合性审查表</w:t>
          </w:r>
          <w:r>
            <w:tab/>
          </w:r>
          <w:r>
            <w:fldChar w:fldCharType="begin"/>
          </w:r>
          <w:r>
            <w:instrText xml:space="preserve"> PAGEREF _Toc17839 \h </w:instrText>
          </w:r>
          <w:r>
            <w:fldChar w:fldCharType="separate"/>
          </w:r>
          <w:r>
            <w:t>22</w:t>
          </w:r>
          <w:r>
            <w:fldChar w:fldCharType="end"/>
          </w:r>
          <w:r>
            <w:rPr>
              <w:rFonts w:ascii="Times New Roman" w:hAnsi="Times New Roman" w:eastAsia="Times New Roman" w:cs="Times New Roman"/>
              <w:color w:val="auto"/>
              <w:szCs w:val="24"/>
            </w:rPr>
            <w:fldChar w:fldCharType="end"/>
          </w:r>
        </w:p>
        <w:p w14:paraId="34E13EE8">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_Toc27336 </w:instrText>
          </w:r>
          <w:r>
            <w:rPr>
              <w:rFonts w:ascii="Times New Roman" w:hAnsi="Times New Roman" w:eastAsia="Times New Roman" w:cs="Times New Roman"/>
              <w:szCs w:val="24"/>
            </w:rPr>
            <w:fldChar w:fldCharType="separate"/>
          </w:r>
          <w:r>
            <w:rPr>
              <w:rFonts w:ascii="黑体" w:hAnsi="黑体" w:eastAsia="黑体" w:cs="黑体"/>
              <w:spacing w:val="3"/>
              <w:szCs w:val="28"/>
              <w14:textOutline w14:w="5103" w14:cap="sq" w14:cmpd="sng">
                <w14:solidFill>
                  <w14:srgbClr w14:val="000000"/>
                </w14:solidFill>
                <w14:prstDash w14:val="solid"/>
                <w14:bevel/>
              </w14:textOutline>
            </w:rPr>
            <w:t>九、其他事项</w:t>
          </w:r>
          <w:r>
            <w:tab/>
          </w:r>
          <w:r>
            <w:fldChar w:fldCharType="begin"/>
          </w:r>
          <w:r>
            <w:instrText xml:space="preserve"> PAGEREF _Toc27336 \h </w:instrText>
          </w:r>
          <w:r>
            <w:fldChar w:fldCharType="separate"/>
          </w:r>
          <w:r>
            <w:t>27</w:t>
          </w:r>
          <w:r>
            <w:fldChar w:fldCharType="end"/>
          </w:r>
          <w:r>
            <w:rPr>
              <w:rFonts w:ascii="Times New Roman" w:hAnsi="Times New Roman" w:eastAsia="Times New Roman" w:cs="Times New Roman"/>
              <w:color w:val="auto"/>
              <w:szCs w:val="24"/>
            </w:rPr>
            <w:fldChar w:fldCharType="end"/>
          </w:r>
        </w:p>
        <w:p w14:paraId="00E8C3CC">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_Toc23427 </w:instrText>
          </w:r>
          <w:r>
            <w:rPr>
              <w:rFonts w:ascii="Times New Roman" w:hAnsi="Times New Roman" w:eastAsia="Times New Roman" w:cs="Times New Roman"/>
              <w:szCs w:val="24"/>
            </w:rPr>
            <w:fldChar w:fldCharType="separate"/>
          </w:r>
          <w:r>
            <w:rPr>
              <w:rFonts w:ascii="黑体" w:hAnsi="黑体" w:eastAsia="黑体" w:cs="黑体"/>
              <w:spacing w:val="13"/>
              <w:szCs w:val="31"/>
              <w14:textOutline w14:w="5793" w14:cap="sq" w14:cmpd="sng">
                <w14:solidFill>
                  <w14:srgbClr w14:val="000000"/>
                </w14:solidFill>
                <w14:prstDash w14:val="solid"/>
                <w14:bevel/>
              </w14:textOutline>
            </w:rPr>
            <w:t>第三章采购需求</w:t>
          </w:r>
          <w:r>
            <w:tab/>
          </w:r>
          <w:r>
            <w:fldChar w:fldCharType="begin"/>
          </w:r>
          <w:r>
            <w:instrText xml:space="preserve"> PAGEREF _Toc23427 \h </w:instrText>
          </w:r>
          <w:r>
            <w:fldChar w:fldCharType="separate"/>
          </w:r>
          <w:r>
            <w:t>29</w:t>
          </w:r>
          <w:r>
            <w:fldChar w:fldCharType="end"/>
          </w:r>
          <w:r>
            <w:rPr>
              <w:rFonts w:ascii="Times New Roman" w:hAnsi="Times New Roman" w:eastAsia="Times New Roman" w:cs="Times New Roman"/>
              <w:color w:val="auto"/>
              <w:szCs w:val="24"/>
            </w:rPr>
            <w:fldChar w:fldCharType="end"/>
          </w:r>
        </w:p>
        <w:p w14:paraId="245A17C9">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_Toc21042 </w:instrText>
          </w:r>
          <w:r>
            <w:rPr>
              <w:rFonts w:ascii="Times New Roman" w:hAnsi="Times New Roman" w:eastAsia="Times New Roman" w:cs="Times New Roman"/>
              <w:szCs w:val="24"/>
            </w:rPr>
            <w:fldChar w:fldCharType="separate"/>
          </w:r>
          <w:r>
            <w:rPr>
              <w:rFonts w:ascii="黑体" w:hAnsi="黑体" w:eastAsia="黑体" w:cs="黑体"/>
              <w:spacing w:val="6"/>
              <w:szCs w:val="28"/>
              <w14:textOutline w14:w="5103" w14:cap="sq" w14:cmpd="sng">
                <w14:solidFill>
                  <w14:srgbClr w14:val="000000"/>
                </w14:solidFill>
                <w14:prstDash w14:val="solid"/>
                <w14:bevel/>
              </w14:textOutline>
            </w:rPr>
            <w:t>详见工程量清单</w:t>
          </w:r>
          <w:r>
            <w:rPr>
              <w:rFonts w:ascii="黑体" w:hAnsi="黑体" w:eastAsia="黑体" w:cs="黑体"/>
              <w:spacing w:val="6"/>
              <w:szCs w:val="31"/>
              <w14:textOutline w14:w="5793" w14:cap="sq" w14:cmpd="sng">
                <w14:solidFill>
                  <w14:srgbClr w14:val="000000"/>
                </w14:solidFill>
                <w14:prstDash w14:val="solid"/>
                <w14:bevel/>
              </w14:textOutline>
            </w:rPr>
            <w:t>，</w:t>
          </w:r>
          <w:r>
            <w:rPr>
              <w:rFonts w:ascii="黑体" w:hAnsi="黑体" w:eastAsia="黑体" w:cs="黑体"/>
              <w:spacing w:val="6"/>
              <w:szCs w:val="28"/>
              <w14:textOutline w14:w="5103" w14:cap="sq" w14:cmpd="sng">
                <w14:solidFill>
                  <w14:srgbClr w14:val="000000"/>
                </w14:solidFill>
                <w14:prstDash w14:val="solid"/>
                <w14:bevel/>
              </w14:textOutline>
            </w:rPr>
            <w:t>另附</w:t>
          </w:r>
          <w:r>
            <w:tab/>
          </w:r>
          <w:r>
            <w:fldChar w:fldCharType="begin"/>
          </w:r>
          <w:r>
            <w:instrText xml:space="preserve"> PAGEREF _Toc21042 \h </w:instrText>
          </w:r>
          <w:r>
            <w:fldChar w:fldCharType="separate"/>
          </w:r>
          <w:r>
            <w:t>29</w:t>
          </w:r>
          <w:r>
            <w:fldChar w:fldCharType="end"/>
          </w:r>
          <w:r>
            <w:rPr>
              <w:rFonts w:ascii="Times New Roman" w:hAnsi="Times New Roman" w:eastAsia="Times New Roman" w:cs="Times New Roman"/>
              <w:color w:val="auto"/>
              <w:szCs w:val="24"/>
            </w:rPr>
            <w:fldChar w:fldCharType="end"/>
          </w:r>
        </w:p>
        <w:p w14:paraId="00F20605">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_Toc6325 </w:instrText>
          </w:r>
          <w:r>
            <w:rPr>
              <w:rFonts w:ascii="Times New Roman" w:hAnsi="Times New Roman" w:eastAsia="Times New Roman" w:cs="Times New Roman"/>
              <w:szCs w:val="24"/>
            </w:rPr>
            <w:fldChar w:fldCharType="separate"/>
          </w:r>
          <w:r>
            <w:rPr>
              <w:rFonts w:hint="eastAsia" w:ascii="黑体" w:hAnsi="黑体" w:eastAsia="黑体" w:cs="黑体"/>
              <w:spacing w:val="12"/>
              <w:szCs w:val="43"/>
              <w14:textOutline w14:w="7972" w14:cap="sq" w14:cmpd="sng">
                <w14:solidFill>
                  <w14:srgbClr w14:val="000000"/>
                </w14:solidFill>
                <w14:prstDash w14:val="solid"/>
                <w14:bevel/>
              </w14:textOutline>
            </w:rPr>
            <w:t>第</w:t>
          </w:r>
          <w:r>
            <w:rPr>
              <w:rFonts w:hint="eastAsia" w:ascii="黑体" w:hAnsi="黑体" w:eastAsia="黑体" w:cs="黑体"/>
              <w:spacing w:val="9"/>
              <w:szCs w:val="43"/>
              <w14:textOutline w14:w="7972" w14:cap="sq" w14:cmpd="sng">
                <w14:solidFill>
                  <w14:srgbClr w14:val="000000"/>
                </w14:solidFill>
                <w14:prstDash w14:val="solid"/>
                <w14:bevel/>
              </w14:textOutline>
            </w:rPr>
            <w:t>四章</w:t>
          </w:r>
          <w:r>
            <w:rPr>
              <w:rFonts w:hint="eastAsia" w:ascii="黑体" w:hAnsi="黑体" w:eastAsia="黑体" w:cs="黑体"/>
              <w:spacing w:val="9"/>
              <w:szCs w:val="43"/>
            </w:rPr>
            <w:t xml:space="preserve"> </w:t>
          </w:r>
          <w:r>
            <w:rPr>
              <w:rFonts w:hint="eastAsia" w:ascii="黑体" w:hAnsi="黑体" w:eastAsia="黑体" w:cs="黑体"/>
              <w:spacing w:val="9"/>
              <w:szCs w:val="43"/>
              <w14:textOutline w14:w="7972" w14:cap="sq" w14:cmpd="sng">
                <w14:solidFill>
                  <w14:srgbClr w14:val="000000"/>
                </w14:solidFill>
                <w14:prstDash w14:val="solid"/>
                <w14:bevel/>
              </w14:textOutline>
            </w:rPr>
            <w:t>合同条款及格式</w:t>
          </w:r>
          <w:r>
            <w:tab/>
          </w:r>
          <w:r>
            <w:fldChar w:fldCharType="begin"/>
          </w:r>
          <w:r>
            <w:instrText xml:space="preserve"> PAGEREF _Toc6325 \h </w:instrText>
          </w:r>
          <w:r>
            <w:fldChar w:fldCharType="separate"/>
          </w:r>
          <w:r>
            <w:t>30</w:t>
          </w:r>
          <w:r>
            <w:fldChar w:fldCharType="end"/>
          </w:r>
          <w:r>
            <w:rPr>
              <w:rFonts w:ascii="Times New Roman" w:hAnsi="Times New Roman" w:eastAsia="Times New Roman" w:cs="Times New Roman"/>
              <w:color w:val="auto"/>
              <w:szCs w:val="24"/>
            </w:rPr>
            <w:fldChar w:fldCharType="end"/>
          </w:r>
        </w:p>
        <w:p w14:paraId="1B5DABB5">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_Toc30183 </w:instrText>
          </w:r>
          <w:r>
            <w:rPr>
              <w:rFonts w:ascii="Times New Roman" w:hAnsi="Times New Roman" w:eastAsia="Times New Roman" w:cs="Times New Roman"/>
              <w:szCs w:val="24"/>
            </w:rPr>
            <w:fldChar w:fldCharType="separate"/>
          </w:r>
          <w:r>
            <w:rPr>
              <w:rFonts w:hint="eastAsia" w:ascii="黑体" w:hAnsi="黑体" w:eastAsia="黑体" w:cs="黑体"/>
              <w:spacing w:val="8"/>
              <w:szCs w:val="31"/>
              <w:highlight w:val="none"/>
              <w14:textOutline w14:w="5793" w14:cap="sq" w14:cmpd="sng">
                <w14:solidFill>
                  <w14:srgbClr w14:val="000000"/>
                </w14:solidFill>
                <w14:prstDash w14:val="solid"/>
                <w14:bevel/>
              </w14:textOutline>
            </w:rPr>
            <w:t>第一节</w:t>
          </w:r>
          <w:r>
            <w:rPr>
              <w:rFonts w:hint="eastAsia" w:ascii="黑体" w:hAnsi="黑体" w:eastAsia="黑体" w:cs="黑体"/>
              <w:spacing w:val="8"/>
              <w:szCs w:val="31"/>
              <w:highlight w:val="none"/>
            </w:rPr>
            <w:t xml:space="preserve">  </w:t>
          </w:r>
          <w:r>
            <w:rPr>
              <w:rFonts w:hint="eastAsia" w:ascii="黑体" w:hAnsi="黑体" w:eastAsia="黑体" w:cs="黑体"/>
              <w:spacing w:val="8"/>
              <w:szCs w:val="31"/>
              <w:highlight w:val="none"/>
              <w14:textOutline w14:w="5793" w14:cap="sq" w14:cmpd="sng">
                <w14:solidFill>
                  <w14:srgbClr w14:val="000000"/>
                </w14:solidFill>
                <w14:prstDash w14:val="solid"/>
                <w14:bevel/>
              </w14:textOutline>
            </w:rPr>
            <w:t>合同条款</w:t>
          </w:r>
          <w:r>
            <w:tab/>
          </w:r>
          <w:r>
            <w:fldChar w:fldCharType="begin"/>
          </w:r>
          <w:r>
            <w:instrText xml:space="preserve"> PAGEREF _Toc30183 \h </w:instrText>
          </w:r>
          <w:r>
            <w:fldChar w:fldCharType="separate"/>
          </w:r>
          <w:r>
            <w:t>30</w:t>
          </w:r>
          <w:r>
            <w:fldChar w:fldCharType="end"/>
          </w:r>
          <w:r>
            <w:rPr>
              <w:rFonts w:ascii="Times New Roman" w:hAnsi="Times New Roman" w:eastAsia="Times New Roman" w:cs="Times New Roman"/>
              <w:color w:val="auto"/>
              <w:szCs w:val="24"/>
            </w:rPr>
            <w:fldChar w:fldCharType="end"/>
          </w:r>
        </w:p>
        <w:p w14:paraId="2829CE62">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_Toc31437 </w:instrText>
          </w:r>
          <w:r>
            <w:rPr>
              <w:rFonts w:ascii="Times New Roman" w:hAnsi="Times New Roman" w:eastAsia="Times New Roman" w:cs="Times New Roman"/>
              <w:szCs w:val="24"/>
            </w:rPr>
            <w:fldChar w:fldCharType="separate"/>
          </w:r>
          <w:r>
            <w:rPr>
              <w:rFonts w:hint="eastAsia" w:ascii="黑体" w:hAnsi="黑体" w:eastAsia="黑体" w:cs="黑体"/>
              <w:highlight w:val="none"/>
              <w:lang w:val="zh-CN"/>
            </w:rPr>
            <w:t>说  明</w:t>
          </w:r>
          <w:r>
            <w:tab/>
          </w:r>
          <w:r>
            <w:fldChar w:fldCharType="begin"/>
          </w:r>
          <w:r>
            <w:instrText xml:space="preserve"> PAGEREF _Toc31437 \h </w:instrText>
          </w:r>
          <w:r>
            <w:fldChar w:fldCharType="separate"/>
          </w:r>
          <w:r>
            <w:t>31</w:t>
          </w:r>
          <w:r>
            <w:fldChar w:fldCharType="end"/>
          </w:r>
          <w:r>
            <w:rPr>
              <w:rFonts w:ascii="Times New Roman" w:hAnsi="Times New Roman" w:eastAsia="Times New Roman" w:cs="Times New Roman"/>
              <w:color w:val="auto"/>
              <w:szCs w:val="24"/>
            </w:rPr>
            <w:fldChar w:fldCharType="end"/>
          </w:r>
        </w:p>
        <w:p w14:paraId="29177225">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_Toc19095 </w:instrText>
          </w:r>
          <w:r>
            <w:rPr>
              <w:rFonts w:ascii="Times New Roman" w:hAnsi="Times New Roman" w:eastAsia="Times New Roman" w:cs="Times New Roman"/>
              <w:szCs w:val="24"/>
            </w:rPr>
            <w:fldChar w:fldCharType="separate"/>
          </w:r>
          <w:r>
            <w:rPr>
              <w:rFonts w:hint="eastAsia" w:ascii="黑体" w:hAnsi="黑体" w:eastAsia="黑体" w:cs="黑体"/>
              <w:bCs/>
              <w:szCs w:val="24"/>
              <w:highlight w:val="none"/>
            </w:rPr>
            <w:t>一、《示范文本》的组成</w:t>
          </w:r>
          <w:r>
            <w:tab/>
          </w:r>
          <w:r>
            <w:fldChar w:fldCharType="begin"/>
          </w:r>
          <w:r>
            <w:instrText xml:space="preserve"> PAGEREF _Toc19095 \h </w:instrText>
          </w:r>
          <w:r>
            <w:fldChar w:fldCharType="separate"/>
          </w:r>
          <w:r>
            <w:t>32</w:t>
          </w:r>
          <w:r>
            <w:fldChar w:fldCharType="end"/>
          </w:r>
          <w:r>
            <w:rPr>
              <w:rFonts w:ascii="Times New Roman" w:hAnsi="Times New Roman" w:eastAsia="Times New Roman" w:cs="Times New Roman"/>
              <w:color w:val="auto"/>
              <w:szCs w:val="24"/>
            </w:rPr>
            <w:fldChar w:fldCharType="end"/>
          </w:r>
        </w:p>
        <w:p w14:paraId="2DEE968B">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_Toc25592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（一）合同协议书</w:t>
          </w:r>
          <w:r>
            <w:tab/>
          </w:r>
          <w:r>
            <w:fldChar w:fldCharType="begin"/>
          </w:r>
          <w:r>
            <w:instrText xml:space="preserve"> PAGEREF _Toc25592 \h </w:instrText>
          </w:r>
          <w:r>
            <w:fldChar w:fldCharType="separate"/>
          </w:r>
          <w:r>
            <w:t>32</w:t>
          </w:r>
          <w:r>
            <w:fldChar w:fldCharType="end"/>
          </w:r>
          <w:r>
            <w:rPr>
              <w:rFonts w:ascii="Times New Roman" w:hAnsi="Times New Roman" w:eastAsia="Times New Roman" w:cs="Times New Roman"/>
              <w:color w:val="auto"/>
              <w:szCs w:val="24"/>
            </w:rPr>
            <w:fldChar w:fldCharType="end"/>
          </w:r>
        </w:p>
        <w:p w14:paraId="1DA94923">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_Toc20745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（二）通用合同条款</w:t>
          </w:r>
          <w:r>
            <w:tab/>
          </w:r>
          <w:r>
            <w:fldChar w:fldCharType="begin"/>
          </w:r>
          <w:r>
            <w:instrText xml:space="preserve"> PAGEREF _Toc20745 \h </w:instrText>
          </w:r>
          <w:r>
            <w:fldChar w:fldCharType="separate"/>
          </w:r>
          <w:r>
            <w:t>32</w:t>
          </w:r>
          <w:r>
            <w:fldChar w:fldCharType="end"/>
          </w:r>
          <w:r>
            <w:rPr>
              <w:rFonts w:ascii="Times New Roman" w:hAnsi="Times New Roman" w:eastAsia="Times New Roman" w:cs="Times New Roman"/>
              <w:color w:val="auto"/>
              <w:szCs w:val="24"/>
            </w:rPr>
            <w:fldChar w:fldCharType="end"/>
          </w:r>
        </w:p>
        <w:p w14:paraId="35067A8F">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_Toc9190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（三）专用合同条款</w:t>
          </w:r>
          <w:r>
            <w:tab/>
          </w:r>
          <w:r>
            <w:fldChar w:fldCharType="begin"/>
          </w:r>
          <w:r>
            <w:instrText xml:space="preserve"> PAGEREF _Toc9190 \h </w:instrText>
          </w:r>
          <w:r>
            <w:fldChar w:fldCharType="separate"/>
          </w:r>
          <w:r>
            <w:t>32</w:t>
          </w:r>
          <w:r>
            <w:fldChar w:fldCharType="end"/>
          </w:r>
          <w:r>
            <w:rPr>
              <w:rFonts w:ascii="Times New Roman" w:hAnsi="Times New Roman" w:eastAsia="Times New Roman" w:cs="Times New Roman"/>
              <w:color w:val="auto"/>
              <w:szCs w:val="24"/>
            </w:rPr>
            <w:fldChar w:fldCharType="end"/>
          </w:r>
        </w:p>
        <w:p w14:paraId="2B327A31">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_Toc19475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第一部分 合同协议书</w:t>
          </w:r>
          <w:r>
            <w:tab/>
          </w:r>
          <w:r>
            <w:fldChar w:fldCharType="begin"/>
          </w:r>
          <w:r>
            <w:instrText xml:space="preserve"> PAGEREF _Toc19475 \h </w:instrText>
          </w:r>
          <w:r>
            <w:fldChar w:fldCharType="separate"/>
          </w:r>
          <w:r>
            <w:t>33</w:t>
          </w:r>
          <w:r>
            <w:fldChar w:fldCharType="end"/>
          </w:r>
          <w:r>
            <w:rPr>
              <w:rFonts w:ascii="Times New Roman" w:hAnsi="Times New Roman" w:eastAsia="Times New Roman" w:cs="Times New Roman"/>
              <w:color w:val="auto"/>
              <w:szCs w:val="24"/>
            </w:rPr>
            <w:fldChar w:fldCharType="end"/>
          </w:r>
        </w:p>
        <w:p w14:paraId="1704DA96">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_Toc25712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一、工程概况</w:t>
          </w:r>
          <w:r>
            <w:tab/>
          </w:r>
          <w:r>
            <w:fldChar w:fldCharType="begin"/>
          </w:r>
          <w:r>
            <w:instrText xml:space="preserve"> PAGEREF _Toc25712 \h </w:instrText>
          </w:r>
          <w:r>
            <w:fldChar w:fldCharType="separate"/>
          </w:r>
          <w:r>
            <w:t>33</w:t>
          </w:r>
          <w:r>
            <w:fldChar w:fldCharType="end"/>
          </w:r>
          <w:r>
            <w:rPr>
              <w:rFonts w:ascii="Times New Roman" w:hAnsi="Times New Roman" w:eastAsia="Times New Roman" w:cs="Times New Roman"/>
              <w:color w:val="auto"/>
              <w:szCs w:val="24"/>
            </w:rPr>
            <w:fldChar w:fldCharType="end"/>
          </w:r>
        </w:p>
        <w:p w14:paraId="4FC91CB6">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_Toc20245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二、合同工期</w:t>
          </w:r>
          <w:r>
            <w:tab/>
          </w:r>
          <w:r>
            <w:fldChar w:fldCharType="begin"/>
          </w:r>
          <w:r>
            <w:instrText xml:space="preserve"> PAGEREF _Toc20245 \h </w:instrText>
          </w:r>
          <w:r>
            <w:fldChar w:fldCharType="separate"/>
          </w:r>
          <w:r>
            <w:t>33</w:t>
          </w:r>
          <w:r>
            <w:fldChar w:fldCharType="end"/>
          </w:r>
          <w:r>
            <w:rPr>
              <w:rFonts w:ascii="Times New Roman" w:hAnsi="Times New Roman" w:eastAsia="Times New Roman" w:cs="Times New Roman"/>
              <w:color w:val="auto"/>
              <w:szCs w:val="24"/>
            </w:rPr>
            <w:fldChar w:fldCharType="end"/>
          </w:r>
        </w:p>
        <w:p w14:paraId="3E50D2D8">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_Toc165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三、质量标准</w:t>
          </w:r>
          <w:r>
            <w:tab/>
          </w:r>
          <w:r>
            <w:fldChar w:fldCharType="begin"/>
          </w:r>
          <w:r>
            <w:instrText xml:space="preserve"> PAGEREF _Toc165 \h </w:instrText>
          </w:r>
          <w:r>
            <w:fldChar w:fldCharType="separate"/>
          </w:r>
          <w:r>
            <w:t>33</w:t>
          </w:r>
          <w:r>
            <w:fldChar w:fldCharType="end"/>
          </w:r>
          <w:r>
            <w:rPr>
              <w:rFonts w:ascii="Times New Roman" w:hAnsi="Times New Roman" w:eastAsia="Times New Roman" w:cs="Times New Roman"/>
              <w:color w:val="auto"/>
              <w:szCs w:val="24"/>
            </w:rPr>
            <w:fldChar w:fldCharType="end"/>
          </w:r>
        </w:p>
        <w:p w14:paraId="081BB4C4">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_Toc12651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四、签约合同价与合同价格形式</w:t>
          </w:r>
          <w:r>
            <w:tab/>
          </w:r>
          <w:r>
            <w:fldChar w:fldCharType="begin"/>
          </w:r>
          <w:r>
            <w:instrText xml:space="preserve"> PAGEREF _Toc12651 \h </w:instrText>
          </w:r>
          <w:r>
            <w:fldChar w:fldCharType="separate"/>
          </w:r>
          <w:r>
            <w:t>33</w:t>
          </w:r>
          <w:r>
            <w:fldChar w:fldCharType="end"/>
          </w:r>
          <w:r>
            <w:rPr>
              <w:rFonts w:ascii="Times New Roman" w:hAnsi="Times New Roman" w:eastAsia="Times New Roman" w:cs="Times New Roman"/>
              <w:color w:val="auto"/>
              <w:szCs w:val="24"/>
            </w:rPr>
            <w:fldChar w:fldCharType="end"/>
          </w:r>
        </w:p>
        <w:p w14:paraId="217400C9">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_Toc16614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五、项目经理</w:t>
          </w:r>
          <w:r>
            <w:tab/>
          </w:r>
          <w:r>
            <w:fldChar w:fldCharType="begin"/>
          </w:r>
          <w:r>
            <w:instrText xml:space="preserve"> PAGEREF _Toc16614 \h </w:instrText>
          </w:r>
          <w:r>
            <w:fldChar w:fldCharType="separate"/>
          </w:r>
          <w:r>
            <w:t>34</w:t>
          </w:r>
          <w:r>
            <w:fldChar w:fldCharType="end"/>
          </w:r>
          <w:r>
            <w:rPr>
              <w:rFonts w:ascii="Times New Roman" w:hAnsi="Times New Roman" w:eastAsia="Times New Roman" w:cs="Times New Roman"/>
              <w:color w:val="auto"/>
              <w:szCs w:val="24"/>
            </w:rPr>
            <w:fldChar w:fldCharType="end"/>
          </w:r>
        </w:p>
        <w:p w14:paraId="356F8A44">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_Toc5761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六、合同文件构成</w:t>
          </w:r>
          <w:r>
            <w:tab/>
          </w:r>
          <w:r>
            <w:fldChar w:fldCharType="begin"/>
          </w:r>
          <w:r>
            <w:instrText xml:space="preserve"> PAGEREF _Toc5761 \h </w:instrText>
          </w:r>
          <w:r>
            <w:fldChar w:fldCharType="separate"/>
          </w:r>
          <w:r>
            <w:t>34</w:t>
          </w:r>
          <w:r>
            <w:fldChar w:fldCharType="end"/>
          </w:r>
          <w:r>
            <w:rPr>
              <w:rFonts w:ascii="Times New Roman" w:hAnsi="Times New Roman" w:eastAsia="Times New Roman" w:cs="Times New Roman"/>
              <w:color w:val="auto"/>
              <w:szCs w:val="24"/>
            </w:rPr>
            <w:fldChar w:fldCharType="end"/>
          </w:r>
        </w:p>
        <w:p w14:paraId="303A8AC3">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_Toc3385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七、承诺</w:t>
          </w:r>
          <w:r>
            <w:tab/>
          </w:r>
          <w:r>
            <w:fldChar w:fldCharType="begin"/>
          </w:r>
          <w:r>
            <w:instrText xml:space="preserve"> PAGEREF _Toc3385 \h </w:instrText>
          </w:r>
          <w:r>
            <w:fldChar w:fldCharType="separate"/>
          </w:r>
          <w:r>
            <w:t>34</w:t>
          </w:r>
          <w:r>
            <w:fldChar w:fldCharType="end"/>
          </w:r>
          <w:r>
            <w:rPr>
              <w:rFonts w:ascii="Times New Roman" w:hAnsi="Times New Roman" w:eastAsia="Times New Roman" w:cs="Times New Roman"/>
              <w:color w:val="auto"/>
              <w:szCs w:val="24"/>
            </w:rPr>
            <w:fldChar w:fldCharType="end"/>
          </w:r>
        </w:p>
        <w:p w14:paraId="21C17881">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_Toc30568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八、词语含义</w:t>
          </w:r>
          <w:r>
            <w:tab/>
          </w:r>
          <w:r>
            <w:fldChar w:fldCharType="begin"/>
          </w:r>
          <w:r>
            <w:instrText xml:space="preserve"> PAGEREF _Toc30568 \h </w:instrText>
          </w:r>
          <w:r>
            <w:fldChar w:fldCharType="separate"/>
          </w:r>
          <w:r>
            <w:t>34</w:t>
          </w:r>
          <w:r>
            <w:fldChar w:fldCharType="end"/>
          </w:r>
          <w:r>
            <w:rPr>
              <w:rFonts w:ascii="Times New Roman" w:hAnsi="Times New Roman" w:eastAsia="Times New Roman" w:cs="Times New Roman"/>
              <w:color w:val="auto"/>
              <w:szCs w:val="24"/>
            </w:rPr>
            <w:fldChar w:fldCharType="end"/>
          </w:r>
        </w:p>
        <w:p w14:paraId="5AF0F905">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_Toc28422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九、签订时间</w:t>
          </w:r>
          <w:r>
            <w:tab/>
          </w:r>
          <w:r>
            <w:fldChar w:fldCharType="begin"/>
          </w:r>
          <w:r>
            <w:instrText xml:space="preserve"> PAGEREF _Toc28422 \h </w:instrText>
          </w:r>
          <w:r>
            <w:fldChar w:fldCharType="separate"/>
          </w:r>
          <w:r>
            <w:t>35</w:t>
          </w:r>
          <w:r>
            <w:fldChar w:fldCharType="end"/>
          </w:r>
          <w:r>
            <w:rPr>
              <w:rFonts w:ascii="Times New Roman" w:hAnsi="Times New Roman" w:eastAsia="Times New Roman" w:cs="Times New Roman"/>
              <w:color w:val="auto"/>
              <w:szCs w:val="24"/>
            </w:rPr>
            <w:fldChar w:fldCharType="end"/>
          </w:r>
        </w:p>
        <w:p w14:paraId="381100D6">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_Toc16920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十、签订地点</w:t>
          </w:r>
          <w:r>
            <w:tab/>
          </w:r>
          <w:r>
            <w:fldChar w:fldCharType="begin"/>
          </w:r>
          <w:r>
            <w:instrText xml:space="preserve"> PAGEREF _Toc16920 \h </w:instrText>
          </w:r>
          <w:r>
            <w:fldChar w:fldCharType="separate"/>
          </w:r>
          <w:r>
            <w:t>35</w:t>
          </w:r>
          <w:r>
            <w:fldChar w:fldCharType="end"/>
          </w:r>
          <w:r>
            <w:rPr>
              <w:rFonts w:ascii="Times New Roman" w:hAnsi="Times New Roman" w:eastAsia="Times New Roman" w:cs="Times New Roman"/>
              <w:color w:val="auto"/>
              <w:szCs w:val="24"/>
            </w:rPr>
            <w:fldChar w:fldCharType="end"/>
          </w:r>
        </w:p>
        <w:p w14:paraId="0C9E32C9">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_Toc17874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十一、补充协议</w:t>
          </w:r>
          <w:r>
            <w:tab/>
          </w:r>
          <w:r>
            <w:fldChar w:fldCharType="begin"/>
          </w:r>
          <w:r>
            <w:instrText xml:space="preserve"> PAGEREF _Toc17874 \h </w:instrText>
          </w:r>
          <w:r>
            <w:fldChar w:fldCharType="separate"/>
          </w:r>
          <w:r>
            <w:t>35</w:t>
          </w:r>
          <w:r>
            <w:fldChar w:fldCharType="end"/>
          </w:r>
          <w:r>
            <w:rPr>
              <w:rFonts w:ascii="Times New Roman" w:hAnsi="Times New Roman" w:eastAsia="Times New Roman" w:cs="Times New Roman"/>
              <w:color w:val="auto"/>
              <w:szCs w:val="24"/>
            </w:rPr>
            <w:fldChar w:fldCharType="end"/>
          </w:r>
        </w:p>
        <w:p w14:paraId="4C8D7883">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_Toc965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十二、合同生效</w:t>
          </w:r>
          <w:r>
            <w:tab/>
          </w:r>
          <w:r>
            <w:fldChar w:fldCharType="begin"/>
          </w:r>
          <w:r>
            <w:instrText xml:space="preserve"> PAGEREF _Toc965 \h </w:instrText>
          </w:r>
          <w:r>
            <w:fldChar w:fldCharType="separate"/>
          </w:r>
          <w:r>
            <w:t>35</w:t>
          </w:r>
          <w:r>
            <w:fldChar w:fldCharType="end"/>
          </w:r>
          <w:r>
            <w:rPr>
              <w:rFonts w:ascii="Times New Roman" w:hAnsi="Times New Roman" w:eastAsia="Times New Roman" w:cs="Times New Roman"/>
              <w:color w:val="auto"/>
              <w:szCs w:val="24"/>
            </w:rPr>
            <w:fldChar w:fldCharType="end"/>
          </w:r>
        </w:p>
        <w:p w14:paraId="333E3EA6">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_Toc28341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十三、合同份数</w:t>
          </w:r>
          <w:r>
            <w:tab/>
          </w:r>
          <w:r>
            <w:fldChar w:fldCharType="begin"/>
          </w:r>
          <w:r>
            <w:instrText xml:space="preserve"> PAGEREF _Toc28341 \h </w:instrText>
          </w:r>
          <w:r>
            <w:fldChar w:fldCharType="separate"/>
          </w:r>
          <w:r>
            <w:t>35</w:t>
          </w:r>
          <w:r>
            <w:fldChar w:fldCharType="end"/>
          </w:r>
          <w:r>
            <w:rPr>
              <w:rFonts w:ascii="Times New Roman" w:hAnsi="Times New Roman" w:eastAsia="Times New Roman" w:cs="Times New Roman"/>
              <w:color w:val="auto"/>
              <w:szCs w:val="24"/>
            </w:rPr>
            <w:fldChar w:fldCharType="end"/>
          </w:r>
        </w:p>
        <w:p w14:paraId="55E8CCEC">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_Toc32506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第二部分 通用合同条款</w:t>
          </w:r>
          <w:r>
            <w:rPr>
              <w:rFonts w:hint="eastAsia" w:ascii="黑体" w:hAnsi="黑体" w:eastAsia="黑体" w:cs="黑体"/>
              <w:szCs w:val="24"/>
              <w:highlight w:val="none"/>
              <w:lang w:eastAsia="zh-CN"/>
            </w:rPr>
            <w:t>（略）</w:t>
          </w:r>
          <w:r>
            <w:tab/>
          </w:r>
          <w:r>
            <w:fldChar w:fldCharType="begin"/>
          </w:r>
          <w:r>
            <w:instrText xml:space="preserve"> PAGEREF _Toc32506 \h </w:instrText>
          </w:r>
          <w:r>
            <w:fldChar w:fldCharType="separate"/>
          </w:r>
          <w:r>
            <w:t>36</w:t>
          </w:r>
          <w:r>
            <w:fldChar w:fldCharType="end"/>
          </w:r>
          <w:r>
            <w:rPr>
              <w:rFonts w:ascii="Times New Roman" w:hAnsi="Times New Roman" w:eastAsia="Times New Roman" w:cs="Times New Roman"/>
              <w:color w:val="auto"/>
              <w:szCs w:val="24"/>
            </w:rPr>
            <w:fldChar w:fldCharType="end"/>
          </w:r>
        </w:p>
        <w:p w14:paraId="0C7BB28E">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_Toc23710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第三部分 专用合同条款</w:t>
          </w:r>
          <w:r>
            <w:tab/>
          </w:r>
          <w:r>
            <w:fldChar w:fldCharType="begin"/>
          </w:r>
          <w:r>
            <w:instrText xml:space="preserve"> PAGEREF _Toc23710 \h </w:instrText>
          </w:r>
          <w:r>
            <w:fldChar w:fldCharType="separate"/>
          </w:r>
          <w:r>
            <w:t>36</w:t>
          </w:r>
          <w:r>
            <w:fldChar w:fldCharType="end"/>
          </w:r>
          <w:r>
            <w:rPr>
              <w:rFonts w:ascii="Times New Roman" w:hAnsi="Times New Roman" w:eastAsia="Times New Roman" w:cs="Times New Roman"/>
              <w:color w:val="auto"/>
              <w:szCs w:val="24"/>
            </w:rPr>
            <w:fldChar w:fldCharType="end"/>
          </w:r>
        </w:p>
        <w:p w14:paraId="58A1F9E5">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_Toc21324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1. 一般约定</w:t>
          </w:r>
          <w:r>
            <w:tab/>
          </w:r>
          <w:r>
            <w:fldChar w:fldCharType="begin"/>
          </w:r>
          <w:r>
            <w:instrText xml:space="preserve"> PAGEREF _Toc21324 \h </w:instrText>
          </w:r>
          <w:r>
            <w:fldChar w:fldCharType="separate"/>
          </w:r>
          <w:r>
            <w:t>36</w:t>
          </w:r>
          <w:r>
            <w:fldChar w:fldCharType="end"/>
          </w:r>
          <w:r>
            <w:rPr>
              <w:rFonts w:ascii="Times New Roman" w:hAnsi="Times New Roman" w:eastAsia="Times New Roman" w:cs="Times New Roman"/>
              <w:color w:val="auto"/>
              <w:szCs w:val="24"/>
            </w:rPr>
            <w:fldChar w:fldCharType="end"/>
          </w:r>
        </w:p>
        <w:p w14:paraId="53BEF48F">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_Toc20389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2. 发包人</w:t>
          </w:r>
          <w:r>
            <w:tab/>
          </w:r>
          <w:r>
            <w:fldChar w:fldCharType="begin"/>
          </w:r>
          <w:r>
            <w:instrText xml:space="preserve"> PAGEREF _Toc20389 \h </w:instrText>
          </w:r>
          <w:r>
            <w:fldChar w:fldCharType="separate"/>
          </w:r>
          <w:r>
            <w:t>38</w:t>
          </w:r>
          <w:r>
            <w:fldChar w:fldCharType="end"/>
          </w:r>
          <w:r>
            <w:rPr>
              <w:rFonts w:ascii="Times New Roman" w:hAnsi="Times New Roman" w:eastAsia="Times New Roman" w:cs="Times New Roman"/>
              <w:color w:val="auto"/>
              <w:szCs w:val="24"/>
            </w:rPr>
            <w:fldChar w:fldCharType="end"/>
          </w:r>
        </w:p>
        <w:p w14:paraId="23D0C2B8">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_Toc19428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3. 承包人</w:t>
          </w:r>
          <w:r>
            <w:tab/>
          </w:r>
          <w:r>
            <w:fldChar w:fldCharType="begin"/>
          </w:r>
          <w:r>
            <w:instrText xml:space="preserve"> PAGEREF _Toc19428 \h </w:instrText>
          </w:r>
          <w:r>
            <w:fldChar w:fldCharType="separate"/>
          </w:r>
          <w:r>
            <w:t>39</w:t>
          </w:r>
          <w:r>
            <w:fldChar w:fldCharType="end"/>
          </w:r>
          <w:r>
            <w:rPr>
              <w:rFonts w:ascii="Times New Roman" w:hAnsi="Times New Roman" w:eastAsia="Times New Roman" w:cs="Times New Roman"/>
              <w:color w:val="auto"/>
              <w:szCs w:val="24"/>
            </w:rPr>
            <w:fldChar w:fldCharType="end"/>
          </w:r>
        </w:p>
        <w:p w14:paraId="31868A88">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_Toc3063 </w:instrText>
          </w:r>
          <w:r>
            <w:rPr>
              <w:rFonts w:ascii="Times New Roman" w:hAnsi="Times New Roman" w:eastAsia="Times New Roman" w:cs="Times New Roman"/>
              <w:szCs w:val="24"/>
            </w:rPr>
            <w:fldChar w:fldCharType="separate"/>
          </w:r>
          <w:r>
            <w:rPr>
              <w:rFonts w:hint="eastAsia" w:ascii="黑体" w:hAnsi="黑体" w:eastAsia="黑体" w:cs="黑体"/>
              <w:szCs w:val="24"/>
              <w:highlight w:val="none"/>
            </w:rPr>
            <w:t>4. 监理人</w:t>
          </w:r>
          <w:r>
            <w:tab/>
          </w:r>
          <w:r>
            <w:fldChar w:fldCharType="begin"/>
          </w:r>
          <w:r>
            <w:instrText xml:space="preserve"> PAGEREF _Toc3063 \h </w:instrText>
          </w:r>
          <w:r>
            <w:fldChar w:fldCharType="separate"/>
          </w:r>
          <w:r>
            <w:t>41</w:t>
          </w:r>
          <w:r>
            <w:fldChar w:fldCharType="end"/>
          </w:r>
          <w:r>
            <w:rPr>
              <w:rFonts w:ascii="Times New Roman" w:hAnsi="Times New Roman" w:eastAsia="Times New Roman" w:cs="Times New Roman"/>
              <w:color w:val="auto"/>
              <w:szCs w:val="24"/>
            </w:rPr>
            <w:fldChar w:fldCharType="end"/>
          </w:r>
        </w:p>
        <w:p w14:paraId="7471E35B">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_Toc21307 </w:instrText>
          </w:r>
          <w:r>
            <w:rPr>
              <w:rFonts w:ascii="Times New Roman" w:hAnsi="Times New Roman" w:eastAsia="Times New Roman" w:cs="Times New Roman"/>
              <w:szCs w:val="24"/>
            </w:rPr>
            <w:fldChar w:fldCharType="separate"/>
          </w:r>
          <w:r>
            <w:rPr>
              <w:rFonts w:ascii="黑体" w:hAnsi="黑体" w:eastAsia="黑体" w:cs="黑体"/>
              <w:spacing w:val="-25"/>
              <w:szCs w:val="71"/>
              <w14:textOutline w14:w="13075" w14:cap="sq" w14:cmpd="sng">
                <w14:solidFill>
                  <w14:srgbClr w14:val="000000"/>
                </w14:solidFill>
                <w14:prstDash w14:val="solid"/>
                <w14:bevel/>
              </w14:textOutline>
            </w:rPr>
            <w:t>响应文件</w:t>
          </w:r>
          <w:r>
            <w:tab/>
          </w:r>
          <w:r>
            <w:fldChar w:fldCharType="begin"/>
          </w:r>
          <w:r>
            <w:instrText xml:space="preserve"> PAGEREF _Toc21307 \h </w:instrText>
          </w:r>
          <w:r>
            <w:fldChar w:fldCharType="separate"/>
          </w:r>
          <w:r>
            <w:t>53</w:t>
          </w:r>
          <w:r>
            <w:fldChar w:fldCharType="end"/>
          </w:r>
          <w:r>
            <w:rPr>
              <w:rFonts w:ascii="Times New Roman" w:hAnsi="Times New Roman" w:eastAsia="Times New Roman" w:cs="Times New Roman"/>
              <w:color w:val="auto"/>
              <w:szCs w:val="24"/>
            </w:rPr>
            <w:fldChar w:fldCharType="end"/>
          </w:r>
        </w:p>
        <w:p w14:paraId="6698B694">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_Toc13606 </w:instrText>
          </w:r>
          <w:r>
            <w:rPr>
              <w:rFonts w:ascii="Times New Roman" w:hAnsi="Times New Roman" w:eastAsia="Times New Roman" w:cs="Times New Roman"/>
              <w:szCs w:val="24"/>
            </w:rPr>
            <w:fldChar w:fldCharType="separate"/>
          </w:r>
          <w:r>
            <w:rPr>
              <w:rFonts w:ascii="黑体" w:hAnsi="黑体" w:eastAsia="黑体" w:cs="黑体"/>
              <w:spacing w:val="3"/>
              <w:position w:val="17"/>
              <w:szCs w:val="24"/>
              <w14:textOutline w14:w="4358" w14:cap="sq" w14:cmpd="sng">
                <w14:solidFill>
                  <w14:srgbClr w14:val="000000"/>
                </w14:solidFill>
                <w14:prstDash w14:val="solid"/>
                <w14:bevel/>
              </w14:textOutline>
            </w:rPr>
            <w:t>（11）近</w:t>
          </w:r>
          <w:r>
            <w:rPr>
              <w:rFonts w:hint="eastAsia" w:ascii="黑体" w:hAnsi="黑体" w:eastAsia="黑体" w:cs="黑体"/>
              <w:spacing w:val="3"/>
              <w:position w:val="17"/>
              <w:szCs w:val="24"/>
              <w:lang w:val="en-US" w:eastAsia="zh-CN"/>
              <w14:textOutline w14:w="4358" w14:cap="sq" w14:cmpd="sng">
                <w14:solidFill>
                  <w14:srgbClr w14:val="000000"/>
                </w14:solidFill>
                <w14:prstDash w14:val="solid"/>
                <w14:bevel/>
              </w14:textOutline>
            </w:rPr>
            <w:t>三</w:t>
          </w:r>
          <w:r>
            <w:rPr>
              <w:rFonts w:ascii="黑体" w:hAnsi="黑体" w:eastAsia="黑体" w:cs="黑体"/>
              <w:spacing w:val="3"/>
              <w:position w:val="17"/>
              <w:szCs w:val="24"/>
              <w14:textOutline w14:w="4358" w14:cap="sq" w14:cmpd="sng">
                <w14:solidFill>
                  <w14:srgbClr w14:val="000000"/>
                </w14:solidFill>
                <w14:prstDash w14:val="solid"/>
                <w14:bevel/>
              </w14:textOutline>
            </w:rPr>
            <w:t>年同类项目业绩表</w:t>
          </w:r>
          <w:r>
            <w:rPr>
              <w:rFonts w:hint="eastAsia" w:ascii="黑体" w:hAnsi="黑体" w:eastAsia="黑体" w:cs="黑体"/>
              <w:spacing w:val="3"/>
              <w:position w:val="17"/>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3"/>
              <w:position w:val="17"/>
              <w:szCs w:val="24"/>
              <w:lang w:val="en-US" w:eastAsia="zh-CN"/>
              <w14:textOutline w14:w="4358" w14:cap="sq" w14:cmpd="sng">
                <w14:solidFill>
                  <w14:srgbClr w14:val="000000"/>
                </w14:solidFill>
                <w14:prstDash w14:val="solid"/>
                <w14:bevel/>
              </w14:textOutline>
            </w:rPr>
            <w:t>2022年1月至今</w:t>
          </w:r>
          <w:r>
            <w:rPr>
              <w:rFonts w:hint="eastAsia" w:ascii="黑体" w:hAnsi="黑体" w:eastAsia="黑体" w:cs="黑体"/>
              <w:spacing w:val="3"/>
              <w:position w:val="17"/>
              <w:szCs w:val="24"/>
              <w:lang w:eastAsia="zh-CN"/>
              <w14:textOutline w14:w="4358" w14:cap="sq" w14:cmpd="sng">
                <w14:solidFill>
                  <w14:srgbClr w14:val="000000"/>
                </w14:solidFill>
                <w14:prstDash w14:val="solid"/>
                <w14:bevel/>
              </w14:textOutline>
            </w:rPr>
            <w:t>）</w:t>
          </w:r>
          <w:r>
            <w:rPr>
              <w:rFonts w:ascii="黑体" w:hAnsi="黑体" w:eastAsia="黑体" w:cs="黑体"/>
              <w:spacing w:val="3"/>
              <w:position w:val="17"/>
              <w:szCs w:val="24"/>
              <w14:textOutline w14:w="4358" w14:cap="sq" w14:cmpd="sng">
                <w14:solidFill>
                  <w14:srgbClr w14:val="000000"/>
                </w14:solidFill>
                <w14:prstDash w14:val="solid"/>
                <w14:bevel/>
              </w14:textOutline>
            </w:rPr>
            <w:t>（详见附件11）</w:t>
          </w:r>
          <w:r>
            <w:tab/>
          </w:r>
          <w:r>
            <w:fldChar w:fldCharType="begin"/>
          </w:r>
          <w:r>
            <w:instrText xml:space="preserve"> PAGEREF _Toc13606 \h </w:instrText>
          </w:r>
          <w:r>
            <w:fldChar w:fldCharType="separate"/>
          </w:r>
          <w:r>
            <w:t>54</w:t>
          </w:r>
          <w:r>
            <w:fldChar w:fldCharType="end"/>
          </w:r>
          <w:r>
            <w:rPr>
              <w:rFonts w:ascii="Times New Roman" w:hAnsi="Times New Roman" w:eastAsia="Times New Roman" w:cs="Times New Roman"/>
              <w:color w:val="auto"/>
              <w:szCs w:val="24"/>
            </w:rPr>
            <w:fldChar w:fldCharType="end"/>
          </w:r>
        </w:p>
        <w:p w14:paraId="551F6A23">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_Toc15793 </w:instrText>
          </w:r>
          <w:r>
            <w:rPr>
              <w:rFonts w:ascii="Times New Roman" w:hAnsi="Times New Roman" w:eastAsia="Times New Roman" w:cs="Times New Roman"/>
              <w:szCs w:val="24"/>
            </w:rPr>
            <w:fldChar w:fldCharType="separate"/>
          </w:r>
          <w:r>
            <w:rPr>
              <w:rFonts w:ascii="黑体" w:hAnsi="黑体" w:eastAsia="黑体" w:cs="黑体"/>
              <w:spacing w:val="4"/>
              <w:szCs w:val="24"/>
              <w14:textOutline w14:w="4358" w14:cap="sq" w14:cmpd="sng">
                <w14:solidFill>
                  <w14:srgbClr w14:val="000000"/>
                </w14:solidFill>
                <w14:prstDash w14:val="solid"/>
                <w14:bevel/>
              </w14:textOutline>
            </w:rPr>
            <w:t>（16）要求提供的其它材料以及供应商认为需要提交的材料（详见附件16）</w:t>
          </w:r>
          <w:r>
            <w:tab/>
          </w:r>
          <w:r>
            <w:fldChar w:fldCharType="begin"/>
          </w:r>
          <w:r>
            <w:instrText xml:space="preserve"> PAGEREF _Toc15793 \h </w:instrText>
          </w:r>
          <w:r>
            <w:fldChar w:fldCharType="separate"/>
          </w:r>
          <w:r>
            <w:t>54</w:t>
          </w:r>
          <w:r>
            <w:fldChar w:fldCharType="end"/>
          </w:r>
          <w:r>
            <w:rPr>
              <w:rFonts w:ascii="Times New Roman" w:hAnsi="Times New Roman" w:eastAsia="Times New Roman" w:cs="Times New Roman"/>
              <w:color w:val="auto"/>
              <w:szCs w:val="24"/>
            </w:rPr>
            <w:fldChar w:fldCharType="end"/>
          </w:r>
        </w:p>
        <w:p w14:paraId="2C3FFD47">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_Toc22747 </w:instrText>
          </w:r>
          <w:r>
            <w:rPr>
              <w:rFonts w:ascii="Times New Roman" w:hAnsi="Times New Roman" w:eastAsia="Times New Roman" w:cs="Times New Roman"/>
              <w:szCs w:val="24"/>
            </w:rPr>
            <w:fldChar w:fldCharType="separate"/>
          </w:r>
          <w:r>
            <w:rPr>
              <w:rFonts w:ascii="黑体" w:hAnsi="黑体" w:eastAsia="黑体" w:cs="黑体"/>
              <w:szCs w:val="31"/>
              <w14:textOutline w14:w="5793" w14:cap="sq" w14:cmpd="sng">
                <w14:solidFill>
                  <w14:srgbClr w14:val="000000"/>
                </w14:solidFill>
                <w14:prstDash w14:val="solid"/>
                <w14:bevel/>
              </w14:textOutline>
            </w:rPr>
            <w:t>投标函</w:t>
          </w:r>
          <w:r>
            <w:tab/>
          </w:r>
          <w:r>
            <w:fldChar w:fldCharType="begin"/>
          </w:r>
          <w:r>
            <w:instrText xml:space="preserve"> PAGEREF _Toc22747 \h </w:instrText>
          </w:r>
          <w:r>
            <w:fldChar w:fldCharType="separate"/>
          </w:r>
          <w:r>
            <w:t>55</w:t>
          </w:r>
          <w:r>
            <w:fldChar w:fldCharType="end"/>
          </w:r>
          <w:r>
            <w:rPr>
              <w:rFonts w:ascii="Times New Roman" w:hAnsi="Times New Roman" w:eastAsia="Times New Roman" w:cs="Times New Roman"/>
              <w:color w:val="auto"/>
              <w:szCs w:val="24"/>
            </w:rPr>
            <w:fldChar w:fldCharType="end"/>
          </w:r>
        </w:p>
        <w:p w14:paraId="7201F8D5">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_Toc27116 </w:instrText>
          </w:r>
          <w:r>
            <w:rPr>
              <w:rFonts w:ascii="Times New Roman" w:hAnsi="Times New Roman" w:eastAsia="Times New Roman" w:cs="Times New Roman"/>
              <w:szCs w:val="24"/>
            </w:rPr>
            <w:fldChar w:fldCharType="separate"/>
          </w:r>
          <w:r>
            <w:rPr>
              <w:rFonts w:ascii="黑体" w:hAnsi="黑体" w:eastAsia="黑体" w:cs="黑体"/>
              <w:spacing w:val="-20"/>
              <w:szCs w:val="24"/>
            </w:rPr>
            <w:t>日期：</w:t>
          </w:r>
          <w:r>
            <w:rPr>
              <w:rFonts w:hint="eastAsia" w:ascii="黑体" w:hAnsi="黑体" w:eastAsia="黑体" w:cs="黑体"/>
              <w:spacing w:val="-20"/>
              <w:szCs w:val="24"/>
              <w:lang w:val="en-US" w:eastAsia="zh-CN"/>
            </w:rPr>
            <w:t xml:space="preserve">      </w:t>
          </w:r>
          <w:r>
            <w:rPr>
              <w:rFonts w:ascii="黑体" w:hAnsi="黑体" w:eastAsia="黑体" w:cs="黑体"/>
              <w:spacing w:val="-20"/>
              <w:szCs w:val="24"/>
            </w:rPr>
            <w:t>年</w:t>
          </w:r>
          <w:r>
            <w:rPr>
              <w:rFonts w:hint="eastAsia" w:ascii="黑体" w:hAnsi="黑体" w:eastAsia="黑体" w:cs="黑体"/>
              <w:spacing w:val="-20"/>
              <w:szCs w:val="24"/>
              <w:lang w:val="en-US" w:eastAsia="zh-CN"/>
            </w:rPr>
            <w:t xml:space="preserve">     </w:t>
          </w:r>
          <w:r>
            <w:rPr>
              <w:rFonts w:ascii="黑体" w:hAnsi="黑体" w:eastAsia="黑体" w:cs="黑体"/>
              <w:spacing w:val="-20"/>
              <w:szCs w:val="24"/>
            </w:rPr>
            <w:t>月</w:t>
          </w:r>
          <w:r>
            <w:rPr>
              <w:rFonts w:hint="eastAsia" w:ascii="黑体" w:hAnsi="黑体" w:eastAsia="黑体" w:cs="黑体"/>
              <w:spacing w:val="-20"/>
              <w:szCs w:val="24"/>
              <w:lang w:val="en-US" w:eastAsia="zh-CN"/>
            </w:rPr>
            <w:t xml:space="preserve">      </w:t>
          </w:r>
          <w:r>
            <w:rPr>
              <w:rFonts w:ascii="黑体" w:hAnsi="黑体" w:eastAsia="黑体" w:cs="黑体"/>
              <w:spacing w:val="-20"/>
              <w:szCs w:val="24"/>
            </w:rPr>
            <w:t>日</w:t>
          </w:r>
          <w:r>
            <w:tab/>
          </w:r>
          <w:r>
            <w:fldChar w:fldCharType="begin"/>
          </w:r>
          <w:r>
            <w:instrText xml:space="preserve"> PAGEREF _Toc27116 \h </w:instrText>
          </w:r>
          <w:r>
            <w:fldChar w:fldCharType="separate"/>
          </w:r>
          <w:r>
            <w:t>55</w:t>
          </w:r>
          <w:r>
            <w:fldChar w:fldCharType="end"/>
          </w:r>
          <w:r>
            <w:rPr>
              <w:rFonts w:ascii="Times New Roman" w:hAnsi="Times New Roman" w:eastAsia="Times New Roman" w:cs="Times New Roman"/>
              <w:color w:val="auto"/>
              <w:szCs w:val="24"/>
            </w:rPr>
            <w:fldChar w:fldCharType="end"/>
          </w:r>
        </w:p>
        <w:p w14:paraId="1EF45D79">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_Toc19519 </w:instrText>
          </w:r>
          <w:r>
            <w:rPr>
              <w:rFonts w:ascii="Times New Roman" w:hAnsi="Times New Roman" w:eastAsia="Times New Roman" w:cs="Times New Roman"/>
              <w:szCs w:val="24"/>
            </w:rPr>
            <w:fldChar w:fldCharType="separate"/>
          </w:r>
          <w:r>
            <w:rPr>
              <w:rFonts w:ascii="黑体" w:hAnsi="黑体" w:eastAsia="黑体" w:cs="黑体"/>
              <w:spacing w:val="-1"/>
              <w:szCs w:val="31"/>
              <w14:textOutline w14:w="5793" w14:cap="sq" w14:cmpd="sng">
                <w14:solidFill>
                  <w14:srgbClr w14:val="000000"/>
                </w14:solidFill>
                <w14:prstDash w14:val="solid"/>
                <w14:bevel/>
              </w14:textOutline>
            </w:rPr>
            <w:t>附件2:</w:t>
          </w:r>
          <w:r>
            <w:tab/>
          </w:r>
          <w:r>
            <w:fldChar w:fldCharType="begin"/>
          </w:r>
          <w:r>
            <w:instrText xml:space="preserve"> PAGEREF _Toc19519 \h </w:instrText>
          </w:r>
          <w:r>
            <w:fldChar w:fldCharType="separate"/>
          </w:r>
          <w:r>
            <w:t>56</w:t>
          </w:r>
          <w:r>
            <w:fldChar w:fldCharType="end"/>
          </w:r>
          <w:r>
            <w:rPr>
              <w:rFonts w:ascii="Times New Roman" w:hAnsi="Times New Roman" w:eastAsia="Times New Roman" w:cs="Times New Roman"/>
              <w:color w:val="auto"/>
              <w:szCs w:val="24"/>
            </w:rPr>
            <w:fldChar w:fldCharType="end"/>
          </w:r>
        </w:p>
        <w:p w14:paraId="60F277D6">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_Toc27937 </w:instrText>
          </w:r>
          <w:r>
            <w:rPr>
              <w:rFonts w:ascii="Times New Roman" w:hAnsi="Times New Roman" w:eastAsia="Times New Roman" w:cs="Times New Roman"/>
              <w:szCs w:val="24"/>
            </w:rPr>
            <w:fldChar w:fldCharType="separate"/>
          </w:r>
          <w:r>
            <w:rPr>
              <w:rFonts w:ascii="黑体" w:hAnsi="黑体" w:eastAsia="黑体" w:cs="黑体"/>
              <w:spacing w:val="9"/>
              <w:szCs w:val="31"/>
              <w14:textOutline w14:w="5793" w14:cap="sq" w14:cmpd="sng">
                <w14:solidFill>
                  <w14:srgbClr w14:val="000000"/>
                </w14:solidFill>
                <w14:prstDash w14:val="solid"/>
                <w14:bevel/>
              </w14:textOutline>
            </w:rPr>
            <w:t>法定代表人</w:t>
          </w:r>
          <w:r>
            <w:rPr>
              <w:rFonts w:ascii="黑体" w:hAnsi="黑体" w:eastAsia="黑体" w:cs="黑体"/>
              <w:spacing w:val="9"/>
              <w:szCs w:val="30"/>
              <w14:textOutline w14:w="5448" w14:cap="sq" w14:cmpd="sng">
                <w14:solidFill>
                  <w14:srgbClr w14:val="000000"/>
                </w14:solidFill>
                <w14:prstDash w14:val="solid"/>
                <w14:bevel/>
              </w14:textOutline>
            </w:rPr>
            <w:t>身份证明书</w:t>
          </w:r>
          <w:r>
            <w:tab/>
          </w:r>
          <w:r>
            <w:fldChar w:fldCharType="begin"/>
          </w:r>
          <w:r>
            <w:instrText xml:space="preserve"> PAGEREF _Toc27937 \h </w:instrText>
          </w:r>
          <w:r>
            <w:fldChar w:fldCharType="separate"/>
          </w:r>
          <w:r>
            <w:t>56</w:t>
          </w:r>
          <w:r>
            <w:fldChar w:fldCharType="end"/>
          </w:r>
          <w:r>
            <w:rPr>
              <w:rFonts w:ascii="Times New Roman" w:hAnsi="Times New Roman" w:eastAsia="Times New Roman" w:cs="Times New Roman"/>
              <w:color w:val="auto"/>
              <w:szCs w:val="24"/>
            </w:rPr>
            <w:fldChar w:fldCharType="end"/>
          </w:r>
        </w:p>
        <w:p w14:paraId="3CCCA61E">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_Toc22940 </w:instrText>
          </w:r>
          <w:r>
            <w:rPr>
              <w:rFonts w:ascii="Times New Roman" w:hAnsi="Times New Roman" w:eastAsia="Times New Roman" w:cs="Times New Roman"/>
              <w:szCs w:val="24"/>
            </w:rPr>
            <w:fldChar w:fldCharType="separate"/>
          </w:r>
          <w:r>
            <w:rPr>
              <w:rFonts w:ascii="黑体" w:hAnsi="黑体" w:eastAsia="黑体" w:cs="黑体"/>
              <w:spacing w:val="13"/>
              <w:szCs w:val="31"/>
              <w14:textOutline w14:w="5793" w14:cap="sq" w14:cmpd="sng">
                <w14:solidFill>
                  <w14:srgbClr w14:val="000000"/>
                </w14:solidFill>
                <w14:prstDash w14:val="solid"/>
                <w14:bevel/>
              </w14:textOutline>
            </w:rPr>
            <w:t>投标一览表</w:t>
          </w:r>
          <w:r>
            <w:tab/>
          </w:r>
          <w:r>
            <w:fldChar w:fldCharType="begin"/>
          </w:r>
          <w:r>
            <w:instrText xml:space="preserve"> PAGEREF _Toc22940 \h </w:instrText>
          </w:r>
          <w:r>
            <w:fldChar w:fldCharType="separate"/>
          </w:r>
          <w:r>
            <w:t>58</w:t>
          </w:r>
          <w:r>
            <w:fldChar w:fldCharType="end"/>
          </w:r>
          <w:r>
            <w:rPr>
              <w:rFonts w:ascii="Times New Roman" w:hAnsi="Times New Roman" w:eastAsia="Times New Roman" w:cs="Times New Roman"/>
              <w:color w:val="auto"/>
              <w:szCs w:val="24"/>
            </w:rPr>
            <w:fldChar w:fldCharType="end"/>
          </w:r>
        </w:p>
        <w:p w14:paraId="47D0E5CC">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_Toc29365 </w:instrText>
          </w:r>
          <w:r>
            <w:rPr>
              <w:rFonts w:ascii="Times New Roman" w:hAnsi="Times New Roman" w:eastAsia="Times New Roman" w:cs="Times New Roman"/>
              <w:szCs w:val="24"/>
            </w:rPr>
            <w:fldChar w:fldCharType="separate"/>
          </w:r>
          <w:r>
            <w:rPr>
              <w:rFonts w:ascii="黑体" w:hAnsi="黑体" w:eastAsia="黑体" w:cs="黑体"/>
              <w:spacing w:val="-20"/>
              <w:szCs w:val="24"/>
            </w:rPr>
            <w:t>日期：年月日</w:t>
          </w:r>
          <w:r>
            <w:tab/>
          </w:r>
          <w:r>
            <w:fldChar w:fldCharType="begin"/>
          </w:r>
          <w:r>
            <w:instrText xml:space="preserve"> PAGEREF _Toc29365 \h </w:instrText>
          </w:r>
          <w:r>
            <w:fldChar w:fldCharType="separate"/>
          </w:r>
          <w:r>
            <w:t>58</w:t>
          </w:r>
          <w:r>
            <w:fldChar w:fldCharType="end"/>
          </w:r>
          <w:r>
            <w:rPr>
              <w:rFonts w:ascii="Times New Roman" w:hAnsi="Times New Roman" w:eastAsia="Times New Roman" w:cs="Times New Roman"/>
              <w:color w:val="auto"/>
              <w:szCs w:val="24"/>
            </w:rPr>
            <w:fldChar w:fldCharType="end"/>
          </w:r>
        </w:p>
        <w:p w14:paraId="0711C882">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_Toc26621 </w:instrText>
          </w:r>
          <w:r>
            <w:rPr>
              <w:rFonts w:ascii="Times New Roman" w:hAnsi="Times New Roman" w:eastAsia="Times New Roman" w:cs="Times New Roman"/>
              <w:szCs w:val="24"/>
            </w:rPr>
            <w:fldChar w:fldCharType="separate"/>
          </w:r>
          <w:r>
            <w:rPr>
              <w:rFonts w:ascii="黑体" w:hAnsi="黑体" w:eastAsia="黑体" w:cs="黑体"/>
              <w:spacing w:val="14"/>
              <w:szCs w:val="31"/>
              <w14:textOutline w14:w="5793" w14:cap="sq" w14:cmpd="sng">
                <w14:solidFill>
                  <w14:srgbClr w14:val="000000"/>
                </w14:solidFill>
                <w14:prstDash w14:val="solid"/>
                <w14:bevel/>
              </w14:textOutline>
            </w:rPr>
            <w:t>清单分项报价明细表</w:t>
          </w:r>
          <w:r>
            <w:tab/>
          </w:r>
          <w:r>
            <w:fldChar w:fldCharType="begin"/>
          </w:r>
          <w:r>
            <w:instrText xml:space="preserve"> PAGEREF _Toc26621 \h </w:instrText>
          </w:r>
          <w:r>
            <w:fldChar w:fldCharType="separate"/>
          </w:r>
          <w:r>
            <w:t>59</w:t>
          </w:r>
          <w:r>
            <w:fldChar w:fldCharType="end"/>
          </w:r>
          <w:r>
            <w:rPr>
              <w:rFonts w:ascii="Times New Roman" w:hAnsi="Times New Roman" w:eastAsia="Times New Roman" w:cs="Times New Roman"/>
              <w:color w:val="auto"/>
              <w:szCs w:val="24"/>
            </w:rPr>
            <w:fldChar w:fldCharType="end"/>
          </w:r>
        </w:p>
        <w:p w14:paraId="1C8D5782">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_Toc29146 </w:instrText>
          </w:r>
          <w:r>
            <w:rPr>
              <w:rFonts w:ascii="Times New Roman" w:hAnsi="Times New Roman" w:eastAsia="Times New Roman" w:cs="Times New Roman"/>
              <w:szCs w:val="24"/>
            </w:rPr>
            <w:fldChar w:fldCharType="separate"/>
          </w:r>
          <w:r>
            <w:rPr>
              <w:rFonts w:ascii="黑体" w:hAnsi="黑体" w:eastAsia="黑体" w:cs="黑体"/>
              <w:spacing w:val="14"/>
              <w:szCs w:val="31"/>
              <w14:textOutline w14:w="5793" w14:cap="sq" w14:cmpd="sng">
                <w14:solidFill>
                  <w14:srgbClr w14:val="000000"/>
                </w14:solidFill>
                <w14:prstDash w14:val="solid"/>
                <w14:bevel/>
              </w14:textOutline>
            </w:rPr>
            <w:t>供应商概况表</w:t>
          </w:r>
          <w:r>
            <w:tab/>
          </w:r>
          <w:r>
            <w:fldChar w:fldCharType="begin"/>
          </w:r>
          <w:r>
            <w:instrText xml:space="preserve"> PAGEREF _Toc29146 \h </w:instrText>
          </w:r>
          <w:r>
            <w:fldChar w:fldCharType="separate"/>
          </w:r>
          <w:r>
            <w:t>60</w:t>
          </w:r>
          <w:r>
            <w:fldChar w:fldCharType="end"/>
          </w:r>
          <w:r>
            <w:rPr>
              <w:rFonts w:ascii="Times New Roman" w:hAnsi="Times New Roman" w:eastAsia="Times New Roman" w:cs="Times New Roman"/>
              <w:color w:val="auto"/>
              <w:szCs w:val="24"/>
            </w:rPr>
            <w:fldChar w:fldCharType="end"/>
          </w:r>
        </w:p>
        <w:p w14:paraId="14B5F6C3">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_Toc21720 </w:instrText>
          </w:r>
          <w:r>
            <w:rPr>
              <w:rFonts w:ascii="Times New Roman" w:hAnsi="Times New Roman" w:eastAsia="Times New Roman" w:cs="Times New Roman"/>
              <w:szCs w:val="24"/>
            </w:rPr>
            <w:fldChar w:fldCharType="separate"/>
          </w:r>
          <w:r>
            <w:rPr>
              <w:rFonts w:ascii="黑体" w:hAnsi="黑体" w:eastAsia="黑体" w:cs="黑体"/>
              <w:spacing w:val="3"/>
              <w:szCs w:val="24"/>
            </w:rPr>
            <w:t>购网”查询截图；③</w:t>
          </w:r>
          <w:r>
            <w:rPr>
              <w:rFonts w:hint="eastAsia" w:ascii="黑体" w:hAnsi="黑体" w:eastAsia="黑体" w:cs="黑体"/>
              <w:spacing w:val="3"/>
              <w:szCs w:val="24"/>
              <w:lang w:val="en-US" w:eastAsia="zh-CN"/>
            </w:rPr>
            <w:t>基本户的证明</w:t>
          </w:r>
          <w:r>
            <w:rPr>
              <w:rFonts w:ascii="黑体" w:hAnsi="黑体" w:eastAsia="黑体" w:cs="黑体"/>
              <w:spacing w:val="3"/>
              <w:szCs w:val="24"/>
            </w:rPr>
            <w:t>④投标保证金汇款回执</w:t>
          </w:r>
          <w:r>
            <w:rPr>
              <w:rFonts w:hint="eastAsia" w:ascii="黑体" w:hAnsi="黑体" w:eastAsia="黑体" w:cs="黑体"/>
              <w:spacing w:val="3"/>
              <w:szCs w:val="24"/>
              <w:lang w:val="en-US" w:eastAsia="zh-CN"/>
            </w:rPr>
            <w:t>凭证或保函保单及基本账户支付凭证</w:t>
          </w:r>
          <w:r>
            <w:rPr>
              <w:rFonts w:ascii="黑体" w:hAnsi="黑体" w:eastAsia="黑体" w:cs="黑体"/>
              <w:spacing w:val="3"/>
              <w:szCs w:val="24"/>
            </w:rPr>
            <w:t>；</w:t>
          </w:r>
          <w:r>
            <w:tab/>
          </w:r>
          <w:r>
            <w:fldChar w:fldCharType="begin"/>
          </w:r>
          <w:r>
            <w:instrText xml:space="preserve"> PAGEREF _Toc21720 \h </w:instrText>
          </w:r>
          <w:r>
            <w:fldChar w:fldCharType="separate"/>
          </w:r>
          <w:r>
            <w:t>60</w:t>
          </w:r>
          <w:r>
            <w:fldChar w:fldCharType="end"/>
          </w:r>
          <w:r>
            <w:rPr>
              <w:rFonts w:ascii="Times New Roman" w:hAnsi="Times New Roman" w:eastAsia="Times New Roman" w:cs="Times New Roman"/>
              <w:color w:val="auto"/>
              <w:szCs w:val="24"/>
            </w:rPr>
            <w:fldChar w:fldCharType="end"/>
          </w:r>
        </w:p>
        <w:p w14:paraId="1768F3EE">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_Toc12558 </w:instrText>
          </w:r>
          <w:r>
            <w:rPr>
              <w:rFonts w:ascii="Times New Roman" w:hAnsi="Times New Roman" w:eastAsia="Times New Roman" w:cs="Times New Roman"/>
              <w:szCs w:val="24"/>
            </w:rPr>
            <w:fldChar w:fldCharType="separate"/>
          </w:r>
          <w:r>
            <w:rPr>
              <w:rFonts w:ascii="黑体" w:hAnsi="黑体" w:eastAsia="黑体" w:cs="黑体"/>
              <w:spacing w:val="-11"/>
              <w:szCs w:val="24"/>
            </w:rPr>
            <w:t>明；</w:t>
          </w:r>
          <w:r>
            <w:tab/>
          </w:r>
          <w:r>
            <w:fldChar w:fldCharType="begin"/>
          </w:r>
          <w:r>
            <w:instrText xml:space="preserve"> PAGEREF _Toc12558 \h </w:instrText>
          </w:r>
          <w:r>
            <w:fldChar w:fldCharType="separate"/>
          </w:r>
          <w:r>
            <w:t>61</w:t>
          </w:r>
          <w:r>
            <w:fldChar w:fldCharType="end"/>
          </w:r>
          <w:r>
            <w:rPr>
              <w:rFonts w:ascii="Times New Roman" w:hAnsi="Times New Roman" w:eastAsia="Times New Roman" w:cs="Times New Roman"/>
              <w:color w:val="auto"/>
              <w:szCs w:val="24"/>
            </w:rPr>
            <w:fldChar w:fldCharType="end"/>
          </w:r>
        </w:p>
        <w:p w14:paraId="3FEC7A1D">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_Toc14347 </w:instrText>
          </w:r>
          <w:r>
            <w:rPr>
              <w:rFonts w:ascii="Times New Roman" w:hAnsi="Times New Roman" w:eastAsia="Times New Roman" w:cs="Times New Roman"/>
              <w:szCs w:val="24"/>
            </w:rPr>
            <w:fldChar w:fldCharType="separate"/>
          </w:r>
          <w:r>
            <w:rPr>
              <w:rFonts w:ascii="黑体" w:hAnsi="黑体" w:eastAsia="黑体" w:cs="黑体"/>
              <w:spacing w:val="-1"/>
              <w:szCs w:val="31"/>
              <w14:textOutline w14:w="5793" w14:cap="sq" w14:cmpd="sng">
                <w14:solidFill>
                  <w14:srgbClr w14:val="000000"/>
                </w14:solidFill>
                <w14:prstDash w14:val="solid"/>
                <w14:bevel/>
              </w14:textOutline>
            </w:rPr>
            <w:t>附件6:</w:t>
          </w:r>
          <w:r>
            <w:tab/>
          </w:r>
          <w:r>
            <w:fldChar w:fldCharType="begin"/>
          </w:r>
          <w:r>
            <w:instrText xml:space="preserve"> PAGEREF _Toc14347 \h </w:instrText>
          </w:r>
          <w:r>
            <w:fldChar w:fldCharType="separate"/>
          </w:r>
          <w:r>
            <w:t>62</w:t>
          </w:r>
          <w:r>
            <w:fldChar w:fldCharType="end"/>
          </w:r>
          <w:r>
            <w:rPr>
              <w:rFonts w:ascii="Times New Roman" w:hAnsi="Times New Roman" w:eastAsia="Times New Roman" w:cs="Times New Roman"/>
              <w:color w:val="auto"/>
              <w:szCs w:val="24"/>
            </w:rPr>
            <w:fldChar w:fldCharType="end"/>
          </w:r>
        </w:p>
        <w:p w14:paraId="30D62B18">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_Toc3756 </w:instrText>
          </w:r>
          <w:r>
            <w:rPr>
              <w:rFonts w:ascii="Times New Roman" w:hAnsi="Times New Roman" w:eastAsia="Times New Roman" w:cs="Times New Roman"/>
              <w:szCs w:val="24"/>
            </w:rPr>
            <w:fldChar w:fldCharType="separate"/>
          </w:r>
          <w:r>
            <w:rPr>
              <w:rFonts w:ascii="黑体" w:hAnsi="黑体" w:eastAsia="黑体" w:cs="黑体"/>
              <w:spacing w:val="15"/>
              <w:szCs w:val="31"/>
              <w14:textOutline w14:w="5793" w14:cap="sq" w14:cmpd="sng">
                <w14:solidFill>
                  <w14:srgbClr w14:val="000000"/>
                </w14:solidFill>
                <w14:prstDash w14:val="solid"/>
                <w14:bevel/>
              </w14:textOutline>
            </w:rPr>
            <w:t>无重大违法记录的书面声明</w:t>
          </w:r>
          <w:r>
            <w:tab/>
          </w:r>
          <w:r>
            <w:fldChar w:fldCharType="begin"/>
          </w:r>
          <w:r>
            <w:instrText xml:space="preserve"> PAGEREF _Toc3756 \h </w:instrText>
          </w:r>
          <w:r>
            <w:fldChar w:fldCharType="separate"/>
          </w:r>
          <w:r>
            <w:t>62</w:t>
          </w:r>
          <w:r>
            <w:fldChar w:fldCharType="end"/>
          </w:r>
          <w:r>
            <w:rPr>
              <w:rFonts w:ascii="Times New Roman" w:hAnsi="Times New Roman" w:eastAsia="Times New Roman" w:cs="Times New Roman"/>
              <w:color w:val="auto"/>
              <w:szCs w:val="24"/>
            </w:rPr>
            <w:fldChar w:fldCharType="end"/>
          </w:r>
        </w:p>
        <w:p w14:paraId="371B5D25">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_Toc19628 </w:instrText>
          </w:r>
          <w:r>
            <w:rPr>
              <w:rFonts w:ascii="Times New Roman" w:hAnsi="Times New Roman" w:eastAsia="Times New Roman" w:cs="Times New Roman"/>
              <w:szCs w:val="24"/>
            </w:rPr>
            <w:fldChar w:fldCharType="separate"/>
          </w:r>
          <w:r>
            <w:rPr>
              <w:rFonts w:ascii="黑体" w:hAnsi="黑体" w:eastAsia="黑体" w:cs="黑体"/>
              <w:spacing w:val="-2"/>
              <w:szCs w:val="31"/>
              <w14:textOutline w14:w="5793" w14:cap="sq" w14:cmpd="sng">
                <w14:solidFill>
                  <w14:srgbClr w14:val="000000"/>
                </w14:solidFill>
                <w14:prstDash w14:val="solid"/>
                <w14:bevel/>
              </w14:textOutline>
            </w:rPr>
            <w:t>附件7:</w:t>
          </w:r>
          <w:r>
            <w:tab/>
          </w:r>
          <w:r>
            <w:fldChar w:fldCharType="begin"/>
          </w:r>
          <w:r>
            <w:instrText xml:space="preserve"> PAGEREF _Toc19628 \h </w:instrText>
          </w:r>
          <w:r>
            <w:fldChar w:fldCharType="separate"/>
          </w:r>
          <w:r>
            <w:t>63</w:t>
          </w:r>
          <w:r>
            <w:fldChar w:fldCharType="end"/>
          </w:r>
          <w:r>
            <w:rPr>
              <w:rFonts w:ascii="Times New Roman" w:hAnsi="Times New Roman" w:eastAsia="Times New Roman" w:cs="Times New Roman"/>
              <w:color w:val="auto"/>
              <w:szCs w:val="24"/>
            </w:rPr>
            <w:fldChar w:fldCharType="end"/>
          </w:r>
        </w:p>
        <w:p w14:paraId="17E3731F">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_Toc32497 </w:instrText>
          </w:r>
          <w:r>
            <w:rPr>
              <w:rFonts w:ascii="Times New Roman" w:hAnsi="Times New Roman" w:eastAsia="Times New Roman" w:cs="Times New Roman"/>
              <w:szCs w:val="24"/>
            </w:rPr>
            <w:fldChar w:fldCharType="separate"/>
          </w:r>
          <w:r>
            <w:rPr>
              <w:rFonts w:ascii="黑体" w:hAnsi="黑体" w:eastAsia="黑体" w:cs="黑体"/>
              <w:spacing w:val="14"/>
              <w:szCs w:val="31"/>
              <w14:textOutline w14:w="5793" w14:cap="sq" w14:cmpd="sng">
                <w14:solidFill>
                  <w14:srgbClr w14:val="000000"/>
                </w14:solidFill>
                <w14:prstDash w14:val="solid"/>
                <w14:bevel/>
              </w14:textOutline>
            </w:rPr>
            <w:t>“重法纪、讲诚信”承诺书</w:t>
          </w:r>
          <w:r>
            <w:tab/>
          </w:r>
          <w:r>
            <w:fldChar w:fldCharType="begin"/>
          </w:r>
          <w:r>
            <w:instrText xml:space="preserve"> PAGEREF _Toc32497 \h </w:instrText>
          </w:r>
          <w:r>
            <w:fldChar w:fldCharType="separate"/>
          </w:r>
          <w:r>
            <w:t>64</w:t>
          </w:r>
          <w:r>
            <w:fldChar w:fldCharType="end"/>
          </w:r>
          <w:r>
            <w:rPr>
              <w:rFonts w:ascii="Times New Roman" w:hAnsi="Times New Roman" w:eastAsia="Times New Roman" w:cs="Times New Roman"/>
              <w:color w:val="auto"/>
              <w:szCs w:val="24"/>
            </w:rPr>
            <w:fldChar w:fldCharType="end"/>
          </w:r>
        </w:p>
        <w:p w14:paraId="41ADA6DB">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_Toc19843 </w:instrText>
          </w:r>
          <w:r>
            <w:rPr>
              <w:rFonts w:ascii="Times New Roman" w:hAnsi="Times New Roman" w:eastAsia="Times New Roman" w:cs="Times New Roman"/>
              <w:szCs w:val="24"/>
            </w:rPr>
            <w:fldChar w:fldCharType="separate"/>
          </w:r>
          <w:r>
            <w:rPr>
              <w:rFonts w:ascii="黑体" w:hAnsi="黑体" w:eastAsia="黑体" w:cs="黑体"/>
              <w:spacing w:val="-20"/>
              <w:szCs w:val="24"/>
            </w:rPr>
            <w:t>日期：年月日</w:t>
          </w:r>
          <w:r>
            <w:tab/>
          </w:r>
          <w:r>
            <w:fldChar w:fldCharType="begin"/>
          </w:r>
          <w:r>
            <w:instrText xml:space="preserve"> PAGEREF _Toc19843 \h </w:instrText>
          </w:r>
          <w:r>
            <w:fldChar w:fldCharType="separate"/>
          </w:r>
          <w:r>
            <w:t>66</w:t>
          </w:r>
          <w:r>
            <w:fldChar w:fldCharType="end"/>
          </w:r>
          <w:r>
            <w:rPr>
              <w:rFonts w:ascii="Times New Roman" w:hAnsi="Times New Roman" w:eastAsia="Times New Roman" w:cs="Times New Roman"/>
              <w:color w:val="auto"/>
              <w:szCs w:val="24"/>
            </w:rPr>
            <w:fldChar w:fldCharType="end"/>
          </w:r>
        </w:p>
        <w:p w14:paraId="114D719C">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_Toc29465 </w:instrText>
          </w:r>
          <w:r>
            <w:rPr>
              <w:rFonts w:ascii="Times New Roman" w:hAnsi="Times New Roman" w:eastAsia="Times New Roman" w:cs="Times New Roman"/>
              <w:szCs w:val="24"/>
            </w:rPr>
            <w:fldChar w:fldCharType="separate"/>
          </w:r>
          <w:r>
            <w:rPr>
              <w:rFonts w:ascii="黑体" w:hAnsi="黑体" w:eastAsia="黑体" w:cs="黑体"/>
              <w:spacing w:val="14"/>
              <w:szCs w:val="31"/>
              <w14:textOutline w14:w="5793" w14:cap="sq" w14:cmpd="sng">
                <w14:solidFill>
                  <w14:srgbClr w14:val="000000"/>
                </w14:solidFill>
                <w14:prstDash w14:val="solid"/>
                <w14:bevel/>
              </w14:textOutline>
            </w:rPr>
            <w:t>反商业贿赂承诺书</w:t>
          </w:r>
          <w:r>
            <w:tab/>
          </w:r>
          <w:r>
            <w:fldChar w:fldCharType="begin"/>
          </w:r>
          <w:r>
            <w:instrText xml:space="preserve"> PAGEREF _Toc29465 \h </w:instrText>
          </w:r>
          <w:r>
            <w:fldChar w:fldCharType="separate"/>
          </w:r>
          <w:r>
            <w:t>67</w:t>
          </w:r>
          <w:r>
            <w:fldChar w:fldCharType="end"/>
          </w:r>
          <w:r>
            <w:rPr>
              <w:rFonts w:ascii="Times New Roman" w:hAnsi="Times New Roman" w:eastAsia="Times New Roman" w:cs="Times New Roman"/>
              <w:color w:val="auto"/>
              <w:szCs w:val="24"/>
            </w:rPr>
            <w:fldChar w:fldCharType="end"/>
          </w:r>
        </w:p>
        <w:p w14:paraId="6A197DB7">
          <w:pPr>
            <w:pStyle w:val="8"/>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_Toc18981 </w:instrText>
          </w:r>
          <w:r>
            <w:rPr>
              <w:rFonts w:ascii="Times New Roman" w:hAnsi="Times New Roman" w:eastAsia="Times New Roman" w:cs="Times New Roman"/>
              <w:szCs w:val="24"/>
            </w:rPr>
            <w:fldChar w:fldCharType="separate"/>
          </w:r>
          <w:r>
            <w:rPr>
              <w:rFonts w:ascii="黑体" w:hAnsi="黑体" w:eastAsia="黑体" w:cs="黑体"/>
              <w:spacing w:val="12"/>
              <w:szCs w:val="31"/>
              <w14:textOutline w14:w="5793" w14:cap="sq" w14:cmpd="sng">
                <w14:solidFill>
                  <w14:srgbClr w14:val="000000"/>
                </w14:solidFill>
                <w14:prstDash w14:val="solid"/>
                <w14:bevel/>
              </w14:textOutline>
            </w:rPr>
            <w:t>商务条款偏离表</w:t>
          </w:r>
          <w:r>
            <w:tab/>
          </w:r>
          <w:r>
            <w:fldChar w:fldCharType="begin"/>
          </w:r>
          <w:r>
            <w:instrText xml:space="preserve"> PAGEREF _Toc18981 \h </w:instrText>
          </w:r>
          <w:r>
            <w:fldChar w:fldCharType="separate"/>
          </w:r>
          <w:r>
            <w:t>68</w:t>
          </w:r>
          <w:r>
            <w:fldChar w:fldCharType="end"/>
          </w:r>
          <w:r>
            <w:rPr>
              <w:rFonts w:ascii="Times New Roman" w:hAnsi="Times New Roman" w:eastAsia="Times New Roman" w:cs="Times New Roman"/>
              <w:color w:val="auto"/>
              <w:szCs w:val="24"/>
            </w:rPr>
            <w:fldChar w:fldCharType="end"/>
          </w:r>
        </w:p>
        <w:p w14:paraId="07008841">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_Toc14983 </w:instrText>
          </w:r>
          <w:r>
            <w:rPr>
              <w:rFonts w:ascii="Times New Roman" w:hAnsi="Times New Roman" w:eastAsia="Times New Roman" w:cs="Times New Roman"/>
              <w:szCs w:val="24"/>
            </w:rPr>
            <w:fldChar w:fldCharType="separate"/>
          </w:r>
          <w:r>
            <w:rPr>
              <w:rFonts w:ascii="黑体" w:hAnsi="黑体" w:eastAsia="黑体" w:cs="黑体"/>
              <w:spacing w:val="-4"/>
              <w:szCs w:val="31"/>
              <w14:textOutline w14:w="5793" w14:cap="sq" w14:cmpd="sng">
                <w14:solidFill>
                  <w14:srgbClr w14:val="000000"/>
                </w14:solidFill>
                <w14:prstDash w14:val="solid"/>
                <w14:bevel/>
              </w14:textOutline>
            </w:rPr>
            <w:t>附件11:</w:t>
          </w:r>
          <w:r>
            <w:tab/>
          </w:r>
          <w:r>
            <w:fldChar w:fldCharType="begin"/>
          </w:r>
          <w:r>
            <w:instrText xml:space="preserve"> PAGEREF _Toc14983 \h </w:instrText>
          </w:r>
          <w:r>
            <w:fldChar w:fldCharType="separate"/>
          </w:r>
          <w:r>
            <w:t>69</w:t>
          </w:r>
          <w:r>
            <w:fldChar w:fldCharType="end"/>
          </w:r>
          <w:r>
            <w:rPr>
              <w:rFonts w:ascii="Times New Roman" w:hAnsi="Times New Roman" w:eastAsia="Times New Roman" w:cs="Times New Roman"/>
              <w:color w:val="auto"/>
              <w:szCs w:val="24"/>
            </w:rPr>
            <w:fldChar w:fldCharType="end"/>
          </w:r>
        </w:p>
        <w:p w14:paraId="56BD56AE">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_Toc25092 </w:instrText>
          </w:r>
          <w:r>
            <w:rPr>
              <w:rFonts w:ascii="Times New Roman" w:hAnsi="Times New Roman" w:eastAsia="Times New Roman" w:cs="Times New Roman"/>
              <w:szCs w:val="24"/>
            </w:rPr>
            <w:fldChar w:fldCharType="separate"/>
          </w:r>
          <w:r>
            <w:rPr>
              <w:rFonts w:ascii="黑体" w:hAnsi="黑体" w:eastAsia="黑体" w:cs="黑体"/>
              <w:spacing w:val="12"/>
              <w:szCs w:val="31"/>
              <w14:textOutline w14:w="5793" w14:cap="sq" w14:cmpd="sng">
                <w14:solidFill>
                  <w14:srgbClr w14:val="000000"/>
                </w14:solidFill>
                <w14:prstDash w14:val="solid"/>
                <w14:bevel/>
              </w14:textOutline>
            </w:rPr>
            <w:t>近</w:t>
          </w:r>
          <w:r>
            <w:rPr>
              <w:rFonts w:hint="eastAsia" w:ascii="黑体" w:hAnsi="黑体" w:eastAsia="黑体" w:cs="黑体"/>
              <w:spacing w:val="12"/>
              <w:szCs w:val="31"/>
              <w:lang w:val="en-US" w:eastAsia="zh-CN"/>
              <w14:textOutline w14:w="5793" w14:cap="sq" w14:cmpd="sng">
                <w14:solidFill>
                  <w14:srgbClr w14:val="000000"/>
                </w14:solidFill>
                <w14:prstDash w14:val="solid"/>
                <w14:bevel/>
              </w14:textOutline>
            </w:rPr>
            <w:t>三</w:t>
          </w:r>
          <w:r>
            <w:rPr>
              <w:rFonts w:ascii="黑体" w:hAnsi="黑体" w:eastAsia="黑体" w:cs="黑体"/>
              <w:spacing w:val="12"/>
              <w:szCs w:val="31"/>
              <w14:textOutline w14:w="5793" w14:cap="sq" w14:cmpd="sng">
                <w14:solidFill>
                  <w14:srgbClr w14:val="000000"/>
                </w14:solidFill>
                <w14:prstDash w14:val="solid"/>
                <w14:bevel/>
              </w14:textOutline>
            </w:rPr>
            <w:t>年同类项目业绩表</w:t>
          </w:r>
          <w:r>
            <w:rPr>
              <w:rFonts w:hint="eastAsia" w:ascii="黑体" w:hAnsi="黑体" w:eastAsia="黑体" w:cs="黑体"/>
              <w:spacing w:val="12"/>
              <w:szCs w:val="31"/>
              <w:lang w:eastAsia="zh-CN"/>
              <w14:textOutline w14:w="5793" w14:cap="sq" w14:cmpd="sng">
                <w14:solidFill>
                  <w14:srgbClr w14:val="000000"/>
                </w14:solidFill>
                <w14:prstDash w14:val="solid"/>
                <w14:bevel/>
              </w14:textOutline>
            </w:rPr>
            <w:t>（</w:t>
          </w:r>
          <w:r>
            <w:rPr>
              <w:rFonts w:hint="eastAsia" w:ascii="黑体" w:hAnsi="黑体" w:eastAsia="黑体" w:cs="黑体"/>
              <w:spacing w:val="12"/>
              <w:szCs w:val="31"/>
              <w:lang w:val="en-US" w:eastAsia="zh-CN"/>
              <w14:textOutline w14:w="5793" w14:cap="sq" w14:cmpd="sng">
                <w14:solidFill>
                  <w14:srgbClr w14:val="000000"/>
                </w14:solidFill>
                <w14:prstDash w14:val="solid"/>
                <w14:bevel/>
              </w14:textOutline>
            </w:rPr>
            <w:t>2022年1月至今</w:t>
          </w:r>
          <w:r>
            <w:rPr>
              <w:rFonts w:hint="eastAsia" w:ascii="黑体" w:hAnsi="黑体" w:eastAsia="黑体" w:cs="黑体"/>
              <w:spacing w:val="12"/>
              <w:szCs w:val="31"/>
              <w:lang w:eastAsia="zh-CN"/>
              <w14:textOutline w14:w="5793" w14:cap="sq" w14:cmpd="sng">
                <w14:solidFill>
                  <w14:srgbClr w14:val="000000"/>
                </w14:solidFill>
                <w14:prstDash w14:val="solid"/>
                <w14:bevel/>
              </w14:textOutline>
            </w:rPr>
            <w:t>）</w:t>
          </w:r>
          <w:r>
            <w:tab/>
          </w:r>
          <w:r>
            <w:fldChar w:fldCharType="begin"/>
          </w:r>
          <w:r>
            <w:instrText xml:space="preserve"> PAGEREF _Toc25092 \h </w:instrText>
          </w:r>
          <w:r>
            <w:fldChar w:fldCharType="separate"/>
          </w:r>
          <w:r>
            <w:t>69</w:t>
          </w:r>
          <w:r>
            <w:fldChar w:fldCharType="end"/>
          </w:r>
          <w:r>
            <w:rPr>
              <w:rFonts w:ascii="Times New Roman" w:hAnsi="Times New Roman" w:eastAsia="Times New Roman" w:cs="Times New Roman"/>
              <w:color w:val="auto"/>
              <w:szCs w:val="24"/>
            </w:rPr>
            <w:fldChar w:fldCharType="end"/>
          </w:r>
        </w:p>
        <w:p w14:paraId="3F26A84B">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_Toc13845 </w:instrText>
          </w:r>
          <w:r>
            <w:rPr>
              <w:rFonts w:ascii="Times New Roman" w:hAnsi="Times New Roman" w:eastAsia="Times New Roman" w:cs="Times New Roman"/>
              <w:szCs w:val="24"/>
            </w:rPr>
            <w:fldChar w:fldCharType="separate"/>
          </w:r>
          <w:r>
            <w:rPr>
              <w:rFonts w:ascii="黑体" w:hAnsi="黑体" w:eastAsia="黑体" w:cs="黑体"/>
              <w:spacing w:val="1"/>
              <w:szCs w:val="24"/>
            </w:rPr>
            <w:t>注：附业绩证明资料（提供施工合同</w:t>
          </w:r>
          <w:r>
            <w:rPr>
              <w:rFonts w:hint="eastAsia" w:ascii="黑体" w:hAnsi="黑体" w:eastAsia="黑体" w:cs="黑体"/>
              <w:spacing w:val="1"/>
              <w:szCs w:val="24"/>
              <w:lang w:eastAsia="zh-CN"/>
            </w:rPr>
            <w:t>、</w:t>
          </w:r>
          <w:r>
            <w:rPr>
              <w:rFonts w:hint="eastAsia" w:ascii="黑体" w:hAnsi="黑体" w:eastAsia="黑体" w:cs="黑体"/>
              <w:spacing w:val="1"/>
              <w:szCs w:val="24"/>
              <w:lang w:val="en-US" w:eastAsia="zh-CN"/>
            </w:rPr>
            <w:t>中标通知书</w:t>
          </w:r>
          <w:r>
            <w:rPr>
              <w:rFonts w:ascii="黑体" w:hAnsi="黑体" w:eastAsia="黑体" w:cs="黑体"/>
              <w:spacing w:val="1"/>
              <w:szCs w:val="24"/>
            </w:rPr>
            <w:t>和竣工验收报告）</w:t>
          </w:r>
          <w:r>
            <w:tab/>
          </w:r>
          <w:r>
            <w:fldChar w:fldCharType="begin"/>
          </w:r>
          <w:r>
            <w:instrText xml:space="preserve"> PAGEREF _Toc13845 \h </w:instrText>
          </w:r>
          <w:r>
            <w:fldChar w:fldCharType="separate"/>
          </w:r>
          <w:r>
            <w:t>69</w:t>
          </w:r>
          <w:r>
            <w:fldChar w:fldCharType="end"/>
          </w:r>
          <w:r>
            <w:rPr>
              <w:rFonts w:ascii="Times New Roman" w:hAnsi="Times New Roman" w:eastAsia="Times New Roman" w:cs="Times New Roman"/>
              <w:color w:val="auto"/>
              <w:szCs w:val="24"/>
            </w:rPr>
            <w:fldChar w:fldCharType="end"/>
          </w:r>
        </w:p>
        <w:p w14:paraId="4DDFF611">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_Toc31991 </w:instrText>
          </w:r>
          <w:r>
            <w:rPr>
              <w:rFonts w:ascii="Times New Roman" w:hAnsi="Times New Roman" w:eastAsia="Times New Roman" w:cs="Times New Roman"/>
              <w:szCs w:val="24"/>
            </w:rPr>
            <w:fldChar w:fldCharType="separate"/>
          </w:r>
          <w:r>
            <w:rPr>
              <w:rFonts w:ascii="黑体" w:hAnsi="黑体" w:eastAsia="黑体" w:cs="黑体"/>
              <w:spacing w:val="12"/>
              <w:szCs w:val="31"/>
              <w14:textOutline w14:w="5793" w14:cap="sq" w14:cmpd="sng">
                <w14:solidFill>
                  <w14:srgbClr w14:val="000000"/>
                </w14:solidFill>
                <w14:prstDash w14:val="solid"/>
                <w14:bevel/>
              </w14:textOutline>
            </w:rPr>
            <w:t>拟派项目负责人简历表</w:t>
          </w:r>
          <w:r>
            <w:tab/>
          </w:r>
          <w:r>
            <w:fldChar w:fldCharType="begin"/>
          </w:r>
          <w:r>
            <w:instrText xml:space="preserve"> PAGEREF _Toc31991 \h </w:instrText>
          </w:r>
          <w:r>
            <w:fldChar w:fldCharType="separate"/>
          </w:r>
          <w:r>
            <w:t>70</w:t>
          </w:r>
          <w:r>
            <w:fldChar w:fldCharType="end"/>
          </w:r>
          <w:r>
            <w:rPr>
              <w:rFonts w:ascii="Times New Roman" w:hAnsi="Times New Roman" w:eastAsia="Times New Roman" w:cs="Times New Roman"/>
              <w:color w:val="auto"/>
              <w:szCs w:val="24"/>
            </w:rPr>
            <w:fldChar w:fldCharType="end"/>
          </w:r>
        </w:p>
        <w:p w14:paraId="77A4B24F">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_Toc14080 </w:instrText>
          </w:r>
          <w:r>
            <w:rPr>
              <w:rFonts w:ascii="Times New Roman" w:hAnsi="Times New Roman" w:eastAsia="Times New Roman" w:cs="Times New Roman"/>
              <w:szCs w:val="24"/>
            </w:rPr>
            <w:fldChar w:fldCharType="separate"/>
          </w:r>
          <w:r>
            <w:rPr>
              <w:rFonts w:ascii="黑体" w:hAnsi="黑体" w:eastAsia="黑体" w:cs="黑体"/>
              <w:spacing w:val="12"/>
              <w:szCs w:val="31"/>
              <w14:textOutline w14:w="5793" w14:cap="sq" w14:cmpd="sng">
                <w14:solidFill>
                  <w14:srgbClr w14:val="000000"/>
                </w14:solidFill>
                <w14:prstDash w14:val="solid"/>
                <w14:bevel/>
              </w14:textOutline>
            </w:rPr>
            <w:t>拟派本项目人员配置情况表</w:t>
          </w:r>
          <w:r>
            <w:tab/>
          </w:r>
          <w:r>
            <w:fldChar w:fldCharType="begin"/>
          </w:r>
          <w:r>
            <w:instrText xml:space="preserve"> PAGEREF _Toc14080 \h </w:instrText>
          </w:r>
          <w:r>
            <w:fldChar w:fldCharType="separate"/>
          </w:r>
          <w:r>
            <w:t>71</w:t>
          </w:r>
          <w:r>
            <w:fldChar w:fldCharType="end"/>
          </w:r>
          <w:r>
            <w:rPr>
              <w:rFonts w:ascii="Times New Roman" w:hAnsi="Times New Roman" w:eastAsia="Times New Roman" w:cs="Times New Roman"/>
              <w:color w:val="auto"/>
              <w:szCs w:val="24"/>
            </w:rPr>
            <w:fldChar w:fldCharType="end"/>
          </w:r>
        </w:p>
        <w:p w14:paraId="51952DC9">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_Toc5381 </w:instrText>
          </w:r>
          <w:r>
            <w:rPr>
              <w:rFonts w:ascii="Times New Roman" w:hAnsi="Times New Roman" w:eastAsia="Times New Roman" w:cs="Times New Roman"/>
              <w:szCs w:val="24"/>
            </w:rPr>
            <w:fldChar w:fldCharType="separate"/>
          </w:r>
          <w:r>
            <w:rPr>
              <w:spacing w:val="2"/>
              <w14:textOutline w14:w="4358" w14:cap="sq" w14:cmpd="sng">
                <w14:solidFill>
                  <w14:srgbClr w14:val="000000"/>
                </w14:solidFill>
                <w14:prstDash w14:val="solid"/>
                <w14:bevel/>
              </w14:textOutline>
            </w:rPr>
            <w:t>注：人员资料由供应商自行考虑提供并附相关资料、社保缴纳凭证。所提供的资料均</w:t>
          </w:r>
          <w:r>
            <w:rPr>
              <w:spacing w:val="1"/>
              <w14:textOutline w14:w="4358" w14:cap="sq" w14:cmpd="sng">
                <w14:solidFill>
                  <w14:srgbClr w14:val="000000"/>
                </w14:solidFill>
                <w14:prstDash w14:val="solid"/>
                <w14:bevel/>
              </w14:textOutline>
            </w:rPr>
            <w:t>附于本表后，作为本表的附件。</w:t>
          </w:r>
          <w:r>
            <w:tab/>
          </w:r>
          <w:r>
            <w:fldChar w:fldCharType="begin"/>
          </w:r>
          <w:r>
            <w:instrText xml:space="preserve"> PAGEREF _Toc5381 \h </w:instrText>
          </w:r>
          <w:r>
            <w:fldChar w:fldCharType="separate"/>
          </w:r>
          <w:r>
            <w:t>71</w:t>
          </w:r>
          <w:r>
            <w:fldChar w:fldCharType="end"/>
          </w:r>
          <w:r>
            <w:rPr>
              <w:rFonts w:ascii="Times New Roman" w:hAnsi="Times New Roman" w:eastAsia="Times New Roman" w:cs="Times New Roman"/>
              <w:color w:val="auto"/>
              <w:szCs w:val="24"/>
            </w:rPr>
            <w:fldChar w:fldCharType="end"/>
          </w:r>
        </w:p>
        <w:p w14:paraId="5421416A">
          <w:pPr>
            <w:pStyle w:val="13"/>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_Toc28170 </w:instrText>
          </w:r>
          <w:r>
            <w:rPr>
              <w:rFonts w:ascii="Times New Roman" w:hAnsi="Times New Roman" w:eastAsia="Times New Roman" w:cs="Times New Roman"/>
              <w:szCs w:val="24"/>
            </w:rPr>
            <w:fldChar w:fldCharType="separate"/>
          </w:r>
          <w:r>
            <w:rPr>
              <w:rFonts w:ascii="黑体" w:hAnsi="黑体" w:eastAsia="黑体" w:cs="黑体"/>
              <w:spacing w:val="-4"/>
              <w:szCs w:val="31"/>
              <w14:textOutline w14:w="5793" w14:cap="sq" w14:cmpd="sng">
                <w14:solidFill>
                  <w14:srgbClr w14:val="000000"/>
                </w14:solidFill>
                <w14:prstDash w14:val="solid"/>
                <w14:bevel/>
              </w14:textOutline>
            </w:rPr>
            <w:t>附件15:</w:t>
          </w:r>
          <w:r>
            <w:tab/>
          </w:r>
          <w:r>
            <w:fldChar w:fldCharType="begin"/>
          </w:r>
          <w:r>
            <w:instrText xml:space="preserve"> PAGEREF _Toc28170 \h </w:instrText>
          </w:r>
          <w:r>
            <w:fldChar w:fldCharType="separate"/>
          </w:r>
          <w:r>
            <w:t>75</w:t>
          </w:r>
          <w:r>
            <w:fldChar w:fldCharType="end"/>
          </w:r>
          <w:r>
            <w:rPr>
              <w:rFonts w:ascii="Times New Roman" w:hAnsi="Times New Roman" w:eastAsia="Times New Roman" w:cs="Times New Roman"/>
              <w:color w:val="auto"/>
              <w:szCs w:val="24"/>
            </w:rPr>
            <w:fldChar w:fldCharType="end"/>
          </w:r>
        </w:p>
        <w:p w14:paraId="74156B59">
          <w:pPr>
            <w:pStyle w:val="12"/>
            <w:tabs>
              <w:tab w:val="right" w:leader="dot" w:pos="9064"/>
            </w:tabs>
          </w:pPr>
          <w:r>
            <w:rPr>
              <w:rFonts w:ascii="Times New Roman" w:hAnsi="Times New Roman" w:eastAsia="Times New Roman" w:cs="Times New Roman"/>
              <w:color w:val="auto"/>
              <w:szCs w:val="24"/>
            </w:rPr>
            <w:fldChar w:fldCharType="begin"/>
          </w:r>
          <w:r>
            <w:rPr>
              <w:rFonts w:ascii="Times New Roman" w:hAnsi="Times New Roman" w:eastAsia="Times New Roman" w:cs="Times New Roman"/>
              <w:szCs w:val="24"/>
            </w:rPr>
            <w:instrText xml:space="preserve"> HYPERLINK \l _Toc882 </w:instrText>
          </w:r>
          <w:r>
            <w:rPr>
              <w:rFonts w:ascii="Times New Roman" w:hAnsi="Times New Roman" w:eastAsia="Times New Roman" w:cs="Times New Roman"/>
              <w:szCs w:val="24"/>
            </w:rPr>
            <w:fldChar w:fldCharType="separate"/>
          </w:r>
          <w:r>
            <w:rPr>
              <w:rFonts w:ascii="黑体" w:hAnsi="黑体" w:eastAsia="黑体" w:cs="黑体"/>
              <w:spacing w:val="13"/>
              <w:szCs w:val="31"/>
              <w14:textOutline w14:w="5793" w14:cap="sq" w14:cmpd="sng">
                <w14:solidFill>
                  <w14:srgbClr w14:val="000000"/>
                </w14:solidFill>
                <w14:prstDash w14:val="solid"/>
                <w14:bevel/>
              </w14:textOutline>
            </w:rPr>
            <w:t>要求提供的其它材料以及供应商认为需要提交的材料</w:t>
          </w:r>
          <w:r>
            <w:tab/>
          </w:r>
          <w:r>
            <w:fldChar w:fldCharType="begin"/>
          </w:r>
          <w:r>
            <w:instrText xml:space="preserve"> PAGEREF _Toc882 \h </w:instrText>
          </w:r>
          <w:r>
            <w:fldChar w:fldCharType="separate"/>
          </w:r>
          <w:r>
            <w:t>76</w:t>
          </w:r>
          <w:r>
            <w:fldChar w:fldCharType="end"/>
          </w:r>
          <w:r>
            <w:rPr>
              <w:rFonts w:ascii="Times New Roman" w:hAnsi="Times New Roman" w:eastAsia="Times New Roman" w:cs="Times New Roman"/>
              <w:color w:val="auto"/>
              <w:szCs w:val="24"/>
            </w:rPr>
            <w:fldChar w:fldCharType="end"/>
          </w:r>
        </w:p>
        <w:p w14:paraId="678270F6">
          <w:pPr>
            <w:spacing w:line="222" w:lineRule="auto"/>
            <w:rPr>
              <w:rFonts w:ascii="Times New Roman" w:hAnsi="Times New Roman" w:eastAsia="Times New Roman" w:cs="Times New Roman"/>
              <w:snapToGrid w:val="0"/>
              <w:color w:val="auto"/>
              <w:kern w:val="0"/>
              <w:sz w:val="21"/>
              <w:szCs w:val="24"/>
              <w:lang w:val="en-US" w:eastAsia="en-US" w:bidi="ar-SA"/>
            </w:rPr>
          </w:pPr>
          <w:r>
            <w:rPr>
              <w:rFonts w:ascii="Times New Roman" w:hAnsi="Times New Roman" w:eastAsia="Times New Roman" w:cs="Times New Roman"/>
              <w:color w:val="auto"/>
              <w:szCs w:val="24"/>
            </w:rPr>
            <w:fldChar w:fldCharType="end"/>
          </w:r>
        </w:p>
      </w:sdtContent>
    </w:sdt>
    <w:p w14:paraId="32F8988C">
      <w:pPr>
        <w:pStyle w:val="2"/>
        <w:sectPr>
          <w:pgSz w:w="11906" w:h="16839"/>
          <w:pgMar w:top="1431" w:right="1417" w:bottom="0" w:left="1425" w:header="0" w:footer="0" w:gutter="0"/>
          <w:cols w:space="720" w:num="1"/>
        </w:sectPr>
      </w:pPr>
    </w:p>
    <w:p w14:paraId="4608D6DF">
      <w:pPr>
        <w:spacing w:before="206" w:line="227" w:lineRule="auto"/>
        <w:ind w:left="2913"/>
        <w:outlineLvl w:val="0"/>
        <w:rPr>
          <w:rFonts w:ascii="黑体" w:hAnsi="黑体" w:eastAsia="黑体" w:cs="黑体"/>
          <w:color w:val="auto"/>
          <w:sz w:val="31"/>
          <w:szCs w:val="31"/>
        </w:rPr>
      </w:pPr>
      <w:bookmarkStart w:id="1" w:name="_Toc1340"/>
      <w:r>
        <w:rPr>
          <w:rFonts w:ascii="黑体" w:hAnsi="黑体" w:eastAsia="黑体" w:cs="黑体"/>
          <w:color w:val="auto"/>
          <w:spacing w:val="11"/>
          <w:sz w:val="31"/>
          <w:szCs w:val="31"/>
          <w14:textOutline w14:w="5793" w14:cap="sq" w14:cmpd="sng">
            <w14:solidFill>
              <w14:srgbClr w14:val="000000"/>
            </w14:solidFill>
            <w14:prstDash w14:val="solid"/>
            <w14:bevel/>
          </w14:textOutline>
        </w:rPr>
        <w:t>第一章</w:t>
      </w:r>
      <w:r>
        <w:rPr>
          <w:rFonts w:hint="eastAsia" w:ascii="黑体" w:hAnsi="黑体" w:eastAsia="黑体" w:cs="黑体"/>
          <w:color w:val="auto"/>
          <w:spacing w:val="11"/>
          <w:sz w:val="31"/>
          <w:szCs w:val="31"/>
          <w:lang w:val="en-US" w:eastAsia="zh-CN"/>
          <w14:textOutline w14:w="5793" w14:cap="sq" w14:cmpd="sng">
            <w14:solidFill>
              <w14:srgbClr w14:val="000000"/>
            </w14:solidFill>
            <w14:prstDash w14:val="solid"/>
            <w14:bevel/>
          </w14:textOutline>
        </w:rPr>
        <w:t xml:space="preserve">   </w:t>
      </w:r>
      <w:r>
        <w:rPr>
          <w:rFonts w:ascii="黑体" w:hAnsi="黑体" w:eastAsia="黑体" w:cs="黑体"/>
          <w:color w:val="auto"/>
          <w:spacing w:val="11"/>
          <w:sz w:val="31"/>
          <w:szCs w:val="31"/>
          <w14:textOutline w14:w="5793" w14:cap="sq" w14:cmpd="sng">
            <w14:solidFill>
              <w14:srgbClr w14:val="000000"/>
            </w14:solidFill>
            <w14:prstDash w14:val="solid"/>
            <w14:bevel/>
          </w14:textOutline>
        </w:rPr>
        <w:t>竞争性磋商公告</w:t>
      </w:r>
      <w:bookmarkEnd w:id="1"/>
    </w:p>
    <w:p w14:paraId="115FB760">
      <w:pPr>
        <w:spacing w:line="240" w:lineRule="auto"/>
        <w:ind w:left="0" w:firstLine="0" w:firstLineChars="0"/>
        <w:rPr>
          <w:rFonts w:ascii="黑体" w:hAnsi="黑体" w:eastAsia="黑体" w:cs="黑体"/>
          <w:color w:val="auto"/>
          <w:sz w:val="24"/>
          <w:szCs w:val="24"/>
        </w:rPr>
      </w:pPr>
      <w:r>
        <w:rPr>
          <w:rFonts w:ascii="黑体" w:hAnsi="黑体" w:eastAsia="黑体" w:cs="黑体"/>
          <w:color w:val="auto"/>
          <w:sz w:val="24"/>
          <w:szCs w:val="24"/>
          <w14:textOutline w14:w="4358" w14:cap="sq" w14:cmpd="sng">
            <w14:solidFill>
              <w14:srgbClr w14:val="000000"/>
            </w14:solidFill>
            <w14:prstDash w14:val="solid"/>
            <w14:bevel/>
          </w14:textOutline>
        </w:rPr>
        <w:t>项目概况</w:t>
      </w:r>
    </w:p>
    <w:p w14:paraId="00C796FC">
      <w:pPr>
        <w:pBdr>
          <w:top w:val="single" w:color="auto" w:sz="4" w:space="0"/>
          <w:left w:val="single" w:color="auto" w:sz="4" w:space="0"/>
          <w:bottom w:val="single" w:color="auto" w:sz="4" w:space="0"/>
          <w:right w:val="single" w:color="auto" w:sz="4" w:space="0"/>
        </w:pBdr>
        <w:spacing w:line="240" w:lineRule="auto"/>
        <w:ind w:firstLine="488" w:firstLineChars="200"/>
        <w:jc w:val="left"/>
        <w:rPr>
          <w:rFonts w:ascii="黑体" w:hAnsi="黑体" w:eastAsia="黑体" w:cs="黑体"/>
          <w:color w:val="auto"/>
          <w:sz w:val="24"/>
          <w:szCs w:val="24"/>
        </w:rPr>
      </w:pPr>
      <w:r>
        <w:rPr>
          <w:rFonts w:hint="eastAsia" w:ascii="黑体" w:hAnsi="黑体" w:eastAsia="黑体" w:cs="黑体"/>
          <w:color w:val="auto"/>
          <w:spacing w:val="2"/>
          <w:sz w:val="24"/>
          <w:szCs w:val="24"/>
          <w:lang w:val="en-US" w:eastAsia="zh-CN"/>
        </w:rPr>
        <w:t>民丰县尼雅乡阿克墩村示范村创建项目(道路提升）（二次）</w:t>
      </w:r>
      <w:r>
        <w:rPr>
          <w:rFonts w:ascii="黑体" w:hAnsi="黑体" w:eastAsia="黑体" w:cs="黑体"/>
          <w:color w:val="auto"/>
          <w:spacing w:val="2"/>
          <w:sz w:val="24"/>
          <w:szCs w:val="24"/>
        </w:rPr>
        <w:t>的潜在供应</w:t>
      </w:r>
      <w:r>
        <w:rPr>
          <w:rFonts w:ascii="黑体" w:hAnsi="黑体" w:eastAsia="黑体" w:cs="黑体"/>
          <w:color w:val="auto"/>
          <w:spacing w:val="1"/>
          <w:sz w:val="24"/>
          <w:szCs w:val="24"/>
        </w:rPr>
        <w:t>商应在政采云</w:t>
      </w:r>
      <w:r>
        <w:rPr>
          <w:rFonts w:hint="eastAsia" w:ascii="黑体" w:hAnsi="黑体" w:eastAsia="黑体" w:cs="黑体"/>
          <w:color w:val="auto"/>
          <w:spacing w:val="1"/>
          <w:sz w:val="24"/>
          <w:szCs w:val="24"/>
          <w:lang w:val="en-US" w:eastAsia="zh-CN"/>
        </w:rPr>
        <w:t>平台</w:t>
      </w:r>
      <w:r>
        <w:rPr>
          <w:color w:val="auto"/>
        </w:rPr>
        <w:fldChar w:fldCharType="begin"/>
      </w:r>
      <w:r>
        <w:rPr>
          <w:color w:val="auto"/>
        </w:rPr>
        <w:instrText xml:space="preserve">HYPERLINK"http://www.zcygov.cn/"</w:instrText>
      </w:r>
      <w:r>
        <w:rPr>
          <w:color w:val="auto"/>
        </w:rPr>
        <w:fldChar w:fldCharType="separate"/>
      </w:r>
      <w:r>
        <w:rPr>
          <w:rFonts w:ascii="黑体" w:hAnsi="黑体" w:eastAsia="黑体" w:cs="黑体"/>
          <w:color w:val="auto"/>
          <w:spacing w:val="-2"/>
          <w:sz w:val="24"/>
          <w:szCs w:val="24"/>
        </w:rPr>
        <w:t>http://www.zcygov.cn/</w:t>
      </w:r>
      <w:r>
        <w:rPr>
          <w:rFonts w:ascii="黑体" w:hAnsi="黑体" w:eastAsia="黑体" w:cs="黑体"/>
          <w:color w:val="auto"/>
          <w:spacing w:val="-2"/>
          <w:sz w:val="24"/>
          <w:szCs w:val="24"/>
        </w:rPr>
        <w:fldChar w:fldCharType="end"/>
      </w:r>
      <w:r>
        <w:rPr>
          <w:rFonts w:ascii="黑体" w:hAnsi="黑体" w:eastAsia="黑体" w:cs="黑体"/>
          <w:color w:val="auto"/>
          <w:spacing w:val="-2"/>
          <w:sz w:val="24"/>
          <w:szCs w:val="24"/>
        </w:rPr>
        <w:t>在线申请获取竞争性磋商文件，并于</w:t>
      </w:r>
      <w:r>
        <w:rPr>
          <w:rFonts w:hint="eastAsia" w:ascii="黑体" w:hAnsi="黑体" w:eastAsia="黑体" w:cs="黑体"/>
          <w:color w:val="auto"/>
          <w:spacing w:val="-6"/>
          <w:sz w:val="24"/>
          <w:szCs w:val="24"/>
          <w:lang w:eastAsia="zh-CN"/>
        </w:rPr>
        <w:t>2025年7月29日12时00分</w:t>
      </w:r>
      <w:r>
        <w:rPr>
          <w:rFonts w:ascii="黑体" w:hAnsi="黑体" w:eastAsia="黑体" w:cs="黑体"/>
          <w:color w:val="auto"/>
          <w:spacing w:val="-1"/>
          <w:sz w:val="24"/>
          <w:szCs w:val="24"/>
        </w:rPr>
        <w:t>（北京时间）前递交响应文件。</w:t>
      </w:r>
    </w:p>
    <w:p w14:paraId="606C69E9">
      <w:pPr>
        <w:spacing w:line="240" w:lineRule="auto"/>
        <w:ind w:left="0" w:firstLine="480" w:firstLineChars="200"/>
        <w:rPr>
          <w:rFonts w:ascii="黑体" w:hAnsi="黑体" w:eastAsia="黑体" w:cs="黑体"/>
          <w:color w:val="auto"/>
          <w:sz w:val="24"/>
          <w:szCs w:val="24"/>
        </w:rPr>
      </w:pPr>
    </w:p>
    <w:p w14:paraId="0FED4FE6">
      <w:pPr>
        <w:spacing w:before="162" w:line="222" w:lineRule="auto"/>
        <w:ind w:left="5"/>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一、项目基本情况</w:t>
      </w:r>
    </w:p>
    <w:p w14:paraId="6AA8610D">
      <w:pPr>
        <w:spacing w:before="164" w:line="440" w:lineRule="exact"/>
        <w:ind w:left="487"/>
        <w:rPr>
          <w:rFonts w:hint="eastAsia" w:ascii="黑体" w:hAnsi="黑体" w:eastAsia="黑体" w:cs="黑体"/>
          <w:color w:val="auto"/>
          <w:spacing w:val="2"/>
          <w:position w:val="14"/>
          <w:sz w:val="24"/>
          <w:szCs w:val="24"/>
          <w:lang w:eastAsia="zh-CN"/>
        </w:rPr>
      </w:pPr>
      <w:r>
        <w:rPr>
          <w:rFonts w:ascii="黑体" w:hAnsi="黑体" w:eastAsia="黑体" w:cs="黑体"/>
          <w:color w:val="auto"/>
          <w:spacing w:val="2"/>
          <w:position w:val="14"/>
          <w:sz w:val="24"/>
          <w:szCs w:val="24"/>
        </w:rPr>
        <w:t>项目编号：</w:t>
      </w:r>
      <w:r>
        <w:rPr>
          <w:rFonts w:hint="eastAsia" w:ascii="黑体" w:hAnsi="黑体" w:eastAsia="黑体" w:cs="黑体"/>
          <w:color w:val="auto"/>
          <w:spacing w:val="2"/>
          <w:position w:val="14"/>
          <w:sz w:val="24"/>
          <w:szCs w:val="24"/>
          <w:lang w:val="en-US" w:eastAsia="zh-CN"/>
        </w:rPr>
        <w:t>XJTY-2025-619-1</w:t>
      </w:r>
    </w:p>
    <w:p w14:paraId="038D6DC3">
      <w:pPr>
        <w:spacing w:before="164" w:line="440" w:lineRule="exact"/>
        <w:ind w:left="487"/>
        <w:rPr>
          <w:rFonts w:hint="default" w:ascii="黑体" w:hAnsi="黑体" w:eastAsia="黑体" w:cs="黑体"/>
          <w:color w:val="auto"/>
          <w:spacing w:val="2"/>
          <w:position w:val="14"/>
          <w:sz w:val="24"/>
          <w:szCs w:val="24"/>
          <w:lang w:val="en-US" w:eastAsia="zh-CN"/>
        </w:rPr>
      </w:pPr>
      <w:r>
        <w:rPr>
          <w:rFonts w:ascii="黑体" w:hAnsi="黑体" w:eastAsia="黑体" w:cs="黑体"/>
          <w:color w:val="auto"/>
          <w:spacing w:val="2"/>
          <w:position w:val="14"/>
          <w:sz w:val="24"/>
          <w:szCs w:val="24"/>
        </w:rPr>
        <w:t>项目名称：</w:t>
      </w:r>
      <w:r>
        <w:rPr>
          <w:rFonts w:hint="eastAsia" w:ascii="黑体" w:hAnsi="黑体" w:eastAsia="黑体" w:cs="黑体"/>
          <w:color w:val="auto"/>
          <w:spacing w:val="2"/>
          <w:position w:val="14"/>
          <w:sz w:val="24"/>
          <w:szCs w:val="24"/>
          <w:lang w:val="en-US" w:eastAsia="zh-CN"/>
        </w:rPr>
        <w:t>民丰县尼雅乡阿克墩村示范村创建项目(道路提升）（二次）</w:t>
      </w:r>
    </w:p>
    <w:p w14:paraId="0C1CFE46">
      <w:pPr>
        <w:spacing w:before="164" w:line="440" w:lineRule="exact"/>
        <w:ind w:left="487"/>
        <w:rPr>
          <w:rFonts w:ascii="黑体" w:hAnsi="黑体" w:eastAsia="黑体" w:cs="黑体"/>
          <w:color w:val="auto"/>
          <w:spacing w:val="2"/>
          <w:position w:val="14"/>
          <w:sz w:val="24"/>
          <w:szCs w:val="24"/>
        </w:rPr>
      </w:pPr>
      <w:r>
        <w:rPr>
          <w:rFonts w:ascii="黑体" w:hAnsi="黑体" w:eastAsia="黑体" w:cs="黑体"/>
          <w:color w:val="auto"/>
          <w:spacing w:val="2"/>
          <w:position w:val="14"/>
          <w:sz w:val="24"/>
          <w:szCs w:val="24"/>
        </w:rPr>
        <w:t>采购方式：竞争性磋商</w:t>
      </w:r>
    </w:p>
    <w:p w14:paraId="1B5FC39C">
      <w:pPr>
        <w:spacing w:before="164" w:line="440" w:lineRule="exact"/>
        <w:ind w:left="487"/>
        <w:rPr>
          <w:rFonts w:hint="default" w:ascii="黑体" w:hAnsi="黑体" w:eastAsia="黑体" w:cs="黑体"/>
          <w:color w:val="auto"/>
          <w:spacing w:val="2"/>
          <w:position w:val="14"/>
          <w:sz w:val="24"/>
          <w:szCs w:val="24"/>
          <w:highlight w:val="none"/>
          <w:lang w:val="en-US" w:eastAsia="zh-CN"/>
        </w:rPr>
      </w:pPr>
      <w:r>
        <w:rPr>
          <w:rFonts w:ascii="黑体" w:hAnsi="黑体" w:eastAsia="黑体" w:cs="黑体"/>
          <w:color w:val="auto"/>
          <w:spacing w:val="2"/>
          <w:position w:val="14"/>
          <w:sz w:val="24"/>
          <w:szCs w:val="24"/>
        </w:rPr>
        <w:t>预算金额</w:t>
      </w:r>
      <w:r>
        <w:rPr>
          <w:rFonts w:hint="default" w:ascii="黑体" w:hAnsi="黑体" w:eastAsia="黑体" w:cs="黑体"/>
          <w:color w:val="auto"/>
          <w:spacing w:val="2"/>
          <w:position w:val="14"/>
          <w:sz w:val="24"/>
          <w:szCs w:val="24"/>
          <w:highlight w:val="none"/>
          <w:lang w:val="en-US" w:eastAsia="zh-CN"/>
        </w:rPr>
        <w:t>：</w:t>
      </w:r>
      <w:bookmarkStart w:id="2" w:name="OLE_LINK2"/>
      <w:bookmarkStart w:id="3" w:name="OLE_LINK1"/>
      <w:r>
        <w:rPr>
          <w:rFonts w:hint="default" w:ascii="黑体" w:hAnsi="黑体" w:eastAsia="黑体" w:cs="黑体"/>
          <w:color w:val="auto"/>
          <w:spacing w:val="2"/>
          <w:position w:val="14"/>
          <w:sz w:val="24"/>
          <w:szCs w:val="24"/>
          <w:highlight w:val="none"/>
          <w:lang w:val="en-US" w:eastAsia="zh-CN"/>
        </w:rPr>
        <w:t>1437800.00元</w:t>
      </w:r>
      <w:bookmarkStart w:id="246" w:name="_GoBack"/>
      <w:bookmarkEnd w:id="246"/>
    </w:p>
    <w:bookmarkEnd w:id="2"/>
    <w:p w14:paraId="3DBDE64B">
      <w:pPr>
        <w:spacing w:before="164" w:line="440" w:lineRule="exact"/>
        <w:ind w:left="487"/>
        <w:rPr>
          <w:rFonts w:ascii="黑体" w:hAnsi="黑体" w:eastAsia="黑体" w:cs="黑体"/>
          <w:color w:val="auto"/>
          <w:spacing w:val="2"/>
          <w:position w:val="14"/>
          <w:sz w:val="24"/>
          <w:szCs w:val="24"/>
          <w:highlight w:val="none"/>
        </w:rPr>
      </w:pPr>
      <w:r>
        <w:rPr>
          <w:rFonts w:hint="default" w:ascii="黑体" w:hAnsi="黑体" w:eastAsia="黑体" w:cs="黑体"/>
          <w:color w:val="auto"/>
          <w:spacing w:val="2"/>
          <w:position w:val="14"/>
          <w:sz w:val="24"/>
          <w:szCs w:val="24"/>
          <w:highlight w:val="none"/>
          <w:lang w:val="en-US" w:eastAsia="zh-CN"/>
        </w:rPr>
        <w:t>最高限价：</w:t>
      </w:r>
      <w:bookmarkEnd w:id="3"/>
      <w:r>
        <w:rPr>
          <w:rFonts w:hint="default" w:ascii="黑体" w:hAnsi="黑体" w:eastAsia="黑体" w:cs="黑体"/>
          <w:color w:val="auto"/>
          <w:spacing w:val="2"/>
          <w:position w:val="14"/>
          <w:sz w:val="24"/>
          <w:szCs w:val="24"/>
          <w:highlight w:val="none"/>
          <w:lang w:val="en-US" w:eastAsia="zh-CN"/>
        </w:rPr>
        <w:t>1411853.71</w:t>
      </w:r>
      <w:r>
        <w:rPr>
          <w:rFonts w:ascii="黑体" w:hAnsi="黑体" w:eastAsia="黑体" w:cs="黑体"/>
          <w:color w:val="auto"/>
          <w:spacing w:val="2"/>
          <w:position w:val="14"/>
          <w:sz w:val="24"/>
          <w:szCs w:val="24"/>
          <w:highlight w:val="none"/>
        </w:rPr>
        <w:t>元</w:t>
      </w:r>
    </w:p>
    <w:p w14:paraId="33B59F9F">
      <w:pPr>
        <w:spacing w:before="164" w:line="440" w:lineRule="exact"/>
        <w:ind w:left="487"/>
        <w:rPr>
          <w:rFonts w:hint="default" w:ascii="黑体" w:hAnsi="黑体" w:eastAsia="黑体" w:cs="黑体"/>
          <w:color w:val="auto"/>
          <w:spacing w:val="2"/>
          <w:position w:val="14"/>
          <w:sz w:val="24"/>
          <w:szCs w:val="24"/>
          <w:lang w:val="en-US" w:eastAsia="zh-CN"/>
        </w:rPr>
      </w:pPr>
      <w:r>
        <w:rPr>
          <w:rFonts w:ascii="黑体" w:hAnsi="黑体" w:eastAsia="黑体" w:cs="黑体"/>
          <w:color w:val="auto"/>
          <w:spacing w:val="2"/>
          <w:position w:val="14"/>
          <w:sz w:val="24"/>
          <w:szCs w:val="24"/>
        </w:rPr>
        <w:t>采购需求：</w:t>
      </w:r>
      <w:bookmarkStart w:id="4" w:name="OLE_LINK3"/>
      <w:r>
        <w:rPr>
          <w:rFonts w:hint="default" w:ascii="黑体" w:hAnsi="黑体" w:eastAsia="黑体" w:cs="黑体"/>
          <w:color w:val="auto"/>
          <w:spacing w:val="2"/>
          <w:position w:val="14"/>
          <w:sz w:val="24"/>
          <w:szCs w:val="24"/>
          <w:lang w:val="en-US" w:eastAsia="zh-CN"/>
        </w:rPr>
        <w:t>改建扩宽农村道路 1.5 公里，道路等级四级公路，新建人行道 1.5 公里。</w:t>
      </w:r>
      <w:r>
        <w:rPr>
          <w:rFonts w:hint="eastAsia" w:ascii="黑体" w:hAnsi="黑体" w:eastAsia="黑体" w:cs="黑体"/>
          <w:color w:val="auto"/>
          <w:spacing w:val="2"/>
          <w:position w:val="14"/>
          <w:sz w:val="24"/>
          <w:szCs w:val="24"/>
          <w:lang w:val="en-US" w:eastAsia="zh-CN"/>
        </w:rPr>
        <w:t>（详见招标工程量清单）</w:t>
      </w:r>
      <w:bookmarkEnd w:id="4"/>
    </w:p>
    <w:p w14:paraId="544CBEEB">
      <w:pPr>
        <w:spacing w:before="164" w:line="440" w:lineRule="exact"/>
        <w:ind w:left="487"/>
        <w:rPr>
          <w:rFonts w:hint="eastAsia" w:ascii="黑体" w:hAnsi="黑体" w:eastAsia="黑体" w:cs="黑体"/>
          <w:color w:val="auto"/>
          <w:spacing w:val="2"/>
          <w:position w:val="14"/>
          <w:sz w:val="24"/>
          <w:szCs w:val="24"/>
          <w:lang w:eastAsia="zh-CN"/>
        </w:rPr>
      </w:pPr>
      <w:r>
        <w:rPr>
          <w:rFonts w:ascii="黑体" w:hAnsi="黑体" w:eastAsia="黑体" w:cs="黑体"/>
          <w:color w:val="auto"/>
          <w:spacing w:val="2"/>
          <w:position w:val="14"/>
          <w:sz w:val="24"/>
          <w:szCs w:val="24"/>
        </w:rPr>
        <w:t>合同履约期限</w:t>
      </w:r>
      <w:r>
        <w:rPr>
          <w:rFonts w:ascii="黑体" w:hAnsi="黑体" w:eastAsia="黑体" w:cs="黑体"/>
          <w:color w:val="auto"/>
          <w:spacing w:val="2"/>
          <w:position w:val="14"/>
          <w:sz w:val="24"/>
          <w:szCs w:val="24"/>
          <w:u w:val="single"/>
        </w:rPr>
        <w:t>：</w:t>
      </w:r>
      <w:r>
        <w:rPr>
          <w:rFonts w:hint="eastAsia" w:ascii="黑体" w:hAnsi="黑体" w:eastAsia="黑体" w:cs="黑体"/>
          <w:color w:val="auto"/>
          <w:spacing w:val="2"/>
          <w:position w:val="14"/>
          <w:sz w:val="24"/>
          <w:szCs w:val="24"/>
          <w:u w:val="single"/>
          <w:lang w:val="en-US" w:eastAsia="zh-CN"/>
        </w:rPr>
        <w:t xml:space="preserve">90 </w:t>
      </w:r>
      <w:r>
        <w:rPr>
          <w:rFonts w:hint="eastAsia" w:ascii="黑体" w:hAnsi="黑体" w:eastAsia="黑体" w:cs="黑体"/>
          <w:color w:val="auto"/>
          <w:spacing w:val="2"/>
          <w:position w:val="14"/>
          <w:sz w:val="24"/>
          <w:szCs w:val="24"/>
          <w:lang w:val="en-US" w:eastAsia="zh-CN"/>
        </w:rPr>
        <w:t>日历天</w:t>
      </w:r>
    </w:p>
    <w:p w14:paraId="7E2AA288">
      <w:pPr>
        <w:spacing w:before="164" w:line="440" w:lineRule="exact"/>
        <w:ind w:left="487"/>
        <w:rPr>
          <w:rFonts w:ascii="黑体" w:hAnsi="黑体" w:eastAsia="黑体" w:cs="黑体"/>
          <w:color w:val="auto"/>
          <w:spacing w:val="2"/>
          <w:position w:val="14"/>
          <w:sz w:val="24"/>
          <w:szCs w:val="24"/>
        </w:rPr>
      </w:pPr>
      <w:r>
        <w:rPr>
          <w:rFonts w:ascii="黑体" w:hAnsi="黑体" w:eastAsia="黑体" w:cs="黑体"/>
          <w:color w:val="auto"/>
          <w:spacing w:val="2"/>
          <w:position w:val="14"/>
          <w:sz w:val="24"/>
          <w:szCs w:val="24"/>
        </w:rPr>
        <w:t>本项目（否）接受联合体投标。</w:t>
      </w:r>
    </w:p>
    <w:p w14:paraId="4D06396D">
      <w:pPr>
        <w:spacing w:before="151" w:line="222" w:lineRule="auto"/>
        <w:ind w:left="5"/>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二、申请人的资格要求：</w:t>
      </w:r>
    </w:p>
    <w:p w14:paraId="149A0944">
      <w:pPr>
        <w:spacing w:before="151" w:line="213" w:lineRule="auto"/>
        <w:ind w:left="501"/>
        <w:rPr>
          <w:rFonts w:ascii="黑体" w:hAnsi="黑体" w:eastAsia="黑体" w:cs="黑体"/>
          <w:color w:val="auto"/>
          <w:sz w:val="24"/>
          <w:szCs w:val="24"/>
        </w:rPr>
      </w:pPr>
      <w:r>
        <w:rPr>
          <w:rFonts w:ascii="黑体" w:hAnsi="黑体" w:eastAsia="黑体" w:cs="黑体"/>
          <w:color w:val="auto"/>
          <w:spacing w:val="1"/>
          <w:sz w:val="24"/>
          <w:szCs w:val="24"/>
        </w:rPr>
        <w:t>1.满足《中华人民共和国政府采购法》第二十二条规定；</w:t>
      </w:r>
    </w:p>
    <w:p w14:paraId="0FEFD958">
      <w:pPr>
        <w:spacing w:before="164" w:line="440" w:lineRule="exact"/>
        <w:ind w:left="487"/>
        <w:rPr>
          <w:color w:val="auto"/>
        </w:rPr>
      </w:pPr>
      <w:r>
        <w:rPr>
          <w:rFonts w:ascii="黑体" w:hAnsi="黑体" w:eastAsia="黑体" w:cs="黑体"/>
          <w:color w:val="auto"/>
          <w:spacing w:val="2"/>
          <w:position w:val="14"/>
          <w:sz w:val="24"/>
          <w:szCs w:val="24"/>
        </w:rPr>
        <w:t>2.落实政府采购政策需满足的资格要求：</w:t>
      </w:r>
      <w:bookmarkStart w:id="5" w:name="OLE_LINK7"/>
      <w:r>
        <w:rPr>
          <w:rFonts w:hint="eastAsia" w:ascii="黑体" w:hAnsi="黑体" w:eastAsia="黑体" w:cs="黑体"/>
          <w:color w:val="auto"/>
          <w:spacing w:val="2"/>
          <w:position w:val="14"/>
          <w:sz w:val="24"/>
          <w:szCs w:val="24"/>
          <w:lang w:val="en-US" w:eastAsia="zh-CN"/>
        </w:rPr>
        <w:t>本项目专门面向中小企业</w:t>
      </w:r>
      <w:r>
        <w:rPr>
          <w:rFonts w:hint="eastAsia" w:ascii="黑体" w:hAnsi="黑体" w:eastAsia="黑体" w:cs="黑体"/>
          <w:color w:val="auto"/>
          <w:spacing w:val="2"/>
          <w:position w:val="14"/>
          <w:sz w:val="24"/>
          <w:szCs w:val="24"/>
        </w:rPr>
        <w:t>,符合（1）《政府采购促进中小企业发展暂行办法》（财库[2020]46 号）；（2）《关于促进残疾人就业政府采购政策的通知》(财库〔2017〕141 号);（3）《财政部环保总局关于环境标志产品政府采购实施的意见》(财库〔2006〕90号)。注： 以上政策不重复享受。如属于上述企业需按招标文件要求提供相关资料。</w:t>
      </w:r>
      <w:bookmarkEnd w:id="5"/>
    </w:p>
    <w:p w14:paraId="6297FFDB">
      <w:pPr>
        <w:spacing w:line="221" w:lineRule="auto"/>
        <w:ind w:left="489"/>
        <w:rPr>
          <w:rFonts w:ascii="黑体" w:hAnsi="黑体" w:eastAsia="黑体" w:cs="黑体"/>
          <w:color w:val="auto"/>
          <w:sz w:val="24"/>
          <w:szCs w:val="24"/>
        </w:rPr>
      </w:pPr>
      <w:r>
        <w:rPr>
          <w:rFonts w:ascii="黑体" w:hAnsi="黑体" w:eastAsia="黑体" w:cs="黑体"/>
          <w:color w:val="auto"/>
          <w:spacing w:val="1"/>
          <w:sz w:val="24"/>
          <w:szCs w:val="24"/>
        </w:rPr>
        <w:t>3.本项目的特定资格要求：</w:t>
      </w:r>
    </w:p>
    <w:p w14:paraId="4E71434D">
      <w:pPr>
        <w:spacing w:before="151" w:line="213" w:lineRule="auto"/>
        <w:ind w:left="0" w:leftChars="0" w:firstLine="425" w:firstLineChars="173"/>
        <w:rPr>
          <w:rFonts w:ascii="黑体" w:hAnsi="黑体" w:eastAsia="黑体" w:cs="黑体"/>
          <w:color w:val="auto"/>
          <w:sz w:val="24"/>
          <w:szCs w:val="24"/>
        </w:rPr>
      </w:pPr>
      <w:bookmarkStart w:id="6" w:name="OLE_LINK8"/>
      <w:r>
        <w:rPr>
          <w:rFonts w:ascii="黑体" w:hAnsi="黑体" w:eastAsia="黑体" w:cs="黑体"/>
          <w:color w:val="auto"/>
          <w:spacing w:val="3"/>
          <w:sz w:val="24"/>
          <w:szCs w:val="24"/>
        </w:rPr>
        <w:t>(</w:t>
      </w:r>
      <w:r>
        <w:rPr>
          <w:rFonts w:hint="eastAsia" w:ascii="黑体" w:hAnsi="黑体" w:eastAsia="黑体" w:cs="黑体"/>
          <w:color w:val="auto"/>
          <w:spacing w:val="3"/>
          <w:sz w:val="24"/>
          <w:szCs w:val="24"/>
          <w:lang w:val="en-US" w:eastAsia="zh-CN"/>
        </w:rPr>
        <w:t>1</w:t>
      </w:r>
      <w:r>
        <w:rPr>
          <w:rFonts w:ascii="黑体" w:hAnsi="黑体" w:eastAsia="黑体" w:cs="黑体"/>
          <w:color w:val="auto"/>
          <w:spacing w:val="3"/>
          <w:sz w:val="24"/>
          <w:szCs w:val="24"/>
        </w:rPr>
        <w:t>)</w:t>
      </w:r>
      <w:r>
        <w:rPr>
          <w:rFonts w:ascii="黑体" w:hAnsi="黑体" w:eastAsia="黑体" w:cs="黑体"/>
          <w:color w:val="auto"/>
          <w:spacing w:val="1"/>
          <w:sz w:val="24"/>
          <w:szCs w:val="24"/>
        </w:rPr>
        <w:t>在中华人民共和国境内注册，具有有效的营业执照；</w:t>
      </w:r>
    </w:p>
    <w:p w14:paraId="1D8EE5D9">
      <w:pPr>
        <w:spacing w:before="164" w:line="338" w:lineRule="auto"/>
        <w:ind w:left="0" w:leftChars="0" w:firstLine="425" w:firstLineChars="173"/>
        <w:rPr>
          <w:rFonts w:hint="eastAsia" w:ascii="黑体" w:hAnsi="黑体" w:eastAsia="黑体" w:cs="黑体"/>
          <w:color w:val="auto"/>
          <w:spacing w:val="3"/>
          <w:sz w:val="24"/>
          <w:szCs w:val="24"/>
          <w:lang w:eastAsia="zh-CN"/>
        </w:rPr>
      </w:pPr>
      <w:r>
        <w:rPr>
          <w:rFonts w:ascii="黑体" w:hAnsi="黑体" w:eastAsia="黑体" w:cs="黑体"/>
          <w:color w:val="auto"/>
          <w:spacing w:val="3"/>
          <w:sz w:val="24"/>
          <w:szCs w:val="24"/>
        </w:rPr>
        <w:t>(2)资质条件：</w:t>
      </w:r>
      <w:r>
        <w:rPr>
          <w:rFonts w:hint="eastAsia" w:ascii="黑体" w:hAnsi="黑体" w:eastAsia="黑体" w:cs="黑体"/>
          <w:color w:val="auto"/>
          <w:spacing w:val="3"/>
          <w:sz w:val="24"/>
          <w:szCs w:val="24"/>
          <w:lang w:val="en-US" w:eastAsia="zh-CN"/>
        </w:rPr>
        <w:t>公路工程施工总承包叁级及以上资质，持有有效的安全生产许可证</w:t>
      </w:r>
      <w:r>
        <w:rPr>
          <w:rFonts w:hint="eastAsia" w:ascii="黑体" w:hAnsi="黑体" w:eastAsia="黑体" w:cs="黑体"/>
          <w:color w:val="auto"/>
          <w:spacing w:val="3"/>
          <w:sz w:val="24"/>
          <w:szCs w:val="24"/>
          <w:lang w:eastAsia="zh-CN"/>
        </w:rPr>
        <w:t>；（</w:t>
      </w:r>
      <w:r>
        <w:rPr>
          <w:rFonts w:hint="eastAsia" w:ascii="黑体" w:hAnsi="黑体" w:eastAsia="黑体" w:cs="黑体"/>
          <w:color w:val="auto"/>
          <w:spacing w:val="3"/>
          <w:sz w:val="24"/>
          <w:szCs w:val="24"/>
          <w:lang w:val="en-US" w:eastAsia="zh-CN"/>
        </w:rPr>
        <w:t>如供应商</w:t>
      </w:r>
      <w:r>
        <w:rPr>
          <w:rFonts w:ascii="黑体" w:hAnsi="黑体" w:eastAsia="黑体" w:cs="黑体"/>
          <w:color w:val="auto"/>
          <w:spacing w:val="3"/>
          <w:sz w:val="24"/>
          <w:szCs w:val="24"/>
        </w:rPr>
        <w:t>具备公路工程施工总承包一级及以上资质的投标人应进入交通运输部“全国公路建设市场信用信息管理系统”中的公路工程施工资质企业名录，且投标人名称和资质与该名录中的相应企业名称和资质完全一致。</w:t>
      </w:r>
      <w:r>
        <w:rPr>
          <w:rFonts w:hint="eastAsia" w:ascii="黑体" w:hAnsi="黑体" w:eastAsia="黑体" w:cs="黑体"/>
          <w:color w:val="auto"/>
          <w:spacing w:val="3"/>
          <w:sz w:val="24"/>
          <w:szCs w:val="24"/>
          <w:lang w:val="en-US" w:eastAsia="zh-CN"/>
        </w:rPr>
        <w:t>如供应商</w:t>
      </w:r>
      <w:r>
        <w:rPr>
          <w:rFonts w:ascii="黑体" w:hAnsi="黑体" w:eastAsia="黑体" w:cs="黑体"/>
          <w:color w:val="auto"/>
          <w:spacing w:val="3"/>
          <w:sz w:val="24"/>
          <w:szCs w:val="24"/>
        </w:rPr>
        <w:t>具备公路工程施工总承包二级及以下资质的投标人须已被列入“新疆维吾尔自治区公路建设市场信用信息管理系统”，且投标人名称和资质与系统中相应企业名称和资质完全一致；</w:t>
      </w:r>
      <w:r>
        <w:rPr>
          <w:rFonts w:hint="eastAsia" w:ascii="黑体" w:hAnsi="黑体" w:eastAsia="黑体" w:cs="黑体"/>
          <w:color w:val="auto"/>
          <w:spacing w:val="3"/>
          <w:sz w:val="24"/>
          <w:szCs w:val="24"/>
          <w:lang w:eastAsia="zh-CN"/>
        </w:rPr>
        <w:t>）</w:t>
      </w:r>
    </w:p>
    <w:p w14:paraId="28CEF0C4">
      <w:pPr>
        <w:spacing w:before="164" w:line="338" w:lineRule="auto"/>
        <w:ind w:left="0" w:leftChars="0" w:firstLine="425" w:firstLineChars="173"/>
        <w:rPr>
          <w:rFonts w:ascii="黑体" w:hAnsi="黑体" w:eastAsia="黑体" w:cs="黑体"/>
          <w:color w:val="auto"/>
          <w:spacing w:val="3"/>
          <w:sz w:val="24"/>
          <w:szCs w:val="24"/>
        </w:rPr>
      </w:pPr>
      <w:r>
        <w:rPr>
          <w:rFonts w:ascii="黑体" w:hAnsi="黑体" w:eastAsia="黑体" w:cs="黑体"/>
          <w:color w:val="auto"/>
          <w:spacing w:val="3"/>
          <w:sz w:val="24"/>
          <w:szCs w:val="24"/>
        </w:rPr>
        <w:t>(</w:t>
      </w:r>
      <w:r>
        <w:rPr>
          <w:rFonts w:hint="eastAsia" w:ascii="黑体" w:hAnsi="黑体" w:eastAsia="黑体" w:cs="黑体"/>
          <w:color w:val="auto"/>
          <w:spacing w:val="3"/>
          <w:sz w:val="24"/>
          <w:szCs w:val="24"/>
          <w:lang w:val="en-US" w:eastAsia="zh-CN"/>
        </w:rPr>
        <w:t>3</w:t>
      </w:r>
      <w:r>
        <w:rPr>
          <w:rFonts w:ascii="黑体" w:hAnsi="黑体" w:eastAsia="黑体" w:cs="黑体"/>
          <w:color w:val="auto"/>
          <w:spacing w:val="3"/>
          <w:sz w:val="24"/>
          <w:szCs w:val="24"/>
        </w:rPr>
        <w:t>)项目负责人资格：</w:t>
      </w:r>
      <w:r>
        <w:rPr>
          <w:rFonts w:hint="eastAsia" w:ascii="黑体" w:hAnsi="黑体" w:eastAsia="黑体" w:cs="黑体"/>
          <w:color w:val="auto"/>
          <w:spacing w:val="3"/>
          <w:sz w:val="24"/>
          <w:szCs w:val="24"/>
          <w:lang w:val="en-US" w:eastAsia="zh-CN"/>
        </w:rPr>
        <w:t>具有公路工程专业二级及以上注册建造师证书，注册单位必须与投标人名称一致；持有有效的交通运输主管部门颁发的安全生产考核合格证书(B类)；且未担任其他建设工程项目的项目经理。</w:t>
      </w:r>
    </w:p>
    <w:p w14:paraId="4E68BA01">
      <w:pPr>
        <w:spacing w:before="164" w:line="338" w:lineRule="auto"/>
        <w:ind w:left="0" w:leftChars="0" w:firstLine="425" w:firstLineChars="173"/>
        <w:rPr>
          <w:color w:val="auto"/>
        </w:rPr>
      </w:pPr>
      <w:r>
        <w:rPr>
          <w:rFonts w:ascii="黑体" w:hAnsi="黑体" w:eastAsia="黑体" w:cs="黑体"/>
          <w:color w:val="auto"/>
          <w:spacing w:val="3"/>
          <w:sz w:val="24"/>
          <w:szCs w:val="24"/>
        </w:rPr>
        <w:t>(</w:t>
      </w:r>
      <w:r>
        <w:rPr>
          <w:rFonts w:hint="eastAsia" w:ascii="黑体" w:hAnsi="黑体" w:eastAsia="黑体" w:cs="黑体"/>
          <w:color w:val="auto"/>
          <w:spacing w:val="3"/>
          <w:sz w:val="24"/>
          <w:szCs w:val="24"/>
          <w:lang w:val="en-US" w:eastAsia="zh-CN"/>
        </w:rPr>
        <w:t>4</w:t>
      </w:r>
      <w:r>
        <w:rPr>
          <w:rFonts w:ascii="黑体" w:hAnsi="黑体" w:eastAsia="黑体" w:cs="黑体"/>
          <w:color w:val="auto"/>
          <w:spacing w:val="3"/>
          <w:sz w:val="24"/>
          <w:szCs w:val="24"/>
        </w:rPr>
        <w:t>)凡拟参加本次磋商项目的供应商须具有良好的信誉，未在“信用中国”网</w:t>
      </w:r>
      <w:r>
        <w:rPr>
          <w:rFonts w:ascii="黑体" w:hAnsi="黑体" w:eastAsia="黑体" w:cs="黑体"/>
          <w:color w:val="auto"/>
          <w:spacing w:val="-2"/>
          <w:sz w:val="24"/>
          <w:szCs w:val="24"/>
        </w:rPr>
        <w:t>站（www.creditchina.gov.c</w:t>
      </w:r>
      <w:r>
        <w:rPr>
          <w:rFonts w:ascii="黑体" w:hAnsi="黑体" w:eastAsia="黑体" w:cs="黑体"/>
          <w:color w:val="auto"/>
          <w:spacing w:val="-3"/>
          <w:sz w:val="24"/>
          <w:szCs w:val="24"/>
        </w:rPr>
        <w:t>n）被列入失信被执行人、重大税收违法案件当事人名单、</w:t>
      </w:r>
      <w:r>
        <w:rPr>
          <w:rFonts w:ascii="黑体" w:hAnsi="黑体" w:eastAsia="黑体" w:cs="黑体"/>
          <w:color w:val="auto"/>
          <w:spacing w:val="-2"/>
          <w:sz w:val="24"/>
          <w:szCs w:val="24"/>
        </w:rPr>
        <w:t>中国政府采购网（www.ccgp.gov.cn）被列入政府采购严重违法失信行为记录名单（尚</w:t>
      </w:r>
      <w:r>
        <w:rPr>
          <w:rFonts w:ascii="黑体" w:hAnsi="黑体" w:eastAsia="黑体" w:cs="黑体"/>
          <w:color w:val="auto"/>
          <w:sz w:val="24"/>
          <w:szCs w:val="24"/>
        </w:rPr>
        <w:t>在处罚期内的）。</w:t>
      </w:r>
      <w:bookmarkEnd w:id="6"/>
    </w:p>
    <w:p w14:paraId="21D4FBBF">
      <w:pPr>
        <w:numPr>
          <w:ilvl w:val="0"/>
          <w:numId w:val="0"/>
        </w:numPr>
        <w:spacing w:line="240" w:lineRule="auto"/>
        <w:ind w:firstLine="484" w:firstLineChars="200"/>
        <w:rPr>
          <w:color w:val="auto"/>
        </w:rPr>
      </w:pPr>
      <w:r>
        <w:rPr>
          <w:rFonts w:hint="eastAsia" w:ascii="黑体" w:hAnsi="黑体" w:eastAsia="黑体" w:cs="黑体"/>
          <w:color w:val="auto"/>
          <w:spacing w:val="1"/>
          <w:sz w:val="24"/>
          <w:szCs w:val="24"/>
          <w:lang w:val="en-US" w:eastAsia="zh-CN"/>
          <w14:textOutline w14:w="4358" w14:cap="sq" w14:cmpd="sng">
            <w14:solidFill>
              <w14:srgbClr w14:val="000000"/>
            </w14:solidFill>
            <w14:prstDash w14:val="solid"/>
            <w14:bevel/>
          </w14:textOutline>
        </w:rPr>
        <w:t>三、</w:t>
      </w:r>
      <w:r>
        <w:rPr>
          <w:rFonts w:ascii="黑体" w:hAnsi="黑体" w:eastAsia="黑体" w:cs="黑体"/>
          <w:color w:val="auto"/>
          <w:spacing w:val="1"/>
          <w:sz w:val="24"/>
          <w:szCs w:val="24"/>
          <w14:textOutline w14:w="4358" w14:cap="sq" w14:cmpd="sng">
            <w14:solidFill>
              <w14:srgbClr w14:val="000000"/>
            </w14:solidFill>
            <w14:prstDash w14:val="solid"/>
            <w14:bevel/>
          </w14:textOutline>
        </w:rPr>
        <w:t>获取磋商文件</w:t>
      </w:r>
    </w:p>
    <w:p w14:paraId="0BB63883">
      <w:pPr>
        <w:spacing w:before="162" w:line="218" w:lineRule="auto"/>
        <w:ind w:firstLine="488" w:firstLineChars="200"/>
        <w:rPr>
          <w:rFonts w:ascii="黑体" w:hAnsi="黑体" w:eastAsia="黑体" w:cs="黑体"/>
          <w:color w:val="auto"/>
          <w:spacing w:val="2"/>
          <w:sz w:val="24"/>
          <w:szCs w:val="24"/>
        </w:rPr>
      </w:pPr>
      <w:r>
        <w:rPr>
          <w:rFonts w:ascii="黑体" w:hAnsi="黑体" w:eastAsia="黑体" w:cs="黑体"/>
          <w:color w:val="auto"/>
          <w:spacing w:val="2"/>
          <w:sz w:val="24"/>
          <w:szCs w:val="24"/>
        </w:rPr>
        <w:t>时间：202</w:t>
      </w:r>
      <w:r>
        <w:rPr>
          <w:rFonts w:hint="eastAsia" w:ascii="黑体" w:hAnsi="黑体" w:eastAsia="黑体" w:cs="黑体"/>
          <w:color w:val="auto"/>
          <w:spacing w:val="2"/>
          <w:sz w:val="24"/>
          <w:szCs w:val="24"/>
          <w:lang w:val="en-US" w:eastAsia="zh-CN"/>
        </w:rPr>
        <w:t>5</w:t>
      </w:r>
      <w:r>
        <w:rPr>
          <w:rFonts w:ascii="黑体" w:hAnsi="黑体" w:eastAsia="黑体" w:cs="黑体"/>
          <w:color w:val="auto"/>
          <w:spacing w:val="2"/>
          <w:sz w:val="24"/>
          <w:szCs w:val="24"/>
        </w:rPr>
        <w:t>年</w:t>
      </w:r>
      <w:r>
        <w:rPr>
          <w:rFonts w:hint="eastAsia" w:ascii="黑体" w:hAnsi="黑体" w:eastAsia="黑体" w:cs="黑体"/>
          <w:color w:val="auto"/>
          <w:spacing w:val="2"/>
          <w:sz w:val="24"/>
          <w:szCs w:val="24"/>
          <w:lang w:val="en-US" w:eastAsia="zh-CN"/>
        </w:rPr>
        <w:t>7</w:t>
      </w:r>
      <w:r>
        <w:rPr>
          <w:rFonts w:ascii="黑体" w:hAnsi="黑体" w:eastAsia="黑体" w:cs="黑体"/>
          <w:color w:val="auto"/>
          <w:spacing w:val="2"/>
          <w:sz w:val="24"/>
          <w:szCs w:val="24"/>
        </w:rPr>
        <w:t>月</w:t>
      </w:r>
      <w:r>
        <w:rPr>
          <w:rFonts w:hint="eastAsia" w:ascii="黑体" w:hAnsi="黑体" w:eastAsia="黑体" w:cs="黑体"/>
          <w:color w:val="auto"/>
          <w:spacing w:val="2"/>
          <w:sz w:val="24"/>
          <w:szCs w:val="24"/>
          <w:lang w:val="en-US" w:eastAsia="zh-CN"/>
        </w:rPr>
        <w:t>16</w:t>
      </w:r>
      <w:r>
        <w:rPr>
          <w:rFonts w:ascii="黑体" w:hAnsi="黑体" w:eastAsia="黑体" w:cs="黑体"/>
          <w:color w:val="auto"/>
          <w:spacing w:val="2"/>
          <w:sz w:val="24"/>
          <w:szCs w:val="24"/>
        </w:rPr>
        <w:t>至202</w:t>
      </w:r>
      <w:r>
        <w:rPr>
          <w:rFonts w:hint="eastAsia" w:ascii="黑体" w:hAnsi="黑体" w:eastAsia="黑体" w:cs="黑体"/>
          <w:color w:val="auto"/>
          <w:spacing w:val="2"/>
          <w:sz w:val="24"/>
          <w:szCs w:val="24"/>
          <w:lang w:val="en-US" w:eastAsia="zh-CN"/>
        </w:rPr>
        <w:t>5</w:t>
      </w:r>
      <w:r>
        <w:rPr>
          <w:rFonts w:ascii="黑体" w:hAnsi="黑体" w:eastAsia="黑体" w:cs="黑体"/>
          <w:color w:val="auto"/>
          <w:spacing w:val="2"/>
          <w:sz w:val="24"/>
          <w:szCs w:val="24"/>
        </w:rPr>
        <w:t>年</w:t>
      </w:r>
      <w:r>
        <w:rPr>
          <w:rFonts w:hint="eastAsia" w:ascii="黑体" w:hAnsi="黑体" w:eastAsia="黑体" w:cs="黑体"/>
          <w:color w:val="auto"/>
          <w:spacing w:val="2"/>
          <w:sz w:val="24"/>
          <w:szCs w:val="24"/>
          <w:lang w:val="en-US" w:eastAsia="zh-CN"/>
        </w:rPr>
        <w:t>7</w:t>
      </w:r>
      <w:r>
        <w:rPr>
          <w:rFonts w:ascii="黑体" w:hAnsi="黑体" w:eastAsia="黑体" w:cs="黑体"/>
          <w:color w:val="auto"/>
          <w:spacing w:val="2"/>
          <w:sz w:val="24"/>
          <w:szCs w:val="24"/>
        </w:rPr>
        <w:t>月</w:t>
      </w:r>
      <w:r>
        <w:rPr>
          <w:rFonts w:hint="eastAsia" w:ascii="黑体" w:hAnsi="黑体" w:eastAsia="黑体" w:cs="黑体"/>
          <w:color w:val="auto"/>
          <w:spacing w:val="2"/>
          <w:sz w:val="24"/>
          <w:szCs w:val="24"/>
          <w:lang w:val="en-US" w:eastAsia="zh-CN"/>
        </w:rPr>
        <w:t>23</w:t>
      </w:r>
      <w:r>
        <w:rPr>
          <w:rFonts w:ascii="黑体" w:hAnsi="黑体" w:eastAsia="黑体" w:cs="黑体"/>
          <w:color w:val="auto"/>
          <w:spacing w:val="2"/>
          <w:sz w:val="24"/>
          <w:szCs w:val="24"/>
        </w:rPr>
        <w:t>日（北京时间，法定节假日除外）</w:t>
      </w:r>
    </w:p>
    <w:p w14:paraId="3550C6B2">
      <w:pPr>
        <w:spacing w:before="162" w:line="218" w:lineRule="auto"/>
        <w:ind w:left="490"/>
        <w:rPr>
          <w:rFonts w:ascii="黑体" w:hAnsi="黑体" w:eastAsia="黑体" w:cs="黑体"/>
          <w:color w:val="auto"/>
          <w:sz w:val="24"/>
          <w:szCs w:val="24"/>
        </w:rPr>
      </w:pPr>
      <w:r>
        <w:rPr>
          <w:rFonts w:ascii="黑体" w:hAnsi="黑体" w:eastAsia="黑体" w:cs="黑体"/>
          <w:color w:val="auto"/>
          <w:spacing w:val="2"/>
          <w:sz w:val="24"/>
          <w:szCs w:val="24"/>
        </w:rPr>
        <w:t>地点：政采云平台（</w:t>
      </w:r>
      <w:r>
        <w:rPr>
          <w:rFonts w:ascii="黑体" w:hAnsi="黑体" w:eastAsia="黑体" w:cs="黑体"/>
          <w:color w:val="auto"/>
          <w:sz w:val="24"/>
          <w:szCs w:val="24"/>
        </w:rPr>
        <w:t>https</w:t>
      </w:r>
      <w:r>
        <w:rPr>
          <w:rFonts w:ascii="黑体" w:hAnsi="黑体" w:eastAsia="黑体" w:cs="黑体"/>
          <w:color w:val="auto"/>
          <w:spacing w:val="2"/>
          <w:sz w:val="24"/>
          <w:szCs w:val="24"/>
        </w:rPr>
        <w:t>://</w:t>
      </w:r>
      <w:r>
        <w:rPr>
          <w:rFonts w:ascii="黑体" w:hAnsi="黑体" w:eastAsia="黑体" w:cs="黑体"/>
          <w:color w:val="auto"/>
          <w:sz w:val="24"/>
          <w:szCs w:val="24"/>
        </w:rPr>
        <w:t>www</w:t>
      </w:r>
      <w:r>
        <w:rPr>
          <w:rFonts w:ascii="黑体" w:hAnsi="黑体" w:eastAsia="黑体" w:cs="黑体"/>
          <w:color w:val="auto"/>
          <w:spacing w:val="2"/>
          <w:sz w:val="24"/>
          <w:szCs w:val="24"/>
        </w:rPr>
        <w:t>.</w:t>
      </w:r>
      <w:r>
        <w:rPr>
          <w:rFonts w:ascii="黑体" w:hAnsi="黑体" w:eastAsia="黑体" w:cs="黑体"/>
          <w:color w:val="auto"/>
          <w:sz w:val="24"/>
          <w:szCs w:val="24"/>
        </w:rPr>
        <w:t>zcygov</w:t>
      </w:r>
      <w:r>
        <w:rPr>
          <w:rFonts w:ascii="黑体" w:hAnsi="黑体" w:eastAsia="黑体" w:cs="黑体"/>
          <w:color w:val="auto"/>
          <w:spacing w:val="2"/>
          <w:sz w:val="24"/>
          <w:szCs w:val="24"/>
        </w:rPr>
        <w:t>.</w:t>
      </w:r>
      <w:r>
        <w:rPr>
          <w:rFonts w:ascii="黑体" w:hAnsi="黑体" w:eastAsia="黑体" w:cs="黑体"/>
          <w:color w:val="auto"/>
          <w:sz w:val="24"/>
          <w:szCs w:val="24"/>
        </w:rPr>
        <w:t>cn</w:t>
      </w:r>
      <w:r>
        <w:rPr>
          <w:rFonts w:ascii="黑体" w:hAnsi="黑体" w:eastAsia="黑体" w:cs="黑体"/>
          <w:color w:val="auto"/>
          <w:spacing w:val="2"/>
          <w:sz w:val="24"/>
          <w:szCs w:val="24"/>
        </w:rPr>
        <w:t>/）</w:t>
      </w:r>
    </w:p>
    <w:p w14:paraId="6A2647B3">
      <w:pPr>
        <w:spacing w:before="158" w:line="439" w:lineRule="exact"/>
        <w:ind w:left="493"/>
        <w:rPr>
          <w:rFonts w:ascii="黑体" w:hAnsi="黑体" w:eastAsia="黑体" w:cs="黑体"/>
          <w:color w:val="auto"/>
          <w:sz w:val="24"/>
          <w:szCs w:val="24"/>
        </w:rPr>
      </w:pPr>
      <w:r>
        <w:rPr>
          <w:rFonts w:ascii="黑体" w:hAnsi="黑体" w:eastAsia="黑体" w:cs="黑体"/>
          <w:color w:val="auto"/>
          <w:spacing w:val="6"/>
          <w:position w:val="15"/>
          <w:sz w:val="24"/>
          <w:szCs w:val="24"/>
        </w:rPr>
        <w:t>方式：供应商登录政采云平台</w:t>
      </w:r>
      <w:r>
        <w:rPr>
          <w:rFonts w:ascii="黑体" w:hAnsi="黑体" w:eastAsia="黑体" w:cs="黑体"/>
          <w:color w:val="auto"/>
          <w:position w:val="15"/>
          <w:sz w:val="24"/>
          <w:szCs w:val="24"/>
        </w:rPr>
        <w:t>https</w:t>
      </w:r>
      <w:r>
        <w:rPr>
          <w:rFonts w:ascii="黑体" w:hAnsi="黑体" w:eastAsia="黑体" w:cs="黑体"/>
          <w:color w:val="auto"/>
          <w:spacing w:val="6"/>
          <w:position w:val="15"/>
          <w:sz w:val="24"/>
          <w:szCs w:val="24"/>
        </w:rPr>
        <w:t>://</w:t>
      </w:r>
      <w:r>
        <w:rPr>
          <w:rFonts w:ascii="黑体" w:hAnsi="黑体" w:eastAsia="黑体" w:cs="黑体"/>
          <w:color w:val="auto"/>
          <w:position w:val="15"/>
          <w:sz w:val="24"/>
          <w:szCs w:val="24"/>
        </w:rPr>
        <w:t>www</w:t>
      </w:r>
      <w:r>
        <w:rPr>
          <w:rFonts w:ascii="黑体" w:hAnsi="黑体" w:eastAsia="黑体" w:cs="黑体"/>
          <w:color w:val="auto"/>
          <w:spacing w:val="6"/>
          <w:position w:val="15"/>
          <w:sz w:val="24"/>
          <w:szCs w:val="24"/>
        </w:rPr>
        <w:t>.</w:t>
      </w:r>
      <w:r>
        <w:rPr>
          <w:rFonts w:ascii="黑体" w:hAnsi="黑体" w:eastAsia="黑体" w:cs="黑体"/>
          <w:color w:val="auto"/>
          <w:position w:val="15"/>
          <w:sz w:val="24"/>
          <w:szCs w:val="24"/>
        </w:rPr>
        <w:t>zcygov</w:t>
      </w:r>
      <w:r>
        <w:rPr>
          <w:rFonts w:ascii="黑体" w:hAnsi="黑体" w:eastAsia="黑体" w:cs="黑体"/>
          <w:color w:val="auto"/>
          <w:spacing w:val="6"/>
          <w:position w:val="15"/>
          <w:sz w:val="24"/>
          <w:szCs w:val="24"/>
        </w:rPr>
        <w:t>.</w:t>
      </w:r>
      <w:r>
        <w:rPr>
          <w:rFonts w:ascii="黑体" w:hAnsi="黑体" w:eastAsia="黑体" w:cs="黑体"/>
          <w:color w:val="auto"/>
          <w:position w:val="15"/>
          <w:sz w:val="24"/>
          <w:szCs w:val="24"/>
        </w:rPr>
        <w:t>cn</w:t>
      </w:r>
      <w:r>
        <w:rPr>
          <w:rFonts w:ascii="黑体" w:hAnsi="黑体" w:eastAsia="黑体" w:cs="黑体"/>
          <w:color w:val="auto"/>
          <w:spacing w:val="6"/>
          <w:position w:val="15"/>
          <w:sz w:val="24"/>
          <w:szCs w:val="24"/>
        </w:rPr>
        <w:t>/在线申请获取磋商文件</w:t>
      </w:r>
    </w:p>
    <w:p w14:paraId="39A5CD9C">
      <w:pPr>
        <w:spacing w:before="1" w:line="212" w:lineRule="auto"/>
        <w:ind w:left="22"/>
        <w:rPr>
          <w:rFonts w:ascii="黑体" w:hAnsi="黑体" w:eastAsia="黑体" w:cs="黑体"/>
          <w:color w:val="auto"/>
          <w:sz w:val="24"/>
          <w:szCs w:val="24"/>
        </w:rPr>
      </w:pPr>
      <w:r>
        <w:rPr>
          <w:rFonts w:ascii="黑体" w:hAnsi="黑体" w:eastAsia="黑体" w:cs="黑体"/>
          <w:color w:val="auto"/>
          <w:spacing w:val="2"/>
          <w:sz w:val="24"/>
          <w:szCs w:val="24"/>
        </w:rPr>
        <w:t>（进入“项目采购”应用，在获取磋商文件菜单</w:t>
      </w:r>
      <w:r>
        <w:rPr>
          <w:rFonts w:ascii="黑体" w:hAnsi="黑体" w:eastAsia="黑体" w:cs="黑体"/>
          <w:color w:val="auto"/>
          <w:spacing w:val="1"/>
          <w:sz w:val="24"/>
          <w:szCs w:val="24"/>
        </w:rPr>
        <w:t>中选择项目，申请获取磋商文件）</w:t>
      </w:r>
    </w:p>
    <w:p w14:paraId="3F948F96">
      <w:pPr>
        <w:spacing w:before="161" w:line="222" w:lineRule="auto"/>
        <w:ind w:left="503"/>
        <w:rPr>
          <w:rFonts w:ascii="黑体" w:hAnsi="黑体" w:eastAsia="黑体" w:cs="黑体"/>
          <w:color w:val="auto"/>
          <w:sz w:val="24"/>
          <w:szCs w:val="24"/>
        </w:rPr>
      </w:pPr>
      <w:r>
        <w:rPr>
          <w:rFonts w:ascii="黑体" w:hAnsi="黑体" w:eastAsia="黑体" w:cs="黑体"/>
          <w:color w:val="auto"/>
          <w:sz w:val="24"/>
          <w:szCs w:val="24"/>
          <w14:textOutline w14:w="4358" w14:cap="sq" w14:cmpd="sng">
            <w14:solidFill>
              <w14:srgbClr w14:val="000000"/>
            </w14:solidFill>
            <w14:prstDash w14:val="solid"/>
            <w14:bevel/>
          </w14:textOutline>
        </w:rPr>
        <w:t>四、响应文件提交</w:t>
      </w:r>
    </w:p>
    <w:p w14:paraId="46AD79A1">
      <w:pPr>
        <w:spacing w:before="154" w:line="220" w:lineRule="auto"/>
        <w:ind w:left="487"/>
        <w:rPr>
          <w:rFonts w:ascii="黑体" w:hAnsi="黑体" w:eastAsia="黑体" w:cs="黑体"/>
          <w:color w:val="auto"/>
          <w:sz w:val="24"/>
          <w:szCs w:val="24"/>
        </w:rPr>
      </w:pPr>
      <w:r>
        <w:rPr>
          <w:rFonts w:ascii="黑体" w:hAnsi="黑体" w:eastAsia="黑体" w:cs="黑体"/>
          <w:color w:val="auto"/>
          <w:spacing w:val="-6"/>
          <w:sz w:val="24"/>
          <w:szCs w:val="24"/>
        </w:rPr>
        <w:t>截止时间：</w:t>
      </w:r>
      <w:r>
        <w:rPr>
          <w:rFonts w:hint="eastAsia" w:ascii="黑体" w:hAnsi="黑体" w:eastAsia="黑体" w:cs="黑体"/>
          <w:color w:val="auto"/>
          <w:spacing w:val="-6"/>
          <w:sz w:val="24"/>
          <w:szCs w:val="24"/>
          <w:lang w:eastAsia="zh-CN"/>
        </w:rPr>
        <w:t>2025年7月29日12时00分</w:t>
      </w:r>
      <w:r>
        <w:rPr>
          <w:rFonts w:ascii="黑体" w:hAnsi="黑体" w:eastAsia="黑体" w:cs="黑体"/>
          <w:color w:val="auto"/>
          <w:spacing w:val="-6"/>
          <w:sz w:val="24"/>
          <w:szCs w:val="24"/>
        </w:rPr>
        <w:t>（北京时间）</w:t>
      </w:r>
    </w:p>
    <w:p w14:paraId="059F2ACB">
      <w:pPr>
        <w:spacing w:before="153" w:line="218" w:lineRule="auto"/>
        <w:ind w:left="490"/>
        <w:rPr>
          <w:rFonts w:ascii="黑体" w:hAnsi="黑体" w:eastAsia="黑体" w:cs="黑体"/>
          <w:color w:val="auto"/>
          <w:sz w:val="24"/>
          <w:szCs w:val="24"/>
        </w:rPr>
      </w:pPr>
      <w:r>
        <w:rPr>
          <w:rFonts w:ascii="黑体" w:hAnsi="黑体" w:eastAsia="黑体" w:cs="黑体"/>
          <w:color w:val="auto"/>
          <w:spacing w:val="2"/>
          <w:sz w:val="24"/>
          <w:szCs w:val="24"/>
        </w:rPr>
        <w:t>地点：政采云平台（</w:t>
      </w:r>
      <w:r>
        <w:rPr>
          <w:rFonts w:ascii="黑体" w:hAnsi="黑体" w:eastAsia="黑体" w:cs="黑体"/>
          <w:color w:val="auto"/>
          <w:sz w:val="24"/>
          <w:szCs w:val="24"/>
        </w:rPr>
        <w:t>https</w:t>
      </w:r>
      <w:r>
        <w:rPr>
          <w:rFonts w:ascii="黑体" w:hAnsi="黑体" w:eastAsia="黑体" w:cs="黑体"/>
          <w:color w:val="auto"/>
          <w:spacing w:val="2"/>
          <w:sz w:val="24"/>
          <w:szCs w:val="24"/>
        </w:rPr>
        <w:t>://</w:t>
      </w:r>
      <w:r>
        <w:rPr>
          <w:rFonts w:ascii="黑体" w:hAnsi="黑体" w:eastAsia="黑体" w:cs="黑体"/>
          <w:color w:val="auto"/>
          <w:sz w:val="24"/>
          <w:szCs w:val="24"/>
        </w:rPr>
        <w:t>www</w:t>
      </w:r>
      <w:r>
        <w:rPr>
          <w:rFonts w:ascii="黑体" w:hAnsi="黑体" w:eastAsia="黑体" w:cs="黑体"/>
          <w:color w:val="auto"/>
          <w:spacing w:val="2"/>
          <w:sz w:val="24"/>
          <w:szCs w:val="24"/>
        </w:rPr>
        <w:t>.</w:t>
      </w:r>
      <w:r>
        <w:rPr>
          <w:rFonts w:ascii="黑体" w:hAnsi="黑体" w:eastAsia="黑体" w:cs="黑体"/>
          <w:color w:val="auto"/>
          <w:sz w:val="24"/>
          <w:szCs w:val="24"/>
        </w:rPr>
        <w:t>zcygov</w:t>
      </w:r>
      <w:r>
        <w:rPr>
          <w:rFonts w:ascii="黑体" w:hAnsi="黑体" w:eastAsia="黑体" w:cs="黑体"/>
          <w:color w:val="auto"/>
          <w:spacing w:val="2"/>
          <w:sz w:val="24"/>
          <w:szCs w:val="24"/>
        </w:rPr>
        <w:t>.</w:t>
      </w:r>
      <w:r>
        <w:rPr>
          <w:rFonts w:ascii="黑体" w:hAnsi="黑体" w:eastAsia="黑体" w:cs="黑体"/>
          <w:color w:val="auto"/>
          <w:sz w:val="24"/>
          <w:szCs w:val="24"/>
        </w:rPr>
        <w:t>cn</w:t>
      </w:r>
      <w:r>
        <w:rPr>
          <w:rFonts w:ascii="黑体" w:hAnsi="黑体" w:eastAsia="黑体" w:cs="黑体"/>
          <w:color w:val="auto"/>
          <w:spacing w:val="2"/>
          <w:sz w:val="24"/>
          <w:szCs w:val="24"/>
        </w:rPr>
        <w:t>/）</w:t>
      </w:r>
    </w:p>
    <w:p w14:paraId="0C3E7B6A">
      <w:pPr>
        <w:spacing w:before="155" w:line="222" w:lineRule="auto"/>
        <w:ind w:left="495"/>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五、响应文件开启</w:t>
      </w:r>
    </w:p>
    <w:p w14:paraId="7D15D4B1">
      <w:pPr>
        <w:spacing w:before="154" w:line="222" w:lineRule="auto"/>
        <w:ind w:left="492"/>
        <w:rPr>
          <w:rFonts w:ascii="黑体" w:hAnsi="黑体" w:eastAsia="黑体" w:cs="黑体"/>
          <w:color w:val="auto"/>
          <w:sz w:val="24"/>
          <w:szCs w:val="24"/>
        </w:rPr>
      </w:pPr>
      <w:r>
        <w:rPr>
          <w:rFonts w:ascii="黑体" w:hAnsi="黑体" w:eastAsia="黑体" w:cs="黑体"/>
          <w:color w:val="auto"/>
          <w:spacing w:val="-6"/>
          <w:sz w:val="24"/>
          <w:szCs w:val="24"/>
        </w:rPr>
        <w:t>开启时间：</w:t>
      </w:r>
      <w:r>
        <w:rPr>
          <w:rFonts w:hint="eastAsia" w:ascii="黑体" w:hAnsi="黑体" w:eastAsia="黑体" w:cs="黑体"/>
          <w:color w:val="auto"/>
          <w:spacing w:val="-6"/>
          <w:sz w:val="24"/>
          <w:szCs w:val="24"/>
          <w:lang w:eastAsia="zh-CN"/>
        </w:rPr>
        <w:t>2025年7月29日12时00分</w:t>
      </w:r>
      <w:r>
        <w:rPr>
          <w:rFonts w:ascii="黑体" w:hAnsi="黑体" w:eastAsia="黑体" w:cs="黑体"/>
          <w:color w:val="auto"/>
          <w:spacing w:val="-6"/>
          <w:sz w:val="24"/>
          <w:szCs w:val="24"/>
        </w:rPr>
        <w:t>（北</w:t>
      </w:r>
      <w:r>
        <w:rPr>
          <w:rFonts w:ascii="黑体" w:hAnsi="黑体" w:eastAsia="黑体" w:cs="黑体"/>
          <w:color w:val="auto"/>
          <w:spacing w:val="-7"/>
          <w:sz w:val="24"/>
          <w:szCs w:val="24"/>
        </w:rPr>
        <w:t>京时间）</w:t>
      </w:r>
    </w:p>
    <w:p w14:paraId="2AB000D7">
      <w:pPr>
        <w:spacing w:before="150" w:line="218" w:lineRule="auto"/>
        <w:ind w:left="490"/>
        <w:rPr>
          <w:rFonts w:ascii="黑体" w:hAnsi="黑体" w:eastAsia="黑体" w:cs="黑体"/>
          <w:color w:val="auto"/>
          <w:sz w:val="24"/>
          <w:szCs w:val="24"/>
        </w:rPr>
      </w:pPr>
      <w:r>
        <w:rPr>
          <w:rFonts w:ascii="黑体" w:hAnsi="黑体" w:eastAsia="黑体" w:cs="黑体"/>
          <w:color w:val="auto"/>
          <w:spacing w:val="2"/>
          <w:sz w:val="24"/>
          <w:szCs w:val="24"/>
        </w:rPr>
        <w:t>地点：政采云平台（</w:t>
      </w:r>
      <w:r>
        <w:rPr>
          <w:rFonts w:ascii="黑体" w:hAnsi="黑体" w:eastAsia="黑体" w:cs="黑体"/>
          <w:color w:val="auto"/>
          <w:sz w:val="24"/>
          <w:szCs w:val="24"/>
        </w:rPr>
        <w:t>https</w:t>
      </w:r>
      <w:r>
        <w:rPr>
          <w:rFonts w:ascii="黑体" w:hAnsi="黑体" w:eastAsia="黑体" w:cs="黑体"/>
          <w:color w:val="auto"/>
          <w:spacing w:val="2"/>
          <w:sz w:val="24"/>
          <w:szCs w:val="24"/>
        </w:rPr>
        <w:t>://</w:t>
      </w:r>
      <w:r>
        <w:rPr>
          <w:rFonts w:ascii="黑体" w:hAnsi="黑体" w:eastAsia="黑体" w:cs="黑体"/>
          <w:color w:val="auto"/>
          <w:sz w:val="24"/>
          <w:szCs w:val="24"/>
        </w:rPr>
        <w:t>www</w:t>
      </w:r>
      <w:r>
        <w:rPr>
          <w:rFonts w:ascii="黑体" w:hAnsi="黑体" w:eastAsia="黑体" w:cs="黑体"/>
          <w:color w:val="auto"/>
          <w:spacing w:val="2"/>
          <w:sz w:val="24"/>
          <w:szCs w:val="24"/>
        </w:rPr>
        <w:t>.</w:t>
      </w:r>
      <w:r>
        <w:rPr>
          <w:rFonts w:ascii="黑体" w:hAnsi="黑体" w:eastAsia="黑体" w:cs="黑体"/>
          <w:color w:val="auto"/>
          <w:sz w:val="24"/>
          <w:szCs w:val="24"/>
        </w:rPr>
        <w:t>zcygov</w:t>
      </w:r>
      <w:r>
        <w:rPr>
          <w:rFonts w:ascii="黑体" w:hAnsi="黑体" w:eastAsia="黑体" w:cs="黑体"/>
          <w:color w:val="auto"/>
          <w:spacing w:val="2"/>
          <w:sz w:val="24"/>
          <w:szCs w:val="24"/>
        </w:rPr>
        <w:t>.</w:t>
      </w:r>
      <w:r>
        <w:rPr>
          <w:rFonts w:ascii="黑体" w:hAnsi="黑体" w:eastAsia="黑体" w:cs="黑体"/>
          <w:color w:val="auto"/>
          <w:sz w:val="24"/>
          <w:szCs w:val="24"/>
        </w:rPr>
        <w:t>cn</w:t>
      </w:r>
      <w:r>
        <w:rPr>
          <w:rFonts w:ascii="黑体" w:hAnsi="黑体" w:eastAsia="黑体" w:cs="黑体"/>
          <w:color w:val="auto"/>
          <w:spacing w:val="2"/>
          <w:sz w:val="24"/>
          <w:szCs w:val="24"/>
        </w:rPr>
        <w:t>/）</w:t>
      </w:r>
    </w:p>
    <w:p w14:paraId="51E36807">
      <w:pPr>
        <w:spacing w:before="156" w:line="224" w:lineRule="auto"/>
        <w:ind w:left="496"/>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六、公告期限</w:t>
      </w:r>
    </w:p>
    <w:p w14:paraId="7D4B5ED3">
      <w:pPr>
        <w:spacing w:before="151" w:line="221" w:lineRule="auto"/>
        <w:ind w:left="519"/>
        <w:rPr>
          <w:rFonts w:ascii="黑体" w:hAnsi="黑体" w:eastAsia="黑体" w:cs="黑体"/>
          <w:color w:val="auto"/>
          <w:sz w:val="24"/>
          <w:szCs w:val="24"/>
        </w:rPr>
      </w:pPr>
      <w:r>
        <w:rPr>
          <w:rFonts w:ascii="黑体" w:hAnsi="黑体" w:eastAsia="黑体" w:cs="黑体"/>
          <w:color w:val="auto"/>
          <w:spacing w:val="-2"/>
          <w:sz w:val="24"/>
          <w:szCs w:val="24"/>
        </w:rPr>
        <w:t>自本公告发布之日起5个工作日。</w:t>
      </w:r>
    </w:p>
    <w:p w14:paraId="2AFE40DD">
      <w:pPr>
        <w:spacing w:before="152" w:line="222" w:lineRule="auto"/>
        <w:ind w:left="488"/>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七、其他补充事宜</w:t>
      </w:r>
    </w:p>
    <w:p w14:paraId="1A5D519D">
      <w:pPr>
        <w:spacing w:before="119" w:line="221" w:lineRule="auto"/>
        <w:ind w:left="258"/>
        <w:rPr>
          <w:rFonts w:ascii="黑体" w:hAnsi="黑体" w:eastAsia="黑体" w:cs="黑体"/>
          <w:color w:val="auto"/>
          <w:sz w:val="24"/>
          <w:szCs w:val="24"/>
        </w:rPr>
      </w:pPr>
      <w:bookmarkStart w:id="7" w:name="OLE_LINK12"/>
      <w:r>
        <w:rPr>
          <w:rFonts w:ascii="黑体" w:hAnsi="黑体" w:eastAsia="黑体" w:cs="黑体"/>
          <w:color w:val="auto"/>
          <w:spacing w:val="1"/>
          <w:sz w:val="24"/>
          <w:szCs w:val="24"/>
        </w:rPr>
        <w:t>1、请供应商随时关注本项目的澄清、答疑、变更事项。</w:t>
      </w:r>
    </w:p>
    <w:p w14:paraId="7520F9D6">
      <w:pPr>
        <w:spacing w:before="181" w:line="468" w:lineRule="exact"/>
        <w:ind w:left="244"/>
        <w:rPr>
          <w:rFonts w:ascii="黑体" w:hAnsi="黑体" w:eastAsia="黑体" w:cs="黑体"/>
          <w:color w:val="auto"/>
          <w:sz w:val="24"/>
          <w:szCs w:val="24"/>
        </w:rPr>
      </w:pPr>
      <w:r>
        <w:rPr>
          <w:rFonts w:ascii="黑体" w:hAnsi="黑体" w:eastAsia="黑体" w:cs="黑体"/>
          <w:color w:val="auto"/>
          <w:spacing w:val="4"/>
          <w:position w:val="17"/>
          <w:sz w:val="24"/>
          <w:szCs w:val="24"/>
        </w:rPr>
        <w:t>2、本项目实行电子招投标，供应商须登录政采云平台申请获取磋商文件，并通过</w:t>
      </w:r>
    </w:p>
    <w:p w14:paraId="02972903">
      <w:pPr>
        <w:spacing w:before="1" w:line="212" w:lineRule="auto"/>
        <w:rPr>
          <w:rFonts w:ascii="黑体" w:hAnsi="黑体" w:eastAsia="黑体" w:cs="黑体"/>
          <w:color w:val="auto"/>
          <w:sz w:val="24"/>
          <w:szCs w:val="24"/>
        </w:rPr>
      </w:pPr>
      <w:r>
        <w:rPr>
          <w:rFonts w:ascii="黑体" w:hAnsi="黑体" w:eastAsia="黑体" w:cs="黑体"/>
          <w:color w:val="auto"/>
          <w:spacing w:val="2"/>
          <w:sz w:val="24"/>
          <w:szCs w:val="24"/>
        </w:rPr>
        <w:t>政采云电子投标客户端制作投标文件，同时自行承担与投标有关的一切费用。</w:t>
      </w:r>
    </w:p>
    <w:p w14:paraId="1CE9132F">
      <w:pPr>
        <w:spacing w:before="191" w:line="360" w:lineRule="auto"/>
        <w:ind w:left="16" w:right="84" w:firstLine="230"/>
        <w:rPr>
          <w:rFonts w:ascii="黑体" w:hAnsi="黑体" w:eastAsia="黑体" w:cs="黑体"/>
          <w:color w:val="auto"/>
          <w:sz w:val="24"/>
          <w:szCs w:val="24"/>
        </w:rPr>
      </w:pPr>
      <w:r>
        <w:rPr>
          <w:rFonts w:ascii="黑体" w:hAnsi="黑体" w:eastAsia="黑体" w:cs="黑体"/>
          <w:color w:val="auto"/>
          <w:spacing w:val="4"/>
          <w:sz w:val="24"/>
          <w:szCs w:val="24"/>
        </w:rPr>
        <w:t>3、各供应商应在开标前应确保成为政采云</w:t>
      </w:r>
      <w:r>
        <w:rPr>
          <w:rFonts w:ascii="黑体" w:hAnsi="黑体" w:eastAsia="黑体" w:cs="黑体"/>
          <w:color w:val="auto"/>
          <w:spacing w:val="3"/>
          <w:sz w:val="24"/>
          <w:szCs w:val="24"/>
        </w:rPr>
        <w:t>平台供应商，并完成</w:t>
      </w:r>
      <w:r>
        <w:rPr>
          <w:rFonts w:ascii="黑体" w:hAnsi="黑体" w:eastAsia="黑体" w:cs="黑体"/>
          <w:color w:val="auto"/>
          <w:sz w:val="24"/>
          <w:szCs w:val="24"/>
        </w:rPr>
        <w:t>CA</w:t>
      </w:r>
      <w:r>
        <w:rPr>
          <w:rFonts w:ascii="黑体" w:hAnsi="黑体" w:eastAsia="黑体" w:cs="黑体"/>
          <w:color w:val="auto"/>
          <w:spacing w:val="3"/>
          <w:sz w:val="24"/>
          <w:szCs w:val="24"/>
        </w:rPr>
        <w:t>数字证书(符合</w:t>
      </w:r>
      <w:r>
        <w:rPr>
          <w:rFonts w:ascii="黑体" w:hAnsi="黑体" w:eastAsia="黑体" w:cs="黑体"/>
          <w:color w:val="auto"/>
          <w:sz w:val="24"/>
          <w:szCs w:val="24"/>
        </w:rPr>
        <w:t>国密标准)申领。因未注册入库、未办理CA数字证书等原因造成无法投标或投</w:t>
      </w:r>
      <w:r>
        <w:rPr>
          <w:rFonts w:ascii="黑体" w:hAnsi="黑体" w:eastAsia="黑体" w:cs="黑体"/>
          <w:color w:val="auto"/>
          <w:spacing w:val="-1"/>
          <w:sz w:val="24"/>
          <w:szCs w:val="24"/>
        </w:rPr>
        <w:t>标失败</w:t>
      </w:r>
    </w:p>
    <w:p w14:paraId="4AB6708D">
      <w:pPr>
        <w:spacing w:before="1" w:line="221" w:lineRule="auto"/>
        <w:rPr>
          <w:rFonts w:ascii="黑体" w:hAnsi="黑体" w:eastAsia="黑体" w:cs="黑体"/>
          <w:color w:val="auto"/>
          <w:sz w:val="24"/>
          <w:szCs w:val="24"/>
        </w:rPr>
      </w:pPr>
      <w:r>
        <w:rPr>
          <w:rFonts w:ascii="黑体" w:hAnsi="黑体" w:eastAsia="黑体" w:cs="黑体"/>
          <w:color w:val="auto"/>
          <w:spacing w:val="1"/>
          <w:sz w:val="24"/>
          <w:szCs w:val="24"/>
        </w:rPr>
        <w:t>等后果由供应商自行承担。</w:t>
      </w:r>
    </w:p>
    <w:p w14:paraId="3E96D72F">
      <w:pPr>
        <w:spacing w:before="180" w:line="360" w:lineRule="auto"/>
        <w:ind w:left="1" w:firstLine="238"/>
        <w:rPr>
          <w:rFonts w:ascii="黑体" w:hAnsi="黑体" w:eastAsia="黑体" w:cs="黑体"/>
          <w:color w:val="auto"/>
          <w:sz w:val="24"/>
          <w:szCs w:val="24"/>
        </w:rPr>
      </w:pPr>
      <w:r>
        <w:rPr>
          <w:rFonts w:ascii="黑体" w:hAnsi="黑体" w:eastAsia="黑体" w:cs="黑体"/>
          <w:color w:val="auto"/>
          <w:spacing w:val="9"/>
          <w:sz w:val="24"/>
          <w:szCs w:val="24"/>
        </w:rPr>
        <w:t>4、供应商可前往新疆政府采购网(</w:t>
      </w:r>
      <w:r>
        <w:rPr>
          <w:color w:val="auto"/>
        </w:rPr>
        <w:fldChar w:fldCharType="begin"/>
      </w:r>
      <w:r>
        <w:rPr>
          <w:color w:val="auto"/>
        </w:rPr>
        <w:instrText xml:space="preserve">HYPERLINK"http://www.ccgp-xinjiang.gov.cn/"</w:instrText>
      </w:r>
      <w:r>
        <w:rPr>
          <w:color w:val="auto"/>
        </w:rPr>
        <w:fldChar w:fldCharType="separate"/>
      </w:r>
      <w:r>
        <w:rPr>
          <w:rFonts w:ascii="黑体" w:hAnsi="黑体" w:eastAsia="黑体" w:cs="黑体"/>
          <w:color w:val="auto"/>
          <w:sz w:val="24"/>
          <w:szCs w:val="24"/>
        </w:rPr>
        <w:t>http</w:t>
      </w:r>
      <w:r>
        <w:rPr>
          <w:rFonts w:ascii="黑体" w:hAnsi="黑体" w:eastAsia="黑体" w:cs="黑体"/>
          <w:color w:val="auto"/>
          <w:spacing w:val="9"/>
          <w:sz w:val="24"/>
          <w:szCs w:val="24"/>
        </w:rPr>
        <w:t>://</w:t>
      </w:r>
      <w:r>
        <w:rPr>
          <w:rFonts w:ascii="黑体" w:hAnsi="黑体" w:eastAsia="黑体" w:cs="黑体"/>
          <w:color w:val="auto"/>
          <w:sz w:val="24"/>
          <w:szCs w:val="24"/>
        </w:rPr>
        <w:t>www</w:t>
      </w:r>
      <w:r>
        <w:rPr>
          <w:rFonts w:ascii="黑体" w:hAnsi="黑体" w:eastAsia="黑体" w:cs="黑体"/>
          <w:color w:val="auto"/>
          <w:spacing w:val="9"/>
          <w:sz w:val="24"/>
          <w:szCs w:val="24"/>
        </w:rPr>
        <w:t>.</w:t>
      </w:r>
      <w:r>
        <w:rPr>
          <w:rFonts w:ascii="黑体" w:hAnsi="黑体" w:eastAsia="黑体" w:cs="黑体"/>
          <w:color w:val="auto"/>
          <w:sz w:val="24"/>
          <w:szCs w:val="24"/>
        </w:rPr>
        <w:t>ccgp</w:t>
      </w:r>
      <w:r>
        <w:rPr>
          <w:rFonts w:ascii="黑体" w:hAnsi="黑体" w:eastAsia="黑体" w:cs="黑体"/>
          <w:color w:val="auto"/>
          <w:spacing w:val="9"/>
          <w:sz w:val="24"/>
          <w:szCs w:val="24"/>
        </w:rPr>
        <w:t>-</w:t>
      </w:r>
      <w:r>
        <w:rPr>
          <w:rFonts w:ascii="黑体" w:hAnsi="黑体" w:eastAsia="黑体" w:cs="黑体"/>
          <w:color w:val="auto"/>
          <w:sz w:val="24"/>
          <w:szCs w:val="24"/>
        </w:rPr>
        <w:t>xinjiang</w:t>
      </w:r>
      <w:r>
        <w:rPr>
          <w:rFonts w:ascii="黑体" w:hAnsi="黑体" w:eastAsia="黑体" w:cs="黑体"/>
          <w:color w:val="auto"/>
          <w:spacing w:val="9"/>
          <w:sz w:val="24"/>
          <w:szCs w:val="24"/>
        </w:rPr>
        <w:t>.</w:t>
      </w:r>
      <w:r>
        <w:rPr>
          <w:rFonts w:ascii="黑体" w:hAnsi="黑体" w:eastAsia="黑体" w:cs="黑体"/>
          <w:color w:val="auto"/>
          <w:sz w:val="24"/>
          <w:szCs w:val="24"/>
        </w:rPr>
        <w:t>gov</w:t>
      </w:r>
      <w:r>
        <w:rPr>
          <w:rFonts w:ascii="黑体" w:hAnsi="黑体" w:eastAsia="黑体" w:cs="黑体"/>
          <w:color w:val="auto"/>
          <w:spacing w:val="9"/>
          <w:sz w:val="24"/>
          <w:szCs w:val="24"/>
        </w:rPr>
        <w:t>.</w:t>
      </w:r>
      <w:r>
        <w:rPr>
          <w:rFonts w:ascii="黑体" w:hAnsi="黑体" w:eastAsia="黑体" w:cs="黑体"/>
          <w:color w:val="auto"/>
          <w:sz w:val="24"/>
          <w:szCs w:val="24"/>
        </w:rPr>
        <w:t>cn</w:t>
      </w:r>
      <w:r>
        <w:rPr>
          <w:rFonts w:ascii="黑体" w:hAnsi="黑体" w:eastAsia="黑体" w:cs="黑体"/>
          <w:color w:val="auto"/>
          <w:spacing w:val="8"/>
          <w:sz w:val="24"/>
          <w:szCs w:val="24"/>
        </w:rPr>
        <w:t>/</w:t>
      </w:r>
      <w:r>
        <w:rPr>
          <w:rFonts w:ascii="黑体" w:hAnsi="黑体" w:eastAsia="黑体" w:cs="黑体"/>
          <w:color w:val="auto"/>
          <w:spacing w:val="8"/>
          <w:sz w:val="24"/>
          <w:szCs w:val="24"/>
        </w:rPr>
        <w:fldChar w:fldCharType="end"/>
      </w:r>
      <w:r>
        <w:rPr>
          <w:rFonts w:ascii="黑体" w:hAnsi="黑体" w:eastAsia="黑体" w:cs="黑体"/>
          <w:color w:val="auto"/>
          <w:spacing w:val="8"/>
          <w:sz w:val="24"/>
          <w:szCs w:val="24"/>
        </w:rPr>
        <w:t>)下载专</w:t>
      </w:r>
      <w:r>
        <w:rPr>
          <w:rFonts w:ascii="黑体" w:hAnsi="黑体" w:eastAsia="黑体" w:cs="黑体"/>
          <w:color w:val="auto"/>
          <w:spacing w:val="3"/>
          <w:sz w:val="24"/>
          <w:szCs w:val="24"/>
        </w:rPr>
        <w:t>区，下载政采云电子投标客户端，安装完成后，可通过账号密码或</w:t>
      </w:r>
      <w:r>
        <w:rPr>
          <w:rFonts w:ascii="黑体" w:hAnsi="黑体" w:eastAsia="黑体" w:cs="黑体"/>
          <w:color w:val="auto"/>
          <w:sz w:val="24"/>
          <w:szCs w:val="24"/>
        </w:rPr>
        <w:t>CA</w:t>
      </w:r>
      <w:r>
        <w:rPr>
          <w:rFonts w:ascii="黑体" w:hAnsi="黑体" w:eastAsia="黑体" w:cs="黑体"/>
          <w:color w:val="auto"/>
          <w:spacing w:val="3"/>
          <w:sz w:val="24"/>
          <w:szCs w:val="24"/>
        </w:rPr>
        <w:t>登录客户端进</w:t>
      </w:r>
      <w:r>
        <w:rPr>
          <w:rFonts w:ascii="黑体" w:hAnsi="黑体" w:eastAsia="黑体" w:cs="黑体"/>
          <w:color w:val="auto"/>
          <w:sz w:val="24"/>
          <w:szCs w:val="24"/>
        </w:rPr>
        <w:t>行响应文件制作。在使用政采云电子投标客户端时，</w:t>
      </w:r>
      <w:r>
        <w:rPr>
          <w:rFonts w:ascii="黑体" w:hAnsi="黑体" w:eastAsia="黑体" w:cs="黑体"/>
          <w:color w:val="auto"/>
          <w:spacing w:val="-1"/>
          <w:sz w:val="24"/>
          <w:szCs w:val="24"/>
        </w:rPr>
        <w:t>建议使用WIN7及以上操作系统。</w:t>
      </w:r>
    </w:p>
    <w:p w14:paraId="07D701B7">
      <w:pPr>
        <w:spacing w:before="1" w:line="212" w:lineRule="auto"/>
        <w:rPr>
          <w:rFonts w:ascii="黑体" w:hAnsi="黑体" w:eastAsia="黑体" w:cs="黑体"/>
          <w:color w:val="auto"/>
          <w:sz w:val="24"/>
          <w:szCs w:val="24"/>
        </w:rPr>
      </w:pPr>
      <w:r>
        <w:rPr>
          <w:rFonts w:ascii="黑体" w:hAnsi="黑体" w:eastAsia="黑体" w:cs="黑体"/>
          <w:color w:val="auto"/>
          <w:spacing w:val="1"/>
          <w:sz w:val="24"/>
          <w:szCs w:val="24"/>
        </w:rPr>
        <w:t>如需咨询，请联系政采云服务热线95763。</w:t>
      </w:r>
    </w:p>
    <w:p w14:paraId="685B96D6">
      <w:pPr>
        <w:spacing w:before="191" w:line="360" w:lineRule="auto"/>
        <w:ind w:left="2" w:right="84" w:firstLine="238"/>
        <w:rPr>
          <w:rFonts w:ascii="黑体" w:hAnsi="黑体" w:eastAsia="黑体" w:cs="黑体"/>
          <w:color w:val="auto"/>
          <w:sz w:val="24"/>
          <w:szCs w:val="24"/>
        </w:rPr>
      </w:pPr>
      <w:r>
        <w:rPr>
          <w:rFonts w:ascii="黑体" w:hAnsi="黑体" w:eastAsia="黑体" w:cs="黑体"/>
          <w:color w:val="auto"/>
          <w:sz w:val="24"/>
          <w:szCs w:val="24"/>
        </w:rPr>
        <w:t>5、本项目采用不见面开标，供应商须在投标截止时间前通过CA在政采云平台上传</w:t>
      </w:r>
      <w:r>
        <w:rPr>
          <w:rFonts w:ascii="黑体" w:hAnsi="黑体" w:eastAsia="黑体" w:cs="黑体"/>
          <w:color w:val="auto"/>
          <w:spacing w:val="26"/>
          <w:sz w:val="24"/>
          <w:szCs w:val="24"/>
        </w:rPr>
        <w:t>加密的电子响应文件。供应商对不见面开评标系统的技术操作咨询，可通过</w:t>
      </w:r>
      <w:r>
        <w:rPr>
          <w:color w:val="auto"/>
        </w:rPr>
        <w:fldChar w:fldCharType="begin"/>
      </w:r>
      <w:r>
        <w:rPr>
          <w:color w:val="auto"/>
        </w:rPr>
        <w:instrText xml:space="preserve">HYPERLINK"https://edu.zcygov.cn/luban/xinjiang-e-biding"</w:instrText>
      </w:r>
      <w:r>
        <w:rPr>
          <w:color w:val="auto"/>
        </w:rPr>
        <w:fldChar w:fldCharType="separate"/>
      </w:r>
      <w:r>
        <w:rPr>
          <w:rFonts w:ascii="黑体" w:hAnsi="黑体" w:eastAsia="黑体" w:cs="黑体"/>
          <w:color w:val="auto"/>
          <w:sz w:val="24"/>
          <w:szCs w:val="24"/>
        </w:rPr>
        <w:t>https</w:t>
      </w:r>
      <w:r>
        <w:rPr>
          <w:rFonts w:ascii="黑体" w:hAnsi="黑体" w:eastAsia="黑体" w:cs="黑体"/>
          <w:color w:val="auto"/>
          <w:spacing w:val="1"/>
          <w:sz w:val="24"/>
          <w:szCs w:val="24"/>
        </w:rPr>
        <w:t>://</w:t>
      </w:r>
      <w:r>
        <w:rPr>
          <w:rFonts w:ascii="黑体" w:hAnsi="黑体" w:eastAsia="黑体" w:cs="黑体"/>
          <w:color w:val="auto"/>
          <w:sz w:val="24"/>
          <w:szCs w:val="24"/>
        </w:rPr>
        <w:t>edu</w:t>
      </w:r>
      <w:r>
        <w:rPr>
          <w:rFonts w:ascii="黑体" w:hAnsi="黑体" w:eastAsia="黑体" w:cs="黑体"/>
          <w:color w:val="auto"/>
          <w:spacing w:val="1"/>
          <w:sz w:val="24"/>
          <w:szCs w:val="24"/>
        </w:rPr>
        <w:t>.</w:t>
      </w:r>
      <w:r>
        <w:rPr>
          <w:rFonts w:ascii="黑体" w:hAnsi="黑体" w:eastAsia="黑体" w:cs="黑体"/>
          <w:color w:val="auto"/>
          <w:sz w:val="24"/>
          <w:szCs w:val="24"/>
        </w:rPr>
        <w:t>zcygov</w:t>
      </w:r>
      <w:r>
        <w:rPr>
          <w:rFonts w:ascii="黑体" w:hAnsi="黑体" w:eastAsia="黑体" w:cs="黑体"/>
          <w:color w:val="auto"/>
          <w:spacing w:val="1"/>
          <w:sz w:val="24"/>
          <w:szCs w:val="24"/>
        </w:rPr>
        <w:t>.</w:t>
      </w:r>
      <w:r>
        <w:rPr>
          <w:rFonts w:ascii="黑体" w:hAnsi="黑体" w:eastAsia="黑体" w:cs="黑体"/>
          <w:color w:val="auto"/>
          <w:sz w:val="24"/>
          <w:szCs w:val="24"/>
        </w:rPr>
        <w:t>cn</w:t>
      </w:r>
      <w:r>
        <w:rPr>
          <w:rFonts w:ascii="黑体" w:hAnsi="黑体" w:eastAsia="黑体" w:cs="黑体"/>
          <w:color w:val="auto"/>
          <w:spacing w:val="1"/>
          <w:sz w:val="24"/>
          <w:szCs w:val="24"/>
        </w:rPr>
        <w:t>/</w:t>
      </w:r>
      <w:r>
        <w:rPr>
          <w:rFonts w:ascii="黑体" w:hAnsi="黑体" w:eastAsia="黑体" w:cs="黑体"/>
          <w:color w:val="auto"/>
          <w:sz w:val="24"/>
          <w:szCs w:val="24"/>
        </w:rPr>
        <w:t>luban</w:t>
      </w:r>
      <w:r>
        <w:rPr>
          <w:rFonts w:ascii="黑体" w:hAnsi="黑体" w:eastAsia="黑体" w:cs="黑体"/>
          <w:color w:val="auto"/>
          <w:spacing w:val="1"/>
          <w:sz w:val="24"/>
          <w:szCs w:val="24"/>
        </w:rPr>
        <w:t>/</w:t>
      </w:r>
      <w:r>
        <w:rPr>
          <w:rFonts w:ascii="黑体" w:hAnsi="黑体" w:eastAsia="黑体" w:cs="黑体"/>
          <w:color w:val="auto"/>
          <w:sz w:val="24"/>
          <w:szCs w:val="24"/>
        </w:rPr>
        <w:t>xinjiang</w:t>
      </w:r>
      <w:r>
        <w:rPr>
          <w:rFonts w:ascii="黑体" w:hAnsi="黑体" w:eastAsia="黑体" w:cs="黑体"/>
          <w:color w:val="auto"/>
          <w:spacing w:val="1"/>
          <w:sz w:val="24"/>
          <w:szCs w:val="24"/>
        </w:rPr>
        <w:t>-e-</w:t>
      </w:r>
      <w:r>
        <w:rPr>
          <w:rFonts w:ascii="黑体" w:hAnsi="黑体" w:eastAsia="黑体" w:cs="黑体"/>
          <w:color w:val="auto"/>
          <w:sz w:val="24"/>
          <w:szCs w:val="24"/>
        </w:rPr>
        <w:t>biding</w:t>
      </w:r>
      <w:r>
        <w:rPr>
          <w:rFonts w:ascii="黑体" w:hAnsi="黑体" w:eastAsia="黑体" w:cs="黑体"/>
          <w:color w:val="auto"/>
          <w:sz w:val="24"/>
          <w:szCs w:val="24"/>
        </w:rPr>
        <w:fldChar w:fldCharType="end"/>
      </w:r>
      <w:r>
        <w:rPr>
          <w:rFonts w:ascii="黑体" w:hAnsi="黑体" w:eastAsia="黑体" w:cs="黑体"/>
          <w:color w:val="auto"/>
          <w:spacing w:val="1"/>
          <w:sz w:val="24"/>
          <w:szCs w:val="24"/>
        </w:rPr>
        <w:t>自助查询，也可在政采云帮助中</w:t>
      </w:r>
      <w:r>
        <w:rPr>
          <w:rFonts w:ascii="黑体" w:hAnsi="黑体" w:eastAsia="黑体" w:cs="黑体"/>
          <w:color w:val="auto"/>
          <w:spacing w:val="-9"/>
          <w:sz w:val="24"/>
          <w:szCs w:val="24"/>
        </w:rPr>
        <w:t>心常见问题解答和操作流程讲解视频中自助查询，网址为：</w:t>
      </w:r>
      <w:r>
        <w:rPr>
          <w:color w:val="auto"/>
        </w:rPr>
        <w:fldChar w:fldCharType="begin"/>
      </w:r>
      <w:r>
        <w:rPr>
          <w:color w:val="auto"/>
        </w:rPr>
        <w:instrText xml:space="preserve">HYPERLINK"https://service.zcygov.cn/#/help"</w:instrText>
      </w:r>
      <w:r>
        <w:rPr>
          <w:color w:val="auto"/>
        </w:rPr>
        <w:fldChar w:fldCharType="separate"/>
      </w:r>
      <w:r>
        <w:rPr>
          <w:rFonts w:ascii="黑体" w:hAnsi="黑体" w:eastAsia="黑体" w:cs="黑体"/>
          <w:color w:val="auto"/>
          <w:sz w:val="24"/>
          <w:szCs w:val="24"/>
        </w:rPr>
        <w:t>https</w:t>
      </w:r>
      <w:r>
        <w:rPr>
          <w:rFonts w:ascii="黑体" w:hAnsi="黑体" w:eastAsia="黑体" w:cs="黑体"/>
          <w:color w:val="auto"/>
          <w:spacing w:val="5"/>
          <w:sz w:val="24"/>
          <w:szCs w:val="24"/>
        </w:rPr>
        <w:t>://</w:t>
      </w:r>
      <w:r>
        <w:rPr>
          <w:rFonts w:ascii="黑体" w:hAnsi="黑体" w:eastAsia="黑体" w:cs="黑体"/>
          <w:color w:val="auto"/>
          <w:sz w:val="24"/>
          <w:szCs w:val="24"/>
        </w:rPr>
        <w:t>service</w:t>
      </w:r>
      <w:r>
        <w:rPr>
          <w:rFonts w:ascii="黑体" w:hAnsi="黑体" w:eastAsia="黑体" w:cs="黑体"/>
          <w:color w:val="auto"/>
          <w:spacing w:val="5"/>
          <w:sz w:val="24"/>
          <w:szCs w:val="24"/>
        </w:rPr>
        <w:t>.</w:t>
      </w:r>
      <w:r>
        <w:rPr>
          <w:rFonts w:ascii="黑体" w:hAnsi="黑体" w:eastAsia="黑体" w:cs="黑体"/>
          <w:color w:val="auto"/>
          <w:sz w:val="24"/>
          <w:szCs w:val="24"/>
        </w:rPr>
        <w:t>zcygov</w:t>
      </w:r>
      <w:r>
        <w:rPr>
          <w:rFonts w:ascii="黑体" w:hAnsi="黑体" w:eastAsia="黑体" w:cs="黑体"/>
          <w:color w:val="auto"/>
          <w:spacing w:val="5"/>
          <w:sz w:val="24"/>
          <w:szCs w:val="24"/>
        </w:rPr>
        <w:t>.</w:t>
      </w:r>
      <w:r>
        <w:rPr>
          <w:rFonts w:ascii="黑体" w:hAnsi="黑体" w:eastAsia="黑体" w:cs="黑体"/>
          <w:color w:val="auto"/>
          <w:sz w:val="24"/>
          <w:szCs w:val="24"/>
        </w:rPr>
        <w:t>cn</w:t>
      </w:r>
      <w:r>
        <w:rPr>
          <w:rFonts w:ascii="黑体" w:hAnsi="黑体" w:eastAsia="黑体" w:cs="黑体"/>
          <w:color w:val="auto"/>
          <w:spacing w:val="5"/>
          <w:sz w:val="24"/>
          <w:szCs w:val="24"/>
        </w:rPr>
        <w:t>/#/</w:t>
      </w:r>
      <w:r>
        <w:rPr>
          <w:rFonts w:ascii="黑体" w:hAnsi="黑体" w:eastAsia="黑体" w:cs="黑体"/>
          <w:color w:val="auto"/>
          <w:sz w:val="24"/>
          <w:szCs w:val="24"/>
        </w:rPr>
        <w:t>help</w:t>
      </w:r>
      <w:r>
        <w:rPr>
          <w:rFonts w:ascii="黑体" w:hAnsi="黑体" w:eastAsia="黑体" w:cs="黑体"/>
          <w:color w:val="auto"/>
          <w:sz w:val="24"/>
          <w:szCs w:val="24"/>
        </w:rPr>
        <w:fldChar w:fldCharType="end"/>
      </w:r>
      <w:r>
        <w:rPr>
          <w:rFonts w:ascii="黑体" w:hAnsi="黑体" w:eastAsia="黑体" w:cs="黑体"/>
          <w:color w:val="auto"/>
          <w:spacing w:val="5"/>
          <w:sz w:val="24"/>
          <w:szCs w:val="24"/>
        </w:rPr>
        <w:t>，“项目采购”—“操作流程-电子招投标”</w:t>
      </w:r>
    </w:p>
    <w:p w14:paraId="62F0DBCF">
      <w:pPr>
        <w:spacing w:before="1" w:line="212" w:lineRule="auto"/>
        <w:ind w:left="12"/>
        <w:rPr>
          <w:rFonts w:ascii="黑体" w:hAnsi="黑体" w:eastAsia="黑体" w:cs="黑体"/>
          <w:color w:val="auto"/>
          <w:spacing w:val="3"/>
          <w:sz w:val="24"/>
          <w:szCs w:val="24"/>
        </w:rPr>
      </w:pPr>
      <w:r>
        <w:rPr>
          <w:rFonts w:ascii="黑体" w:hAnsi="黑体" w:eastAsia="黑体" w:cs="黑体"/>
          <w:color w:val="auto"/>
          <w:spacing w:val="4"/>
          <w:sz w:val="24"/>
          <w:szCs w:val="24"/>
        </w:rPr>
        <w:t>“政府采购项目电子交易管理操作指南-供应商”版面获取操作指南，同时对自</w:t>
      </w:r>
      <w:r>
        <w:rPr>
          <w:rFonts w:ascii="黑体" w:hAnsi="黑体" w:eastAsia="黑体" w:cs="黑体"/>
          <w:color w:val="auto"/>
          <w:spacing w:val="3"/>
          <w:sz w:val="24"/>
          <w:szCs w:val="24"/>
        </w:rPr>
        <w:t>助查</w:t>
      </w:r>
    </w:p>
    <w:p w14:paraId="6514AF40">
      <w:pPr>
        <w:spacing w:before="166" w:line="219" w:lineRule="auto"/>
        <w:rPr>
          <w:rFonts w:ascii="黑体" w:hAnsi="黑体" w:eastAsia="黑体" w:cs="黑体"/>
          <w:color w:val="auto"/>
          <w:sz w:val="24"/>
          <w:szCs w:val="24"/>
        </w:rPr>
      </w:pPr>
      <w:r>
        <w:rPr>
          <w:rFonts w:ascii="黑体" w:hAnsi="黑体" w:eastAsia="黑体" w:cs="黑体"/>
          <w:color w:val="auto"/>
          <w:spacing w:val="2"/>
          <w:sz w:val="24"/>
          <w:szCs w:val="24"/>
        </w:rPr>
        <w:t>询无法解决的问题可通过钉钉群及政采云在线客服获取服务支持。</w:t>
      </w:r>
    </w:p>
    <w:p w14:paraId="048DB9B7">
      <w:pPr>
        <w:spacing w:before="218" w:line="338" w:lineRule="auto"/>
        <w:ind w:left="1" w:firstLine="485"/>
        <w:jc w:val="both"/>
        <w:rPr>
          <w:rFonts w:ascii="黑体" w:hAnsi="黑体" w:eastAsia="黑体" w:cs="黑体"/>
          <w:color w:val="auto"/>
          <w:sz w:val="24"/>
          <w:szCs w:val="24"/>
        </w:rPr>
      </w:pPr>
      <w:r>
        <w:rPr>
          <w:rFonts w:ascii="黑体" w:hAnsi="黑体" w:eastAsia="黑体" w:cs="黑体"/>
          <w:color w:val="auto"/>
          <w:spacing w:val="7"/>
          <w:sz w:val="24"/>
          <w:szCs w:val="24"/>
        </w:rPr>
        <w:t>6、供应商在开标前须提前配置好电脑浏览</w:t>
      </w:r>
      <w:r>
        <w:rPr>
          <w:rFonts w:ascii="黑体" w:hAnsi="黑体" w:eastAsia="黑体" w:cs="黑体"/>
          <w:color w:val="auto"/>
          <w:spacing w:val="6"/>
          <w:sz w:val="24"/>
          <w:szCs w:val="24"/>
        </w:rPr>
        <w:t>器(建议使用360浏览器或谷歌浏览</w:t>
      </w:r>
      <w:r>
        <w:rPr>
          <w:rFonts w:ascii="黑体" w:hAnsi="黑体" w:eastAsia="黑体" w:cs="黑体"/>
          <w:color w:val="auto"/>
          <w:spacing w:val="3"/>
          <w:sz w:val="24"/>
          <w:szCs w:val="24"/>
        </w:rPr>
        <w:t>器)，开标时请使用制作加密电子响应文件的</w:t>
      </w:r>
      <w:r>
        <w:rPr>
          <w:rFonts w:ascii="黑体" w:hAnsi="黑体" w:eastAsia="黑体" w:cs="黑体"/>
          <w:color w:val="auto"/>
          <w:sz w:val="24"/>
          <w:szCs w:val="24"/>
        </w:rPr>
        <w:t>CA</w:t>
      </w:r>
      <w:r>
        <w:rPr>
          <w:rFonts w:ascii="黑体" w:hAnsi="黑体" w:eastAsia="黑体" w:cs="黑体"/>
          <w:color w:val="auto"/>
          <w:spacing w:val="3"/>
          <w:sz w:val="24"/>
          <w:szCs w:val="24"/>
        </w:rPr>
        <w:t>锁进行</w:t>
      </w:r>
      <w:r>
        <w:rPr>
          <w:rFonts w:ascii="黑体" w:hAnsi="黑体" w:eastAsia="黑体" w:cs="黑体"/>
          <w:color w:val="auto"/>
          <w:spacing w:val="2"/>
          <w:sz w:val="24"/>
          <w:szCs w:val="24"/>
        </w:rPr>
        <w:t>解密及报价确认。本项目响</w:t>
      </w:r>
      <w:r>
        <w:rPr>
          <w:rFonts w:ascii="黑体" w:hAnsi="黑体" w:eastAsia="黑体" w:cs="黑体"/>
          <w:color w:val="auto"/>
          <w:spacing w:val="3"/>
          <w:sz w:val="24"/>
          <w:szCs w:val="24"/>
        </w:rPr>
        <w:t>应文件解密时间定为30分钟，如因自身原因导致无法正常解密，后果由供应商自行</w:t>
      </w:r>
      <w:r>
        <w:rPr>
          <w:rFonts w:ascii="黑体" w:hAnsi="黑体" w:eastAsia="黑体" w:cs="黑体"/>
          <w:color w:val="auto"/>
          <w:spacing w:val="-3"/>
          <w:sz w:val="24"/>
          <w:szCs w:val="24"/>
        </w:rPr>
        <w:t>承担。</w:t>
      </w:r>
    </w:p>
    <w:bookmarkEnd w:id="7"/>
    <w:p w14:paraId="24650AEF">
      <w:pPr>
        <w:spacing w:before="150" w:line="213" w:lineRule="auto"/>
        <w:ind w:left="488"/>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八、凡对本次招标提出询问，请按以下方式联系</w:t>
      </w:r>
    </w:p>
    <w:p w14:paraId="5660BE9F">
      <w:pPr>
        <w:spacing w:before="162" w:line="360" w:lineRule="auto"/>
        <w:ind w:left="500"/>
        <w:rPr>
          <w:rFonts w:ascii="黑体" w:hAnsi="黑体" w:eastAsia="黑体" w:cs="黑体"/>
          <w:color w:val="auto"/>
          <w:spacing w:val="-2"/>
          <w:sz w:val="24"/>
          <w:szCs w:val="24"/>
        </w:rPr>
      </w:pPr>
      <w:r>
        <w:rPr>
          <w:rFonts w:ascii="黑体" w:hAnsi="黑体" w:eastAsia="黑体" w:cs="黑体"/>
          <w:color w:val="auto"/>
          <w:spacing w:val="-2"/>
          <w:sz w:val="24"/>
          <w:szCs w:val="24"/>
        </w:rPr>
        <w:t>1.采购人信息</w:t>
      </w:r>
    </w:p>
    <w:p w14:paraId="117C37BD">
      <w:pPr>
        <w:spacing w:before="1" w:line="360" w:lineRule="auto"/>
        <w:ind w:left="489"/>
        <w:jc w:val="left"/>
        <w:rPr>
          <w:rFonts w:hint="default" w:ascii="黑体" w:hAnsi="黑体" w:eastAsia="黑体" w:cs="黑体"/>
          <w:color w:val="auto"/>
          <w:spacing w:val="1"/>
          <w:position w:val="14"/>
          <w:sz w:val="24"/>
          <w:szCs w:val="24"/>
          <w:lang w:val="en-US" w:eastAsia="zh-CN"/>
        </w:rPr>
      </w:pPr>
      <w:r>
        <w:rPr>
          <w:rFonts w:ascii="黑体" w:hAnsi="黑体" w:eastAsia="黑体" w:cs="黑体"/>
          <w:color w:val="auto"/>
          <w:spacing w:val="1"/>
          <w:position w:val="14"/>
          <w:sz w:val="24"/>
          <w:szCs w:val="24"/>
        </w:rPr>
        <w:t>名称：</w:t>
      </w:r>
      <w:r>
        <w:rPr>
          <w:rFonts w:hint="eastAsia" w:ascii="黑体" w:hAnsi="黑体" w:eastAsia="黑体" w:cs="黑体"/>
          <w:color w:val="auto"/>
          <w:spacing w:val="1"/>
          <w:position w:val="14"/>
          <w:sz w:val="24"/>
          <w:szCs w:val="24"/>
          <w:lang w:eastAsia="zh-CN"/>
        </w:rPr>
        <w:t>民丰县尼雅乡人民</w:t>
      </w:r>
      <w:r>
        <w:rPr>
          <w:rFonts w:hint="eastAsia" w:ascii="黑体" w:hAnsi="黑体" w:eastAsia="黑体" w:cs="黑体"/>
          <w:color w:val="auto"/>
          <w:spacing w:val="1"/>
          <w:position w:val="14"/>
          <w:sz w:val="24"/>
          <w:szCs w:val="24"/>
          <w:lang w:val="en-US" w:eastAsia="zh-CN"/>
        </w:rPr>
        <w:t>政府</w:t>
      </w:r>
    </w:p>
    <w:p w14:paraId="4FAA6F3E">
      <w:pPr>
        <w:spacing w:before="1" w:line="360" w:lineRule="auto"/>
        <w:ind w:left="489"/>
        <w:jc w:val="left"/>
        <w:rPr>
          <w:rFonts w:hint="default" w:ascii="黑体" w:hAnsi="黑体" w:eastAsia="黑体" w:cs="黑体"/>
          <w:color w:val="auto"/>
          <w:spacing w:val="1"/>
          <w:position w:val="14"/>
          <w:sz w:val="24"/>
          <w:szCs w:val="24"/>
          <w:lang w:val="en-US" w:eastAsia="zh-CN"/>
        </w:rPr>
      </w:pPr>
      <w:r>
        <w:rPr>
          <w:rFonts w:hint="eastAsia" w:ascii="黑体" w:hAnsi="黑体" w:eastAsia="黑体" w:cs="黑体"/>
          <w:color w:val="auto"/>
          <w:spacing w:val="1"/>
          <w:position w:val="14"/>
          <w:sz w:val="24"/>
          <w:szCs w:val="24"/>
          <w:lang w:eastAsia="zh-CN"/>
        </w:rPr>
        <w:t>地址：</w:t>
      </w:r>
      <w:r>
        <w:rPr>
          <w:rFonts w:hint="eastAsia" w:ascii="黑体" w:hAnsi="黑体" w:eastAsia="黑体" w:cs="黑体"/>
          <w:color w:val="auto"/>
          <w:spacing w:val="1"/>
          <w:position w:val="14"/>
          <w:sz w:val="24"/>
          <w:szCs w:val="24"/>
          <w:lang w:val="en-US" w:eastAsia="zh-CN"/>
        </w:rPr>
        <w:t>和田地区民丰县健康南路与海勤齐北路交叉口南440米</w:t>
      </w:r>
    </w:p>
    <w:p w14:paraId="3581401D">
      <w:pPr>
        <w:spacing w:before="154" w:line="439" w:lineRule="exact"/>
        <w:ind w:left="489"/>
        <w:rPr>
          <w:rFonts w:hint="eastAsia" w:ascii="黑体" w:hAnsi="黑体" w:eastAsia="黑体" w:cs="黑体"/>
          <w:color w:val="auto"/>
          <w:sz w:val="24"/>
          <w:szCs w:val="24"/>
          <w:lang w:eastAsia="zh-CN"/>
        </w:rPr>
      </w:pPr>
      <w:r>
        <w:rPr>
          <w:rFonts w:ascii="黑体" w:hAnsi="黑体" w:eastAsia="黑体" w:cs="黑体"/>
          <w:color w:val="auto"/>
          <w:position w:val="14"/>
          <w:sz w:val="24"/>
          <w:szCs w:val="24"/>
        </w:rPr>
        <w:t>联系方式：</w:t>
      </w:r>
      <w:r>
        <w:rPr>
          <w:rFonts w:hint="eastAsia" w:ascii="黑体" w:hAnsi="黑体" w:eastAsia="黑体" w:cs="黑体"/>
          <w:color w:val="auto"/>
          <w:position w:val="14"/>
          <w:sz w:val="24"/>
          <w:szCs w:val="24"/>
          <w:lang w:eastAsia="zh-CN"/>
        </w:rPr>
        <w:t>15199713661</w:t>
      </w:r>
    </w:p>
    <w:p w14:paraId="51867E30">
      <w:pPr>
        <w:spacing w:before="151" w:line="439" w:lineRule="exact"/>
        <w:ind w:left="490"/>
        <w:rPr>
          <w:rFonts w:ascii="黑体" w:hAnsi="黑体" w:eastAsia="黑体" w:cs="黑体"/>
          <w:color w:val="auto"/>
          <w:spacing w:val="1"/>
          <w:position w:val="14"/>
          <w:sz w:val="24"/>
          <w:szCs w:val="24"/>
        </w:rPr>
      </w:pPr>
      <w:r>
        <w:rPr>
          <w:rFonts w:hint="eastAsia" w:ascii="黑体" w:hAnsi="黑体" w:eastAsia="黑体" w:cs="黑体"/>
          <w:color w:val="auto"/>
          <w:spacing w:val="1"/>
          <w:position w:val="14"/>
          <w:sz w:val="24"/>
          <w:szCs w:val="24"/>
        </w:rPr>
        <w:t>2.采购代理机构信息</w:t>
      </w:r>
    </w:p>
    <w:p w14:paraId="6D4697C4">
      <w:pPr>
        <w:spacing w:before="151" w:line="439" w:lineRule="exact"/>
        <w:ind w:left="490"/>
        <w:rPr>
          <w:rFonts w:hint="eastAsia" w:ascii="黑体" w:hAnsi="黑体" w:eastAsia="黑体" w:cs="黑体"/>
          <w:color w:val="auto"/>
          <w:spacing w:val="1"/>
          <w:position w:val="14"/>
          <w:sz w:val="24"/>
          <w:szCs w:val="24"/>
          <w:lang w:val="en-US" w:eastAsia="zh-CN"/>
        </w:rPr>
      </w:pPr>
      <w:r>
        <w:rPr>
          <w:rFonts w:hint="eastAsia" w:ascii="黑体" w:hAnsi="黑体" w:eastAsia="黑体" w:cs="黑体"/>
          <w:color w:val="auto"/>
          <w:spacing w:val="1"/>
          <w:position w:val="14"/>
          <w:sz w:val="24"/>
          <w:szCs w:val="24"/>
        </w:rPr>
        <w:t xml:space="preserve">名 </w:t>
      </w:r>
      <w:r>
        <w:rPr>
          <w:rFonts w:hint="eastAsia" w:ascii="黑体" w:hAnsi="黑体" w:eastAsia="黑体" w:cs="黑体"/>
          <w:color w:val="auto"/>
          <w:spacing w:val="1"/>
          <w:position w:val="14"/>
          <w:sz w:val="24"/>
          <w:szCs w:val="24"/>
          <w:lang w:val="en-US" w:eastAsia="zh-CN"/>
        </w:rPr>
        <w:t xml:space="preserve">  </w:t>
      </w:r>
      <w:r>
        <w:rPr>
          <w:rFonts w:hint="eastAsia" w:ascii="黑体" w:hAnsi="黑体" w:eastAsia="黑体" w:cs="黑体"/>
          <w:color w:val="auto"/>
          <w:spacing w:val="1"/>
          <w:position w:val="14"/>
          <w:sz w:val="24"/>
          <w:szCs w:val="24"/>
        </w:rPr>
        <w:t>称：</w:t>
      </w:r>
      <w:bookmarkStart w:id="8" w:name="_Toc28359087"/>
      <w:bookmarkStart w:id="9" w:name="_Toc28359010"/>
      <w:r>
        <w:rPr>
          <w:rFonts w:hint="eastAsia" w:ascii="黑体" w:hAnsi="黑体" w:eastAsia="黑体" w:cs="黑体"/>
          <w:color w:val="auto"/>
          <w:spacing w:val="1"/>
          <w:position w:val="14"/>
          <w:sz w:val="24"/>
          <w:szCs w:val="24"/>
          <w:lang w:val="en-US" w:eastAsia="zh-CN"/>
        </w:rPr>
        <w:t>新疆拓源工程管理咨询有限公司</w:t>
      </w:r>
    </w:p>
    <w:p w14:paraId="20BBF4C2">
      <w:pPr>
        <w:spacing w:before="151" w:line="439" w:lineRule="exact"/>
        <w:ind w:left="490"/>
        <w:rPr>
          <w:rFonts w:hint="default" w:ascii="黑体" w:hAnsi="黑体" w:eastAsia="黑体" w:cs="黑体"/>
          <w:color w:val="auto"/>
          <w:spacing w:val="1"/>
          <w:position w:val="14"/>
          <w:sz w:val="24"/>
          <w:szCs w:val="24"/>
          <w:lang w:val="en-US" w:eastAsia="zh-CN"/>
        </w:rPr>
      </w:pPr>
      <w:r>
        <w:rPr>
          <w:rFonts w:hint="eastAsia" w:ascii="黑体" w:hAnsi="黑体" w:eastAsia="黑体" w:cs="黑体"/>
          <w:color w:val="auto"/>
          <w:spacing w:val="1"/>
          <w:position w:val="14"/>
          <w:sz w:val="24"/>
          <w:szCs w:val="24"/>
          <w:lang w:val="en-US" w:eastAsia="zh-CN"/>
        </w:rPr>
        <w:t>地　 址：乌鲁木齐市水磨沟区万科中央公园S6栋5楼</w:t>
      </w:r>
    </w:p>
    <w:p w14:paraId="7B46EFFA">
      <w:pPr>
        <w:spacing w:before="151" w:line="439" w:lineRule="exact"/>
        <w:ind w:left="490"/>
        <w:rPr>
          <w:rFonts w:hint="eastAsia" w:ascii="黑体" w:hAnsi="黑体" w:eastAsia="黑体" w:cs="黑体"/>
          <w:color w:val="auto"/>
          <w:spacing w:val="1"/>
          <w:position w:val="14"/>
          <w:sz w:val="24"/>
          <w:szCs w:val="24"/>
          <w:lang w:val="en-US" w:eastAsia="zh-CN"/>
        </w:rPr>
      </w:pPr>
      <w:r>
        <w:rPr>
          <w:rFonts w:hint="eastAsia" w:ascii="黑体" w:hAnsi="黑体" w:eastAsia="黑体" w:cs="黑体"/>
          <w:color w:val="auto"/>
          <w:spacing w:val="1"/>
          <w:position w:val="14"/>
          <w:sz w:val="24"/>
          <w:szCs w:val="24"/>
          <w:lang w:val="en-US" w:eastAsia="zh-CN"/>
        </w:rPr>
        <w:t>联系方式：13201305600</w:t>
      </w:r>
    </w:p>
    <w:p w14:paraId="78E6EE64">
      <w:pPr>
        <w:spacing w:before="151" w:line="439" w:lineRule="exact"/>
        <w:ind w:left="490"/>
        <w:rPr>
          <w:rFonts w:hint="eastAsia" w:ascii="黑体" w:hAnsi="黑体" w:eastAsia="黑体" w:cs="黑体"/>
          <w:color w:val="auto"/>
          <w:spacing w:val="1"/>
          <w:position w:val="14"/>
          <w:sz w:val="24"/>
          <w:szCs w:val="24"/>
        </w:rPr>
      </w:pPr>
      <w:r>
        <w:rPr>
          <w:rFonts w:hint="eastAsia" w:ascii="黑体" w:hAnsi="黑体" w:eastAsia="黑体" w:cs="黑体"/>
          <w:color w:val="auto"/>
          <w:spacing w:val="1"/>
          <w:position w:val="14"/>
          <w:sz w:val="24"/>
          <w:szCs w:val="24"/>
        </w:rPr>
        <w:t>3.项目联系方式</w:t>
      </w:r>
      <w:bookmarkEnd w:id="8"/>
      <w:bookmarkEnd w:id="9"/>
    </w:p>
    <w:p w14:paraId="67BFF298">
      <w:pPr>
        <w:spacing w:before="151" w:line="439" w:lineRule="exact"/>
        <w:ind w:left="490"/>
        <w:rPr>
          <w:rFonts w:hint="eastAsia" w:ascii="黑体" w:hAnsi="黑体" w:eastAsia="黑体" w:cs="黑体"/>
          <w:color w:val="auto"/>
          <w:spacing w:val="1"/>
          <w:position w:val="14"/>
          <w:sz w:val="24"/>
          <w:szCs w:val="24"/>
          <w:lang w:val="en-US" w:eastAsia="zh-CN"/>
        </w:rPr>
      </w:pPr>
      <w:r>
        <w:rPr>
          <w:rFonts w:hint="eastAsia" w:ascii="黑体" w:hAnsi="黑体" w:eastAsia="黑体" w:cs="黑体"/>
          <w:color w:val="auto"/>
          <w:spacing w:val="1"/>
          <w:position w:val="14"/>
          <w:sz w:val="24"/>
          <w:szCs w:val="24"/>
        </w:rPr>
        <w:t>项目联系人：</w:t>
      </w:r>
      <w:r>
        <w:rPr>
          <w:rFonts w:hint="eastAsia" w:ascii="黑体" w:hAnsi="黑体" w:eastAsia="黑体" w:cs="黑体"/>
          <w:color w:val="auto"/>
          <w:spacing w:val="1"/>
          <w:position w:val="14"/>
          <w:sz w:val="24"/>
          <w:szCs w:val="24"/>
          <w:lang w:val="en-US" w:eastAsia="zh-CN"/>
        </w:rPr>
        <w:t>张工</w:t>
      </w:r>
    </w:p>
    <w:p w14:paraId="0844C528">
      <w:pPr>
        <w:spacing w:before="151" w:line="439" w:lineRule="exact"/>
        <w:ind w:left="490"/>
        <w:rPr>
          <w:rFonts w:hint="eastAsia" w:ascii="黑体" w:hAnsi="黑体" w:eastAsia="黑体" w:cs="黑体"/>
          <w:color w:val="auto"/>
          <w:spacing w:val="1"/>
          <w:position w:val="14"/>
          <w:sz w:val="24"/>
          <w:szCs w:val="24"/>
          <w:lang w:val="en-US" w:eastAsia="zh-CN"/>
        </w:rPr>
      </w:pPr>
      <w:r>
        <w:rPr>
          <w:rFonts w:hint="eastAsia" w:ascii="黑体" w:hAnsi="黑体" w:eastAsia="黑体" w:cs="黑体"/>
          <w:color w:val="auto"/>
          <w:spacing w:val="1"/>
          <w:position w:val="14"/>
          <w:sz w:val="24"/>
          <w:szCs w:val="24"/>
        </w:rPr>
        <w:t>电　话：</w:t>
      </w:r>
      <w:r>
        <w:rPr>
          <w:rFonts w:hint="eastAsia" w:ascii="黑体" w:hAnsi="黑体" w:eastAsia="黑体" w:cs="黑体"/>
          <w:color w:val="auto"/>
          <w:spacing w:val="1"/>
          <w:position w:val="14"/>
          <w:sz w:val="24"/>
          <w:szCs w:val="24"/>
          <w:lang w:val="en-US" w:eastAsia="zh-CN"/>
        </w:rPr>
        <w:t>13201305600</w:t>
      </w:r>
    </w:p>
    <w:p w14:paraId="0717A2D4">
      <w:pPr>
        <w:spacing w:before="151" w:line="439" w:lineRule="exact"/>
        <w:ind w:left="490"/>
        <w:rPr>
          <w:rFonts w:ascii="黑体" w:hAnsi="黑体" w:eastAsia="黑体" w:cs="黑体"/>
          <w:color w:val="auto"/>
          <w:spacing w:val="1"/>
          <w:position w:val="14"/>
          <w:sz w:val="24"/>
          <w:szCs w:val="24"/>
        </w:rPr>
        <w:sectPr>
          <w:footerReference r:id="rId5" w:type="default"/>
          <w:pgSz w:w="11906" w:h="16839"/>
          <w:pgMar w:top="1431" w:right="1562" w:bottom="1298" w:left="1424" w:header="0" w:footer="1135" w:gutter="0"/>
          <w:pgNumType w:fmt="decimal" w:start="1"/>
          <w:cols w:space="720" w:num="1"/>
        </w:sectPr>
      </w:pPr>
    </w:p>
    <w:p w14:paraId="495890C6">
      <w:pPr>
        <w:spacing w:before="206" w:line="226" w:lineRule="auto"/>
        <w:ind w:left="3714"/>
        <w:rPr>
          <w:rFonts w:ascii="黑体" w:hAnsi="黑体" w:eastAsia="黑体" w:cs="黑体"/>
          <w:color w:val="auto"/>
          <w:sz w:val="31"/>
          <w:szCs w:val="31"/>
        </w:rPr>
      </w:pPr>
      <w:r>
        <w:rPr>
          <w:rFonts w:ascii="黑体" w:hAnsi="黑体" w:eastAsia="黑体" w:cs="黑体"/>
          <w:color w:val="auto"/>
          <w:spacing w:val="11"/>
          <w:sz w:val="31"/>
          <w:szCs w:val="31"/>
          <w14:textOutline w14:w="5793" w14:cap="sq" w14:cmpd="sng">
            <w14:solidFill>
              <w14:srgbClr w14:val="000000"/>
            </w14:solidFill>
            <w14:prstDash w14:val="solid"/>
            <w14:bevel/>
          </w14:textOutline>
        </w:rPr>
        <w:t>第二章供应商须知</w:t>
      </w:r>
    </w:p>
    <w:p w14:paraId="15E528BF">
      <w:pPr>
        <w:spacing w:before="250" w:line="221" w:lineRule="auto"/>
        <w:ind w:left="3875"/>
        <w:outlineLvl w:val="0"/>
        <w:rPr>
          <w:rFonts w:ascii="黑体" w:hAnsi="黑体" w:eastAsia="黑体" w:cs="黑体"/>
          <w:color w:val="auto"/>
          <w:sz w:val="30"/>
          <w:szCs w:val="30"/>
        </w:rPr>
      </w:pPr>
      <w:bookmarkStart w:id="10" w:name="_Toc21737"/>
      <w:r>
        <w:rPr>
          <w:rFonts w:ascii="黑体" w:hAnsi="黑体" w:eastAsia="黑体" w:cs="黑体"/>
          <w:color w:val="auto"/>
          <w:spacing w:val="1"/>
          <w:sz w:val="30"/>
          <w:szCs w:val="30"/>
          <w14:textOutline w14:w="5448" w14:cap="sq" w14:cmpd="sng">
            <w14:solidFill>
              <w14:srgbClr w14:val="000000"/>
            </w14:solidFill>
            <w14:prstDash w14:val="solid"/>
            <w14:bevel/>
          </w14:textOutline>
        </w:rPr>
        <w:t>供应商须知前附表</w:t>
      </w:r>
      <w:bookmarkEnd w:id="10"/>
    </w:p>
    <w:p w14:paraId="75F92FED">
      <w:pPr>
        <w:spacing w:line="104" w:lineRule="exact"/>
        <w:rPr>
          <w:color w:val="auto"/>
        </w:rPr>
      </w:pPr>
    </w:p>
    <w:tbl>
      <w:tblPr>
        <w:tblStyle w:val="19"/>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0"/>
        <w:gridCol w:w="6951"/>
      </w:tblGrid>
      <w:tr w14:paraId="38E3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13" w:type="dxa"/>
            <w:vAlign w:val="top"/>
          </w:tcPr>
          <w:p w14:paraId="3817E070">
            <w:pPr>
              <w:pStyle w:val="20"/>
              <w:spacing w:before="90" w:line="223" w:lineRule="auto"/>
              <w:ind w:left="200"/>
              <w:rPr>
                <w:color w:val="auto"/>
              </w:rPr>
            </w:pPr>
            <w:r>
              <w:rPr>
                <w:color w:val="auto"/>
                <w:spacing w:val="-2"/>
              </w:rPr>
              <w:t>条款号</w:t>
            </w:r>
          </w:p>
        </w:tc>
        <w:tc>
          <w:tcPr>
            <w:tcW w:w="2230" w:type="dxa"/>
            <w:vAlign w:val="top"/>
          </w:tcPr>
          <w:p w14:paraId="7E7C89FA">
            <w:pPr>
              <w:pStyle w:val="20"/>
              <w:spacing w:before="89" w:line="222" w:lineRule="auto"/>
              <w:ind w:left="635"/>
              <w:rPr>
                <w:color w:val="auto"/>
              </w:rPr>
            </w:pPr>
            <w:r>
              <w:rPr>
                <w:color w:val="auto"/>
                <w:spacing w:val="-1"/>
              </w:rPr>
              <w:t>条款名称</w:t>
            </w:r>
          </w:p>
        </w:tc>
        <w:tc>
          <w:tcPr>
            <w:tcW w:w="6951" w:type="dxa"/>
            <w:vAlign w:val="top"/>
          </w:tcPr>
          <w:p w14:paraId="58ED2947">
            <w:pPr>
              <w:pStyle w:val="20"/>
              <w:spacing w:before="89" w:line="221" w:lineRule="auto"/>
              <w:ind w:left="2811"/>
              <w:rPr>
                <w:color w:val="auto"/>
              </w:rPr>
            </w:pPr>
            <w:r>
              <w:rPr>
                <w:color w:val="auto"/>
                <w:spacing w:val="-12"/>
              </w:rPr>
              <w:t>编列内容</w:t>
            </w:r>
          </w:p>
        </w:tc>
      </w:tr>
      <w:tr w14:paraId="4CD67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113" w:type="dxa"/>
            <w:vAlign w:val="top"/>
          </w:tcPr>
          <w:p w14:paraId="378B69DA">
            <w:pPr>
              <w:spacing w:line="427" w:lineRule="auto"/>
              <w:rPr>
                <w:rFonts w:ascii="Arial"/>
                <w:color w:val="auto"/>
                <w:sz w:val="21"/>
              </w:rPr>
            </w:pPr>
          </w:p>
          <w:p w14:paraId="5EE816C2">
            <w:pPr>
              <w:pStyle w:val="20"/>
              <w:spacing w:before="78" w:line="184" w:lineRule="auto"/>
              <w:ind w:left="514"/>
              <w:rPr>
                <w:color w:val="auto"/>
              </w:rPr>
            </w:pPr>
            <w:r>
              <w:rPr>
                <w:color w:val="auto"/>
              </w:rPr>
              <w:t>1</w:t>
            </w:r>
          </w:p>
        </w:tc>
        <w:tc>
          <w:tcPr>
            <w:tcW w:w="2230" w:type="dxa"/>
            <w:vAlign w:val="top"/>
          </w:tcPr>
          <w:p w14:paraId="0736B037">
            <w:pPr>
              <w:spacing w:line="391" w:lineRule="auto"/>
              <w:rPr>
                <w:rFonts w:ascii="Arial"/>
                <w:color w:val="auto"/>
                <w:sz w:val="21"/>
              </w:rPr>
            </w:pPr>
          </w:p>
          <w:p w14:paraId="1152B75E">
            <w:pPr>
              <w:pStyle w:val="20"/>
              <w:spacing w:before="78" w:line="223" w:lineRule="auto"/>
              <w:ind w:left="755"/>
              <w:rPr>
                <w:color w:val="auto"/>
              </w:rPr>
            </w:pPr>
            <w:r>
              <w:rPr>
                <w:color w:val="auto"/>
                <w:spacing w:val="-1"/>
              </w:rPr>
              <w:t>采购人</w:t>
            </w:r>
          </w:p>
        </w:tc>
        <w:tc>
          <w:tcPr>
            <w:tcW w:w="6951" w:type="dxa"/>
            <w:vAlign w:val="top"/>
          </w:tcPr>
          <w:p w14:paraId="1EE3AE99">
            <w:pPr>
              <w:pStyle w:val="20"/>
              <w:spacing w:before="145" w:line="222" w:lineRule="auto"/>
              <w:ind w:left="114"/>
              <w:rPr>
                <w:rFonts w:hint="eastAsia"/>
                <w:color w:val="auto"/>
                <w:spacing w:val="1"/>
                <w:lang w:eastAsia="zh-CN"/>
              </w:rPr>
            </w:pPr>
            <w:r>
              <w:rPr>
                <w:color w:val="auto"/>
                <w:spacing w:val="1"/>
              </w:rPr>
              <w:t>名称：</w:t>
            </w:r>
            <w:r>
              <w:rPr>
                <w:rFonts w:hint="eastAsia"/>
                <w:color w:val="auto"/>
                <w:spacing w:val="1"/>
                <w:lang w:eastAsia="zh-CN"/>
              </w:rPr>
              <w:t>民丰县尼雅乡人民政府</w:t>
            </w:r>
          </w:p>
          <w:p w14:paraId="722848DE">
            <w:pPr>
              <w:pStyle w:val="20"/>
              <w:spacing w:before="145" w:line="222" w:lineRule="auto"/>
              <w:ind w:left="114"/>
              <w:rPr>
                <w:rFonts w:hint="default" w:eastAsia="黑体"/>
                <w:color w:val="auto"/>
                <w:lang w:val="en-US" w:eastAsia="zh-CN"/>
              </w:rPr>
            </w:pPr>
            <w:r>
              <w:rPr>
                <w:color w:val="auto"/>
              </w:rPr>
              <w:t>联系人：</w:t>
            </w:r>
            <w:r>
              <w:rPr>
                <w:rFonts w:hint="eastAsia"/>
                <w:color w:val="auto"/>
                <w:lang w:val="en-US" w:eastAsia="zh-CN"/>
              </w:rPr>
              <w:t>乔主任</w:t>
            </w:r>
          </w:p>
          <w:p w14:paraId="0A540F54">
            <w:pPr>
              <w:pStyle w:val="20"/>
              <w:spacing w:before="148" w:line="221" w:lineRule="auto"/>
              <w:ind w:left="114"/>
              <w:rPr>
                <w:rFonts w:hint="default" w:eastAsia="黑体"/>
                <w:color w:val="auto"/>
                <w:lang w:val="en-US" w:eastAsia="zh-CN"/>
              </w:rPr>
            </w:pPr>
            <w:r>
              <w:rPr>
                <w:color w:val="auto"/>
              </w:rPr>
              <w:t>联系方式：</w:t>
            </w:r>
            <w:r>
              <w:rPr>
                <w:rFonts w:hint="eastAsia"/>
                <w:color w:val="auto"/>
                <w:lang w:val="en-US" w:eastAsia="zh-CN"/>
              </w:rPr>
              <w:t>15199713611</w:t>
            </w:r>
          </w:p>
        </w:tc>
      </w:tr>
      <w:tr w14:paraId="7B3A8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1113" w:type="dxa"/>
            <w:vAlign w:val="top"/>
          </w:tcPr>
          <w:p w14:paraId="026B385E">
            <w:pPr>
              <w:spacing w:line="458" w:lineRule="auto"/>
              <w:rPr>
                <w:rFonts w:ascii="Arial"/>
                <w:color w:val="auto"/>
                <w:sz w:val="21"/>
              </w:rPr>
            </w:pPr>
          </w:p>
          <w:p w14:paraId="7DF8812F">
            <w:pPr>
              <w:pStyle w:val="20"/>
              <w:spacing w:before="78" w:line="185" w:lineRule="auto"/>
              <w:ind w:left="500"/>
              <w:rPr>
                <w:color w:val="auto"/>
              </w:rPr>
            </w:pPr>
            <w:r>
              <w:rPr>
                <w:color w:val="auto"/>
              </w:rPr>
              <w:t>2</w:t>
            </w:r>
          </w:p>
        </w:tc>
        <w:tc>
          <w:tcPr>
            <w:tcW w:w="2230" w:type="dxa"/>
            <w:vAlign w:val="top"/>
          </w:tcPr>
          <w:p w14:paraId="1A286DFF">
            <w:pPr>
              <w:spacing w:line="423" w:lineRule="auto"/>
              <w:rPr>
                <w:rFonts w:ascii="Arial"/>
                <w:color w:val="auto"/>
                <w:sz w:val="21"/>
              </w:rPr>
            </w:pPr>
          </w:p>
          <w:p w14:paraId="0A0DF70D">
            <w:pPr>
              <w:pStyle w:val="20"/>
              <w:spacing w:before="78" w:line="222" w:lineRule="auto"/>
              <w:ind w:left="390"/>
              <w:rPr>
                <w:color w:val="auto"/>
              </w:rPr>
            </w:pPr>
            <w:r>
              <w:rPr>
                <w:color w:val="auto"/>
              </w:rPr>
              <w:t>采购代理机构</w:t>
            </w:r>
          </w:p>
        </w:tc>
        <w:tc>
          <w:tcPr>
            <w:tcW w:w="6951" w:type="dxa"/>
            <w:vAlign w:val="top"/>
          </w:tcPr>
          <w:p w14:paraId="207B3E73">
            <w:pPr>
              <w:pStyle w:val="20"/>
              <w:spacing w:before="178" w:line="224" w:lineRule="auto"/>
              <w:ind w:left="128"/>
              <w:rPr>
                <w:rFonts w:hint="eastAsia"/>
                <w:color w:val="auto"/>
                <w:spacing w:val="1"/>
                <w:lang w:eastAsia="zh-CN"/>
              </w:rPr>
            </w:pPr>
            <w:r>
              <w:rPr>
                <w:color w:val="auto"/>
                <w:spacing w:val="1"/>
              </w:rPr>
              <w:t>名称：</w:t>
            </w:r>
            <w:r>
              <w:rPr>
                <w:rFonts w:hint="eastAsia"/>
                <w:color w:val="auto"/>
                <w:spacing w:val="1"/>
                <w:lang w:eastAsia="zh-CN"/>
              </w:rPr>
              <w:t>新疆拓源工程管理咨询有限公司</w:t>
            </w:r>
          </w:p>
          <w:p w14:paraId="26BFCEC4">
            <w:pPr>
              <w:pStyle w:val="20"/>
              <w:spacing w:before="178" w:line="224" w:lineRule="auto"/>
              <w:ind w:left="128"/>
              <w:rPr>
                <w:rFonts w:hint="eastAsia"/>
                <w:color w:val="auto"/>
                <w:spacing w:val="-1"/>
                <w:lang w:eastAsia="zh-CN"/>
              </w:rPr>
            </w:pPr>
            <w:r>
              <w:rPr>
                <w:color w:val="auto"/>
                <w:spacing w:val="-1"/>
              </w:rPr>
              <w:t>电话：</w:t>
            </w:r>
            <w:r>
              <w:rPr>
                <w:rFonts w:hint="eastAsia"/>
                <w:color w:val="auto"/>
                <w:spacing w:val="-1"/>
                <w:lang w:val="en-US" w:eastAsia="zh-CN"/>
              </w:rPr>
              <w:t>13201305600</w:t>
            </w:r>
          </w:p>
          <w:p w14:paraId="51B575BA">
            <w:pPr>
              <w:pStyle w:val="20"/>
              <w:spacing w:before="178" w:line="224" w:lineRule="auto"/>
              <w:ind w:left="128"/>
              <w:rPr>
                <w:rFonts w:hint="eastAsia" w:eastAsia="黑体"/>
                <w:color w:val="auto"/>
                <w:lang w:eastAsia="zh-CN"/>
              </w:rPr>
            </w:pPr>
            <w:r>
              <w:rPr>
                <w:color w:val="auto"/>
                <w:spacing w:val="-1"/>
              </w:rPr>
              <w:t>联系人：</w:t>
            </w:r>
            <w:r>
              <w:rPr>
                <w:rFonts w:hint="eastAsia"/>
                <w:color w:val="auto"/>
                <w:spacing w:val="-1"/>
                <w:lang w:val="en-US" w:eastAsia="zh-CN"/>
              </w:rPr>
              <w:t>张工</w:t>
            </w:r>
          </w:p>
        </w:tc>
      </w:tr>
      <w:tr w14:paraId="5342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113" w:type="dxa"/>
            <w:vAlign w:val="top"/>
          </w:tcPr>
          <w:p w14:paraId="3237A666">
            <w:pPr>
              <w:pStyle w:val="20"/>
              <w:spacing w:before="123" w:line="185" w:lineRule="auto"/>
              <w:ind w:left="501"/>
              <w:rPr>
                <w:color w:val="auto"/>
              </w:rPr>
            </w:pPr>
            <w:r>
              <w:rPr>
                <w:color w:val="auto"/>
              </w:rPr>
              <w:t>3</w:t>
            </w:r>
          </w:p>
        </w:tc>
        <w:tc>
          <w:tcPr>
            <w:tcW w:w="2230" w:type="dxa"/>
            <w:vAlign w:val="top"/>
          </w:tcPr>
          <w:p w14:paraId="3B702927">
            <w:pPr>
              <w:pStyle w:val="20"/>
              <w:spacing w:before="87" w:line="222" w:lineRule="auto"/>
              <w:ind w:left="634"/>
              <w:rPr>
                <w:color w:val="auto"/>
              </w:rPr>
            </w:pPr>
            <w:r>
              <w:rPr>
                <w:color w:val="auto"/>
                <w:spacing w:val="-1"/>
              </w:rPr>
              <w:t>项目名称</w:t>
            </w:r>
          </w:p>
        </w:tc>
        <w:tc>
          <w:tcPr>
            <w:tcW w:w="6951" w:type="dxa"/>
            <w:vAlign w:val="top"/>
          </w:tcPr>
          <w:p w14:paraId="11001713">
            <w:pPr>
              <w:pStyle w:val="20"/>
              <w:spacing w:before="164" w:line="222" w:lineRule="auto"/>
              <w:ind w:left="124"/>
              <w:rPr>
                <w:rFonts w:hint="default" w:eastAsia="黑体"/>
                <w:color w:val="auto"/>
                <w:lang w:val="en-US" w:eastAsia="zh-CN"/>
              </w:rPr>
            </w:pPr>
            <w:r>
              <w:rPr>
                <w:rFonts w:hint="eastAsia" w:cs="黑体"/>
                <w:color w:val="auto"/>
                <w:spacing w:val="2"/>
                <w:sz w:val="24"/>
                <w:szCs w:val="24"/>
                <w:lang w:val="en-US" w:eastAsia="zh-CN"/>
              </w:rPr>
              <w:t>民丰县尼雅乡阿克墩村示范村创建项目(道路提升）（二次）</w:t>
            </w:r>
          </w:p>
        </w:tc>
      </w:tr>
      <w:tr w14:paraId="2FA9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113" w:type="dxa"/>
            <w:vAlign w:val="top"/>
          </w:tcPr>
          <w:p w14:paraId="4C2D7F05">
            <w:pPr>
              <w:pStyle w:val="20"/>
              <w:spacing w:before="104" w:line="184" w:lineRule="auto"/>
              <w:ind w:left="495"/>
              <w:rPr>
                <w:color w:val="auto"/>
              </w:rPr>
            </w:pPr>
            <w:r>
              <w:rPr>
                <w:color w:val="auto"/>
              </w:rPr>
              <w:t>4</w:t>
            </w:r>
          </w:p>
        </w:tc>
        <w:tc>
          <w:tcPr>
            <w:tcW w:w="2230" w:type="dxa"/>
            <w:vAlign w:val="top"/>
          </w:tcPr>
          <w:p w14:paraId="0AC2E134">
            <w:pPr>
              <w:pStyle w:val="20"/>
              <w:spacing w:before="67" w:line="222" w:lineRule="auto"/>
              <w:ind w:left="634"/>
              <w:rPr>
                <w:color w:val="auto"/>
              </w:rPr>
            </w:pPr>
            <w:r>
              <w:rPr>
                <w:color w:val="auto"/>
                <w:spacing w:val="-1"/>
              </w:rPr>
              <w:t>项目地点</w:t>
            </w:r>
          </w:p>
        </w:tc>
        <w:tc>
          <w:tcPr>
            <w:tcW w:w="6951" w:type="dxa"/>
            <w:vAlign w:val="top"/>
          </w:tcPr>
          <w:p w14:paraId="7BE390AB">
            <w:pPr>
              <w:pStyle w:val="20"/>
              <w:spacing w:before="67" w:line="222" w:lineRule="auto"/>
              <w:ind w:left="124"/>
              <w:rPr>
                <w:rFonts w:hint="eastAsia" w:eastAsia="黑体"/>
                <w:color w:val="auto"/>
                <w:lang w:eastAsia="zh-CN"/>
              </w:rPr>
            </w:pPr>
            <w:r>
              <w:rPr>
                <w:rFonts w:hint="eastAsia"/>
                <w:color w:val="auto"/>
                <w:spacing w:val="1"/>
                <w:lang w:val="en-US" w:eastAsia="zh-CN"/>
              </w:rPr>
              <w:t>民丰县尼雅乡阿克墩村</w:t>
            </w:r>
          </w:p>
        </w:tc>
      </w:tr>
      <w:tr w14:paraId="00D12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13" w:type="dxa"/>
            <w:vAlign w:val="top"/>
          </w:tcPr>
          <w:p w14:paraId="53B7A04C">
            <w:pPr>
              <w:pStyle w:val="20"/>
              <w:spacing w:before="127" w:line="182" w:lineRule="auto"/>
              <w:ind w:left="496"/>
              <w:rPr>
                <w:color w:val="auto"/>
              </w:rPr>
            </w:pPr>
            <w:r>
              <w:rPr>
                <w:color w:val="auto"/>
              </w:rPr>
              <w:t>5</w:t>
            </w:r>
          </w:p>
        </w:tc>
        <w:tc>
          <w:tcPr>
            <w:tcW w:w="2230" w:type="dxa"/>
            <w:vAlign w:val="top"/>
          </w:tcPr>
          <w:p w14:paraId="4EF41E73">
            <w:pPr>
              <w:pStyle w:val="20"/>
              <w:spacing w:before="88" w:line="221" w:lineRule="auto"/>
              <w:ind w:left="642"/>
              <w:rPr>
                <w:color w:val="auto"/>
              </w:rPr>
            </w:pPr>
            <w:r>
              <w:rPr>
                <w:color w:val="auto"/>
                <w:spacing w:val="-3"/>
              </w:rPr>
              <w:t>资金来源</w:t>
            </w:r>
          </w:p>
        </w:tc>
        <w:tc>
          <w:tcPr>
            <w:tcW w:w="6951" w:type="dxa"/>
            <w:vAlign w:val="top"/>
          </w:tcPr>
          <w:p w14:paraId="5DA88559">
            <w:pPr>
              <w:pStyle w:val="20"/>
              <w:spacing w:before="87" w:line="222" w:lineRule="auto"/>
              <w:ind w:left="115"/>
              <w:rPr>
                <w:rFonts w:hint="default" w:eastAsia="黑体"/>
                <w:color w:val="auto"/>
                <w:lang w:val="en-US" w:eastAsia="zh-CN"/>
              </w:rPr>
            </w:pPr>
            <w:r>
              <w:rPr>
                <w:rFonts w:hint="eastAsia"/>
                <w:color w:val="auto"/>
                <w:lang w:val="en-US" w:eastAsia="zh-CN"/>
              </w:rPr>
              <w:t>2025年乡村振兴衔接项目补助资金</w:t>
            </w:r>
          </w:p>
        </w:tc>
      </w:tr>
      <w:tr w14:paraId="69A37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3" w:type="dxa"/>
            <w:vAlign w:val="top"/>
          </w:tcPr>
          <w:p w14:paraId="7D4C31B9">
            <w:pPr>
              <w:pStyle w:val="20"/>
              <w:spacing w:before="124" w:line="184" w:lineRule="auto"/>
              <w:ind w:left="500"/>
              <w:rPr>
                <w:color w:val="auto"/>
              </w:rPr>
            </w:pPr>
            <w:r>
              <w:rPr>
                <w:color w:val="auto"/>
              </w:rPr>
              <w:t>6</w:t>
            </w:r>
          </w:p>
        </w:tc>
        <w:tc>
          <w:tcPr>
            <w:tcW w:w="2230" w:type="dxa"/>
            <w:vAlign w:val="top"/>
          </w:tcPr>
          <w:p w14:paraId="00D6EB5F">
            <w:pPr>
              <w:pStyle w:val="20"/>
              <w:spacing w:before="86" w:line="222" w:lineRule="auto"/>
              <w:ind w:left="650"/>
              <w:rPr>
                <w:color w:val="auto"/>
              </w:rPr>
            </w:pPr>
            <w:r>
              <w:rPr>
                <w:color w:val="auto"/>
                <w:spacing w:val="-5"/>
              </w:rPr>
              <w:t>出资比例</w:t>
            </w:r>
          </w:p>
        </w:tc>
        <w:tc>
          <w:tcPr>
            <w:tcW w:w="6951" w:type="dxa"/>
            <w:vAlign w:val="top"/>
          </w:tcPr>
          <w:p w14:paraId="72A8E5B8">
            <w:pPr>
              <w:pStyle w:val="20"/>
              <w:spacing w:before="87"/>
              <w:ind w:left="125"/>
              <w:rPr>
                <w:color w:val="auto"/>
              </w:rPr>
            </w:pPr>
            <w:r>
              <w:rPr>
                <w:color w:val="auto"/>
                <w:spacing w:val="-5"/>
              </w:rPr>
              <w:t>100%</w:t>
            </w:r>
          </w:p>
        </w:tc>
      </w:tr>
      <w:tr w14:paraId="6A138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7818CB0B">
            <w:pPr>
              <w:pStyle w:val="20"/>
              <w:spacing w:before="128" w:line="182" w:lineRule="auto"/>
              <w:ind w:left="502"/>
              <w:rPr>
                <w:color w:val="auto"/>
              </w:rPr>
            </w:pPr>
            <w:r>
              <w:rPr>
                <w:color w:val="auto"/>
              </w:rPr>
              <w:t>7</w:t>
            </w:r>
          </w:p>
        </w:tc>
        <w:tc>
          <w:tcPr>
            <w:tcW w:w="2230" w:type="dxa"/>
            <w:vAlign w:val="top"/>
          </w:tcPr>
          <w:p w14:paraId="75BDDE1F">
            <w:pPr>
              <w:pStyle w:val="20"/>
              <w:spacing w:before="88" w:line="222" w:lineRule="auto"/>
              <w:ind w:left="400"/>
              <w:rPr>
                <w:color w:val="auto"/>
              </w:rPr>
            </w:pPr>
            <w:r>
              <w:rPr>
                <w:color w:val="auto"/>
                <w:spacing w:val="-1"/>
              </w:rPr>
              <w:t>资金落实情况</w:t>
            </w:r>
          </w:p>
        </w:tc>
        <w:tc>
          <w:tcPr>
            <w:tcW w:w="6951" w:type="dxa"/>
            <w:vAlign w:val="top"/>
          </w:tcPr>
          <w:p w14:paraId="3AE01797">
            <w:pPr>
              <w:pStyle w:val="20"/>
              <w:spacing w:before="88" w:line="222" w:lineRule="auto"/>
              <w:ind w:left="128"/>
              <w:rPr>
                <w:color w:val="auto"/>
              </w:rPr>
            </w:pPr>
            <w:r>
              <w:rPr>
                <w:color w:val="auto"/>
                <w:spacing w:val="-7"/>
              </w:rPr>
              <w:t>已落实</w:t>
            </w:r>
          </w:p>
        </w:tc>
      </w:tr>
      <w:tr w14:paraId="20CD7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13" w:type="dxa"/>
            <w:vAlign w:val="top"/>
          </w:tcPr>
          <w:p w14:paraId="39BDCC13">
            <w:pPr>
              <w:pStyle w:val="20"/>
              <w:spacing w:before="78" w:line="184" w:lineRule="auto"/>
              <w:ind w:left="499"/>
              <w:rPr>
                <w:color w:val="auto"/>
              </w:rPr>
            </w:pPr>
            <w:r>
              <w:rPr>
                <w:color w:val="auto"/>
              </w:rPr>
              <w:t>8</w:t>
            </w:r>
          </w:p>
        </w:tc>
        <w:tc>
          <w:tcPr>
            <w:tcW w:w="2230" w:type="dxa"/>
            <w:vAlign w:val="top"/>
          </w:tcPr>
          <w:p w14:paraId="3A3A19C0">
            <w:pPr>
              <w:pStyle w:val="20"/>
              <w:spacing w:before="42" w:line="222" w:lineRule="auto"/>
              <w:ind w:left="632"/>
              <w:rPr>
                <w:color w:val="auto"/>
              </w:rPr>
            </w:pPr>
            <w:r>
              <w:rPr>
                <w:color w:val="auto"/>
                <w:spacing w:val="-1"/>
              </w:rPr>
              <w:t>采购内容</w:t>
            </w:r>
          </w:p>
        </w:tc>
        <w:tc>
          <w:tcPr>
            <w:tcW w:w="6951" w:type="dxa"/>
            <w:vAlign w:val="top"/>
          </w:tcPr>
          <w:p w14:paraId="59DF18D4">
            <w:pPr>
              <w:pStyle w:val="20"/>
              <w:spacing w:before="42" w:line="221" w:lineRule="auto"/>
              <w:rPr>
                <w:rFonts w:hint="eastAsia" w:eastAsia="黑体"/>
                <w:color w:val="auto"/>
                <w:lang w:eastAsia="zh-CN"/>
              </w:rPr>
            </w:pPr>
            <w:r>
              <w:rPr>
                <w:rFonts w:hint="default" w:ascii="黑体" w:hAnsi="黑体" w:eastAsia="黑体" w:cs="黑体"/>
                <w:color w:val="auto"/>
                <w:spacing w:val="2"/>
                <w:sz w:val="24"/>
                <w:szCs w:val="24"/>
                <w:lang w:val="en-US" w:eastAsia="zh-CN"/>
              </w:rPr>
              <w:t>改建扩宽农村道路 1.5 公里，道路等级四级公路，新建人行道 1.5 公里。</w:t>
            </w:r>
            <w:r>
              <w:rPr>
                <w:rFonts w:hint="eastAsia" w:cs="黑体"/>
                <w:color w:val="auto"/>
                <w:spacing w:val="2"/>
                <w:sz w:val="24"/>
                <w:szCs w:val="24"/>
                <w:lang w:val="en-US" w:eastAsia="zh-CN"/>
              </w:rPr>
              <w:t>（</w:t>
            </w:r>
            <w:r>
              <w:rPr>
                <w:rFonts w:hint="eastAsia" w:eastAsia="黑体"/>
                <w:color w:val="auto"/>
                <w:lang w:val="en-US" w:eastAsia="zh-CN"/>
              </w:rPr>
              <w:t>详见招标工程量清单）</w:t>
            </w:r>
          </w:p>
        </w:tc>
      </w:tr>
      <w:tr w14:paraId="546C5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3" w:type="dxa"/>
            <w:vAlign w:val="top"/>
          </w:tcPr>
          <w:p w14:paraId="03B611D9">
            <w:pPr>
              <w:pStyle w:val="20"/>
              <w:spacing w:before="200" w:line="184" w:lineRule="auto"/>
              <w:ind w:left="495"/>
              <w:rPr>
                <w:color w:val="auto"/>
              </w:rPr>
            </w:pPr>
            <w:r>
              <w:rPr>
                <w:color w:val="auto"/>
              </w:rPr>
              <w:t>9</w:t>
            </w:r>
          </w:p>
        </w:tc>
        <w:tc>
          <w:tcPr>
            <w:tcW w:w="2230" w:type="dxa"/>
            <w:vAlign w:val="top"/>
          </w:tcPr>
          <w:p w14:paraId="05F4C8ED">
            <w:pPr>
              <w:pStyle w:val="20"/>
              <w:spacing w:before="84" w:line="222" w:lineRule="auto"/>
              <w:ind w:left="393"/>
              <w:rPr>
                <w:color w:val="auto"/>
              </w:rPr>
            </w:pPr>
            <w:r>
              <w:rPr>
                <w:color w:val="auto"/>
              </w:rPr>
              <w:t>合同履行期限</w:t>
            </w:r>
          </w:p>
          <w:p w14:paraId="3686A0B5">
            <w:pPr>
              <w:pStyle w:val="20"/>
              <w:spacing w:before="23" w:line="224" w:lineRule="auto"/>
              <w:ind w:left="655"/>
              <w:rPr>
                <w:color w:val="auto"/>
              </w:rPr>
            </w:pPr>
            <w:r>
              <w:rPr>
                <w:color w:val="auto"/>
                <w:spacing w:val="-7"/>
              </w:rPr>
              <w:t>（工期）</w:t>
            </w:r>
          </w:p>
        </w:tc>
        <w:tc>
          <w:tcPr>
            <w:tcW w:w="6951" w:type="dxa"/>
            <w:vAlign w:val="top"/>
          </w:tcPr>
          <w:p w14:paraId="729E4538">
            <w:pPr>
              <w:pStyle w:val="20"/>
              <w:spacing w:before="21" w:line="221" w:lineRule="auto"/>
              <w:rPr>
                <w:rFonts w:hint="eastAsia" w:eastAsia="黑体"/>
                <w:color w:val="auto"/>
                <w:lang w:eastAsia="zh-CN"/>
              </w:rPr>
            </w:pPr>
            <w:r>
              <w:rPr>
                <w:rFonts w:hint="eastAsia" w:eastAsia="黑体"/>
                <w:color w:val="auto"/>
                <w:lang w:eastAsia="zh-CN"/>
              </w:rPr>
              <w:t>计划</w:t>
            </w:r>
            <w:r>
              <w:rPr>
                <w:rFonts w:hint="eastAsia"/>
                <w:color w:val="auto"/>
                <w:lang w:val="en-US" w:eastAsia="zh-CN"/>
              </w:rPr>
              <w:t>总</w:t>
            </w:r>
            <w:r>
              <w:rPr>
                <w:rFonts w:hint="eastAsia" w:eastAsia="黑体"/>
                <w:color w:val="auto"/>
                <w:lang w:eastAsia="zh-CN"/>
              </w:rPr>
              <w:t>工</w:t>
            </w:r>
            <w:r>
              <w:rPr>
                <w:rFonts w:hint="eastAsia"/>
                <w:color w:val="auto"/>
                <w:lang w:eastAsia="zh-CN"/>
              </w:rPr>
              <w:t>期：</w:t>
            </w:r>
            <w:r>
              <w:rPr>
                <w:rFonts w:hint="eastAsia" w:ascii="黑体" w:hAnsi="黑体" w:eastAsia="黑体" w:cs="黑体"/>
                <w:color w:val="auto"/>
                <w:spacing w:val="2"/>
                <w:sz w:val="24"/>
                <w:szCs w:val="24"/>
                <w:lang w:val="en-US" w:eastAsia="zh-CN"/>
              </w:rPr>
              <w:t>90日历天；</w:t>
            </w:r>
          </w:p>
          <w:p w14:paraId="023E78E5">
            <w:pPr>
              <w:pStyle w:val="20"/>
              <w:spacing w:before="42" w:line="221" w:lineRule="auto"/>
              <w:rPr>
                <w:rFonts w:hint="eastAsia" w:ascii="黑体" w:hAnsi="黑体" w:eastAsia="黑体" w:cs="黑体"/>
                <w:color w:val="auto"/>
                <w:spacing w:val="2"/>
                <w:sz w:val="24"/>
                <w:szCs w:val="24"/>
                <w:lang w:val="en-US" w:eastAsia="zh-CN"/>
              </w:rPr>
            </w:pPr>
            <w:r>
              <w:rPr>
                <w:rFonts w:hint="eastAsia" w:ascii="黑体" w:hAnsi="黑体" w:eastAsia="黑体" w:cs="黑体"/>
                <w:color w:val="auto"/>
                <w:spacing w:val="2"/>
                <w:sz w:val="24"/>
                <w:szCs w:val="24"/>
                <w:lang w:val="en-US" w:eastAsia="zh-CN"/>
              </w:rPr>
              <w:t>计划开始工作日期：2025年7月</w:t>
            </w:r>
            <w:r>
              <w:rPr>
                <w:rFonts w:hint="eastAsia" w:cs="黑体"/>
                <w:color w:val="auto"/>
                <w:spacing w:val="2"/>
                <w:sz w:val="24"/>
                <w:szCs w:val="24"/>
                <w:lang w:val="en-US" w:eastAsia="zh-CN"/>
              </w:rPr>
              <w:t>31</w:t>
            </w:r>
            <w:r>
              <w:rPr>
                <w:rFonts w:hint="eastAsia" w:ascii="黑体" w:hAnsi="黑体" w:eastAsia="黑体" w:cs="黑体"/>
                <w:color w:val="auto"/>
                <w:spacing w:val="2"/>
                <w:sz w:val="24"/>
                <w:szCs w:val="24"/>
                <w:lang w:val="en-US" w:eastAsia="zh-CN"/>
              </w:rPr>
              <w:t>日；</w:t>
            </w:r>
          </w:p>
          <w:p w14:paraId="1B93BDF1">
            <w:pPr>
              <w:pStyle w:val="20"/>
              <w:spacing w:before="42" w:line="221" w:lineRule="auto"/>
              <w:rPr>
                <w:rFonts w:hint="default" w:eastAsia="黑体"/>
                <w:color w:val="auto"/>
                <w:lang w:val="en-US" w:eastAsia="zh-CN"/>
              </w:rPr>
            </w:pPr>
            <w:r>
              <w:rPr>
                <w:rFonts w:hint="eastAsia" w:ascii="黑体" w:hAnsi="黑体" w:eastAsia="黑体" w:cs="黑体"/>
                <w:color w:val="auto"/>
                <w:spacing w:val="2"/>
                <w:sz w:val="24"/>
                <w:szCs w:val="24"/>
                <w:lang w:val="en-US" w:eastAsia="zh-CN"/>
              </w:rPr>
              <w:t>计划竣工日期：2025年10月</w:t>
            </w:r>
            <w:r>
              <w:rPr>
                <w:rFonts w:hint="eastAsia" w:cs="黑体"/>
                <w:color w:val="auto"/>
                <w:spacing w:val="2"/>
                <w:sz w:val="24"/>
                <w:szCs w:val="24"/>
                <w:lang w:val="en-US" w:eastAsia="zh-CN"/>
              </w:rPr>
              <w:t>29</w:t>
            </w:r>
            <w:r>
              <w:rPr>
                <w:rFonts w:hint="eastAsia" w:ascii="黑体" w:hAnsi="黑体" w:eastAsia="黑体" w:cs="黑体"/>
                <w:color w:val="auto"/>
                <w:spacing w:val="2"/>
                <w:sz w:val="24"/>
                <w:szCs w:val="24"/>
                <w:lang w:val="en-US" w:eastAsia="zh-CN"/>
              </w:rPr>
              <w:t>日（如遇冬季无法施工，工期顺延，总工期不变）。</w:t>
            </w:r>
          </w:p>
        </w:tc>
      </w:tr>
      <w:tr w14:paraId="2C9FE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113" w:type="dxa"/>
            <w:vAlign w:val="top"/>
          </w:tcPr>
          <w:p w14:paraId="58E9EBEC">
            <w:pPr>
              <w:pStyle w:val="20"/>
              <w:spacing w:before="126" w:line="184" w:lineRule="auto"/>
              <w:ind w:left="454"/>
              <w:rPr>
                <w:color w:val="auto"/>
              </w:rPr>
            </w:pPr>
            <w:r>
              <w:rPr>
                <w:color w:val="auto"/>
                <w:spacing w:val="-11"/>
              </w:rPr>
              <w:t>10</w:t>
            </w:r>
          </w:p>
        </w:tc>
        <w:tc>
          <w:tcPr>
            <w:tcW w:w="2230" w:type="dxa"/>
            <w:vAlign w:val="top"/>
          </w:tcPr>
          <w:p w14:paraId="340EDD0F">
            <w:pPr>
              <w:pStyle w:val="20"/>
              <w:spacing w:before="166" w:line="222" w:lineRule="auto"/>
              <w:ind w:left="636"/>
              <w:rPr>
                <w:color w:val="auto"/>
              </w:rPr>
            </w:pPr>
            <w:r>
              <w:rPr>
                <w:color w:val="auto"/>
                <w:spacing w:val="-2"/>
              </w:rPr>
              <w:t>质量要求</w:t>
            </w:r>
          </w:p>
        </w:tc>
        <w:tc>
          <w:tcPr>
            <w:tcW w:w="6951" w:type="dxa"/>
            <w:vAlign w:val="top"/>
          </w:tcPr>
          <w:p w14:paraId="53B9804B">
            <w:pPr>
              <w:pStyle w:val="20"/>
              <w:spacing w:before="166" w:line="223" w:lineRule="auto"/>
              <w:ind w:left="114"/>
              <w:rPr>
                <w:color w:val="auto"/>
              </w:rPr>
            </w:pPr>
            <w:r>
              <w:rPr>
                <w:color w:val="auto"/>
                <w:spacing w:val="-4"/>
              </w:rPr>
              <w:t>合格</w:t>
            </w:r>
          </w:p>
        </w:tc>
      </w:tr>
      <w:tr w14:paraId="0E4F8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18AF8A5F">
            <w:pPr>
              <w:pStyle w:val="20"/>
              <w:spacing w:before="151" w:line="184" w:lineRule="auto"/>
              <w:ind w:left="454"/>
              <w:rPr>
                <w:color w:val="auto"/>
              </w:rPr>
            </w:pPr>
            <w:r>
              <w:rPr>
                <w:color w:val="auto"/>
                <w:spacing w:val="-11"/>
              </w:rPr>
              <w:t>11</w:t>
            </w:r>
          </w:p>
        </w:tc>
        <w:tc>
          <w:tcPr>
            <w:tcW w:w="2230" w:type="dxa"/>
            <w:vAlign w:val="top"/>
          </w:tcPr>
          <w:p w14:paraId="208538D6">
            <w:pPr>
              <w:pStyle w:val="20"/>
              <w:spacing w:before="114" w:line="222" w:lineRule="auto"/>
              <w:ind w:left="633"/>
              <w:rPr>
                <w:color w:val="auto"/>
              </w:rPr>
            </w:pPr>
            <w:r>
              <w:rPr>
                <w:color w:val="auto"/>
                <w:spacing w:val="-1"/>
              </w:rPr>
              <w:t>履约担保</w:t>
            </w:r>
          </w:p>
        </w:tc>
        <w:tc>
          <w:tcPr>
            <w:tcW w:w="6951" w:type="dxa"/>
            <w:vAlign w:val="top"/>
          </w:tcPr>
          <w:p w14:paraId="3B9550E2">
            <w:pPr>
              <w:pStyle w:val="20"/>
              <w:spacing w:before="37" w:line="222" w:lineRule="auto"/>
              <w:ind w:left="112"/>
              <w:rPr>
                <w:rFonts w:hint="default" w:eastAsia="黑体"/>
                <w:color w:val="auto"/>
                <w:lang w:val="en-US" w:eastAsia="zh-CN"/>
              </w:rPr>
            </w:pPr>
            <w:r>
              <w:rPr>
                <w:color w:val="auto"/>
                <w:spacing w:val="1"/>
              </w:rPr>
              <w:t>履约担保的形式：</w:t>
            </w:r>
            <w:r>
              <w:rPr>
                <w:rFonts w:hint="eastAsia" w:ascii="黑体" w:hAnsi="黑体" w:eastAsia="黑体" w:cs="黑体"/>
                <w:snapToGrid w:val="0"/>
                <w:color w:val="auto"/>
                <w:kern w:val="0"/>
                <w:sz w:val="24"/>
                <w:szCs w:val="24"/>
                <w:lang w:val="en-US" w:eastAsia="en-US" w:bidi="ar-SA"/>
              </w:rPr>
              <w:t>电汇、网银</w:t>
            </w:r>
            <w:r>
              <w:rPr>
                <w:rFonts w:hint="eastAsia" w:ascii="黑体" w:hAnsi="黑体" w:eastAsia="黑体" w:cs="黑体"/>
                <w:snapToGrid w:val="0"/>
                <w:color w:val="auto"/>
                <w:kern w:val="0"/>
                <w:sz w:val="24"/>
                <w:szCs w:val="24"/>
                <w:lang w:val="en-US" w:eastAsia="zh-CN" w:bidi="ar-SA"/>
              </w:rPr>
              <w:t>、保函</w:t>
            </w:r>
            <w:r>
              <w:rPr>
                <w:rFonts w:hint="eastAsia" w:ascii="黑体" w:hAnsi="黑体" w:eastAsia="黑体" w:cs="黑体"/>
                <w:snapToGrid w:val="0"/>
                <w:color w:val="auto"/>
                <w:kern w:val="0"/>
                <w:sz w:val="24"/>
                <w:szCs w:val="24"/>
                <w:lang w:val="en-US" w:eastAsia="en-US" w:bidi="ar-SA"/>
              </w:rPr>
              <w:t>等非现金形式提交</w:t>
            </w:r>
          </w:p>
          <w:p w14:paraId="23A85163">
            <w:pPr>
              <w:pStyle w:val="20"/>
              <w:spacing w:before="24" w:line="205" w:lineRule="auto"/>
              <w:ind w:left="112"/>
              <w:rPr>
                <w:rFonts w:hint="default"/>
                <w:color w:val="auto"/>
                <w:sz w:val="20"/>
                <w:szCs w:val="20"/>
                <w:lang w:val="en-US"/>
              </w:rPr>
            </w:pPr>
            <w:r>
              <w:rPr>
                <w:color w:val="auto"/>
                <w:spacing w:val="1"/>
              </w:rPr>
              <w:t>履约担保的金额：</w:t>
            </w:r>
            <w:r>
              <w:rPr>
                <w:rFonts w:hint="eastAsia"/>
                <w:color w:val="auto"/>
                <w:spacing w:val="1"/>
                <w:lang w:val="en-US" w:eastAsia="zh-CN"/>
              </w:rPr>
              <w:t>中标金额的10%</w:t>
            </w:r>
          </w:p>
        </w:tc>
      </w:tr>
      <w:tr w14:paraId="2352B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3CDB060D">
            <w:pPr>
              <w:pStyle w:val="20"/>
              <w:spacing w:before="125" w:line="185" w:lineRule="auto"/>
              <w:ind w:left="454"/>
              <w:rPr>
                <w:color w:val="auto"/>
              </w:rPr>
            </w:pPr>
            <w:r>
              <w:rPr>
                <w:color w:val="auto"/>
                <w:spacing w:val="-11"/>
              </w:rPr>
              <w:t>12</w:t>
            </w:r>
          </w:p>
        </w:tc>
        <w:tc>
          <w:tcPr>
            <w:tcW w:w="2230" w:type="dxa"/>
            <w:vAlign w:val="top"/>
          </w:tcPr>
          <w:p w14:paraId="066C2AA8">
            <w:pPr>
              <w:pStyle w:val="20"/>
              <w:spacing w:before="167" w:line="222" w:lineRule="auto"/>
              <w:ind w:left="758"/>
              <w:rPr>
                <w:color w:val="auto"/>
              </w:rPr>
            </w:pPr>
            <w:r>
              <w:rPr>
                <w:color w:val="auto"/>
                <w:spacing w:val="-3"/>
              </w:rPr>
              <w:t>质保期</w:t>
            </w:r>
          </w:p>
        </w:tc>
        <w:tc>
          <w:tcPr>
            <w:tcW w:w="6951" w:type="dxa"/>
            <w:vAlign w:val="top"/>
          </w:tcPr>
          <w:p w14:paraId="3FC06A35">
            <w:pPr>
              <w:pStyle w:val="20"/>
              <w:spacing w:before="167" w:line="219" w:lineRule="auto"/>
              <w:ind w:left="111"/>
              <w:rPr>
                <w:color w:val="auto"/>
              </w:rPr>
            </w:pPr>
            <w:r>
              <w:rPr>
                <w:color w:val="auto"/>
                <w:spacing w:val="1"/>
              </w:rPr>
              <w:t>按国家质量保修期标准规范执行</w:t>
            </w:r>
          </w:p>
        </w:tc>
      </w:tr>
      <w:tr w14:paraId="51029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23010777">
            <w:pPr>
              <w:pStyle w:val="20"/>
              <w:spacing w:before="124" w:line="185" w:lineRule="auto"/>
              <w:ind w:left="454"/>
              <w:rPr>
                <w:color w:val="auto"/>
              </w:rPr>
            </w:pPr>
            <w:r>
              <w:rPr>
                <w:color w:val="auto"/>
                <w:spacing w:val="-11"/>
              </w:rPr>
              <w:t>13</w:t>
            </w:r>
          </w:p>
        </w:tc>
        <w:tc>
          <w:tcPr>
            <w:tcW w:w="2230" w:type="dxa"/>
            <w:vAlign w:val="top"/>
          </w:tcPr>
          <w:p w14:paraId="2CA1CEF6">
            <w:pPr>
              <w:pStyle w:val="20"/>
              <w:spacing w:before="166" w:line="223" w:lineRule="auto"/>
              <w:ind w:left="879"/>
              <w:rPr>
                <w:color w:val="auto"/>
              </w:rPr>
            </w:pPr>
            <w:r>
              <w:rPr>
                <w:color w:val="auto"/>
                <w:spacing w:val="-5"/>
              </w:rPr>
              <w:t>清单</w:t>
            </w:r>
          </w:p>
        </w:tc>
        <w:tc>
          <w:tcPr>
            <w:tcW w:w="6951" w:type="dxa"/>
            <w:vAlign w:val="top"/>
          </w:tcPr>
          <w:p w14:paraId="354C2459">
            <w:pPr>
              <w:pStyle w:val="20"/>
              <w:spacing w:before="165" w:line="221" w:lineRule="auto"/>
              <w:ind w:left="112"/>
              <w:rPr>
                <w:color w:val="auto"/>
              </w:rPr>
            </w:pPr>
            <w:r>
              <w:rPr>
                <w:color w:val="auto"/>
              </w:rPr>
              <w:t>详见第三章</w:t>
            </w:r>
          </w:p>
        </w:tc>
      </w:tr>
      <w:tr w14:paraId="0E313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113" w:type="dxa"/>
            <w:vAlign w:val="top"/>
          </w:tcPr>
          <w:p w14:paraId="4E6D2E60">
            <w:pPr>
              <w:pStyle w:val="20"/>
              <w:spacing w:before="105" w:line="184" w:lineRule="auto"/>
              <w:ind w:left="454"/>
              <w:rPr>
                <w:color w:val="auto"/>
              </w:rPr>
            </w:pPr>
            <w:r>
              <w:rPr>
                <w:color w:val="auto"/>
                <w:spacing w:val="-11"/>
              </w:rPr>
              <w:t>14</w:t>
            </w:r>
          </w:p>
        </w:tc>
        <w:tc>
          <w:tcPr>
            <w:tcW w:w="2230" w:type="dxa"/>
            <w:vAlign w:val="top"/>
          </w:tcPr>
          <w:p w14:paraId="47A68562">
            <w:pPr>
              <w:pStyle w:val="20"/>
              <w:spacing w:before="147" w:line="222" w:lineRule="auto"/>
              <w:ind w:left="634"/>
              <w:rPr>
                <w:color w:val="auto"/>
              </w:rPr>
            </w:pPr>
            <w:r>
              <w:rPr>
                <w:color w:val="auto"/>
                <w:spacing w:val="-1"/>
              </w:rPr>
              <w:t>现场踏勘</w:t>
            </w:r>
          </w:p>
        </w:tc>
        <w:tc>
          <w:tcPr>
            <w:tcW w:w="6951" w:type="dxa"/>
            <w:vAlign w:val="top"/>
          </w:tcPr>
          <w:p w14:paraId="49FCEEEC">
            <w:pPr>
              <w:pStyle w:val="20"/>
              <w:spacing w:before="137" w:line="239" w:lineRule="auto"/>
              <w:ind w:left="170"/>
              <w:rPr>
                <w:color w:val="auto"/>
              </w:rPr>
            </w:pPr>
            <w:r>
              <w:rPr>
                <w:color w:val="auto"/>
                <w:spacing w:val="-12"/>
              </w:rPr>
              <w:t>√不组织</w:t>
            </w:r>
            <w:r>
              <w:rPr>
                <w:rFonts w:ascii="Wingdings" w:hAnsi="Wingdings" w:eastAsia="Wingdings" w:cs="Wingdings"/>
                <w:color w:val="auto"/>
                <w:spacing w:val="-12"/>
              </w:rPr>
              <w:t></w:t>
            </w:r>
            <w:r>
              <w:rPr>
                <w:color w:val="auto"/>
                <w:spacing w:val="-12"/>
              </w:rPr>
              <w:t>组织</w:t>
            </w:r>
          </w:p>
        </w:tc>
      </w:tr>
      <w:tr w14:paraId="53775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3BEAC041">
            <w:pPr>
              <w:pStyle w:val="20"/>
              <w:spacing w:before="153" w:line="184" w:lineRule="auto"/>
              <w:ind w:left="454"/>
              <w:rPr>
                <w:color w:val="auto"/>
              </w:rPr>
            </w:pPr>
            <w:r>
              <w:rPr>
                <w:color w:val="auto"/>
                <w:spacing w:val="-11"/>
              </w:rPr>
              <w:t>15</w:t>
            </w:r>
          </w:p>
        </w:tc>
        <w:tc>
          <w:tcPr>
            <w:tcW w:w="2230" w:type="dxa"/>
            <w:vAlign w:val="top"/>
          </w:tcPr>
          <w:p w14:paraId="6FE3BA32">
            <w:pPr>
              <w:pStyle w:val="20"/>
              <w:spacing w:before="39"/>
              <w:ind w:left="643"/>
              <w:rPr>
                <w:color w:val="auto"/>
              </w:rPr>
            </w:pPr>
            <w:r>
              <w:rPr>
                <w:color w:val="auto"/>
                <w:spacing w:val="-3"/>
              </w:rPr>
              <w:t>响应文件</w:t>
            </w:r>
          </w:p>
          <w:p w14:paraId="5875B253">
            <w:pPr>
              <w:pStyle w:val="20"/>
              <w:spacing w:before="1" w:line="203" w:lineRule="auto"/>
              <w:ind w:left="757"/>
              <w:rPr>
                <w:color w:val="auto"/>
              </w:rPr>
            </w:pPr>
            <w:r>
              <w:rPr>
                <w:color w:val="auto"/>
                <w:spacing w:val="-2"/>
              </w:rPr>
              <w:t>有效期</w:t>
            </w:r>
          </w:p>
        </w:tc>
        <w:tc>
          <w:tcPr>
            <w:tcW w:w="6951" w:type="dxa"/>
            <w:vAlign w:val="top"/>
          </w:tcPr>
          <w:p w14:paraId="487953A3">
            <w:pPr>
              <w:pStyle w:val="20"/>
              <w:spacing w:before="116" w:line="220" w:lineRule="auto"/>
              <w:ind w:left="111"/>
              <w:rPr>
                <w:color w:val="auto"/>
              </w:rPr>
            </w:pPr>
            <w:r>
              <w:rPr>
                <w:color w:val="auto"/>
                <w:spacing w:val="1"/>
              </w:rPr>
              <w:t>提交响应文件的截止之日起</w:t>
            </w:r>
            <w:r>
              <w:rPr>
                <w:rFonts w:hint="eastAsia"/>
                <w:color w:val="auto"/>
                <w:spacing w:val="1"/>
                <w:lang w:val="en-US" w:eastAsia="zh-CN"/>
              </w:rPr>
              <w:t>45</w:t>
            </w:r>
            <w:r>
              <w:rPr>
                <w:color w:val="auto"/>
                <w:spacing w:val="1"/>
              </w:rPr>
              <w:t>天</w:t>
            </w:r>
          </w:p>
        </w:tc>
      </w:tr>
      <w:tr w14:paraId="48AB8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D9A8476">
            <w:pPr>
              <w:pStyle w:val="20"/>
              <w:spacing w:before="126" w:line="184" w:lineRule="auto"/>
              <w:ind w:left="454"/>
              <w:rPr>
                <w:color w:val="auto"/>
              </w:rPr>
            </w:pPr>
            <w:r>
              <w:rPr>
                <w:color w:val="auto"/>
                <w:spacing w:val="-11"/>
              </w:rPr>
              <w:t>16</w:t>
            </w:r>
          </w:p>
        </w:tc>
        <w:tc>
          <w:tcPr>
            <w:tcW w:w="2230" w:type="dxa"/>
            <w:vAlign w:val="top"/>
          </w:tcPr>
          <w:p w14:paraId="069AA95B">
            <w:pPr>
              <w:pStyle w:val="20"/>
              <w:spacing w:before="165" w:line="222" w:lineRule="auto"/>
              <w:ind w:left="632"/>
              <w:rPr>
                <w:color w:val="auto"/>
              </w:rPr>
            </w:pPr>
            <w:r>
              <w:rPr>
                <w:color w:val="auto"/>
                <w:spacing w:val="-1"/>
              </w:rPr>
              <w:t>投标报价</w:t>
            </w:r>
          </w:p>
        </w:tc>
        <w:tc>
          <w:tcPr>
            <w:tcW w:w="6951" w:type="dxa"/>
            <w:vAlign w:val="top"/>
          </w:tcPr>
          <w:p w14:paraId="7106DA06">
            <w:pPr>
              <w:pStyle w:val="20"/>
              <w:spacing w:before="166" w:line="221" w:lineRule="auto"/>
              <w:ind w:left="111"/>
              <w:rPr>
                <w:color w:val="auto"/>
              </w:rPr>
            </w:pPr>
            <w:r>
              <w:rPr>
                <w:color w:val="auto"/>
                <w:spacing w:val="2"/>
              </w:rPr>
              <w:t>投标报价应包含税金及本项目所产生的全部费用</w:t>
            </w:r>
          </w:p>
        </w:tc>
      </w:tr>
      <w:tr w14:paraId="63382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3" w:type="dxa"/>
            <w:vAlign w:val="top"/>
          </w:tcPr>
          <w:p w14:paraId="4E679895">
            <w:pPr>
              <w:pStyle w:val="20"/>
              <w:spacing w:before="154" w:line="184" w:lineRule="auto"/>
              <w:ind w:left="454"/>
              <w:rPr>
                <w:color w:val="auto"/>
              </w:rPr>
            </w:pPr>
            <w:r>
              <w:rPr>
                <w:color w:val="auto"/>
                <w:spacing w:val="-11"/>
              </w:rPr>
              <w:t>17</w:t>
            </w:r>
          </w:p>
        </w:tc>
        <w:tc>
          <w:tcPr>
            <w:tcW w:w="2230" w:type="dxa"/>
            <w:vAlign w:val="top"/>
          </w:tcPr>
          <w:p w14:paraId="28408EFC">
            <w:pPr>
              <w:pStyle w:val="20"/>
              <w:spacing w:before="40" w:line="238" w:lineRule="auto"/>
              <w:ind w:left="639"/>
              <w:rPr>
                <w:color w:val="auto"/>
              </w:rPr>
            </w:pPr>
            <w:r>
              <w:rPr>
                <w:color w:val="auto"/>
                <w:spacing w:val="-2"/>
              </w:rPr>
              <w:t>是否接受</w:t>
            </w:r>
          </w:p>
          <w:p w14:paraId="257834A3">
            <w:pPr>
              <w:pStyle w:val="20"/>
              <w:spacing w:before="1" w:line="206" w:lineRule="auto"/>
              <w:ind w:left="515"/>
              <w:rPr>
                <w:color w:val="auto"/>
              </w:rPr>
            </w:pPr>
            <w:r>
              <w:rPr>
                <w:color w:val="auto"/>
                <w:spacing w:val="-1"/>
              </w:rPr>
              <w:t>联合体投标</w:t>
            </w:r>
          </w:p>
        </w:tc>
        <w:tc>
          <w:tcPr>
            <w:tcW w:w="6951" w:type="dxa"/>
            <w:vAlign w:val="top"/>
          </w:tcPr>
          <w:p w14:paraId="6A7FE3E9">
            <w:pPr>
              <w:pStyle w:val="20"/>
              <w:spacing w:before="106" w:line="239" w:lineRule="auto"/>
              <w:ind w:left="170"/>
              <w:rPr>
                <w:color w:val="auto"/>
              </w:rPr>
            </w:pPr>
            <w:r>
              <w:rPr>
                <w:color w:val="auto"/>
                <w:spacing w:val="-12"/>
              </w:rPr>
              <w:t>√不接受</w:t>
            </w:r>
            <w:r>
              <w:rPr>
                <w:rFonts w:ascii="Wingdings" w:hAnsi="Wingdings" w:eastAsia="Wingdings" w:cs="Wingdings"/>
                <w:color w:val="auto"/>
                <w:spacing w:val="-12"/>
              </w:rPr>
              <w:t></w:t>
            </w:r>
            <w:r>
              <w:rPr>
                <w:color w:val="auto"/>
                <w:spacing w:val="-12"/>
              </w:rPr>
              <w:t>接受</w:t>
            </w:r>
          </w:p>
        </w:tc>
      </w:tr>
    </w:tbl>
    <w:p w14:paraId="7873B818">
      <w:pPr>
        <w:pStyle w:val="5"/>
        <w:rPr>
          <w:color w:val="auto"/>
        </w:rPr>
      </w:pPr>
    </w:p>
    <w:tbl>
      <w:tblPr>
        <w:tblStyle w:val="19"/>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0"/>
        <w:gridCol w:w="6951"/>
      </w:tblGrid>
      <w:tr w14:paraId="77648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1113" w:type="dxa"/>
            <w:vAlign w:val="top"/>
          </w:tcPr>
          <w:p w14:paraId="6B642E52">
            <w:pPr>
              <w:spacing w:line="260" w:lineRule="auto"/>
              <w:rPr>
                <w:rFonts w:ascii="Arial"/>
                <w:color w:val="auto"/>
                <w:sz w:val="21"/>
              </w:rPr>
            </w:pPr>
          </w:p>
          <w:p w14:paraId="5846EF74">
            <w:pPr>
              <w:spacing w:line="261" w:lineRule="auto"/>
              <w:rPr>
                <w:rFonts w:ascii="Arial"/>
                <w:color w:val="auto"/>
                <w:sz w:val="21"/>
              </w:rPr>
            </w:pPr>
          </w:p>
          <w:p w14:paraId="1A0019BC">
            <w:pPr>
              <w:spacing w:line="261" w:lineRule="auto"/>
              <w:rPr>
                <w:rFonts w:ascii="Arial"/>
                <w:color w:val="auto"/>
                <w:sz w:val="21"/>
              </w:rPr>
            </w:pPr>
          </w:p>
          <w:p w14:paraId="455D2977">
            <w:pPr>
              <w:spacing w:line="261" w:lineRule="auto"/>
              <w:rPr>
                <w:rFonts w:ascii="Arial"/>
                <w:color w:val="auto"/>
                <w:sz w:val="21"/>
              </w:rPr>
            </w:pPr>
          </w:p>
          <w:p w14:paraId="48BD1AAE">
            <w:pPr>
              <w:spacing w:line="261" w:lineRule="auto"/>
              <w:rPr>
                <w:rFonts w:ascii="Arial"/>
                <w:color w:val="auto"/>
                <w:sz w:val="21"/>
              </w:rPr>
            </w:pPr>
          </w:p>
          <w:p w14:paraId="23B23FCA">
            <w:pPr>
              <w:spacing w:line="261" w:lineRule="auto"/>
              <w:rPr>
                <w:rFonts w:ascii="Arial"/>
                <w:color w:val="auto"/>
                <w:sz w:val="21"/>
              </w:rPr>
            </w:pPr>
          </w:p>
          <w:p w14:paraId="102E6916">
            <w:pPr>
              <w:pStyle w:val="20"/>
              <w:spacing w:before="78" w:line="184" w:lineRule="auto"/>
              <w:ind w:left="454"/>
              <w:rPr>
                <w:color w:val="auto"/>
                <w:spacing w:val="-11"/>
              </w:rPr>
            </w:pPr>
          </w:p>
          <w:p w14:paraId="269924CD">
            <w:pPr>
              <w:pStyle w:val="20"/>
              <w:spacing w:before="78" w:line="184" w:lineRule="auto"/>
              <w:ind w:left="454"/>
              <w:rPr>
                <w:color w:val="auto"/>
                <w:spacing w:val="-11"/>
              </w:rPr>
            </w:pPr>
          </w:p>
          <w:p w14:paraId="20F65FC0">
            <w:pPr>
              <w:pStyle w:val="20"/>
              <w:spacing w:before="78" w:line="184" w:lineRule="auto"/>
              <w:ind w:left="454"/>
              <w:rPr>
                <w:color w:val="auto"/>
                <w:spacing w:val="-11"/>
              </w:rPr>
            </w:pPr>
          </w:p>
          <w:p w14:paraId="3F7423B3">
            <w:pPr>
              <w:pStyle w:val="20"/>
              <w:spacing w:before="78" w:line="184" w:lineRule="auto"/>
              <w:ind w:left="454"/>
              <w:rPr>
                <w:color w:val="auto"/>
                <w:spacing w:val="-11"/>
              </w:rPr>
            </w:pPr>
          </w:p>
          <w:p w14:paraId="56DCC9F0">
            <w:pPr>
              <w:pStyle w:val="20"/>
              <w:spacing w:before="78" w:line="184" w:lineRule="auto"/>
              <w:ind w:left="454"/>
              <w:rPr>
                <w:color w:val="auto"/>
              </w:rPr>
            </w:pPr>
            <w:r>
              <w:rPr>
                <w:color w:val="auto"/>
                <w:spacing w:val="-11"/>
              </w:rPr>
              <w:t>18</w:t>
            </w:r>
          </w:p>
        </w:tc>
        <w:tc>
          <w:tcPr>
            <w:tcW w:w="2230" w:type="dxa"/>
            <w:vAlign w:val="top"/>
          </w:tcPr>
          <w:p w14:paraId="4BB1D0F1">
            <w:pPr>
              <w:spacing w:line="259" w:lineRule="auto"/>
              <w:rPr>
                <w:rFonts w:ascii="Arial"/>
                <w:color w:val="auto"/>
                <w:sz w:val="21"/>
              </w:rPr>
            </w:pPr>
          </w:p>
          <w:p w14:paraId="02B60C87">
            <w:pPr>
              <w:spacing w:line="259" w:lineRule="auto"/>
              <w:rPr>
                <w:rFonts w:ascii="Arial"/>
                <w:color w:val="auto"/>
                <w:sz w:val="21"/>
              </w:rPr>
            </w:pPr>
          </w:p>
          <w:p w14:paraId="5E25A751">
            <w:pPr>
              <w:spacing w:line="259" w:lineRule="auto"/>
              <w:rPr>
                <w:rFonts w:ascii="Arial"/>
                <w:color w:val="auto"/>
                <w:sz w:val="21"/>
              </w:rPr>
            </w:pPr>
          </w:p>
          <w:p w14:paraId="5979E0E4">
            <w:pPr>
              <w:spacing w:line="260" w:lineRule="auto"/>
              <w:rPr>
                <w:rFonts w:ascii="Arial"/>
                <w:color w:val="auto"/>
                <w:sz w:val="21"/>
              </w:rPr>
            </w:pPr>
          </w:p>
          <w:p w14:paraId="2246C563">
            <w:pPr>
              <w:spacing w:line="260" w:lineRule="auto"/>
              <w:rPr>
                <w:rFonts w:ascii="Arial"/>
                <w:color w:val="auto"/>
                <w:sz w:val="21"/>
              </w:rPr>
            </w:pPr>
          </w:p>
          <w:p w14:paraId="1BAE5835">
            <w:pPr>
              <w:spacing w:line="260" w:lineRule="auto"/>
              <w:rPr>
                <w:rFonts w:ascii="Arial"/>
                <w:color w:val="auto"/>
                <w:sz w:val="21"/>
              </w:rPr>
            </w:pPr>
          </w:p>
          <w:p w14:paraId="4137C71F">
            <w:pPr>
              <w:spacing w:line="260" w:lineRule="auto"/>
              <w:rPr>
                <w:rFonts w:ascii="Arial"/>
                <w:color w:val="auto"/>
                <w:sz w:val="21"/>
              </w:rPr>
            </w:pPr>
          </w:p>
          <w:p w14:paraId="095E5B59">
            <w:pPr>
              <w:pStyle w:val="20"/>
              <w:spacing w:before="78" w:line="468" w:lineRule="exact"/>
              <w:ind w:left="755"/>
              <w:rPr>
                <w:color w:val="auto"/>
              </w:rPr>
            </w:pPr>
            <w:r>
              <w:rPr>
                <w:color w:val="auto"/>
                <w:spacing w:val="-2"/>
                <w:position w:val="17"/>
              </w:rPr>
              <w:t>供应商</w:t>
            </w:r>
          </w:p>
          <w:p w14:paraId="5A3A87C6">
            <w:pPr>
              <w:pStyle w:val="20"/>
              <w:spacing w:line="221" w:lineRule="auto"/>
              <w:ind w:left="642"/>
              <w:rPr>
                <w:color w:val="auto"/>
              </w:rPr>
            </w:pPr>
            <w:r>
              <w:rPr>
                <w:color w:val="auto"/>
                <w:spacing w:val="-3"/>
              </w:rPr>
              <w:t>资质条件</w:t>
            </w:r>
          </w:p>
        </w:tc>
        <w:tc>
          <w:tcPr>
            <w:tcW w:w="6951" w:type="dxa"/>
            <w:vAlign w:val="top"/>
          </w:tcPr>
          <w:p w14:paraId="183D06A6">
            <w:pPr>
              <w:pStyle w:val="20"/>
              <w:spacing w:before="24" w:line="207" w:lineRule="auto"/>
              <w:ind w:left="114"/>
              <w:rPr>
                <w:color w:val="auto"/>
              </w:rPr>
            </w:pPr>
            <w:r>
              <w:rPr>
                <w:color w:val="auto"/>
              </w:rPr>
              <w:t>1.满足《中华人民共和国政府采购法》第二十二条规定；</w:t>
            </w:r>
          </w:p>
          <w:p w14:paraId="14EE8BF4">
            <w:pPr>
              <w:pStyle w:val="20"/>
              <w:spacing w:before="24" w:line="207" w:lineRule="auto"/>
              <w:ind w:left="114"/>
              <w:rPr>
                <w:color w:val="auto"/>
              </w:rPr>
            </w:pPr>
            <w:r>
              <w:rPr>
                <w:color w:val="auto"/>
              </w:rPr>
              <w:t>2.落实政府采购政策需满足的资格要求：</w:t>
            </w:r>
            <w:r>
              <w:rPr>
                <w:rFonts w:hint="eastAsia"/>
                <w:color w:val="auto"/>
                <w:lang w:val="en-US" w:eastAsia="zh-CN"/>
              </w:rPr>
              <w:t>本项目专门面向中小企业</w:t>
            </w:r>
            <w:r>
              <w:rPr>
                <w:rFonts w:hint="eastAsia"/>
                <w:color w:val="auto"/>
              </w:rPr>
              <w:t>,符合（1）《政府采购促进中小企业发展暂行办法》（财库[2020]46 号）；（2）《关于促进残疾人就业政府采购政策的通知》 (财库〔2017〕141 号);（3）《财政部环保总局关于环境标志产品政府采购实施的意见》(财库〔2006〕90 号)。注： 以上政策不重复享受。如属于上述企业需按招标文件要求提供相关资料。</w:t>
            </w:r>
          </w:p>
          <w:p w14:paraId="0C2B4AF3">
            <w:pPr>
              <w:pStyle w:val="20"/>
              <w:spacing w:before="24" w:line="207" w:lineRule="auto"/>
              <w:ind w:left="114"/>
              <w:rPr>
                <w:color w:val="auto"/>
              </w:rPr>
            </w:pPr>
            <w:r>
              <w:rPr>
                <w:color w:val="auto"/>
              </w:rPr>
              <w:t>3.本项目的特定资格要求：</w:t>
            </w:r>
          </w:p>
          <w:p w14:paraId="3D836DE8">
            <w:pPr>
              <w:pStyle w:val="20"/>
              <w:spacing w:before="24" w:line="207" w:lineRule="auto"/>
              <w:rPr>
                <w:color w:val="auto"/>
              </w:rPr>
            </w:pPr>
            <w:r>
              <w:rPr>
                <w:color w:val="auto"/>
              </w:rPr>
              <w:t>（1）在中华人民共和国境内注册，具有有效的营业执照；</w:t>
            </w:r>
          </w:p>
          <w:p w14:paraId="18544EDE">
            <w:pPr>
              <w:pStyle w:val="20"/>
              <w:spacing w:before="24" w:line="207" w:lineRule="auto"/>
              <w:rPr>
                <w:rFonts w:hint="eastAsia"/>
                <w:color w:val="auto"/>
                <w:lang w:eastAsia="zh-CN"/>
              </w:rPr>
            </w:pPr>
            <w:r>
              <w:rPr>
                <w:color w:val="auto"/>
              </w:rPr>
              <w:t>(2) 资质条件：</w:t>
            </w:r>
            <w:r>
              <w:rPr>
                <w:rFonts w:hint="eastAsia"/>
                <w:color w:val="auto"/>
                <w:lang w:val="en-US" w:eastAsia="zh-CN"/>
              </w:rPr>
              <w:t>公路工程施工总承包叁级及以上资质，持有有效的安全生产许可证</w:t>
            </w:r>
            <w:r>
              <w:rPr>
                <w:rFonts w:hint="eastAsia"/>
                <w:color w:val="auto"/>
                <w:lang w:eastAsia="zh-CN"/>
              </w:rPr>
              <w:t>；（</w:t>
            </w:r>
            <w:r>
              <w:rPr>
                <w:rFonts w:hint="eastAsia"/>
                <w:color w:val="auto"/>
                <w:lang w:val="en-US" w:eastAsia="zh-CN"/>
              </w:rPr>
              <w:t>如供应商</w:t>
            </w:r>
            <w:r>
              <w:rPr>
                <w:rFonts w:hint="eastAsia"/>
                <w:color w:val="auto"/>
                <w:lang w:eastAsia="zh-CN"/>
              </w:rPr>
              <w:t>具备公路工程施工总承包一级及以上资质的投标人应进入交通运输部“全国公路建设市场信用信息管理系统”中的公路工程施工资质企业名录，且投标人名称和资质与该名录中的相应企业名称和资质完全一致。</w:t>
            </w:r>
            <w:r>
              <w:rPr>
                <w:rFonts w:hint="eastAsia"/>
                <w:color w:val="auto"/>
                <w:lang w:val="en-US" w:eastAsia="zh-CN"/>
              </w:rPr>
              <w:t>如供应商</w:t>
            </w:r>
            <w:r>
              <w:rPr>
                <w:rFonts w:hint="eastAsia"/>
                <w:color w:val="auto"/>
                <w:lang w:eastAsia="zh-CN"/>
              </w:rPr>
              <w:t>具备公路工程施工总承包二级及以下资质的投标人须已被列入“新疆维吾尔自治区公路建设市场信用信息管理系统”，且投标人名称和资质与系统中相应企业名称和资质完全一致；）</w:t>
            </w:r>
          </w:p>
          <w:p w14:paraId="7C30BC34">
            <w:pPr>
              <w:pStyle w:val="20"/>
              <w:spacing w:before="24" w:line="207" w:lineRule="auto"/>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)项目负责人资格：</w:t>
            </w:r>
            <w:r>
              <w:rPr>
                <w:rFonts w:hint="eastAsia"/>
                <w:color w:val="auto"/>
                <w:lang w:val="en-US" w:eastAsia="zh-CN"/>
              </w:rPr>
              <w:t>具有公路工程专业二级及以上注册建造师证书，注册单位必须与投标人名称一致；持有有效的交通运输主管部门颁发的安全生产考核合格证书(B类)；且未担任其他建设工程项目的项目经理。</w:t>
            </w:r>
          </w:p>
          <w:p w14:paraId="6503B574">
            <w:pPr>
              <w:pStyle w:val="20"/>
              <w:spacing w:before="24" w:line="207" w:lineRule="auto"/>
              <w:ind w:left="114"/>
              <w:rPr>
                <w:color w:val="auto"/>
              </w:rPr>
            </w:pPr>
            <w:r>
              <w:rPr>
                <w:color w:val="auto"/>
              </w:rPr>
              <w:t>(</w:t>
            </w:r>
            <w:r>
              <w:rPr>
                <w:rFonts w:hint="eastAsia"/>
                <w:color w:val="auto"/>
                <w:lang w:val="en-US" w:eastAsia="zh-CN"/>
              </w:rPr>
              <w:t>4</w:t>
            </w:r>
            <w:r>
              <w:rPr>
                <w:color w:val="auto"/>
              </w:rPr>
              <w:t>)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p w14:paraId="44FD2CA9">
            <w:pPr>
              <w:pStyle w:val="20"/>
              <w:spacing w:before="24" w:line="207" w:lineRule="auto"/>
              <w:ind w:left="114"/>
              <w:rPr>
                <w:color w:val="auto"/>
              </w:rPr>
            </w:pPr>
          </w:p>
        </w:tc>
      </w:tr>
      <w:tr w14:paraId="3431C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5CD6F87C">
            <w:pPr>
              <w:pStyle w:val="20"/>
              <w:spacing w:before="151" w:line="184" w:lineRule="auto"/>
              <w:ind w:left="454"/>
              <w:rPr>
                <w:color w:val="auto"/>
              </w:rPr>
            </w:pPr>
            <w:r>
              <w:rPr>
                <w:color w:val="auto"/>
                <w:spacing w:val="-11"/>
              </w:rPr>
              <w:t>19</w:t>
            </w:r>
          </w:p>
        </w:tc>
        <w:tc>
          <w:tcPr>
            <w:tcW w:w="2230" w:type="dxa"/>
            <w:vAlign w:val="top"/>
          </w:tcPr>
          <w:p w14:paraId="3AD60A13">
            <w:pPr>
              <w:pStyle w:val="20"/>
              <w:spacing w:before="37" w:line="223" w:lineRule="auto"/>
              <w:ind w:left="392" w:right="390" w:firstLine="4"/>
              <w:rPr>
                <w:color w:val="auto"/>
              </w:rPr>
            </w:pPr>
            <w:r>
              <w:rPr>
                <w:color w:val="auto"/>
                <w:spacing w:val="-1"/>
              </w:rPr>
              <w:t>是否允许递交</w:t>
            </w:r>
            <w:r>
              <w:rPr>
                <w:color w:val="auto"/>
              </w:rPr>
              <w:t>备选投标方案</w:t>
            </w:r>
          </w:p>
        </w:tc>
        <w:tc>
          <w:tcPr>
            <w:tcW w:w="6951" w:type="dxa"/>
            <w:vAlign w:val="top"/>
          </w:tcPr>
          <w:p w14:paraId="743731AA">
            <w:pPr>
              <w:pStyle w:val="20"/>
              <w:spacing w:before="190" w:line="222" w:lineRule="auto"/>
              <w:ind w:left="170"/>
              <w:rPr>
                <w:color w:val="auto"/>
              </w:rPr>
            </w:pPr>
            <w:r>
              <w:rPr>
                <w:color w:val="auto"/>
                <w:spacing w:val="-11"/>
              </w:rPr>
              <w:t>√不允许□允许</w:t>
            </w:r>
          </w:p>
        </w:tc>
      </w:tr>
      <w:tr w14:paraId="3083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13" w:type="dxa"/>
            <w:vAlign w:val="top"/>
          </w:tcPr>
          <w:p w14:paraId="0ECED1BA">
            <w:pPr>
              <w:spacing w:line="380" w:lineRule="auto"/>
              <w:rPr>
                <w:rFonts w:ascii="Arial"/>
                <w:color w:val="auto"/>
                <w:sz w:val="21"/>
              </w:rPr>
            </w:pPr>
          </w:p>
          <w:p w14:paraId="678AF3AE">
            <w:pPr>
              <w:pStyle w:val="20"/>
              <w:spacing w:before="78" w:line="185" w:lineRule="auto"/>
              <w:ind w:left="440"/>
              <w:rPr>
                <w:color w:val="auto"/>
              </w:rPr>
            </w:pPr>
            <w:r>
              <w:rPr>
                <w:color w:val="auto"/>
                <w:spacing w:val="-4"/>
              </w:rPr>
              <w:t>20</w:t>
            </w:r>
          </w:p>
        </w:tc>
        <w:tc>
          <w:tcPr>
            <w:tcW w:w="2230" w:type="dxa"/>
            <w:vAlign w:val="top"/>
          </w:tcPr>
          <w:p w14:paraId="1677B739">
            <w:pPr>
              <w:pStyle w:val="20"/>
              <w:spacing w:before="192" w:line="466" w:lineRule="exact"/>
              <w:ind w:left="149"/>
              <w:rPr>
                <w:color w:val="auto"/>
              </w:rPr>
            </w:pPr>
            <w:r>
              <w:rPr>
                <w:color w:val="auto"/>
                <w:spacing w:val="1"/>
                <w:position w:val="16"/>
              </w:rPr>
              <w:t>竞争性磋商文件领</w:t>
            </w:r>
          </w:p>
          <w:p w14:paraId="27737901">
            <w:pPr>
              <w:pStyle w:val="20"/>
              <w:spacing w:before="1" w:line="220" w:lineRule="auto"/>
              <w:ind w:left="1004"/>
              <w:rPr>
                <w:color w:val="auto"/>
              </w:rPr>
            </w:pPr>
            <w:r>
              <w:rPr>
                <w:color w:val="auto"/>
              </w:rPr>
              <w:t>取</w:t>
            </w:r>
          </w:p>
        </w:tc>
        <w:tc>
          <w:tcPr>
            <w:tcW w:w="6951" w:type="dxa"/>
            <w:vAlign w:val="top"/>
          </w:tcPr>
          <w:p w14:paraId="31E386EC">
            <w:pPr>
              <w:pStyle w:val="20"/>
              <w:spacing w:before="37" w:line="231" w:lineRule="auto"/>
              <w:ind w:left="111" w:right="110"/>
              <w:jc w:val="both"/>
              <w:rPr>
                <w:color w:val="auto"/>
              </w:rPr>
            </w:pPr>
            <w:r>
              <w:rPr>
                <w:color w:val="auto"/>
                <w:spacing w:val="2"/>
              </w:rPr>
              <w:t>供应商登陆政采云平</w:t>
            </w:r>
            <w:r>
              <w:rPr>
                <w:color w:val="auto"/>
              </w:rPr>
              <w:fldChar w:fldCharType="begin"/>
            </w:r>
            <w:r>
              <w:rPr>
                <w:color w:val="auto"/>
              </w:rPr>
              <w:instrText xml:space="preserve">HYPERLINK"http://www.zcygov.cn/"</w:instrText>
            </w:r>
            <w:r>
              <w:rPr>
                <w:color w:val="auto"/>
              </w:rPr>
              <w:fldChar w:fldCharType="separate"/>
            </w:r>
            <w:r>
              <w:rPr>
                <w:color w:val="auto"/>
              </w:rPr>
              <w:t>http</w:t>
            </w:r>
            <w:r>
              <w:rPr>
                <w:color w:val="auto"/>
                <w:spacing w:val="2"/>
              </w:rPr>
              <w:t>://</w:t>
            </w:r>
            <w:r>
              <w:rPr>
                <w:color w:val="auto"/>
              </w:rPr>
              <w:t>www</w:t>
            </w:r>
            <w:r>
              <w:rPr>
                <w:color w:val="auto"/>
                <w:spacing w:val="2"/>
              </w:rPr>
              <w:t>.</w:t>
            </w:r>
            <w:r>
              <w:rPr>
                <w:color w:val="auto"/>
              </w:rPr>
              <w:t>zcygov</w:t>
            </w:r>
            <w:r>
              <w:rPr>
                <w:color w:val="auto"/>
                <w:spacing w:val="2"/>
              </w:rPr>
              <w:t>.</w:t>
            </w:r>
            <w:r>
              <w:rPr>
                <w:color w:val="auto"/>
              </w:rPr>
              <w:t>cn</w:t>
            </w:r>
            <w:r>
              <w:rPr>
                <w:color w:val="auto"/>
                <w:spacing w:val="2"/>
              </w:rPr>
              <w:t>/</w:t>
            </w:r>
            <w:r>
              <w:rPr>
                <w:color w:val="auto"/>
                <w:spacing w:val="2"/>
              </w:rPr>
              <w:fldChar w:fldCharType="end"/>
            </w:r>
            <w:r>
              <w:rPr>
                <w:color w:val="auto"/>
                <w:spacing w:val="2"/>
              </w:rPr>
              <w:t>在线申请获取（登</w:t>
            </w:r>
            <w:r>
              <w:rPr>
                <w:color w:val="auto"/>
                <w:spacing w:val="-1"/>
              </w:rPr>
              <w:t>录政府采购云平台→项目采购→获取竞争性磋商文件→申请，审</w:t>
            </w:r>
            <w:r>
              <w:rPr>
                <w:color w:val="auto"/>
              </w:rPr>
              <w:t>核通过后可下载竞争性磋商文件，如有操作性问题，可与政采云</w:t>
            </w:r>
            <w:r>
              <w:rPr>
                <w:color w:val="auto"/>
                <w:spacing w:val="1"/>
              </w:rPr>
              <w:t>在线客服进行咨询，咨询电话：400-881-7190。</w:t>
            </w:r>
          </w:p>
        </w:tc>
      </w:tr>
      <w:tr w14:paraId="502C7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55C591E2">
            <w:pPr>
              <w:pStyle w:val="20"/>
              <w:spacing w:before="150" w:line="185" w:lineRule="auto"/>
              <w:ind w:left="440"/>
              <w:rPr>
                <w:color w:val="auto"/>
              </w:rPr>
            </w:pPr>
            <w:r>
              <w:rPr>
                <w:color w:val="auto"/>
                <w:spacing w:val="-4"/>
              </w:rPr>
              <w:t>21</w:t>
            </w:r>
          </w:p>
        </w:tc>
        <w:tc>
          <w:tcPr>
            <w:tcW w:w="2230" w:type="dxa"/>
            <w:vAlign w:val="top"/>
          </w:tcPr>
          <w:p w14:paraId="354B9D76">
            <w:pPr>
              <w:pStyle w:val="20"/>
              <w:spacing w:before="37" w:line="223" w:lineRule="auto"/>
              <w:ind w:left="632" w:right="419" w:hanging="240"/>
              <w:rPr>
                <w:color w:val="auto"/>
              </w:rPr>
            </w:pPr>
            <w:r>
              <w:rPr>
                <w:color w:val="auto"/>
                <w:spacing w:val="-5"/>
              </w:rPr>
              <w:t>签字和（或）</w:t>
            </w:r>
            <w:r>
              <w:rPr>
                <w:color w:val="auto"/>
                <w:spacing w:val="-1"/>
              </w:rPr>
              <w:t>盖章要求</w:t>
            </w:r>
          </w:p>
        </w:tc>
        <w:tc>
          <w:tcPr>
            <w:tcW w:w="6951" w:type="dxa"/>
            <w:vAlign w:val="top"/>
          </w:tcPr>
          <w:p w14:paraId="64282C27">
            <w:pPr>
              <w:pStyle w:val="20"/>
              <w:spacing w:before="24" w:line="205" w:lineRule="auto"/>
              <w:ind w:left="111"/>
              <w:rPr>
                <w:color w:val="auto"/>
              </w:rPr>
            </w:pPr>
            <w:r>
              <w:rPr>
                <w:rFonts w:hint="eastAsia"/>
                <w:color w:val="auto"/>
              </w:rPr>
              <w:t>规定处需加盖公章，并由投标人法定代表人或其委托代理人签字或盖章。</w:t>
            </w:r>
          </w:p>
        </w:tc>
      </w:tr>
      <w:tr w14:paraId="53EEE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3" w:type="dxa"/>
            <w:vAlign w:val="top"/>
          </w:tcPr>
          <w:p w14:paraId="274752FB">
            <w:pPr>
              <w:pStyle w:val="20"/>
              <w:spacing w:before="78" w:line="185" w:lineRule="auto"/>
              <w:jc w:val="center"/>
              <w:rPr>
                <w:rFonts w:ascii="黑体" w:hAnsi="黑体" w:eastAsia="黑体" w:cs="黑体"/>
                <w:snapToGrid w:val="0"/>
                <w:color w:val="auto"/>
                <w:spacing w:val="-5"/>
                <w:kern w:val="0"/>
                <w:sz w:val="24"/>
                <w:szCs w:val="24"/>
                <w:lang w:val="en-US" w:eastAsia="en-US" w:bidi="ar-SA"/>
              </w:rPr>
            </w:pPr>
          </w:p>
          <w:p w14:paraId="458655D0">
            <w:pPr>
              <w:pStyle w:val="20"/>
              <w:spacing w:before="78" w:line="185" w:lineRule="auto"/>
              <w:jc w:val="center"/>
              <w:rPr>
                <w:rFonts w:ascii="黑体" w:hAnsi="黑体" w:eastAsia="黑体" w:cs="黑体"/>
                <w:snapToGrid w:val="0"/>
                <w:color w:val="auto"/>
                <w:spacing w:val="-5"/>
                <w:kern w:val="0"/>
                <w:sz w:val="24"/>
                <w:szCs w:val="24"/>
                <w:lang w:val="en-US" w:eastAsia="en-US" w:bidi="ar-SA"/>
              </w:rPr>
            </w:pPr>
            <w:r>
              <w:rPr>
                <w:rFonts w:ascii="黑体" w:hAnsi="黑体" w:eastAsia="黑体" w:cs="黑体"/>
                <w:snapToGrid w:val="0"/>
                <w:color w:val="auto"/>
                <w:spacing w:val="-5"/>
                <w:kern w:val="0"/>
                <w:sz w:val="24"/>
                <w:szCs w:val="24"/>
                <w:lang w:val="en-US" w:eastAsia="en-US" w:bidi="ar-SA"/>
              </w:rPr>
              <w:t>22</w:t>
            </w:r>
          </w:p>
        </w:tc>
        <w:tc>
          <w:tcPr>
            <w:tcW w:w="2230" w:type="dxa"/>
            <w:vAlign w:val="top"/>
          </w:tcPr>
          <w:p w14:paraId="32750EB0">
            <w:pPr>
              <w:pStyle w:val="20"/>
              <w:spacing w:before="78" w:line="221" w:lineRule="auto"/>
              <w:jc w:val="center"/>
              <w:rPr>
                <w:rFonts w:ascii="黑体" w:hAnsi="黑体" w:eastAsia="黑体" w:cs="黑体"/>
                <w:snapToGrid w:val="0"/>
                <w:color w:val="auto"/>
                <w:spacing w:val="-5"/>
                <w:kern w:val="0"/>
                <w:sz w:val="24"/>
                <w:szCs w:val="24"/>
                <w:lang w:val="en-US" w:eastAsia="en-US" w:bidi="ar-SA"/>
              </w:rPr>
            </w:pPr>
          </w:p>
          <w:p w14:paraId="0F014C5B">
            <w:pPr>
              <w:pStyle w:val="20"/>
              <w:spacing w:before="78" w:line="221" w:lineRule="auto"/>
              <w:jc w:val="center"/>
              <w:rPr>
                <w:rFonts w:ascii="黑体" w:hAnsi="黑体" w:eastAsia="黑体" w:cs="黑体"/>
                <w:snapToGrid w:val="0"/>
                <w:color w:val="auto"/>
                <w:spacing w:val="-5"/>
                <w:kern w:val="0"/>
                <w:sz w:val="24"/>
                <w:szCs w:val="24"/>
                <w:lang w:val="en-US" w:eastAsia="en-US" w:bidi="ar-SA"/>
              </w:rPr>
            </w:pPr>
            <w:r>
              <w:rPr>
                <w:rFonts w:ascii="黑体" w:hAnsi="黑体" w:eastAsia="黑体" w:cs="黑体"/>
                <w:snapToGrid w:val="0"/>
                <w:color w:val="auto"/>
                <w:spacing w:val="-5"/>
                <w:kern w:val="0"/>
                <w:sz w:val="24"/>
                <w:szCs w:val="24"/>
                <w:lang w:val="en-US" w:eastAsia="en-US" w:bidi="ar-SA"/>
              </w:rPr>
              <w:t>付款方式</w:t>
            </w:r>
          </w:p>
        </w:tc>
        <w:tc>
          <w:tcPr>
            <w:tcW w:w="6951" w:type="dxa"/>
            <w:vAlign w:val="top"/>
          </w:tcPr>
          <w:p w14:paraId="162F96D3">
            <w:pPr>
              <w:pStyle w:val="20"/>
              <w:spacing w:before="135" w:line="228" w:lineRule="auto"/>
              <w:ind w:right="107"/>
              <w:jc w:val="both"/>
              <w:rPr>
                <w:rFonts w:hint="default" w:eastAsia="黑体"/>
                <w:color w:val="auto"/>
                <w:lang w:val="en-US" w:eastAsia="zh-CN"/>
              </w:rPr>
            </w:pPr>
            <w:r>
              <w:rPr>
                <w:rFonts w:hint="eastAsia"/>
                <w:color w:val="auto"/>
              </w:rPr>
              <w:t>关于付款周期的约定：</w:t>
            </w:r>
            <w:r>
              <w:rPr>
                <w:rFonts w:hint="eastAsia"/>
                <w:color w:val="auto"/>
                <w:lang w:val="en-US" w:eastAsia="zh-CN"/>
              </w:rPr>
              <w:t>合同签订人员、设备进场开工后支付合同价款的30%；主体完成工程量的85%后支付竣工结算总额的50%；工程竣工验收合格后支付合同总价款的17%；剩余3%作为工程质量保修金。</w:t>
            </w:r>
          </w:p>
        </w:tc>
      </w:tr>
      <w:tr w14:paraId="3CA06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3E2D1FF">
            <w:pPr>
              <w:pStyle w:val="20"/>
              <w:spacing w:before="124" w:line="185" w:lineRule="auto"/>
              <w:ind w:left="440"/>
              <w:rPr>
                <w:color w:val="auto"/>
              </w:rPr>
            </w:pPr>
            <w:r>
              <w:rPr>
                <w:color w:val="auto"/>
                <w:spacing w:val="-4"/>
              </w:rPr>
              <w:t>23</w:t>
            </w:r>
          </w:p>
        </w:tc>
        <w:tc>
          <w:tcPr>
            <w:tcW w:w="2230" w:type="dxa"/>
            <w:vAlign w:val="top"/>
          </w:tcPr>
          <w:p w14:paraId="04CE2872">
            <w:pPr>
              <w:pStyle w:val="20"/>
              <w:spacing w:before="166" w:line="221" w:lineRule="auto"/>
              <w:ind w:left="632"/>
              <w:rPr>
                <w:color w:val="auto"/>
              </w:rPr>
            </w:pPr>
            <w:r>
              <w:rPr>
                <w:color w:val="auto"/>
                <w:spacing w:val="-1"/>
              </w:rPr>
              <w:t>报价方式</w:t>
            </w:r>
          </w:p>
        </w:tc>
        <w:tc>
          <w:tcPr>
            <w:tcW w:w="6951" w:type="dxa"/>
            <w:vAlign w:val="top"/>
          </w:tcPr>
          <w:p w14:paraId="57E09C43">
            <w:pPr>
              <w:pStyle w:val="20"/>
              <w:spacing w:before="165" w:line="222" w:lineRule="auto"/>
              <w:ind w:left="116"/>
              <w:rPr>
                <w:color w:val="auto"/>
              </w:rPr>
            </w:pPr>
            <w:r>
              <w:rPr>
                <w:color w:val="auto"/>
                <w:spacing w:val="-1"/>
              </w:rPr>
              <w:t>直接报价（</w:t>
            </w:r>
            <w:r>
              <w:rPr>
                <w:rFonts w:hint="eastAsia"/>
                <w:color w:val="auto"/>
                <w:spacing w:val="-1"/>
                <w:lang w:val="en-US" w:eastAsia="zh-CN"/>
              </w:rPr>
              <w:t>政采云系统内报价为最终轮</w:t>
            </w:r>
            <w:r>
              <w:rPr>
                <w:color w:val="auto"/>
                <w:spacing w:val="-1"/>
              </w:rPr>
              <w:t>报价）</w:t>
            </w:r>
          </w:p>
        </w:tc>
      </w:tr>
      <w:tr w14:paraId="0EA0A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13" w:type="dxa"/>
            <w:vAlign w:val="top"/>
          </w:tcPr>
          <w:p w14:paraId="4723108A">
            <w:pPr>
              <w:pStyle w:val="20"/>
              <w:spacing w:before="83" w:line="185" w:lineRule="auto"/>
              <w:ind w:left="440"/>
              <w:rPr>
                <w:color w:val="auto"/>
              </w:rPr>
            </w:pPr>
            <w:r>
              <w:rPr>
                <w:color w:val="auto"/>
                <w:spacing w:val="-4"/>
              </w:rPr>
              <w:t>24</w:t>
            </w:r>
          </w:p>
        </w:tc>
        <w:tc>
          <w:tcPr>
            <w:tcW w:w="2230" w:type="dxa"/>
            <w:vAlign w:val="top"/>
          </w:tcPr>
          <w:p w14:paraId="6602AA3C">
            <w:pPr>
              <w:pStyle w:val="20"/>
              <w:spacing w:before="126" w:line="221" w:lineRule="auto"/>
              <w:ind w:left="633"/>
              <w:rPr>
                <w:color w:val="auto"/>
              </w:rPr>
            </w:pPr>
            <w:r>
              <w:rPr>
                <w:color w:val="auto"/>
                <w:spacing w:val="-1"/>
              </w:rPr>
              <w:t>评标办法</w:t>
            </w:r>
          </w:p>
        </w:tc>
        <w:tc>
          <w:tcPr>
            <w:tcW w:w="6951" w:type="dxa"/>
            <w:vAlign w:val="top"/>
          </w:tcPr>
          <w:p w14:paraId="488E13C8">
            <w:pPr>
              <w:pStyle w:val="20"/>
              <w:spacing w:before="126" w:line="222" w:lineRule="auto"/>
              <w:ind w:left="111"/>
              <w:rPr>
                <w:color w:val="auto"/>
              </w:rPr>
            </w:pPr>
            <w:r>
              <w:rPr>
                <w:color w:val="auto"/>
              </w:rPr>
              <w:t>综合评分法</w:t>
            </w:r>
          </w:p>
        </w:tc>
      </w:tr>
      <w:tr w14:paraId="359F0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1113" w:type="dxa"/>
            <w:vAlign w:val="top"/>
          </w:tcPr>
          <w:p w14:paraId="400FD96D">
            <w:pPr>
              <w:spacing w:line="299" w:lineRule="auto"/>
              <w:rPr>
                <w:rFonts w:ascii="Arial"/>
                <w:color w:val="auto"/>
                <w:sz w:val="21"/>
              </w:rPr>
            </w:pPr>
          </w:p>
          <w:p w14:paraId="6DCFEE3C">
            <w:pPr>
              <w:spacing w:line="299" w:lineRule="auto"/>
              <w:rPr>
                <w:rFonts w:ascii="Arial"/>
                <w:color w:val="auto"/>
                <w:sz w:val="21"/>
              </w:rPr>
            </w:pPr>
          </w:p>
          <w:p w14:paraId="3CEFE48D">
            <w:pPr>
              <w:spacing w:line="300" w:lineRule="auto"/>
              <w:rPr>
                <w:rFonts w:ascii="Arial"/>
                <w:color w:val="auto"/>
                <w:sz w:val="21"/>
              </w:rPr>
            </w:pPr>
          </w:p>
          <w:p w14:paraId="503C3411">
            <w:pPr>
              <w:pStyle w:val="20"/>
              <w:spacing w:before="78" w:line="185" w:lineRule="auto"/>
              <w:ind w:left="440"/>
              <w:rPr>
                <w:color w:val="auto"/>
                <w:spacing w:val="-4"/>
              </w:rPr>
            </w:pPr>
          </w:p>
          <w:p w14:paraId="3375C91D">
            <w:pPr>
              <w:pStyle w:val="20"/>
              <w:spacing w:before="78" w:line="185" w:lineRule="auto"/>
              <w:ind w:left="440"/>
              <w:rPr>
                <w:color w:val="auto"/>
              </w:rPr>
            </w:pPr>
            <w:r>
              <w:rPr>
                <w:color w:val="auto"/>
                <w:spacing w:val="-4"/>
              </w:rPr>
              <w:t>25</w:t>
            </w:r>
          </w:p>
        </w:tc>
        <w:tc>
          <w:tcPr>
            <w:tcW w:w="2230" w:type="dxa"/>
            <w:vAlign w:val="top"/>
          </w:tcPr>
          <w:p w14:paraId="20A7457D">
            <w:pPr>
              <w:spacing w:line="288" w:lineRule="auto"/>
              <w:rPr>
                <w:rFonts w:ascii="Arial"/>
                <w:color w:val="auto"/>
                <w:sz w:val="21"/>
              </w:rPr>
            </w:pPr>
          </w:p>
          <w:p w14:paraId="096001AD">
            <w:pPr>
              <w:spacing w:line="288" w:lineRule="auto"/>
              <w:rPr>
                <w:rFonts w:ascii="Arial"/>
                <w:color w:val="auto"/>
                <w:sz w:val="21"/>
              </w:rPr>
            </w:pPr>
          </w:p>
          <w:p w14:paraId="7C646DEF">
            <w:pPr>
              <w:spacing w:line="288" w:lineRule="auto"/>
              <w:rPr>
                <w:rFonts w:ascii="Arial"/>
                <w:color w:val="auto"/>
                <w:sz w:val="21"/>
              </w:rPr>
            </w:pPr>
          </w:p>
          <w:p w14:paraId="778BE673">
            <w:pPr>
              <w:pStyle w:val="20"/>
              <w:spacing w:before="78" w:line="222" w:lineRule="auto"/>
              <w:ind w:left="512"/>
              <w:rPr>
                <w:color w:val="auto"/>
              </w:rPr>
            </w:pPr>
          </w:p>
          <w:p w14:paraId="6700373F">
            <w:pPr>
              <w:pStyle w:val="20"/>
              <w:spacing w:before="78" w:line="222" w:lineRule="auto"/>
              <w:ind w:left="512"/>
              <w:rPr>
                <w:color w:val="auto"/>
              </w:rPr>
            </w:pPr>
          </w:p>
          <w:p w14:paraId="6BFAF976">
            <w:pPr>
              <w:pStyle w:val="20"/>
              <w:spacing w:before="78" w:line="222" w:lineRule="auto"/>
              <w:ind w:left="512"/>
              <w:rPr>
                <w:color w:val="auto"/>
              </w:rPr>
            </w:pPr>
            <w:r>
              <w:rPr>
                <w:color w:val="auto"/>
              </w:rPr>
              <w:t>投标保证金</w:t>
            </w:r>
          </w:p>
        </w:tc>
        <w:tc>
          <w:tcPr>
            <w:tcW w:w="6951" w:type="dxa"/>
            <w:vAlign w:val="top"/>
          </w:tcPr>
          <w:p w14:paraId="1F06A16A">
            <w:pPr>
              <w:spacing w:line="410" w:lineRule="exact"/>
              <w:jc w:val="left"/>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snapToGrid w:val="0"/>
                <w:color w:val="auto"/>
                <w:kern w:val="0"/>
                <w:sz w:val="24"/>
                <w:szCs w:val="24"/>
                <w:lang w:val="en-US" w:eastAsia="zh-CN" w:bidi="ar-SA"/>
              </w:rPr>
              <w:t>投标保证金金额：</w:t>
            </w:r>
            <w:r>
              <w:rPr>
                <w:rFonts w:hint="eastAsia" w:ascii="黑体" w:hAnsi="黑体" w:eastAsia="黑体" w:cs="黑体"/>
                <w:snapToGrid w:val="0"/>
                <w:color w:val="auto"/>
                <w:kern w:val="0"/>
                <w:sz w:val="24"/>
                <w:szCs w:val="24"/>
                <w:lang w:val="en-US" w:eastAsia="en-US" w:bidi="ar-SA"/>
              </w:rPr>
              <w:t>小写</w:t>
            </w:r>
            <w:r>
              <w:rPr>
                <w:rFonts w:hint="eastAsia" w:ascii="黑体" w:hAnsi="黑体" w:eastAsia="黑体" w:cs="黑体"/>
                <w:snapToGrid w:val="0"/>
                <w:color w:val="auto"/>
                <w:kern w:val="0"/>
                <w:sz w:val="24"/>
                <w:szCs w:val="24"/>
                <w:lang w:val="en-US" w:eastAsia="zh-CN" w:bidi="ar-SA"/>
              </w:rPr>
              <w:t>20000</w:t>
            </w:r>
            <w:r>
              <w:rPr>
                <w:rFonts w:hint="eastAsia" w:ascii="黑体" w:hAnsi="黑体" w:eastAsia="黑体" w:cs="黑体"/>
                <w:snapToGrid w:val="0"/>
                <w:color w:val="auto"/>
                <w:kern w:val="0"/>
                <w:sz w:val="24"/>
                <w:szCs w:val="24"/>
                <w:lang w:val="en-US" w:eastAsia="en-US" w:bidi="ar-SA"/>
              </w:rPr>
              <w:t>元（大写：</w:t>
            </w:r>
            <w:r>
              <w:rPr>
                <w:rFonts w:hint="eastAsia" w:ascii="黑体" w:hAnsi="黑体" w:eastAsia="黑体" w:cs="黑体"/>
                <w:snapToGrid w:val="0"/>
                <w:color w:val="auto"/>
                <w:kern w:val="0"/>
                <w:sz w:val="24"/>
                <w:szCs w:val="24"/>
                <w:lang w:val="en-US" w:eastAsia="zh-CN" w:bidi="ar-SA"/>
              </w:rPr>
              <w:t>贰</w:t>
            </w:r>
            <w:r>
              <w:rPr>
                <w:rFonts w:hint="eastAsia" w:ascii="黑体" w:hAnsi="黑体" w:eastAsia="黑体" w:cs="黑体"/>
                <w:snapToGrid w:val="0"/>
                <w:color w:val="auto"/>
                <w:kern w:val="0"/>
                <w:sz w:val="24"/>
                <w:szCs w:val="24"/>
                <w:lang w:val="en-US" w:eastAsia="en-US" w:bidi="ar-SA"/>
              </w:rPr>
              <w:t>万元整）</w:t>
            </w:r>
          </w:p>
          <w:p w14:paraId="673E59CA">
            <w:pPr>
              <w:spacing w:line="410" w:lineRule="exact"/>
              <w:jc w:val="left"/>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snapToGrid w:val="0"/>
                <w:color w:val="auto"/>
                <w:kern w:val="0"/>
                <w:sz w:val="24"/>
                <w:szCs w:val="24"/>
                <w:lang w:val="en-US" w:eastAsia="en-US" w:bidi="ar-SA"/>
              </w:rPr>
              <w:t>一、磋商保证金缴纳：</w:t>
            </w:r>
          </w:p>
          <w:p w14:paraId="3418322C">
            <w:pPr>
              <w:spacing w:line="410" w:lineRule="exact"/>
              <w:jc w:val="left"/>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snapToGrid w:val="0"/>
                <w:color w:val="auto"/>
                <w:kern w:val="0"/>
                <w:sz w:val="24"/>
                <w:szCs w:val="24"/>
                <w:lang w:val="en-US" w:eastAsia="en-US" w:bidi="ar-SA"/>
              </w:rPr>
              <w:t>1.磋商保证金应当以电汇、网银</w:t>
            </w:r>
            <w:r>
              <w:rPr>
                <w:rFonts w:hint="eastAsia" w:ascii="黑体" w:hAnsi="黑体" w:eastAsia="黑体" w:cs="黑体"/>
                <w:snapToGrid w:val="0"/>
                <w:color w:val="auto"/>
                <w:kern w:val="0"/>
                <w:sz w:val="24"/>
                <w:szCs w:val="24"/>
                <w:lang w:val="en-US" w:eastAsia="zh-CN" w:bidi="ar-SA"/>
              </w:rPr>
              <w:t>、保函</w:t>
            </w:r>
            <w:r>
              <w:rPr>
                <w:rFonts w:hint="eastAsia" w:ascii="黑体" w:hAnsi="黑体" w:eastAsia="黑体" w:cs="黑体"/>
                <w:snapToGrid w:val="0"/>
                <w:color w:val="auto"/>
                <w:kern w:val="0"/>
                <w:sz w:val="24"/>
                <w:szCs w:val="24"/>
                <w:lang w:val="en-US" w:eastAsia="en-US" w:bidi="ar-SA"/>
              </w:rPr>
              <w:t>等非现金形式提交；</w:t>
            </w:r>
          </w:p>
          <w:p w14:paraId="732AB43D">
            <w:pPr>
              <w:spacing w:line="410" w:lineRule="exact"/>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snapToGrid w:val="0"/>
                <w:color w:val="auto"/>
                <w:kern w:val="0"/>
                <w:sz w:val="24"/>
                <w:szCs w:val="24"/>
                <w:lang w:val="en-US" w:eastAsia="en-US" w:bidi="ar-SA"/>
              </w:rPr>
              <w:t>2.缴纳磋商保证金时需备注项目名称，字数超限可简写；</w:t>
            </w:r>
          </w:p>
          <w:p w14:paraId="601AB8F4">
            <w:pPr>
              <w:spacing w:line="410" w:lineRule="exact"/>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snapToGrid w:val="0"/>
                <w:color w:val="auto"/>
                <w:kern w:val="0"/>
                <w:sz w:val="24"/>
                <w:szCs w:val="24"/>
                <w:lang w:val="en-US" w:eastAsia="en-US" w:bidi="ar-SA"/>
              </w:rPr>
              <w:t>3.磋商保证金缴纳截止时间：同响应文件上传截止时间。</w:t>
            </w:r>
          </w:p>
          <w:p w14:paraId="6704B36A">
            <w:pPr>
              <w:pStyle w:val="20"/>
              <w:spacing w:before="37" w:line="231" w:lineRule="auto"/>
              <w:ind w:left="111" w:right="110"/>
              <w:jc w:val="both"/>
              <w:rPr>
                <w:rFonts w:hint="eastAsia"/>
                <w:color w:val="auto"/>
                <w:spacing w:val="1"/>
              </w:rPr>
            </w:pPr>
            <w:r>
              <w:rPr>
                <w:rFonts w:hint="eastAsia"/>
                <w:color w:val="auto"/>
                <w:spacing w:val="1"/>
              </w:rPr>
              <w:t>开户名称:民丰县行和公共资源交易中心</w:t>
            </w:r>
          </w:p>
          <w:p w14:paraId="5604C6B0">
            <w:pPr>
              <w:pStyle w:val="20"/>
              <w:spacing w:before="37" w:line="231" w:lineRule="auto"/>
              <w:ind w:left="111" w:right="110"/>
              <w:jc w:val="both"/>
              <w:rPr>
                <w:rFonts w:hint="eastAsia"/>
                <w:color w:val="auto"/>
                <w:spacing w:val="1"/>
              </w:rPr>
            </w:pPr>
            <w:r>
              <w:rPr>
                <w:rFonts w:hint="eastAsia"/>
                <w:color w:val="auto"/>
                <w:spacing w:val="1"/>
              </w:rPr>
              <w:t>开户银行:中国农业银行股份有限公司民丰县支行</w:t>
            </w:r>
          </w:p>
          <w:p w14:paraId="3945433B">
            <w:pPr>
              <w:pStyle w:val="20"/>
              <w:spacing w:before="37" w:line="231" w:lineRule="auto"/>
              <w:ind w:left="111" w:right="110"/>
              <w:jc w:val="both"/>
              <w:rPr>
                <w:rFonts w:hint="eastAsia"/>
                <w:color w:val="auto"/>
                <w:spacing w:val="1"/>
              </w:rPr>
            </w:pPr>
            <w:r>
              <w:rPr>
                <w:rFonts w:hint="eastAsia"/>
                <w:color w:val="auto"/>
                <w:spacing w:val="1"/>
              </w:rPr>
              <w:t>帐号:30582301040020842</w:t>
            </w:r>
          </w:p>
          <w:p w14:paraId="4E0C8FAC">
            <w:pPr>
              <w:pStyle w:val="20"/>
              <w:numPr>
                <w:ilvl w:val="0"/>
                <w:numId w:val="2"/>
              </w:numPr>
              <w:spacing w:before="37" w:line="231" w:lineRule="auto"/>
              <w:ind w:left="111" w:right="110"/>
              <w:jc w:val="both"/>
              <w:rPr>
                <w:rFonts w:hint="eastAsia"/>
                <w:color w:val="auto"/>
                <w:spacing w:val="1"/>
              </w:rPr>
            </w:pPr>
            <w:r>
              <w:rPr>
                <w:rFonts w:hint="eastAsia"/>
                <w:color w:val="auto"/>
                <w:spacing w:val="1"/>
              </w:rPr>
              <w:t>投标保证金由投标人基本账户汇出（投标保证金需一笔汇出，分笔 汇出银行系统将不予统计），且不得以分公司的名义转账；投标保证金缴 纳的截止时间为2025年</w:t>
            </w:r>
            <w:r>
              <w:rPr>
                <w:rFonts w:hint="eastAsia"/>
                <w:color w:val="auto"/>
                <w:spacing w:val="1"/>
                <w:lang w:val="en-US" w:eastAsia="zh-CN"/>
              </w:rPr>
              <w:t>07</w:t>
            </w:r>
            <w:r>
              <w:rPr>
                <w:rFonts w:hint="eastAsia"/>
                <w:color w:val="auto"/>
                <w:spacing w:val="1"/>
              </w:rPr>
              <w:t>月</w:t>
            </w:r>
            <w:r>
              <w:rPr>
                <w:rFonts w:hint="eastAsia"/>
                <w:color w:val="auto"/>
                <w:spacing w:val="1"/>
                <w:lang w:val="en-US" w:eastAsia="zh-CN"/>
              </w:rPr>
              <w:t>29</w:t>
            </w:r>
            <w:r>
              <w:rPr>
                <w:rFonts w:hint="eastAsia"/>
                <w:color w:val="auto"/>
                <w:spacing w:val="1"/>
              </w:rPr>
              <w:t>日 1</w:t>
            </w:r>
            <w:r>
              <w:rPr>
                <w:rFonts w:hint="eastAsia"/>
                <w:color w:val="auto"/>
                <w:spacing w:val="1"/>
                <w:lang w:val="en-US" w:eastAsia="zh-CN"/>
              </w:rPr>
              <w:t>2</w:t>
            </w:r>
            <w:r>
              <w:rPr>
                <w:rFonts w:hint="eastAsia"/>
                <w:color w:val="auto"/>
                <w:spacing w:val="1"/>
              </w:rPr>
              <w:t>:00（北京时间），缴纳投标保证 金时应在付款用途里标明项目名称或项目编号、用途。投标保证金以进账 时间为准，投标人在缴纳投标保证金时，应充分考虑资金在途时间。投标 保证金以其进账时间确定其有效性，在规定时间内未进入到指定账户，按 否决投标处理。开标时投标文件需提供投标保证金银行回单及开户许可 证; 开标结束后未中标企业将开户许可证复印件（须加盖公司公章）发送 至招标代理邮箱（</w:t>
            </w:r>
            <w:r>
              <w:rPr>
                <w:rFonts w:hint="eastAsia"/>
                <w:color w:val="auto"/>
                <w:spacing w:val="1"/>
                <w:lang w:val="en-US" w:eastAsia="zh-CN"/>
              </w:rPr>
              <w:t>1249790694</w:t>
            </w:r>
            <w:r>
              <w:rPr>
                <w:rFonts w:hint="eastAsia"/>
                <w:color w:val="auto"/>
                <w:spacing w:val="1"/>
              </w:rPr>
              <w:t xml:space="preserve">@qq.com）递交至民丰县行政服务和公共资源交易中心财务室。 </w:t>
            </w:r>
          </w:p>
          <w:p w14:paraId="062AD10C">
            <w:pPr>
              <w:pStyle w:val="20"/>
              <w:numPr>
                <w:ilvl w:val="0"/>
                <w:numId w:val="0"/>
              </w:numPr>
              <w:spacing w:before="37" w:line="231" w:lineRule="auto"/>
              <w:ind w:right="110" w:rightChars="0"/>
              <w:jc w:val="both"/>
              <w:rPr>
                <w:rFonts w:hint="eastAsia"/>
                <w:color w:val="auto"/>
                <w:spacing w:val="1"/>
              </w:rPr>
            </w:pPr>
            <w:r>
              <w:rPr>
                <w:rFonts w:hint="eastAsia"/>
                <w:color w:val="auto"/>
                <w:spacing w:val="1"/>
              </w:rPr>
              <w:t>（2）电子保函使用方法：登录新疆自治区政府采购网，首页点击“电 子保函”直接进入新疆政府采购电子保函申请页，点击【立即申请】依次 完善页面显示的投保人信息（供应商信息），确认您要投保的项目信息， 在投标项目选择页面选择您需要投保的项目（可根据项目名称或项目保函 进行搜索），选择投保项目后填写被保险人信息及投保内容。服务热线:400-9039583</w:t>
            </w:r>
          </w:p>
        </w:tc>
      </w:tr>
    </w:tbl>
    <w:p w14:paraId="3E298C4A">
      <w:pPr>
        <w:spacing w:line="51" w:lineRule="exact"/>
        <w:rPr>
          <w:color w:val="auto"/>
        </w:rPr>
      </w:pPr>
    </w:p>
    <w:tbl>
      <w:tblPr>
        <w:tblStyle w:val="19"/>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0"/>
        <w:gridCol w:w="6951"/>
      </w:tblGrid>
      <w:tr w14:paraId="0E2B0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113" w:type="dxa"/>
            <w:vAlign w:val="top"/>
          </w:tcPr>
          <w:p w14:paraId="4D625DB4">
            <w:pPr>
              <w:spacing w:line="258" w:lineRule="auto"/>
              <w:rPr>
                <w:rFonts w:ascii="Arial"/>
                <w:color w:val="auto"/>
                <w:sz w:val="21"/>
              </w:rPr>
            </w:pPr>
          </w:p>
          <w:p w14:paraId="531CB175">
            <w:pPr>
              <w:spacing w:line="258" w:lineRule="auto"/>
              <w:rPr>
                <w:rFonts w:ascii="Arial"/>
                <w:color w:val="auto"/>
                <w:sz w:val="21"/>
              </w:rPr>
            </w:pPr>
          </w:p>
          <w:p w14:paraId="6493424A">
            <w:pPr>
              <w:pStyle w:val="20"/>
              <w:spacing w:before="78" w:line="185" w:lineRule="auto"/>
              <w:ind w:left="440"/>
              <w:rPr>
                <w:color w:val="auto"/>
              </w:rPr>
            </w:pPr>
            <w:r>
              <w:rPr>
                <w:color w:val="auto"/>
                <w:spacing w:val="-4"/>
              </w:rPr>
              <w:t>26</w:t>
            </w:r>
          </w:p>
        </w:tc>
        <w:tc>
          <w:tcPr>
            <w:tcW w:w="2230" w:type="dxa"/>
            <w:vAlign w:val="top"/>
          </w:tcPr>
          <w:p w14:paraId="6F90138F">
            <w:pPr>
              <w:pStyle w:val="20"/>
              <w:spacing w:before="94" w:line="222" w:lineRule="auto"/>
              <w:ind w:left="643"/>
              <w:rPr>
                <w:color w:val="auto"/>
              </w:rPr>
            </w:pPr>
            <w:r>
              <w:rPr>
                <w:color w:val="auto"/>
                <w:spacing w:val="-3"/>
              </w:rPr>
              <w:t>响应文件</w:t>
            </w:r>
          </w:p>
          <w:p w14:paraId="430078CD">
            <w:pPr>
              <w:pStyle w:val="20"/>
              <w:spacing w:before="179" w:line="221" w:lineRule="auto"/>
              <w:ind w:left="194"/>
              <w:rPr>
                <w:color w:val="auto"/>
              </w:rPr>
            </w:pPr>
            <w:r>
              <w:rPr>
                <w:color w:val="auto"/>
                <w:spacing w:val="-4"/>
              </w:rPr>
              <w:t>(电子加密文件)提</w:t>
            </w:r>
          </w:p>
          <w:p w14:paraId="0EEB2E04">
            <w:pPr>
              <w:pStyle w:val="20"/>
              <w:spacing w:before="178" w:line="223" w:lineRule="auto"/>
              <w:ind w:left="396"/>
              <w:rPr>
                <w:color w:val="auto"/>
              </w:rPr>
            </w:pPr>
            <w:r>
              <w:rPr>
                <w:color w:val="auto"/>
                <w:spacing w:val="-1"/>
              </w:rPr>
              <w:t>交时间及地点</w:t>
            </w:r>
          </w:p>
        </w:tc>
        <w:tc>
          <w:tcPr>
            <w:tcW w:w="6951" w:type="dxa"/>
            <w:vAlign w:val="top"/>
          </w:tcPr>
          <w:p w14:paraId="0A5ADFCE">
            <w:pPr>
              <w:pStyle w:val="20"/>
              <w:spacing w:before="37" w:line="231" w:lineRule="auto"/>
              <w:ind w:left="111" w:right="110"/>
              <w:jc w:val="both"/>
              <w:rPr>
                <w:rFonts w:hint="eastAsia"/>
                <w:color w:val="auto"/>
                <w:spacing w:val="-1"/>
                <w:lang w:val="en-US" w:eastAsia="zh-CN"/>
              </w:rPr>
            </w:pPr>
            <w:r>
              <w:rPr>
                <w:rFonts w:hint="eastAsia"/>
                <w:color w:val="auto"/>
                <w:spacing w:val="-1"/>
                <w:lang w:val="en-US" w:eastAsia="zh-CN"/>
              </w:rPr>
              <w:t>提交响应文件截止时间及开标时间：2025年7月29日12时00分（北京时间）投标地点及开标地点：政采云平台</w:t>
            </w:r>
            <w:r>
              <w:rPr>
                <w:rFonts w:hint="eastAsia"/>
                <w:color w:val="auto"/>
                <w:spacing w:val="-1"/>
                <w:lang w:val="en-US" w:eastAsia="zh-CN"/>
              </w:rPr>
              <w:fldChar w:fldCharType="begin"/>
            </w:r>
            <w:r>
              <w:rPr>
                <w:rFonts w:hint="eastAsia"/>
                <w:color w:val="auto"/>
                <w:spacing w:val="-1"/>
                <w:lang w:val="en-US" w:eastAsia="zh-CN"/>
              </w:rPr>
              <w:instrText xml:space="preserve">HYPERLINK"https://www.zcygov.cn"</w:instrText>
            </w:r>
            <w:r>
              <w:rPr>
                <w:rFonts w:hint="eastAsia"/>
                <w:color w:val="auto"/>
                <w:spacing w:val="-1"/>
                <w:lang w:val="en-US" w:eastAsia="zh-CN"/>
              </w:rPr>
              <w:fldChar w:fldCharType="separate"/>
            </w:r>
            <w:r>
              <w:rPr>
                <w:rFonts w:hint="eastAsia"/>
                <w:color w:val="auto"/>
                <w:spacing w:val="-1"/>
                <w:lang w:val="en-US" w:eastAsia="zh-CN"/>
              </w:rPr>
              <w:t>https://www.zcygov.cn</w:t>
            </w:r>
            <w:r>
              <w:rPr>
                <w:rFonts w:hint="eastAsia"/>
                <w:color w:val="auto"/>
                <w:spacing w:val="-1"/>
                <w:lang w:val="en-US" w:eastAsia="zh-CN"/>
              </w:rPr>
              <w:fldChar w:fldCharType="end"/>
            </w:r>
          </w:p>
        </w:tc>
      </w:tr>
      <w:tr w14:paraId="179DD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1113" w:type="dxa"/>
            <w:vAlign w:val="top"/>
          </w:tcPr>
          <w:p w14:paraId="63ECBCA1">
            <w:pPr>
              <w:pStyle w:val="20"/>
              <w:spacing w:before="151" w:line="185" w:lineRule="auto"/>
              <w:ind w:left="440"/>
              <w:rPr>
                <w:color w:val="auto"/>
                <w:spacing w:val="-4"/>
              </w:rPr>
            </w:pPr>
          </w:p>
          <w:p w14:paraId="59646B99">
            <w:pPr>
              <w:pStyle w:val="20"/>
              <w:spacing w:before="151" w:line="185" w:lineRule="auto"/>
              <w:ind w:left="440"/>
              <w:rPr>
                <w:color w:val="auto"/>
                <w:spacing w:val="-4"/>
              </w:rPr>
            </w:pPr>
          </w:p>
          <w:p w14:paraId="7D9F8E8D">
            <w:pPr>
              <w:pStyle w:val="20"/>
              <w:spacing w:before="151" w:line="185" w:lineRule="auto"/>
              <w:ind w:firstLine="464" w:firstLineChars="200"/>
              <w:rPr>
                <w:color w:val="auto"/>
              </w:rPr>
            </w:pPr>
            <w:r>
              <w:rPr>
                <w:color w:val="auto"/>
                <w:spacing w:val="-4"/>
              </w:rPr>
              <w:t>27</w:t>
            </w:r>
          </w:p>
        </w:tc>
        <w:tc>
          <w:tcPr>
            <w:tcW w:w="2230" w:type="dxa"/>
            <w:vAlign w:val="top"/>
          </w:tcPr>
          <w:p w14:paraId="0414407F">
            <w:pPr>
              <w:pStyle w:val="20"/>
              <w:spacing w:before="38" w:line="222" w:lineRule="auto"/>
              <w:ind w:left="643"/>
              <w:rPr>
                <w:color w:val="auto"/>
                <w:spacing w:val="-3"/>
              </w:rPr>
            </w:pPr>
          </w:p>
          <w:p w14:paraId="343390C2">
            <w:pPr>
              <w:pStyle w:val="20"/>
              <w:spacing w:before="38" w:line="222" w:lineRule="auto"/>
              <w:ind w:left="643"/>
              <w:rPr>
                <w:color w:val="auto"/>
                <w:spacing w:val="-3"/>
              </w:rPr>
            </w:pPr>
          </w:p>
          <w:p w14:paraId="7C759455">
            <w:pPr>
              <w:pStyle w:val="20"/>
              <w:spacing w:before="38" w:line="222" w:lineRule="auto"/>
              <w:ind w:firstLine="234" w:firstLineChars="100"/>
              <w:rPr>
                <w:color w:val="auto"/>
              </w:rPr>
            </w:pPr>
            <w:r>
              <w:rPr>
                <w:color w:val="auto"/>
                <w:spacing w:val="-3"/>
              </w:rPr>
              <w:t>响应文件</w:t>
            </w:r>
            <w:r>
              <w:rPr>
                <w:color w:val="auto"/>
                <w:spacing w:val="-6"/>
              </w:rPr>
              <w:t>的份数</w:t>
            </w:r>
          </w:p>
        </w:tc>
        <w:tc>
          <w:tcPr>
            <w:tcW w:w="6951" w:type="dxa"/>
            <w:vAlign w:val="top"/>
          </w:tcPr>
          <w:p w14:paraId="20AC8B54">
            <w:pPr>
              <w:pStyle w:val="20"/>
              <w:spacing w:before="23" w:line="206" w:lineRule="auto"/>
              <w:ind w:left="132"/>
              <w:rPr>
                <w:rFonts w:hint="default" w:eastAsia="黑体"/>
                <w:color w:val="auto"/>
                <w:lang w:val="en-US" w:eastAsia="zh-CN"/>
              </w:rPr>
            </w:pPr>
            <w:r>
              <w:rPr>
                <w:rFonts w:hint="eastAsia"/>
                <w:color w:val="auto"/>
                <w:lang w:val="en-US" w:eastAsia="zh-CN"/>
              </w:rPr>
              <w:t>1、</w:t>
            </w:r>
            <w:r>
              <w:rPr>
                <w:rFonts w:hint="eastAsia"/>
                <w:color w:val="auto"/>
              </w:rPr>
              <w:t>须与上传政采云电子版投标文件内容一致，纸质投标文件不得采用活页胶装，需留存备案将一律不予退还。如有疑问可与收件人联系</w:t>
            </w:r>
            <w:r>
              <w:rPr>
                <w:rFonts w:hint="eastAsia"/>
                <w:color w:val="auto"/>
                <w:lang w:val="en-US" w:eastAsia="zh-CN"/>
              </w:rPr>
              <w:t>13201305600</w:t>
            </w:r>
          </w:p>
          <w:p w14:paraId="0B471342">
            <w:pPr>
              <w:pStyle w:val="20"/>
              <w:spacing w:before="23" w:line="206" w:lineRule="auto"/>
              <w:ind w:left="132"/>
              <w:rPr>
                <w:color w:val="auto"/>
              </w:rPr>
            </w:pPr>
            <w:r>
              <w:rPr>
                <w:rFonts w:hint="eastAsia"/>
                <w:color w:val="auto"/>
              </w:rPr>
              <w:t>备注：本项目以电子投标文件为准，纸质版投标文件只用于档案存档使用，如遇特殊情况必要时或可能需要查阅纸质版投标文件。</w:t>
            </w:r>
          </w:p>
        </w:tc>
      </w:tr>
      <w:tr w14:paraId="71AC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1113" w:type="dxa"/>
            <w:vAlign w:val="top"/>
          </w:tcPr>
          <w:p w14:paraId="6EFF25D9">
            <w:pPr>
              <w:pStyle w:val="20"/>
              <w:spacing w:before="149" w:line="185" w:lineRule="auto"/>
              <w:ind w:left="440" w:leftChars="0"/>
              <w:rPr>
                <w:color w:val="auto"/>
                <w:spacing w:val="-4"/>
              </w:rPr>
            </w:pPr>
          </w:p>
          <w:p w14:paraId="0FCADA69">
            <w:pPr>
              <w:pStyle w:val="20"/>
              <w:spacing w:before="149" w:line="185" w:lineRule="auto"/>
              <w:ind w:left="440" w:leftChars="0"/>
              <w:rPr>
                <w:color w:val="auto"/>
                <w:spacing w:val="-4"/>
              </w:rPr>
            </w:pPr>
          </w:p>
          <w:p w14:paraId="0390B2EB">
            <w:pPr>
              <w:pStyle w:val="20"/>
              <w:spacing w:before="149" w:line="185" w:lineRule="auto"/>
              <w:ind w:left="440" w:leftChars="0"/>
              <w:rPr>
                <w:rFonts w:ascii="黑体" w:hAnsi="黑体" w:eastAsia="黑体" w:cs="黑体"/>
                <w:snapToGrid w:val="0"/>
                <w:color w:val="auto"/>
                <w:kern w:val="0"/>
                <w:sz w:val="24"/>
                <w:szCs w:val="24"/>
                <w:lang w:val="en-US" w:eastAsia="en-US" w:bidi="ar-SA"/>
              </w:rPr>
            </w:pPr>
            <w:r>
              <w:rPr>
                <w:color w:val="auto"/>
                <w:spacing w:val="-4"/>
              </w:rPr>
              <w:t>28</w:t>
            </w:r>
          </w:p>
        </w:tc>
        <w:tc>
          <w:tcPr>
            <w:tcW w:w="2230" w:type="dxa"/>
            <w:vAlign w:val="top"/>
          </w:tcPr>
          <w:p w14:paraId="7880A49C">
            <w:pPr>
              <w:spacing w:line="313" w:lineRule="auto"/>
              <w:rPr>
                <w:rFonts w:hint="eastAsia" w:ascii="黑体" w:hAnsi="黑体" w:eastAsia="黑体" w:cs="黑体"/>
                <w:snapToGrid w:val="0"/>
                <w:color w:val="auto"/>
                <w:kern w:val="0"/>
                <w:sz w:val="24"/>
                <w:szCs w:val="24"/>
                <w:lang w:val="en-US" w:eastAsia="zh-CN" w:bidi="ar-SA"/>
              </w:rPr>
            </w:pPr>
          </w:p>
          <w:p w14:paraId="08C692EA">
            <w:pPr>
              <w:spacing w:line="314" w:lineRule="auto"/>
              <w:rPr>
                <w:rFonts w:hint="eastAsia" w:ascii="黑体" w:hAnsi="黑体" w:eastAsia="黑体" w:cs="黑体"/>
                <w:snapToGrid w:val="0"/>
                <w:color w:val="auto"/>
                <w:kern w:val="0"/>
                <w:sz w:val="24"/>
                <w:szCs w:val="24"/>
                <w:lang w:val="en-US" w:eastAsia="zh-CN" w:bidi="ar-SA"/>
              </w:rPr>
            </w:pPr>
          </w:p>
          <w:p w14:paraId="3E00B6A3">
            <w:pPr>
              <w:spacing w:before="65" w:line="225" w:lineRule="auto"/>
              <w:ind w:firstLine="240" w:firstLineChars="100"/>
              <w:rPr>
                <w:rFonts w:hint="eastAsia" w:ascii="黑体" w:hAnsi="黑体" w:eastAsia="黑体" w:cs="黑体"/>
                <w:snapToGrid w:val="0"/>
                <w:color w:val="auto"/>
                <w:kern w:val="0"/>
                <w:sz w:val="24"/>
                <w:szCs w:val="24"/>
                <w:lang w:val="en-US" w:eastAsia="en-US" w:bidi="ar-SA"/>
              </w:rPr>
            </w:pPr>
            <w:r>
              <w:rPr>
                <w:rFonts w:hint="eastAsia" w:ascii="黑体" w:hAnsi="黑体" w:eastAsia="黑体" w:cs="黑体"/>
                <w:snapToGrid w:val="0"/>
                <w:color w:val="auto"/>
                <w:kern w:val="0"/>
                <w:sz w:val="24"/>
                <w:szCs w:val="24"/>
                <w:lang w:val="en-US" w:eastAsia="zh-CN" w:bidi="ar-SA"/>
              </w:rPr>
              <w:t>评标委员会的组建</w:t>
            </w:r>
          </w:p>
        </w:tc>
        <w:tc>
          <w:tcPr>
            <w:tcW w:w="6951" w:type="dxa"/>
            <w:vAlign w:val="top"/>
          </w:tcPr>
          <w:p w14:paraId="284532CD">
            <w:pPr>
              <w:spacing w:before="113" w:line="240" w:lineRule="auto"/>
              <w:ind w:right="106"/>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snapToGrid w:val="0"/>
                <w:color w:val="auto"/>
                <w:kern w:val="0"/>
                <w:sz w:val="24"/>
                <w:szCs w:val="24"/>
                <w:lang w:val="en-US" w:eastAsia="zh-CN" w:bidi="ar-SA"/>
              </w:rPr>
              <w:t>评标委员会构成：</w:t>
            </w:r>
            <w:r>
              <w:rPr>
                <w:rFonts w:hint="eastAsia" w:ascii="黑体" w:hAnsi="黑体" w:eastAsia="黑体" w:cs="黑体"/>
                <w:snapToGrid w:val="0"/>
                <w:color w:val="auto"/>
                <w:kern w:val="0"/>
                <w:sz w:val="24"/>
                <w:szCs w:val="24"/>
                <w:u w:val="single"/>
                <w:lang w:val="en-US" w:eastAsia="zh-CN" w:bidi="ar-SA"/>
              </w:rPr>
              <w:t xml:space="preserve"> 3 </w:t>
            </w:r>
            <w:r>
              <w:rPr>
                <w:rFonts w:hint="eastAsia" w:ascii="黑体" w:hAnsi="黑体" w:eastAsia="黑体" w:cs="黑体"/>
                <w:snapToGrid w:val="0"/>
                <w:color w:val="auto"/>
                <w:kern w:val="0"/>
                <w:sz w:val="24"/>
                <w:szCs w:val="24"/>
                <w:lang w:val="en-US" w:eastAsia="zh-CN" w:bidi="ar-SA"/>
              </w:rPr>
              <w:t>人</w:t>
            </w:r>
          </w:p>
          <w:p w14:paraId="4115C418">
            <w:pPr>
              <w:spacing w:before="113" w:line="240" w:lineRule="auto"/>
              <w:ind w:right="106"/>
              <w:rPr>
                <w:rFonts w:hint="default" w:ascii="黑体" w:hAnsi="黑体" w:eastAsia="黑体" w:cs="黑体"/>
                <w:snapToGrid w:val="0"/>
                <w:color w:val="auto"/>
                <w:kern w:val="0"/>
                <w:sz w:val="24"/>
                <w:szCs w:val="24"/>
                <w:lang w:val="en-US" w:eastAsia="en-US" w:bidi="ar-SA"/>
              </w:rPr>
            </w:pPr>
            <w:r>
              <w:rPr>
                <w:rFonts w:hint="eastAsia" w:ascii="黑体" w:hAnsi="黑体" w:eastAsia="黑体" w:cs="黑体"/>
                <w:snapToGrid w:val="0"/>
                <w:color w:val="auto"/>
                <w:kern w:val="0"/>
                <w:sz w:val="24"/>
                <w:szCs w:val="24"/>
                <w:lang w:val="en-US" w:eastAsia="zh-CN" w:bidi="ar-SA"/>
              </w:rPr>
              <w:t>评标专家确定方式：政采云系统专家库随机抽取</w:t>
            </w:r>
          </w:p>
        </w:tc>
      </w:tr>
      <w:tr w14:paraId="473F3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70C7B546">
            <w:pPr>
              <w:pStyle w:val="20"/>
              <w:spacing w:before="150" w:line="185" w:lineRule="auto"/>
              <w:ind w:left="440" w:leftChars="0"/>
              <w:rPr>
                <w:rFonts w:ascii="黑体" w:hAnsi="黑体" w:eastAsia="黑体" w:cs="黑体"/>
                <w:snapToGrid w:val="0"/>
                <w:color w:val="auto"/>
                <w:kern w:val="0"/>
                <w:sz w:val="24"/>
                <w:szCs w:val="24"/>
                <w:lang w:val="en-US" w:eastAsia="en-US" w:bidi="ar-SA"/>
              </w:rPr>
            </w:pPr>
            <w:r>
              <w:rPr>
                <w:color w:val="auto"/>
                <w:spacing w:val="-4"/>
              </w:rPr>
              <w:t>29</w:t>
            </w:r>
          </w:p>
        </w:tc>
        <w:tc>
          <w:tcPr>
            <w:tcW w:w="2230" w:type="dxa"/>
            <w:vAlign w:val="top"/>
          </w:tcPr>
          <w:p w14:paraId="5AA258F1">
            <w:pPr>
              <w:pStyle w:val="20"/>
              <w:spacing w:before="192" w:line="222" w:lineRule="auto"/>
              <w:ind w:left="641"/>
              <w:rPr>
                <w:color w:val="auto"/>
              </w:rPr>
            </w:pPr>
            <w:r>
              <w:rPr>
                <w:color w:val="auto"/>
                <w:spacing w:val="-3"/>
              </w:rPr>
              <w:t>最高限价</w:t>
            </w:r>
          </w:p>
        </w:tc>
        <w:tc>
          <w:tcPr>
            <w:tcW w:w="6951" w:type="dxa"/>
            <w:vAlign w:val="top"/>
          </w:tcPr>
          <w:p w14:paraId="6B13CCA9">
            <w:pPr>
              <w:pStyle w:val="20"/>
              <w:spacing w:before="36" w:line="222" w:lineRule="auto"/>
              <w:ind w:left="119"/>
              <w:rPr>
                <w:color w:val="auto"/>
              </w:rPr>
            </w:pPr>
            <w:r>
              <w:rPr>
                <w:color w:val="auto"/>
                <w:spacing w:val="1"/>
              </w:rPr>
              <w:t>最高限价</w:t>
            </w:r>
            <w:r>
              <w:rPr>
                <w:color w:val="auto"/>
              </w:rPr>
              <w:t>：</w:t>
            </w:r>
            <w:bookmarkStart w:id="11" w:name="OLE_LINK4"/>
            <w:r>
              <w:rPr>
                <w:rFonts w:hint="eastAsia"/>
                <w:color w:val="auto"/>
              </w:rPr>
              <w:t>1411853.7</w:t>
            </w:r>
            <w:r>
              <w:rPr>
                <w:rFonts w:hint="eastAsia"/>
                <w:color w:val="auto"/>
                <w:highlight w:val="none"/>
              </w:rPr>
              <w:t>1</w:t>
            </w:r>
            <w:r>
              <w:rPr>
                <w:color w:val="auto"/>
                <w:highlight w:val="none"/>
              </w:rPr>
              <w:t>元</w:t>
            </w:r>
          </w:p>
          <w:p w14:paraId="2BC6CEF7">
            <w:pPr>
              <w:pStyle w:val="20"/>
              <w:spacing w:before="24" w:line="206" w:lineRule="auto"/>
              <w:ind w:left="158"/>
              <w:rPr>
                <w:color w:val="auto"/>
              </w:rPr>
            </w:pPr>
            <w:r>
              <w:rPr>
                <w:color w:val="auto"/>
              </w:rPr>
              <w:t>(投标报价</w:t>
            </w:r>
            <w:bookmarkEnd w:id="11"/>
            <w:r>
              <w:rPr>
                <w:color w:val="auto"/>
              </w:rPr>
              <w:t>不得高于最高限价金额，否则将按无效投标处理)</w:t>
            </w:r>
          </w:p>
        </w:tc>
      </w:tr>
      <w:tr w14:paraId="03E43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0" w:hRule="atLeast"/>
        </w:trPr>
        <w:tc>
          <w:tcPr>
            <w:tcW w:w="1113" w:type="dxa"/>
            <w:vAlign w:val="top"/>
          </w:tcPr>
          <w:p w14:paraId="7A81D9AD">
            <w:pPr>
              <w:spacing w:line="315" w:lineRule="auto"/>
              <w:rPr>
                <w:rFonts w:ascii="Arial"/>
                <w:color w:val="auto"/>
                <w:sz w:val="21"/>
              </w:rPr>
            </w:pPr>
          </w:p>
          <w:p w14:paraId="06F054C6">
            <w:pPr>
              <w:spacing w:line="315" w:lineRule="auto"/>
              <w:rPr>
                <w:rFonts w:ascii="Arial"/>
                <w:color w:val="auto"/>
                <w:sz w:val="21"/>
              </w:rPr>
            </w:pPr>
          </w:p>
          <w:p w14:paraId="4414A070">
            <w:pPr>
              <w:pStyle w:val="20"/>
              <w:spacing w:before="78" w:line="185" w:lineRule="auto"/>
              <w:ind w:left="441" w:leftChars="0"/>
              <w:rPr>
                <w:color w:val="auto"/>
                <w:spacing w:val="-5"/>
              </w:rPr>
            </w:pPr>
          </w:p>
          <w:p w14:paraId="2AFAB072">
            <w:pPr>
              <w:pStyle w:val="20"/>
              <w:spacing w:before="78" w:line="185" w:lineRule="auto"/>
              <w:ind w:left="441" w:leftChars="0"/>
              <w:rPr>
                <w:color w:val="auto"/>
                <w:spacing w:val="-5"/>
              </w:rPr>
            </w:pPr>
          </w:p>
          <w:p w14:paraId="6CA48C1B">
            <w:pPr>
              <w:pStyle w:val="20"/>
              <w:spacing w:before="78" w:line="185" w:lineRule="auto"/>
              <w:ind w:left="441" w:leftChars="0"/>
              <w:rPr>
                <w:color w:val="auto"/>
                <w:spacing w:val="-5"/>
              </w:rPr>
            </w:pPr>
          </w:p>
          <w:p w14:paraId="3630177B">
            <w:pPr>
              <w:pStyle w:val="20"/>
              <w:spacing w:before="78" w:line="185" w:lineRule="auto"/>
              <w:ind w:left="441" w:leftChars="0"/>
              <w:rPr>
                <w:rFonts w:hint="eastAsia" w:ascii="黑体" w:hAnsi="黑体" w:eastAsia="黑体" w:cs="黑体"/>
                <w:snapToGrid w:val="0"/>
                <w:color w:val="auto"/>
                <w:kern w:val="0"/>
                <w:sz w:val="24"/>
                <w:szCs w:val="24"/>
                <w:lang w:val="en-US" w:eastAsia="zh-CN" w:bidi="ar-SA"/>
              </w:rPr>
            </w:pPr>
            <w:r>
              <w:rPr>
                <w:color w:val="auto"/>
                <w:spacing w:val="-5"/>
              </w:rPr>
              <w:t>3</w:t>
            </w:r>
            <w:r>
              <w:rPr>
                <w:rFonts w:hint="eastAsia"/>
                <w:color w:val="auto"/>
                <w:spacing w:val="-5"/>
                <w:lang w:val="en-US" w:eastAsia="zh-CN"/>
              </w:rPr>
              <w:t>0</w:t>
            </w:r>
          </w:p>
        </w:tc>
        <w:tc>
          <w:tcPr>
            <w:tcW w:w="2230" w:type="dxa"/>
            <w:vAlign w:val="top"/>
          </w:tcPr>
          <w:p w14:paraId="67639486">
            <w:pPr>
              <w:spacing w:line="245" w:lineRule="auto"/>
              <w:rPr>
                <w:rFonts w:ascii="Arial"/>
                <w:color w:val="auto"/>
                <w:sz w:val="21"/>
              </w:rPr>
            </w:pPr>
          </w:p>
          <w:p w14:paraId="3D0BB25F">
            <w:pPr>
              <w:spacing w:line="245" w:lineRule="auto"/>
              <w:rPr>
                <w:rFonts w:ascii="Arial"/>
                <w:color w:val="auto"/>
                <w:sz w:val="21"/>
              </w:rPr>
            </w:pPr>
          </w:p>
          <w:p w14:paraId="3FFAE58C">
            <w:pPr>
              <w:spacing w:line="245" w:lineRule="auto"/>
              <w:rPr>
                <w:rFonts w:ascii="Arial"/>
                <w:color w:val="auto"/>
                <w:sz w:val="21"/>
              </w:rPr>
            </w:pPr>
          </w:p>
          <w:p w14:paraId="4324E296">
            <w:pPr>
              <w:spacing w:line="246" w:lineRule="auto"/>
              <w:rPr>
                <w:rFonts w:ascii="Arial"/>
                <w:color w:val="auto"/>
                <w:sz w:val="21"/>
              </w:rPr>
            </w:pPr>
          </w:p>
          <w:p w14:paraId="55C3CFA9">
            <w:pPr>
              <w:spacing w:line="246" w:lineRule="auto"/>
              <w:rPr>
                <w:rFonts w:ascii="Arial"/>
                <w:color w:val="auto"/>
                <w:sz w:val="21"/>
              </w:rPr>
            </w:pPr>
          </w:p>
          <w:p w14:paraId="2C84426B">
            <w:pPr>
              <w:pStyle w:val="20"/>
              <w:spacing w:before="78" w:line="221" w:lineRule="auto"/>
              <w:ind w:left="632"/>
              <w:rPr>
                <w:color w:val="auto"/>
              </w:rPr>
            </w:pPr>
            <w:r>
              <w:rPr>
                <w:color w:val="auto"/>
                <w:spacing w:val="-1"/>
              </w:rPr>
              <w:t>提出质疑</w:t>
            </w:r>
          </w:p>
          <w:p w14:paraId="2FFEBF7B">
            <w:pPr>
              <w:pStyle w:val="20"/>
              <w:spacing w:before="178" w:line="223" w:lineRule="auto"/>
              <w:ind w:left="770"/>
              <w:rPr>
                <w:color w:val="auto"/>
              </w:rPr>
            </w:pPr>
            <w:r>
              <w:rPr>
                <w:color w:val="auto"/>
                <w:spacing w:val="-6"/>
              </w:rPr>
              <w:t>的时间</w:t>
            </w:r>
          </w:p>
        </w:tc>
        <w:tc>
          <w:tcPr>
            <w:tcW w:w="6951" w:type="dxa"/>
            <w:vAlign w:val="top"/>
          </w:tcPr>
          <w:p w14:paraId="6C072BF9">
            <w:pPr>
              <w:pStyle w:val="20"/>
              <w:spacing w:before="36" w:line="437" w:lineRule="exact"/>
              <w:ind w:left="125"/>
              <w:rPr>
                <w:color w:val="auto"/>
              </w:rPr>
            </w:pPr>
            <w:r>
              <w:rPr>
                <w:color w:val="auto"/>
                <w:spacing w:val="4"/>
                <w:position w:val="15"/>
              </w:rPr>
              <w:t>1、对竞争性磋商文件提出质疑的，应当在获取竞争性磋</w:t>
            </w:r>
            <w:r>
              <w:rPr>
                <w:color w:val="auto"/>
                <w:spacing w:val="3"/>
                <w:position w:val="15"/>
              </w:rPr>
              <w:t>商文件</w:t>
            </w:r>
          </w:p>
          <w:p w14:paraId="60A6BEEC">
            <w:pPr>
              <w:pStyle w:val="20"/>
              <w:spacing w:line="221" w:lineRule="auto"/>
              <w:ind w:left="118"/>
              <w:rPr>
                <w:color w:val="auto"/>
              </w:rPr>
            </w:pPr>
            <w:r>
              <w:rPr>
                <w:color w:val="auto"/>
              </w:rPr>
              <w:t>或者竞争性磋商公告期限届满之日起7个工作日内提出。</w:t>
            </w:r>
          </w:p>
          <w:p w14:paraId="16BF4884">
            <w:pPr>
              <w:pStyle w:val="20"/>
              <w:spacing w:before="147" w:line="335" w:lineRule="auto"/>
              <w:ind w:left="111" w:right="110"/>
              <w:jc w:val="both"/>
              <w:rPr>
                <w:color w:val="auto"/>
              </w:rPr>
            </w:pPr>
            <w:r>
              <w:rPr>
                <w:color w:val="auto"/>
                <w:spacing w:val="4"/>
              </w:rPr>
              <w:t>2、供应商认为竞争性磋商文件、采购过程、中标或者成交结果</w:t>
            </w:r>
            <w:r>
              <w:rPr>
                <w:color w:val="auto"/>
              </w:rPr>
              <w:t>使自己的权益受到损害的，可以在知道或者应知其权益受到损害</w:t>
            </w:r>
            <w:r>
              <w:rPr>
                <w:color w:val="auto"/>
                <w:spacing w:val="-1"/>
              </w:rPr>
              <w:t>之日起7个工作日内，以书面形式向采购人、采购代理机构提出</w:t>
            </w:r>
          </w:p>
          <w:p w14:paraId="1C85D976">
            <w:pPr>
              <w:pStyle w:val="20"/>
              <w:spacing w:before="1" w:line="220" w:lineRule="auto"/>
              <w:ind w:left="115"/>
              <w:rPr>
                <w:color w:val="auto"/>
              </w:rPr>
            </w:pPr>
            <w:r>
              <w:rPr>
                <w:color w:val="auto"/>
                <w:spacing w:val="-3"/>
              </w:rPr>
              <w:t>质疑。</w:t>
            </w:r>
          </w:p>
          <w:p w14:paraId="7461C730">
            <w:pPr>
              <w:pStyle w:val="20"/>
              <w:spacing w:before="150" w:line="434" w:lineRule="exact"/>
              <w:ind w:left="113"/>
              <w:rPr>
                <w:color w:val="auto"/>
              </w:rPr>
            </w:pPr>
            <w:r>
              <w:rPr>
                <w:color w:val="auto"/>
                <w:spacing w:val="4"/>
                <w:position w:val="14"/>
              </w:rPr>
              <w:t>3、供应商在法定质疑期内应当一次性提出针对同一采购程序环</w:t>
            </w:r>
          </w:p>
          <w:p w14:paraId="02062230">
            <w:pPr>
              <w:pStyle w:val="20"/>
              <w:spacing w:before="1" w:line="220" w:lineRule="auto"/>
              <w:ind w:left="117"/>
              <w:rPr>
                <w:color w:val="auto"/>
              </w:rPr>
            </w:pPr>
            <w:r>
              <w:rPr>
                <w:color w:val="auto"/>
                <w:spacing w:val="-2"/>
              </w:rPr>
              <w:t>节的质疑。</w:t>
            </w:r>
          </w:p>
        </w:tc>
      </w:tr>
      <w:tr w14:paraId="518E9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1113" w:type="dxa"/>
            <w:vAlign w:val="top"/>
          </w:tcPr>
          <w:p w14:paraId="3BF6E46E">
            <w:pPr>
              <w:spacing w:line="315" w:lineRule="auto"/>
              <w:rPr>
                <w:rFonts w:ascii="Arial"/>
                <w:color w:val="auto"/>
                <w:sz w:val="21"/>
              </w:rPr>
            </w:pPr>
          </w:p>
          <w:p w14:paraId="67849F26">
            <w:pPr>
              <w:spacing w:line="315" w:lineRule="auto"/>
              <w:rPr>
                <w:rFonts w:ascii="Arial"/>
                <w:color w:val="auto"/>
                <w:sz w:val="21"/>
              </w:rPr>
            </w:pPr>
          </w:p>
          <w:p w14:paraId="4FADC7D0">
            <w:pPr>
              <w:pStyle w:val="20"/>
              <w:spacing w:before="78" w:line="185" w:lineRule="auto"/>
              <w:ind w:left="441" w:leftChars="0"/>
              <w:rPr>
                <w:rFonts w:hint="eastAsia" w:ascii="黑体" w:hAnsi="黑体" w:eastAsia="黑体" w:cs="黑体"/>
                <w:snapToGrid w:val="0"/>
                <w:color w:val="auto"/>
                <w:kern w:val="0"/>
                <w:sz w:val="24"/>
                <w:szCs w:val="24"/>
                <w:lang w:val="en-US" w:eastAsia="zh-CN" w:bidi="ar-SA"/>
              </w:rPr>
            </w:pPr>
            <w:r>
              <w:rPr>
                <w:color w:val="auto"/>
                <w:spacing w:val="-5"/>
              </w:rPr>
              <w:t>3</w:t>
            </w:r>
            <w:r>
              <w:rPr>
                <w:rFonts w:hint="eastAsia"/>
                <w:color w:val="auto"/>
                <w:spacing w:val="-5"/>
                <w:lang w:val="en-US" w:eastAsia="zh-CN"/>
              </w:rPr>
              <w:t>1</w:t>
            </w:r>
          </w:p>
        </w:tc>
        <w:tc>
          <w:tcPr>
            <w:tcW w:w="2230" w:type="dxa"/>
            <w:vAlign w:val="top"/>
          </w:tcPr>
          <w:p w14:paraId="478A8BEA">
            <w:pPr>
              <w:spacing w:line="297" w:lineRule="auto"/>
              <w:rPr>
                <w:rFonts w:ascii="Arial"/>
                <w:color w:val="auto"/>
                <w:sz w:val="21"/>
              </w:rPr>
            </w:pPr>
          </w:p>
          <w:p w14:paraId="3DAE73AD">
            <w:pPr>
              <w:spacing w:line="297" w:lineRule="auto"/>
              <w:rPr>
                <w:rFonts w:ascii="Arial"/>
                <w:color w:val="auto"/>
                <w:sz w:val="21"/>
              </w:rPr>
            </w:pPr>
          </w:p>
          <w:p w14:paraId="1546D8E3">
            <w:pPr>
              <w:pStyle w:val="20"/>
              <w:spacing w:before="78" w:line="222" w:lineRule="auto"/>
              <w:ind w:left="876"/>
              <w:rPr>
                <w:color w:val="auto"/>
              </w:rPr>
            </w:pPr>
            <w:r>
              <w:rPr>
                <w:color w:val="auto"/>
                <w:spacing w:val="-4"/>
              </w:rPr>
              <w:t>备注</w:t>
            </w:r>
          </w:p>
        </w:tc>
        <w:tc>
          <w:tcPr>
            <w:tcW w:w="6951" w:type="dxa"/>
            <w:vAlign w:val="top"/>
          </w:tcPr>
          <w:p w14:paraId="1EE66317">
            <w:pPr>
              <w:pStyle w:val="20"/>
              <w:spacing w:before="38" w:line="335" w:lineRule="auto"/>
              <w:ind w:left="111" w:right="110" w:firstLine="14"/>
              <w:rPr>
                <w:color w:val="auto"/>
              </w:rPr>
            </w:pPr>
            <w:r>
              <w:rPr>
                <w:color w:val="auto"/>
                <w:spacing w:val="-1"/>
              </w:rPr>
              <w:t>1、竞争性磋商文件中所有偏离表，若有偏离,请将具体偏离条款</w:t>
            </w:r>
            <w:r>
              <w:rPr>
                <w:color w:val="auto"/>
              </w:rPr>
              <w:t>在“偏离”一栏中详细说明；若无偏离，请在“偏离”一栏中标</w:t>
            </w:r>
          </w:p>
          <w:p w14:paraId="65F5AF42">
            <w:pPr>
              <w:pStyle w:val="20"/>
              <w:spacing w:before="1" w:line="212" w:lineRule="auto"/>
              <w:ind w:left="116"/>
              <w:rPr>
                <w:color w:val="auto"/>
              </w:rPr>
            </w:pPr>
            <w:r>
              <w:rPr>
                <w:color w:val="auto"/>
                <w:spacing w:val="2"/>
              </w:rPr>
              <w:t>注“无”字样。如不填写将视为不响应竞争性磋商文件</w:t>
            </w:r>
            <w:r>
              <w:rPr>
                <w:color w:val="auto"/>
                <w:spacing w:val="1"/>
              </w:rPr>
              <w:t>要求；</w:t>
            </w:r>
          </w:p>
          <w:p w14:paraId="7A971370">
            <w:pPr>
              <w:pStyle w:val="20"/>
              <w:spacing w:before="159" w:line="221" w:lineRule="auto"/>
              <w:ind w:left="111"/>
              <w:rPr>
                <w:color w:val="auto"/>
              </w:rPr>
            </w:pPr>
            <w:r>
              <w:rPr>
                <w:color w:val="auto"/>
                <w:spacing w:val="1"/>
              </w:rPr>
              <w:t>2、本次招标各供应商投标时以人民币报价。</w:t>
            </w:r>
          </w:p>
        </w:tc>
      </w:tr>
      <w:tr w14:paraId="1A537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0" w:hRule="atLeast"/>
        </w:trPr>
        <w:tc>
          <w:tcPr>
            <w:tcW w:w="1113" w:type="dxa"/>
            <w:vAlign w:val="top"/>
          </w:tcPr>
          <w:p w14:paraId="2D9CB6E2">
            <w:pPr>
              <w:pStyle w:val="20"/>
              <w:spacing w:before="78" w:line="185" w:lineRule="auto"/>
              <w:ind w:left="441"/>
              <w:rPr>
                <w:rFonts w:hint="eastAsia"/>
                <w:color w:val="auto"/>
                <w:lang w:val="en-US" w:eastAsia="zh-CN"/>
              </w:rPr>
            </w:pPr>
          </w:p>
          <w:p w14:paraId="1C03A595">
            <w:pPr>
              <w:pStyle w:val="20"/>
              <w:spacing w:before="78" w:line="185" w:lineRule="auto"/>
              <w:ind w:left="441"/>
              <w:rPr>
                <w:rFonts w:hint="eastAsia"/>
                <w:color w:val="auto"/>
                <w:lang w:val="en-US" w:eastAsia="zh-CN"/>
              </w:rPr>
            </w:pPr>
          </w:p>
          <w:p w14:paraId="5E2AB818">
            <w:pPr>
              <w:pStyle w:val="20"/>
              <w:spacing w:before="78" w:line="185" w:lineRule="auto"/>
              <w:ind w:left="441"/>
              <w:rPr>
                <w:rFonts w:hint="eastAsia"/>
                <w:color w:val="auto"/>
                <w:lang w:val="en-US" w:eastAsia="zh-CN"/>
              </w:rPr>
            </w:pPr>
          </w:p>
          <w:p w14:paraId="0D012591">
            <w:pPr>
              <w:pStyle w:val="20"/>
              <w:spacing w:before="78" w:line="185" w:lineRule="auto"/>
              <w:ind w:left="441"/>
              <w:rPr>
                <w:rFonts w:hint="default" w:eastAsia="黑体"/>
                <w:color w:val="auto"/>
                <w:lang w:val="en-US" w:eastAsia="zh-CN"/>
              </w:rPr>
            </w:pPr>
            <w:r>
              <w:rPr>
                <w:rFonts w:hint="eastAsia"/>
                <w:color w:val="auto"/>
                <w:lang w:val="en-US" w:eastAsia="zh-CN"/>
              </w:rPr>
              <w:t>32</w:t>
            </w:r>
          </w:p>
        </w:tc>
        <w:tc>
          <w:tcPr>
            <w:tcW w:w="2230" w:type="dxa"/>
            <w:vAlign w:val="top"/>
          </w:tcPr>
          <w:p w14:paraId="540A3555">
            <w:pPr>
              <w:spacing w:line="297" w:lineRule="auto"/>
              <w:rPr>
                <w:rFonts w:ascii="Arial"/>
                <w:color w:val="auto"/>
                <w:sz w:val="21"/>
              </w:rPr>
            </w:pPr>
          </w:p>
          <w:p w14:paraId="75FA8586">
            <w:pPr>
              <w:spacing w:line="298" w:lineRule="auto"/>
              <w:rPr>
                <w:rFonts w:ascii="Arial"/>
                <w:color w:val="auto"/>
                <w:sz w:val="21"/>
              </w:rPr>
            </w:pPr>
          </w:p>
          <w:p w14:paraId="4D6941B1">
            <w:pPr>
              <w:pStyle w:val="20"/>
              <w:spacing w:before="78" w:line="222" w:lineRule="auto"/>
              <w:ind w:left="755"/>
              <w:rPr>
                <w:color w:val="auto"/>
              </w:rPr>
            </w:pPr>
            <w:r>
              <w:rPr>
                <w:color w:val="auto"/>
                <w:spacing w:val="-1"/>
              </w:rPr>
              <w:t>解释权</w:t>
            </w:r>
          </w:p>
        </w:tc>
        <w:tc>
          <w:tcPr>
            <w:tcW w:w="6951" w:type="dxa"/>
            <w:vAlign w:val="top"/>
          </w:tcPr>
          <w:p w14:paraId="480211A7">
            <w:pPr>
              <w:pStyle w:val="20"/>
              <w:spacing w:before="40" w:line="335" w:lineRule="auto"/>
              <w:ind w:left="111" w:right="101" w:hanging="1"/>
              <w:jc w:val="both"/>
              <w:rPr>
                <w:color w:val="auto"/>
              </w:rPr>
            </w:pPr>
            <w:r>
              <w:rPr>
                <w:color w:val="auto"/>
              </w:rPr>
              <w:t>构成本竞争性磋商文件的各个组成文件应互为解释，互为说明；如有不明确或不一致，构成合同文件组成内容，以合同文件约定内容为准，且以专用合同条款约定的合同文件优先顺序解释；除</w:t>
            </w:r>
          </w:p>
          <w:p w14:paraId="766D3160">
            <w:pPr>
              <w:pStyle w:val="20"/>
              <w:spacing w:before="37" w:line="336" w:lineRule="auto"/>
              <w:ind w:right="48"/>
              <w:jc w:val="both"/>
              <w:rPr>
                <w:color w:val="auto"/>
              </w:rPr>
            </w:pPr>
            <w:r>
              <w:rPr>
                <w:color w:val="auto"/>
                <w:spacing w:val="9"/>
              </w:rPr>
              <w:t>竞争性磋商文件中有特别规定外，仅适用于招标投标阶段</w:t>
            </w:r>
            <w:r>
              <w:rPr>
                <w:color w:val="auto"/>
                <w:spacing w:val="8"/>
              </w:rPr>
              <w:t>的规</w:t>
            </w:r>
            <w:r>
              <w:rPr>
                <w:color w:val="auto"/>
              </w:rPr>
              <w:t>定，按竞争性磋商公告、供应商须知、清单、响应文件格式的先</w:t>
            </w:r>
            <w:r>
              <w:rPr>
                <w:color w:val="auto"/>
                <w:spacing w:val="9"/>
              </w:rPr>
              <w:t>后顺序解释；同一组成文件中就同一事项的规定或约定不一致</w:t>
            </w:r>
            <w:r>
              <w:rPr>
                <w:color w:val="auto"/>
              </w:rPr>
              <w:t>的，以编排顺序在后者为准；同一组成文件不同版本之间有不一</w:t>
            </w:r>
            <w:r>
              <w:rPr>
                <w:color w:val="auto"/>
                <w:spacing w:val="-6"/>
              </w:rPr>
              <w:t>致的，以形成时间在后者为准。按本款前述规定仍不形成结论</w:t>
            </w:r>
            <w:r>
              <w:rPr>
                <w:color w:val="auto"/>
                <w:spacing w:val="-7"/>
              </w:rPr>
              <w:t>的，</w:t>
            </w:r>
          </w:p>
          <w:p w14:paraId="647102B2">
            <w:pPr>
              <w:pStyle w:val="20"/>
              <w:spacing w:before="1" w:line="212" w:lineRule="auto"/>
              <w:ind w:left="113"/>
              <w:rPr>
                <w:color w:val="auto"/>
              </w:rPr>
            </w:pPr>
            <w:r>
              <w:rPr>
                <w:color w:val="auto"/>
                <w:spacing w:val="-1"/>
              </w:rPr>
              <w:t>由采购人负责解释。</w:t>
            </w:r>
          </w:p>
        </w:tc>
      </w:tr>
    </w:tbl>
    <w:p w14:paraId="54A6881F">
      <w:pPr>
        <w:spacing w:line="51" w:lineRule="exact"/>
        <w:rPr>
          <w:color w:val="auto"/>
        </w:rPr>
      </w:pPr>
    </w:p>
    <w:tbl>
      <w:tblPr>
        <w:tblStyle w:val="19"/>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102"/>
        <w:gridCol w:w="7079"/>
      </w:tblGrid>
      <w:tr w14:paraId="329E8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1" w:hRule="atLeast"/>
        </w:trPr>
        <w:tc>
          <w:tcPr>
            <w:tcW w:w="1113" w:type="dxa"/>
            <w:vAlign w:val="top"/>
          </w:tcPr>
          <w:p w14:paraId="45765525">
            <w:pPr>
              <w:spacing w:line="267" w:lineRule="auto"/>
              <w:rPr>
                <w:rFonts w:ascii="Arial"/>
                <w:color w:val="auto"/>
                <w:sz w:val="21"/>
              </w:rPr>
            </w:pPr>
          </w:p>
          <w:p w14:paraId="61DEAF9F">
            <w:pPr>
              <w:spacing w:line="267" w:lineRule="auto"/>
              <w:rPr>
                <w:rFonts w:ascii="Arial"/>
                <w:color w:val="auto"/>
                <w:sz w:val="21"/>
              </w:rPr>
            </w:pPr>
          </w:p>
          <w:p w14:paraId="78EB8E93">
            <w:pPr>
              <w:spacing w:line="267" w:lineRule="auto"/>
              <w:rPr>
                <w:rFonts w:ascii="Arial"/>
                <w:color w:val="auto"/>
                <w:sz w:val="21"/>
              </w:rPr>
            </w:pPr>
          </w:p>
          <w:p w14:paraId="28E23013">
            <w:pPr>
              <w:spacing w:line="268" w:lineRule="auto"/>
              <w:rPr>
                <w:rFonts w:ascii="Arial"/>
                <w:color w:val="auto"/>
                <w:sz w:val="21"/>
              </w:rPr>
            </w:pPr>
          </w:p>
          <w:p w14:paraId="1FEAD970">
            <w:pPr>
              <w:spacing w:line="268" w:lineRule="auto"/>
              <w:rPr>
                <w:rFonts w:ascii="Arial"/>
                <w:color w:val="auto"/>
                <w:sz w:val="21"/>
              </w:rPr>
            </w:pPr>
          </w:p>
          <w:p w14:paraId="66DF5660">
            <w:pPr>
              <w:spacing w:line="268" w:lineRule="auto"/>
              <w:rPr>
                <w:rFonts w:ascii="Arial"/>
                <w:color w:val="auto"/>
                <w:sz w:val="21"/>
              </w:rPr>
            </w:pPr>
          </w:p>
          <w:p w14:paraId="145F18B8">
            <w:pPr>
              <w:spacing w:line="268" w:lineRule="auto"/>
              <w:rPr>
                <w:rFonts w:ascii="Arial"/>
                <w:color w:val="auto"/>
                <w:sz w:val="21"/>
              </w:rPr>
            </w:pPr>
          </w:p>
          <w:p w14:paraId="3212B93A">
            <w:pPr>
              <w:spacing w:line="268" w:lineRule="auto"/>
              <w:rPr>
                <w:rFonts w:ascii="Arial"/>
                <w:color w:val="auto"/>
                <w:sz w:val="21"/>
              </w:rPr>
            </w:pPr>
          </w:p>
          <w:p w14:paraId="0A848B89">
            <w:pPr>
              <w:pStyle w:val="20"/>
              <w:spacing w:before="78" w:line="185" w:lineRule="auto"/>
              <w:ind w:left="441"/>
              <w:rPr>
                <w:rFonts w:hint="default" w:eastAsia="黑体"/>
                <w:color w:val="auto"/>
                <w:lang w:val="en-US" w:eastAsia="zh-CN"/>
              </w:rPr>
            </w:pPr>
            <w:r>
              <w:rPr>
                <w:rFonts w:hint="eastAsia"/>
                <w:color w:val="auto"/>
                <w:lang w:val="en-US" w:eastAsia="zh-CN"/>
              </w:rPr>
              <w:t>33</w:t>
            </w:r>
          </w:p>
        </w:tc>
        <w:tc>
          <w:tcPr>
            <w:tcW w:w="2102" w:type="dxa"/>
            <w:vAlign w:val="top"/>
          </w:tcPr>
          <w:p w14:paraId="40C95EB3">
            <w:pPr>
              <w:spacing w:line="263" w:lineRule="auto"/>
              <w:rPr>
                <w:rFonts w:ascii="Arial"/>
                <w:color w:val="auto"/>
                <w:sz w:val="21"/>
              </w:rPr>
            </w:pPr>
          </w:p>
          <w:p w14:paraId="518AB800">
            <w:pPr>
              <w:spacing w:line="263" w:lineRule="auto"/>
              <w:rPr>
                <w:rFonts w:ascii="Arial"/>
                <w:color w:val="auto"/>
                <w:sz w:val="21"/>
              </w:rPr>
            </w:pPr>
          </w:p>
          <w:p w14:paraId="0497D1BA">
            <w:pPr>
              <w:spacing w:line="263" w:lineRule="auto"/>
              <w:rPr>
                <w:rFonts w:ascii="Arial"/>
                <w:color w:val="auto"/>
                <w:sz w:val="21"/>
              </w:rPr>
            </w:pPr>
          </w:p>
          <w:p w14:paraId="190C2FC2">
            <w:pPr>
              <w:spacing w:line="263" w:lineRule="auto"/>
              <w:rPr>
                <w:rFonts w:ascii="Arial"/>
                <w:color w:val="auto"/>
                <w:sz w:val="21"/>
              </w:rPr>
            </w:pPr>
          </w:p>
          <w:p w14:paraId="7DC82F60">
            <w:pPr>
              <w:spacing w:line="263" w:lineRule="auto"/>
              <w:rPr>
                <w:rFonts w:ascii="Arial"/>
                <w:color w:val="auto"/>
                <w:sz w:val="21"/>
              </w:rPr>
            </w:pPr>
          </w:p>
          <w:p w14:paraId="0A68F703">
            <w:pPr>
              <w:spacing w:line="264" w:lineRule="auto"/>
              <w:rPr>
                <w:rFonts w:ascii="Arial"/>
                <w:color w:val="auto"/>
                <w:sz w:val="21"/>
              </w:rPr>
            </w:pPr>
          </w:p>
          <w:p w14:paraId="13A0A633">
            <w:pPr>
              <w:spacing w:line="264" w:lineRule="auto"/>
              <w:rPr>
                <w:rFonts w:ascii="Arial"/>
                <w:color w:val="auto"/>
                <w:sz w:val="21"/>
              </w:rPr>
            </w:pPr>
          </w:p>
          <w:p w14:paraId="14647C79">
            <w:pPr>
              <w:spacing w:line="264" w:lineRule="auto"/>
              <w:rPr>
                <w:rFonts w:ascii="Arial"/>
                <w:color w:val="auto"/>
                <w:sz w:val="21"/>
              </w:rPr>
            </w:pPr>
          </w:p>
          <w:p w14:paraId="23A7822D">
            <w:pPr>
              <w:pStyle w:val="20"/>
              <w:spacing w:before="78" w:line="222" w:lineRule="auto"/>
              <w:ind w:left="641"/>
              <w:rPr>
                <w:color w:val="auto"/>
              </w:rPr>
            </w:pPr>
            <w:r>
              <w:rPr>
                <w:color w:val="auto"/>
                <w:spacing w:val="-3"/>
              </w:rPr>
              <w:t>知识产权</w:t>
            </w:r>
          </w:p>
        </w:tc>
        <w:tc>
          <w:tcPr>
            <w:tcW w:w="7079" w:type="dxa"/>
            <w:vAlign w:val="top"/>
          </w:tcPr>
          <w:p w14:paraId="02491E47">
            <w:pPr>
              <w:pStyle w:val="20"/>
              <w:spacing w:before="37" w:line="335" w:lineRule="auto"/>
              <w:ind w:left="111" w:right="110" w:firstLine="14"/>
              <w:rPr>
                <w:color w:val="auto"/>
              </w:rPr>
            </w:pPr>
            <w:r>
              <w:rPr>
                <w:color w:val="auto"/>
                <w:spacing w:val="-1"/>
              </w:rPr>
              <w:t>1.供应商须保证，采购人在中华人民共和国境内使用投标设施设</w:t>
            </w:r>
            <w:r>
              <w:rPr>
                <w:color w:val="auto"/>
              </w:rPr>
              <w:t>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w:t>
            </w:r>
          </w:p>
          <w:p w14:paraId="049C0820">
            <w:pPr>
              <w:pStyle w:val="20"/>
              <w:spacing w:before="1" w:line="212" w:lineRule="auto"/>
              <w:ind w:left="117"/>
              <w:rPr>
                <w:color w:val="auto"/>
              </w:rPr>
            </w:pPr>
            <w:r>
              <w:rPr>
                <w:color w:val="auto"/>
                <w:spacing w:val="2"/>
              </w:rPr>
              <w:t>用。如因此导致采购人损失的，供应商须承担全部赔</w:t>
            </w:r>
            <w:r>
              <w:rPr>
                <w:color w:val="auto"/>
                <w:spacing w:val="1"/>
              </w:rPr>
              <w:t>偿责任。</w:t>
            </w:r>
          </w:p>
          <w:p w14:paraId="16E08C63">
            <w:pPr>
              <w:pStyle w:val="20"/>
              <w:spacing w:before="157" w:line="336" w:lineRule="auto"/>
              <w:ind w:left="111" w:right="110"/>
              <w:rPr>
                <w:color w:val="auto"/>
              </w:rPr>
            </w:pPr>
            <w:r>
              <w:rPr>
                <w:color w:val="auto"/>
              </w:rPr>
              <w:t>2.供应商如欲在项目实施过程中采用自有知识成果，须在响应文件中声明，并提供相关知识产权证明文件。使用该知识成果后，</w:t>
            </w:r>
          </w:p>
          <w:p w14:paraId="22679A1A">
            <w:pPr>
              <w:pStyle w:val="20"/>
              <w:spacing w:before="1" w:line="220" w:lineRule="auto"/>
              <w:ind w:left="112"/>
              <w:rPr>
                <w:color w:val="auto"/>
              </w:rPr>
            </w:pPr>
            <w:r>
              <w:rPr>
                <w:color w:val="auto"/>
                <w:spacing w:val="1"/>
              </w:rPr>
              <w:t>供应商须提供开发接口和开发手册等技术文档。</w:t>
            </w:r>
          </w:p>
          <w:p w14:paraId="57B6828E">
            <w:pPr>
              <w:pStyle w:val="20"/>
              <w:spacing w:before="147" w:line="437" w:lineRule="exact"/>
              <w:ind w:left="112"/>
              <w:rPr>
                <w:color w:val="auto"/>
              </w:rPr>
            </w:pPr>
            <w:r>
              <w:rPr>
                <w:color w:val="auto"/>
                <w:position w:val="14"/>
              </w:rPr>
              <w:t>如本《投标人须知前附表》相关内容与采购文件中的相关内容如</w:t>
            </w:r>
          </w:p>
          <w:p w14:paraId="67E9A5E3">
            <w:pPr>
              <w:pStyle w:val="20"/>
              <w:spacing w:before="1" w:line="212" w:lineRule="auto"/>
              <w:ind w:left="114"/>
              <w:rPr>
                <w:color w:val="auto"/>
              </w:rPr>
            </w:pPr>
            <w:r>
              <w:rPr>
                <w:color w:val="auto"/>
                <w:spacing w:val="2"/>
              </w:rPr>
              <w:t>有不一致处，则以本《投标人须知前附表》相关内</w:t>
            </w:r>
            <w:r>
              <w:rPr>
                <w:color w:val="auto"/>
                <w:spacing w:val="1"/>
              </w:rPr>
              <w:t>容为准。</w:t>
            </w:r>
          </w:p>
        </w:tc>
      </w:tr>
      <w:tr w14:paraId="47C7F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1113" w:type="dxa"/>
            <w:vAlign w:val="top"/>
          </w:tcPr>
          <w:p w14:paraId="5E599182">
            <w:pPr>
              <w:spacing w:line="250" w:lineRule="auto"/>
              <w:rPr>
                <w:rFonts w:ascii="Arial"/>
                <w:color w:val="auto"/>
                <w:sz w:val="21"/>
              </w:rPr>
            </w:pPr>
          </w:p>
          <w:p w14:paraId="580C8B88">
            <w:pPr>
              <w:spacing w:line="251" w:lineRule="auto"/>
              <w:rPr>
                <w:rFonts w:ascii="Arial"/>
                <w:color w:val="auto"/>
                <w:sz w:val="21"/>
              </w:rPr>
            </w:pPr>
          </w:p>
          <w:p w14:paraId="76307101">
            <w:pPr>
              <w:spacing w:line="251" w:lineRule="auto"/>
              <w:rPr>
                <w:rFonts w:ascii="Arial"/>
                <w:color w:val="auto"/>
                <w:sz w:val="21"/>
              </w:rPr>
            </w:pPr>
          </w:p>
          <w:p w14:paraId="7A8649A5">
            <w:pPr>
              <w:spacing w:line="251" w:lineRule="auto"/>
              <w:rPr>
                <w:rFonts w:ascii="Arial"/>
                <w:color w:val="auto"/>
                <w:sz w:val="21"/>
              </w:rPr>
            </w:pPr>
          </w:p>
          <w:p w14:paraId="141C643B">
            <w:pPr>
              <w:spacing w:line="251" w:lineRule="auto"/>
              <w:rPr>
                <w:rFonts w:ascii="Arial"/>
                <w:color w:val="auto"/>
                <w:sz w:val="21"/>
              </w:rPr>
            </w:pPr>
          </w:p>
          <w:p w14:paraId="3AC1A77D">
            <w:pPr>
              <w:spacing w:line="251" w:lineRule="auto"/>
              <w:rPr>
                <w:rFonts w:ascii="Arial"/>
                <w:color w:val="auto"/>
                <w:sz w:val="21"/>
              </w:rPr>
            </w:pPr>
          </w:p>
          <w:p w14:paraId="66EF16C3">
            <w:pPr>
              <w:spacing w:line="251" w:lineRule="auto"/>
              <w:rPr>
                <w:rFonts w:ascii="Arial"/>
                <w:color w:val="auto"/>
                <w:sz w:val="21"/>
              </w:rPr>
            </w:pPr>
          </w:p>
          <w:p w14:paraId="5EE74B7E">
            <w:pPr>
              <w:spacing w:line="251" w:lineRule="auto"/>
              <w:rPr>
                <w:rFonts w:ascii="Arial"/>
                <w:color w:val="auto"/>
                <w:sz w:val="21"/>
              </w:rPr>
            </w:pPr>
          </w:p>
          <w:p w14:paraId="5C283176">
            <w:pPr>
              <w:spacing w:line="251" w:lineRule="auto"/>
              <w:rPr>
                <w:rFonts w:ascii="Arial"/>
                <w:color w:val="auto"/>
                <w:sz w:val="21"/>
              </w:rPr>
            </w:pPr>
          </w:p>
          <w:p w14:paraId="0DB4C833">
            <w:pPr>
              <w:spacing w:line="251" w:lineRule="auto"/>
              <w:rPr>
                <w:rFonts w:ascii="Arial"/>
                <w:color w:val="auto"/>
                <w:sz w:val="21"/>
              </w:rPr>
            </w:pPr>
          </w:p>
          <w:p w14:paraId="6855563E">
            <w:pPr>
              <w:spacing w:line="251" w:lineRule="auto"/>
              <w:rPr>
                <w:rFonts w:ascii="Arial"/>
                <w:color w:val="auto"/>
                <w:sz w:val="21"/>
              </w:rPr>
            </w:pPr>
          </w:p>
          <w:p w14:paraId="39AAEA18">
            <w:pPr>
              <w:spacing w:line="251" w:lineRule="auto"/>
              <w:rPr>
                <w:rFonts w:ascii="Arial"/>
                <w:color w:val="auto"/>
                <w:sz w:val="21"/>
              </w:rPr>
            </w:pPr>
          </w:p>
          <w:p w14:paraId="5CCC0CDD">
            <w:pPr>
              <w:pStyle w:val="20"/>
              <w:spacing w:before="78" w:line="185" w:lineRule="auto"/>
              <w:ind w:left="441"/>
              <w:rPr>
                <w:rFonts w:hint="default" w:eastAsia="黑体"/>
                <w:color w:val="auto"/>
                <w:spacing w:val="-5"/>
                <w:lang w:val="en-US" w:eastAsia="zh-CN"/>
              </w:rPr>
            </w:pPr>
            <w:r>
              <w:rPr>
                <w:rFonts w:hint="eastAsia"/>
                <w:color w:val="auto"/>
                <w:spacing w:val="-5"/>
                <w:lang w:val="en-US" w:eastAsia="zh-CN"/>
              </w:rPr>
              <w:t>34</w:t>
            </w:r>
          </w:p>
        </w:tc>
        <w:tc>
          <w:tcPr>
            <w:tcW w:w="2102" w:type="dxa"/>
            <w:vAlign w:val="top"/>
          </w:tcPr>
          <w:p w14:paraId="2082CC1F">
            <w:pPr>
              <w:spacing w:line="249" w:lineRule="auto"/>
              <w:rPr>
                <w:rFonts w:ascii="Arial"/>
                <w:color w:val="auto"/>
                <w:sz w:val="21"/>
              </w:rPr>
            </w:pPr>
          </w:p>
          <w:p w14:paraId="7F2FDBD7">
            <w:pPr>
              <w:spacing w:line="249" w:lineRule="auto"/>
              <w:rPr>
                <w:rFonts w:ascii="Arial"/>
                <w:color w:val="auto"/>
                <w:sz w:val="21"/>
              </w:rPr>
            </w:pPr>
          </w:p>
          <w:p w14:paraId="2C0437D0">
            <w:pPr>
              <w:spacing w:line="249" w:lineRule="auto"/>
              <w:rPr>
                <w:rFonts w:ascii="Arial"/>
                <w:color w:val="auto"/>
                <w:sz w:val="21"/>
              </w:rPr>
            </w:pPr>
          </w:p>
          <w:p w14:paraId="14F6EF59">
            <w:pPr>
              <w:spacing w:line="249" w:lineRule="auto"/>
              <w:rPr>
                <w:rFonts w:ascii="Arial"/>
                <w:color w:val="auto"/>
                <w:sz w:val="21"/>
              </w:rPr>
            </w:pPr>
          </w:p>
          <w:p w14:paraId="47692A69">
            <w:pPr>
              <w:spacing w:line="249" w:lineRule="auto"/>
              <w:rPr>
                <w:rFonts w:ascii="Arial"/>
                <w:color w:val="auto"/>
                <w:sz w:val="21"/>
              </w:rPr>
            </w:pPr>
          </w:p>
          <w:p w14:paraId="6EBAF94E">
            <w:pPr>
              <w:spacing w:line="250" w:lineRule="auto"/>
              <w:rPr>
                <w:rFonts w:ascii="Arial"/>
                <w:color w:val="auto"/>
                <w:sz w:val="21"/>
              </w:rPr>
            </w:pPr>
          </w:p>
          <w:p w14:paraId="0ED4986B">
            <w:pPr>
              <w:spacing w:line="250" w:lineRule="auto"/>
              <w:rPr>
                <w:rFonts w:ascii="Arial"/>
                <w:color w:val="auto"/>
                <w:sz w:val="21"/>
              </w:rPr>
            </w:pPr>
          </w:p>
          <w:p w14:paraId="6C731F7E">
            <w:pPr>
              <w:spacing w:line="250" w:lineRule="auto"/>
              <w:rPr>
                <w:rFonts w:ascii="Arial"/>
                <w:color w:val="auto"/>
                <w:sz w:val="21"/>
              </w:rPr>
            </w:pPr>
          </w:p>
          <w:p w14:paraId="535E7C05">
            <w:pPr>
              <w:spacing w:line="250" w:lineRule="auto"/>
              <w:rPr>
                <w:rFonts w:ascii="Arial"/>
                <w:color w:val="auto"/>
                <w:sz w:val="21"/>
              </w:rPr>
            </w:pPr>
          </w:p>
          <w:p w14:paraId="12885274">
            <w:pPr>
              <w:spacing w:line="250" w:lineRule="auto"/>
              <w:rPr>
                <w:rFonts w:ascii="Arial"/>
                <w:color w:val="auto"/>
                <w:sz w:val="21"/>
              </w:rPr>
            </w:pPr>
          </w:p>
          <w:p w14:paraId="075DC8C7">
            <w:pPr>
              <w:spacing w:line="250" w:lineRule="auto"/>
              <w:rPr>
                <w:rFonts w:ascii="Arial"/>
                <w:color w:val="auto"/>
                <w:sz w:val="21"/>
              </w:rPr>
            </w:pPr>
          </w:p>
          <w:p w14:paraId="093E3F18">
            <w:pPr>
              <w:pStyle w:val="20"/>
              <w:spacing w:before="78" w:line="465" w:lineRule="exact"/>
              <w:ind w:left="632"/>
              <w:rPr>
                <w:color w:val="auto"/>
              </w:rPr>
            </w:pPr>
            <w:r>
              <w:rPr>
                <w:color w:val="auto"/>
                <w:spacing w:val="-1"/>
                <w:position w:val="16"/>
              </w:rPr>
              <w:t>政府采购</w:t>
            </w:r>
          </w:p>
          <w:p w14:paraId="1A60BCA9">
            <w:pPr>
              <w:pStyle w:val="20"/>
              <w:spacing w:line="221" w:lineRule="auto"/>
              <w:ind w:left="632"/>
              <w:rPr>
                <w:color w:val="auto"/>
                <w:spacing w:val="-3"/>
              </w:rPr>
            </w:pPr>
            <w:r>
              <w:rPr>
                <w:color w:val="auto"/>
                <w:spacing w:val="-1"/>
              </w:rPr>
              <w:t>政策支持</w:t>
            </w:r>
          </w:p>
        </w:tc>
        <w:tc>
          <w:tcPr>
            <w:tcW w:w="7079" w:type="dxa"/>
            <w:vAlign w:val="top"/>
          </w:tcPr>
          <w:p w14:paraId="724F8BCB">
            <w:pPr>
              <w:pStyle w:val="20"/>
              <w:spacing w:before="38" w:line="335" w:lineRule="auto"/>
              <w:ind w:left="113" w:right="110" w:firstLine="12"/>
              <w:jc w:val="both"/>
              <w:rPr>
                <w:color w:val="auto"/>
              </w:rPr>
            </w:pPr>
            <w:r>
              <w:rPr>
                <w:color w:val="auto"/>
                <w:spacing w:val="-1"/>
              </w:rPr>
              <w:t>1.促进中小企业发展政策：根据《政府采购促进中小企业发展暂</w:t>
            </w:r>
            <w:r>
              <w:rPr>
                <w:color w:val="auto"/>
              </w:rPr>
              <w:t>行办法》规定，</w:t>
            </w:r>
            <w:r>
              <w:rPr>
                <w:color w:val="auto"/>
                <w:spacing w:val="-1"/>
              </w:rPr>
              <w:t>本项目专门面向中小企业，</w:t>
            </w:r>
            <w:r>
              <w:rPr>
                <w:color w:val="auto"/>
              </w:rPr>
              <w:t>不进行价格扣除。供应商和制造商应出具响应文件要求的《中小企业声明函》给予证明，否则评标时不予认可。供应商应对提交的中小企业声明函的真实性负责，提交的中小企业声明函不真实的，应承担相应的法</w:t>
            </w:r>
          </w:p>
          <w:p w14:paraId="301C4600">
            <w:pPr>
              <w:pStyle w:val="20"/>
              <w:spacing w:before="1" w:line="220" w:lineRule="auto"/>
              <w:ind w:left="113"/>
              <w:rPr>
                <w:color w:val="auto"/>
              </w:rPr>
            </w:pPr>
            <w:r>
              <w:rPr>
                <w:color w:val="auto"/>
                <w:spacing w:val="-2"/>
              </w:rPr>
              <w:t>律责任。</w:t>
            </w:r>
          </w:p>
          <w:p w14:paraId="031A4465">
            <w:pPr>
              <w:pStyle w:val="20"/>
              <w:spacing w:before="150" w:line="335" w:lineRule="auto"/>
              <w:ind w:left="111" w:right="25"/>
              <w:jc w:val="both"/>
              <w:rPr>
                <w:color w:val="auto"/>
              </w:rPr>
            </w:pPr>
            <w:r>
              <w:rPr>
                <w:color w:val="auto"/>
                <w:spacing w:val="-1"/>
              </w:rPr>
              <w:t>2.监狱企业扶持政策：供应商如为监狱企业将视同小型或微型企业。供应商为监狱企业的，应提供由省级以上监狱管理局、戒毒</w:t>
            </w:r>
            <w:r>
              <w:rPr>
                <w:color w:val="auto"/>
                <w:spacing w:val="-5"/>
              </w:rPr>
              <w:t>管理局（含新疆生产建设兵团）出具的属于监</w:t>
            </w:r>
            <w:r>
              <w:rPr>
                <w:color w:val="auto"/>
                <w:spacing w:val="-6"/>
              </w:rPr>
              <w:t>狱企业的证明文件。</w:t>
            </w:r>
            <w:r>
              <w:rPr>
                <w:color w:val="auto"/>
              </w:rPr>
              <w:t>供应商应对提交属于监狱企业的证明文件的真实性负责，提交的</w:t>
            </w:r>
          </w:p>
          <w:p w14:paraId="127967C0">
            <w:pPr>
              <w:pStyle w:val="20"/>
              <w:spacing w:before="1" w:line="212" w:lineRule="auto"/>
              <w:ind w:left="112"/>
              <w:rPr>
                <w:color w:val="auto"/>
              </w:rPr>
            </w:pPr>
            <w:r>
              <w:rPr>
                <w:color w:val="auto"/>
                <w:spacing w:val="2"/>
              </w:rPr>
              <w:t>监狱企业的证明文件不真实的，应承担相应的法律责任。</w:t>
            </w:r>
          </w:p>
          <w:p w14:paraId="7F4A4CC8">
            <w:pPr>
              <w:pStyle w:val="20"/>
              <w:spacing w:before="159" w:line="217" w:lineRule="auto"/>
              <w:ind w:left="113"/>
              <w:rPr>
                <w:color w:val="auto"/>
              </w:rPr>
            </w:pPr>
            <w:r>
              <w:rPr>
                <w:color w:val="auto"/>
                <w:spacing w:val="2"/>
              </w:rPr>
              <w:t>3.残疾人福利性单位视同小型、微型企业。不重复享受政</w:t>
            </w:r>
            <w:r>
              <w:rPr>
                <w:color w:val="auto"/>
                <w:spacing w:val="1"/>
              </w:rPr>
              <w:t>策。</w:t>
            </w:r>
          </w:p>
          <w:p w14:paraId="19B3663A">
            <w:pPr>
              <w:pStyle w:val="20"/>
              <w:spacing w:before="155" w:line="334" w:lineRule="auto"/>
              <w:ind w:left="125" w:right="110" w:hanging="9"/>
              <w:rPr>
                <w:color w:val="auto"/>
              </w:rPr>
            </w:pPr>
            <w:r>
              <w:rPr>
                <w:color w:val="auto"/>
              </w:rPr>
              <w:t>列入财政部会同国务院有关部门发布的节能产品、环境</w:t>
            </w:r>
            <w:r>
              <w:rPr>
                <w:color w:val="auto"/>
                <w:spacing w:val="-1"/>
              </w:rPr>
              <w:t>标志产品品目清单，供应商应当提供国家确定的认证机构出具的、处于有</w:t>
            </w:r>
          </w:p>
          <w:p w14:paraId="528EBF64">
            <w:pPr>
              <w:pStyle w:val="20"/>
              <w:spacing w:before="1" w:line="220" w:lineRule="auto"/>
              <w:ind w:left="112"/>
              <w:rPr>
                <w:color w:val="auto"/>
                <w:spacing w:val="2"/>
              </w:rPr>
            </w:pPr>
            <w:r>
              <w:rPr>
                <w:color w:val="auto"/>
                <w:spacing w:val="1"/>
              </w:rPr>
              <w:t>效期之内的节能产品、环境标志产品认证证书。</w:t>
            </w:r>
          </w:p>
        </w:tc>
      </w:tr>
      <w:tr w14:paraId="5A878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1" w:hRule="atLeast"/>
        </w:trPr>
        <w:tc>
          <w:tcPr>
            <w:tcW w:w="1113" w:type="dxa"/>
            <w:vAlign w:val="top"/>
          </w:tcPr>
          <w:p w14:paraId="7685A0E2">
            <w:pPr>
              <w:spacing w:line="248" w:lineRule="auto"/>
              <w:rPr>
                <w:rFonts w:ascii="Arial"/>
                <w:color w:val="auto"/>
                <w:sz w:val="21"/>
              </w:rPr>
            </w:pPr>
          </w:p>
          <w:p w14:paraId="48B6D8C5">
            <w:pPr>
              <w:spacing w:line="248" w:lineRule="auto"/>
              <w:rPr>
                <w:rFonts w:ascii="Arial"/>
                <w:color w:val="auto"/>
                <w:sz w:val="21"/>
              </w:rPr>
            </w:pPr>
          </w:p>
          <w:p w14:paraId="1308C54B">
            <w:pPr>
              <w:spacing w:line="248" w:lineRule="auto"/>
              <w:rPr>
                <w:rFonts w:ascii="Arial"/>
                <w:color w:val="auto"/>
                <w:sz w:val="21"/>
              </w:rPr>
            </w:pPr>
          </w:p>
          <w:p w14:paraId="06000AF6">
            <w:pPr>
              <w:spacing w:line="248" w:lineRule="auto"/>
              <w:rPr>
                <w:rFonts w:ascii="Arial"/>
                <w:color w:val="auto"/>
                <w:sz w:val="21"/>
              </w:rPr>
            </w:pPr>
          </w:p>
          <w:p w14:paraId="2A027FE6">
            <w:pPr>
              <w:spacing w:line="248" w:lineRule="auto"/>
              <w:rPr>
                <w:rFonts w:ascii="Arial"/>
                <w:color w:val="auto"/>
                <w:sz w:val="21"/>
              </w:rPr>
            </w:pPr>
          </w:p>
          <w:p w14:paraId="2412882A">
            <w:pPr>
              <w:spacing w:line="248" w:lineRule="auto"/>
              <w:rPr>
                <w:rFonts w:ascii="Arial"/>
                <w:color w:val="auto"/>
                <w:sz w:val="21"/>
              </w:rPr>
            </w:pPr>
          </w:p>
          <w:p w14:paraId="0A9DE121">
            <w:pPr>
              <w:spacing w:line="248" w:lineRule="auto"/>
              <w:rPr>
                <w:rFonts w:ascii="Arial"/>
                <w:color w:val="auto"/>
                <w:sz w:val="21"/>
              </w:rPr>
            </w:pPr>
          </w:p>
          <w:p w14:paraId="047A3651">
            <w:pPr>
              <w:spacing w:line="248" w:lineRule="auto"/>
              <w:rPr>
                <w:rFonts w:ascii="Arial"/>
                <w:color w:val="auto"/>
                <w:sz w:val="21"/>
              </w:rPr>
            </w:pPr>
          </w:p>
          <w:p w14:paraId="177205E3">
            <w:pPr>
              <w:spacing w:line="249" w:lineRule="auto"/>
              <w:rPr>
                <w:rFonts w:ascii="Arial"/>
                <w:color w:val="auto"/>
                <w:sz w:val="21"/>
              </w:rPr>
            </w:pPr>
          </w:p>
          <w:p w14:paraId="26E6D2A9">
            <w:pPr>
              <w:spacing w:line="249" w:lineRule="auto"/>
              <w:rPr>
                <w:rFonts w:ascii="Arial"/>
                <w:color w:val="auto"/>
                <w:sz w:val="21"/>
              </w:rPr>
            </w:pPr>
          </w:p>
          <w:p w14:paraId="1B606E57">
            <w:pPr>
              <w:spacing w:line="249" w:lineRule="auto"/>
              <w:rPr>
                <w:rFonts w:ascii="Arial"/>
                <w:color w:val="auto"/>
                <w:sz w:val="21"/>
              </w:rPr>
            </w:pPr>
          </w:p>
          <w:p w14:paraId="5027E1CC">
            <w:pPr>
              <w:spacing w:line="249" w:lineRule="auto"/>
              <w:rPr>
                <w:rFonts w:ascii="Arial"/>
                <w:color w:val="auto"/>
                <w:sz w:val="21"/>
              </w:rPr>
            </w:pPr>
          </w:p>
          <w:p w14:paraId="6D8937B4">
            <w:pPr>
              <w:spacing w:line="249" w:lineRule="auto"/>
              <w:rPr>
                <w:rFonts w:ascii="Arial"/>
                <w:color w:val="auto"/>
                <w:sz w:val="21"/>
              </w:rPr>
            </w:pPr>
          </w:p>
          <w:p w14:paraId="6380C933">
            <w:pPr>
              <w:pStyle w:val="20"/>
              <w:spacing w:before="78" w:line="185" w:lineRule="auto"/>
              <w:ind w:left="441"/>
              <w:rPr>
                <w:rFonts w:hint="default" w:eastAsia="黑体"/>
                <w:color w:val="auto"/>
                <w:lang w:val="en-US" w:eastAsia="zh-CN"/>
              </w:rPr>
            </w:pPr>
            <w:r>
              <w:rPr>
                <w:rFonts w:hint="eastAsia"/>
                <w:color w:val="auto"/>
                <w:spacing w:val="-5"/>
                <w:lang w:val="en-US" w:eastAsia="zh-CN"/>
              </w:rPr>
              <w:t>35</w:t>
            </w:r>
          </w:p>
        </w:tc>
        <w:tc>
          <w:tcPr>
            <w:tcW w:w="2102" w:type="dxa"/>
            <w:vAlign w:val="top"/>
          </w:tcPr>
          <w:p w14:paraId="312E4649">
            <w:pPr>
              <w:spacing w:line="245" w:lineRule="auto"/>
              <w:rPr>
                <w:rFonts w:ascii="Arial"/>
                <w:color w:val="auto"/>
                <w:sz w:val="21"/>
              </w:rPr>
            </w:pPr>
          </w:p>
          <w:p w14:paraId="0FC2F6FA">
            <w:pPr>
              <w:spacing w:line="245" w:lineRule="auto"/>
              <w:rPr>
                <w:rFonts w:ascii="Arial"/>
                <w:color w:val="auto"/>
                <w:sz w:val="21"/>
              </w:rPr>
            </w:pPr>
          </w:p>
          <w:p w14:paraId="678F404A">
            <w:pPr>
              <w:spacing w:line="245" w:lineRule="auto"/>
              <w:rPr>
                <w:rFonts w:ascii="Arial"/>
                <w:color w:val="auto"/>
                <w:sz w:val="21"/>
              </w:rPr>
            </w:pPr>
          </w:p>
          <w:p w14:paraId="171CA3E6">
            <w:pPr>
              <w:spacing w:line="245" w:lineRule="auto"/>
              <w:rPr>
                <w:rFonts w:ascii="Arial"/>
                <w:color w:val="auto"/>
                <w:sz w:val="21"/>
              </w:rPr>
            </w:pPr>
          </w:p>
          <w:p w14:paraId="5F5D2AB0">
            <w:pPr>
              <w:spacing w:line="245" w:lineRule="auto"/>
              <w:rPr>
                <w:rFonts w:ascii="Arial"/>
                <w:color w:val="auto"/>
                <w:sz w:val="21"/>
              </w:rPr>
            </w:pPr>
          </w:p>
          <w:p w14:paraId="28A293D2">
            <w:pPr>
              <w:spacing w:line="246" w:lineRule="auto"/>
              <w:rPr>
                <w:rFonts w:ascii="Arial"/>
                <w:color w:val="auto"/>
                <w:sz w:val="21"/>
              </w:rPr>
            </w:pPr>
          </w:p>
          <w:p w14:paraId="611FE6C7">
            <w:pPr>
              <w:spacing w:line="246" w:lineRule="auto"/>
              <w:rPr>
                <w:rFonts w:ascii="Arial"/>
                <w:color w:val="auto"/>
                <w:sz w:val="21"/>
              </w:rPr>
            </w:pPr>
          </w:p>
          <w:p w14:paraId="18F7DD98">
            <w:pPr>
              <w:spacing w:line="246" w:lineRule="auto"/>
              <w:rPr>
                <w:rFonts w:ascii="Arial"/>
                <w:color w:val="auto"/>
                <w:sz w:val="21"/>
              </w:rPr>
            </w:pPr>
          </w:p>
          <w:p w14:paraId="6F393518">
            <w:pPr>
              <w:spacing w:line="246" w:lineRule="auto"/>
              <w:rPr>
                <w:rFonts w:ascii="Arial"/>
                <w:color w:val="auto"/>
                <w:sz w:val="21"/>
              </w:rPr>
            </w:pPr>
          </w:p>
          <w:p w14:paraId="58768D39">
            <w:pPr>
              <w:spacing w:line="246" w:lineRule="auto"/>
              <w:rPr>
                <w:rFonts w:ascii="Arial"/>
                <w:color w:val="auto"/>
                <w:sz w:val="21"/>
              </w:rPr>
            </w:pPr>
          </w:p>
          <w:p w14:paraId="44ADB10F">
            <w:pPr>
              <w:spacing w:line="246" w:lineRule="auto"/>
              <w:rPr>
                <w:rFonts w:ascii="Arial"/>
                <w:color w:val="auto"/>
                <w:sz w:val="21"/>
              </w:rPr>
            </w:pPr>
          </w:p>
          <w:p w14:paraId="1A47B4A8">
            <w:pPr>
              <w:spacing w:line="246" w:lineRule="auto"/>
              <w:rPr>
                <w:rFonts w:ascii="Arial"/>
                <w:color w:val="auto"/>
                <w:sz w:val="21"/>
              </w:rPr>
            </w:pPr>
          </w:p>
          <w:p w14:paraId="6455F836">
            <w:pPr>
              <w:spacing w:line="246" w:lineRule="auto"/>
              <w:rPr>
                <w:rFonts w:ascii="Arial"/>
                <w:color w:val="auto"/>
                <w:sz w:val="21"/>
              </w:rPr>
            </w:pPr>
          </w:p>
          <w:p w14:paraId="1D78614C">
            <w:pPr>
              <w:pStyle w:val="20"/>
              <w:spacing w:before="78" w:line="221" w:lineRule="auto"/>
              <w:ind w:left="637"/>
              <w:rPr>
                <w:color w:val="auto"/>
              </w:rPr>
            </w:pPr>
            <w:r>
              <w:rPr>
                <w:color w:val="auto"/>
                <w:spacing w:val="-2"/>
              </w:rPr>
              <w:t>其他说明</w:t>
            </w:r>
          </w:p>
        </w:tc>
        <w:tc>
          <w:tcPr>
            <w:tcW w:w="7079" w:type="dxa"/>
            <w:vAlign w:val="top"/>
          </w:tcPr>
          <w:p w14:paraId="5657CD6C">
            <w:pPr>
              <w:pStyle w:val="20"/>
              <w:spacing w:before="39" w:line="222" w:lineRule="auto"/>
              <w:ind w:left="125"/>
              <w:rPr>
                <w:color w:val="auto"/>
              </w:rPr>
            </w:pPr>
            <w:r>
              <w:rPr>
                <w:color w:val="auto"/>
              </w:rPr>
              <w:t>1.本项目所属行业：建筑业。</w:t>
            </w:r>
          </w:p>
          <w:p w14:paraId="7732F4A0">
            <w:pPr>
              <w:pStyle w:val="20"/>
              <w:spacing w:before="148" w:line="335" w:lineRule="auto"/>
              <w:ind w:left="113" w:right="110" w:hanging="2"/>
              <w:jc w:val="both"/>
              <w:rPr>
                <w:color w:val="auto"/>
              </w:rPr>
            </w:pPr>
            <w:r>
              <w:rPr>
                <w:color w:val="auto"/>
              </w:rPr>
              <w:t>2.竞争性磋商文件中采购清单、技术需求等如有偏差，如有疑义</w:t>
            </w:r>
            <w:r>
              <w:rPr>
                <w:color w:val="auto"/>
                <w:spacing w:val="7"/>
              </w:rPr>
              <w:t>请澄清中及时提出；否则视为充分理解竞争性磋商文件各</w:t>
            </w:r>
            <w:r>
              <w:rPr>
                <w:color w:val="auto"/>
                <w:spacing w:val="6"/>
              </w:rPr>
              <w:t>项要</w:t>
            </w:r>
          </w:p>
          <w:p w14:paraId="07C47367">
            <w:pPr>
              <w:pStyle w:val="20"/>
              <w:spacing w:before="1" w:line="225" w:lineRule="auto"/>
              <w:ind w:left="115"/>
              <w:rPr>
                <w:color w:val="auto"/>
              </w:rPr>
            </w:pPr>
            <w:r>
              <w:rPr>
                <w:color w:val="auto"/>
                <w:spacing w:val="-6"/>
              </w:rPr>
              <w:t>求。</w:t>
            </w:r>
          </w:p>
          <w:p w14:paraId="510E061B">
            <w:pPr>
              <w:pStyle w:val="20"/>
              <w:spacing w:before="145" w:line="335" w:lineRule="auto"/>
              <w:ind w:left="112" w:right="110"/>
              <w:jc w:val="both"/>
              <w:rPr>
                <w:color w:val="auto"/>
              </w:rPr>
            </w:pPr>
            <w:r>
              <w:rPr>
                <w:color w:val="auto"/>
              </w:rPr>
              <w:t>3.本次采用政府采购云平台线上招标、投标，请各潜在供应商及</w:t>
            </w:r>
            <w:r>
              <w:rPr>
                <w:color w:val="auto"/>
                <w:spacing w:val="3"/>
              </w:rPr>
              <w:t>时办理</w:t>
            </w:r>
            <w:r>
              <w:rPr>
                <w:color w:val="auto"/>
              </w:rPr>
              <w:t>CA</w:t>
            </w:r>
            <w:r>
              <w:rPr>
                <w:color w:val="auto"/>
                <w:spacing w:val="3"/>
              </w:rPr>
              <w:t>锁和学习政府采购云平台线上投标相关知识。请在政</w:t>
            </w:r>
            <w:r>
              <w:rPr>
                <w:color w:val="auto"/>
              </w:rPr>
              <w:t>府采购云平台登录后，进行下载竞争性磋商文件。请各供应商获取竞争性磋商文件后及时关注云平台答疑文件获取栏目。具体相关事宜见政府采购云平台。本项目采用资格后审，请供应商仔细阅读竞争性磋商文件和各项要求，制作文件及相关资料过程中，若因供应商资格条件不符、提供资料不全等原因导致响应文件予</w:t>
            </w:r>
          </w:p>
          <w:p w14:paraId="0E55F21B">
            <w:pPr>
              <w:pStyle w:val="20"/>
              <w:spacing w:before="1" w:line="212" w:lineRule="auto"/>
              <w:ind w:left="128"/>
              <w:rPr>
                <w:color w:val="auto"/>
              </w:rPr>
            </w:pPr>
            <w:r>
              <w:rPr>
                <w:color w:val="auto"/>
                <w:spacing w:val="-1"/>
              </w:rPr>
              <w:t>以退还，责任自负。</w:t>
            </w:r>
          </w:p>
          <w:p w14:paraId="21039DF0">
            <w:pPr>
              <w:pStyle w:val="20"/>
              <w:spacing w:before="145" w:line="240" w:lineRule="auto"/>
              <w:ind w:left="112" w:right="110"/>
              <w:jc w:val="both"/>
              <w:rPr>
                <w:color w:val="auto"/>
              </w:rPr>
            </w:pPr>
            <w:r>
              <w:rPr>
                <w:color w:val="auto"/>
              </w:rPr>
              <w:t>4.竞争性磋商文件中如有内容冲突的地方，以供应商须知要求为准。</w:t>
            </w:r>
          </w:p>
          <w:p w14:paraId="4D0C4B48">
            <w:pPr>
              <w:pStyle w:val="20"/>
              <w:spacing w:before="145" w:line="240" w:lineRule="auto"/>
              <w:ind w:left="112" w:right="110"/>
              <w:jc w:val="both"/>
              <w:rPr>
                <w:color w:val="auto"/>
              </w:rPr>
            </w:pPr>
            <w:r>
              <w:rPr>
                <w:color w:val="auto"/>
              </w:rPr>
              <w:t>说明：本竞争性磋商文件技术指标是作为功能性说明，不论任何</w:t>
            </w:r>
          </w:p>
          <w:p w14:paraId="2E1E4D7B">
            <w:pPr>
              <w:pStyle w:val="20"/>
              <w:spacing w:before="145" w:line="240" w:lineRule="auto"/>
              <w:ind w:left="112" w:right="110"/>
              <w:jc w:val="both"/>
              <w:rPr>
                <w:color w:val="auto"/>
              </w:rPr>
            </w:pPr>
            <w:r>
              <w:rPr>
                <w:color w:val="auto"/>
              </w:rPr>
              <w:t>情况，供应商在投标时必须达到或优于竞争性磋商文件要求。</w:t>
            </w:r>
          </w:p>
          <w:p w14:paraId="5E9527A2">
            <w:pPr>
              <w:pStyle w:val="20"/>
              <w:spacing w:before="145" w:line="240" w:lineRule="auto"/>
              <w:ind w:left="112" w:right="110"/>
              <w:jc w:val="both"/>
              <w:rPr>
                <w:color w:val="auto"/>
                <w:spacing w:val="2"/>
              </w:rPr>
            </w:pPr>
            <w:r>
              <w:rPr>
                <w:rFonts w:hint="eastAsia"/>
                <w:color w:val="auto"/>
              </w:rPr>
              <w:t>注：如本《投标人须知前附表》相关内容与招标文件中的相关内容如有不一致处，则以本《投标人须知前附表》相关内容为准。</w:t>
            </w:r>
          </w:p>
        </w:tc>
      </w:tr>
    </w:tbl>
    <w:p w14:paraId="01E4DC6D">
      <w:pPr>
        <w:rPr>
          <w:color w:val="auto"/>
        </w:rPr>
        <w:sectPr>
          <w:footerReference r:id="rId6" w:type="default"/>
          <w:pgSz w:w="11906" w:h="16839"/>
          <w:pgMar w:top="1431" w:right="803" w:bottom="1298" w:left="803" w:header="0" w:footer="1135" w:gutter="0"/>
          <w:pgNumType w:fmt="decimal"/>
          <w:cols w:space="720" w:num="1"/>
        </w:sectPr>
      </w:pPr>
    </w:p>
    <w:p w14:paraId="24F06F34">
      <w:pPr>
        <w:spacing w:before="148" w:line="633" w:lineRule="exact"/>
        <w:ind w:left="3171"/>
        <w:rPr>
          <w:rFonts w:ascii="黑体" w:hAnsi="黑体" w:eastAsia="黑体" w:cs="黑体"/>
          <w:color w:val="auto"/>
          <w:sz w:val="30"/>
          <w:szCs w:val="30"/>
        </w:rPr>
      </w:pPr>
      <w:r>
        <w:rPr>
          <w:rFonts w:ascii="黑体" w:hAnsi="黑体" w:eastAsia="黑体" w:cs="黑体"/>
          <w:color w:val="auto"/>
          <w:spacing w:val="2"/>
          <w:position w:val="25"/>
          <w:sz w:val="30"/>
          <w:szCs w:val="30"/>
          <w14:textOutline w14:w="5448" w14:cap="sq" w14:cmpd="sng">
            <w14:solidFill>
              <w14:srgbClr w14:val="000000"/>
            </w14:solidFill>
            <w14:prstDash w14:val="solid"/>
            <w14:bevel/>
          </w14:textOutline>
        </w:rPr>
        <w:t>供应商须知正文部分</w:t>
      </w:r>
    </w:p>
    <w:p w14:paraId="3FB31381">
      <w:pPr>
        <w:spacing w:line="222" w:lineRule="auto"/>
        <w:ind w:left="3762"/>
        <w:rPr>
          <w:rFonts w:ascii="黑体" w:hAnsi="黑体" w:eastAsia="黑体" w:cs="黑体"/>
          <w:color w:val="auto"/>
          <w:sz w:val="28"/>
          <w:szCs w:val="28"/>
        </w:rPr>
      </w:pPr>
      <w:r>
        <w:rPr>
          <w:rFonts w:ascii="黑体" w:hAnsi="黑体" w:eastAsia="黑体" w:cs="黑体"/>
          <w:color w:val="auto"/>
          <w:spacing w:val="-13"/>
          <w:sz w:val="28"/>
          <w:szCs w:val="28"/>
          <w14:textOutline w14:w="5103" w14:cap="sq" w14:cmpd="sng">
            <w14:solidFill>
              <w14:srgbClr w14:val="000000"/>
            </w14:solidFill>
            <w14:prstDash w14:val="solid"/>
            <w14:bevel/>
          </w14:textOutline>
        </w:rPr>
        <w:t>一、总则</w:t>
      </w:r>
    </w:p>
    <w:p w14:paraId="2BC4739A">
      <w:pPr>
        <w:spacing w:before="230" w:line="222" w:lineRule="auto"/>
        <w:ind w:left="12"/>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1</w:t>
      </w:r>
      <w:r>
        <w:rPr>
          <w:rFonts w:hint="eastAsia" w:ascii="黑体" w:hAnsi="黑体" w:eastAsia="黑体" w:cs="黑体"/>
          <w:color w:val="auto"/>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3"/>
          <w:sz w:val="24"/>
          <w:szCs w:val="24"/>
          <w14:textOutline w14:w="4358" w14:cap="sq" w14:cmpd="sng">
            <w14:solidFill>
              <w14:srgbClr w14:val="000000"/>
            </w14:solidFill>
            <w14:prstDash w14:val="solid"/>
            <w14:bevel/>
          </w14:textOutline>
        </w:rPr>
        <w:t>合格的供应商</w:t>
      </w:r>
    </w:p>
    <w:p w14:paraId="150D6DA6">
      <w:pPr>
        <w:spacing w:before="179" w:line="468" w:lineRule="exact"/>
        <w:ind w:left="499"/>
        <w:rPr>
          <w:rFonts w:ascii="黑体" w:hAnsi="黑体" w:eastAsia="黑体" w:cs="黑体"/>
          <w:color w:val="auto"/>
          <w:sz w:val="24"/>
          <w:szCs w:val="24"/>
        </w:rPr>
      </w:pPr>
      <w:r>
        <w:rPr>
          <w:rFonts w:ascii="黑体" w:hAnsi="黑体" w:eastAsia="黑体" w:cs="黑体"/>
          <w:color w:val="auto"/>
          <w:spacing w:val="1"/>
          <w:position w:val="17"/>
          <w:sz w:val="24"/>
          <w:szCs w:val="24"/>
        </w:rPr>
        <w:t>1.1供应商参加政府采购活动应当具备下列条件：</w:t>
      </w:r>
    </w:p>
    <w:p w14:paraId="161DC85C">
      <w:pPr>
        <w:spacing w:before="1" w:line="212" w:lineRule="auto"/>
        <w:ind w:left="508"/>
        <w:rPr>
          <w:rFonts w:ascii="黑体" w:hAnsi="黑体" w:eastAsia="黑体" w:cs="黑体"/>
          <w:color w:val="auto"/>
          <w:sz w:val="24"/>
          <w:szCs w:val="24"/>
        </w:rPr>
      </w:pPr>
      <w:r>
        <w:rPr>
          <w:rFonts w:ascii="黑体" w:hAnsi="黑体" w:eastAsia="黑体" w:cs="黑体"/>
          <w:color w:val="auto"/>
          <w:sz w:val="24"/>
          <w:szCs w:val="24"/>
        </w:rPr>
        <w:t>（一）具有独立承担民事责任的能力；</w:t>
      </w:r>
    </w:p>
    <w:p w14:paraId="33F1207F">
      <w:pPr>
        <w:spacing w:before="191" w:line="468" w:lineRule="exact"/>
        <w:ind w:left="508"/>
        <w:rPr>
          <w:rFonts w:ascii="黑体" w:hAnsi="黑体" w:eastAsia="黑体" w:cs="黑体"/>
          <w:color w:val="auto"/>
          <w:sz w:val="24"/>
          <w:szCs w:val="24"/>
        </w:rPr>
      </w:pPr>
      <w:r>
        <w:rPr>
          <w:rFonts w:ascii="黑体" w:hAnsi="黑体" w:eastAsia="黑体" w:cs="黑体"/>
          <w:color w:val="auto"/>
          <w:spacing w:val="1"/>
          <w:position w:val="17"/>
          <w:sz w:val="24"/>
          <w:szCs w:val="24"/>
        </w:rPr>
        <w:t>（二）具有良好的商业信誉和健全的财务会计制度；</w:t>
      </w:r>
    </w:p>
    <w:p w14:paraId="4978119D">
      <w:pPr>
        <w:spacing w:before="1" w:line="212" w:lineRule="auto"/>
        <w:ind w:left="508"/>
        <w:rPr>
          <w:rFonts w:ascii="黑体" w:hAnsi="黑体" w:eastAsia="黑体" w:cs="黑体"/>
          <w:color w:val="auto"/>
          <w:sz w:val="24"/>
          <w:szCs w:val="24"/>
        </w:rPr>
      </w:pPr>
      <w:r>
        <w:rPr>
          <w:rFonts w:ascii="黑体" w:hAnsi="黑体" w:eastAsia="黑体" w:cs="黑体"/>
          <w:color w:val="auto"/>
          <w:spacing w:val="1"/>
          <w:sz w:val="24"/>
          <w:szCs w:val="24"/>
        </w:rPr>
        <w:t>（三）具有履行合同所必需的设备和专业技术能力；</w:t>
      </w:r>
    </w:p>
    <w:p w14:paraId="712D209A">
      <w:pPr>
        <w:spacing w:before="191" w:line="213" w:lineRule="auto"/>
        <w:ind w:left="508"/>
        <w:rPr>
          <w:rFonts w:ascii="黑体" w:hAnsi="黑体" w:eastAsia="黑体" w:cs="黑体"/>
          <w:color w:val="auto"/>
          <w:sz w:val="24"/>
          <w:szCs w:val="24"/>
        </w:rPr>
      </w:pPr>
      <w:r>
        <w:rPr>
          <w:rFonts w:ascii="黑体" w:hAnsi="黑体" w:eastAsia="黑体" w:cs="黑体"/>
          <w:color w:val="auto"/>
          <w:spacing w:val="1"/>
          <w:sz w:val="24"/>
          <w:szCs w:val="24"/>
        </w:rPr>
        <w:t>（四）有依法缴纳税收和社会保障资金的良好记录；</w:t>
      </w:r>
    </w:p>
    <w:p w14:paraId="6B51EF54">
      <w:pPr>
        <w:spacing w:before="191" w:line="468" w:lineRule="exact"/>
        <w:ind w:left="508"/>
        <w:rPr>
          <w:rFonts w:ascii="黑体" w:hAnsi="黑体" w:eastAsia="黑体" w:cs="黑体"/>
          <w:color w:val="auto"/>
          <w:sz w:val="24"/>
          <w:szCs w:val="24"/>
        </w:rPr>
      </w:pPr>
      <w:r>
        <w:rPr>
          <w:rFonts w:ascii="黑体" w:hAnsi="黑体" w:eastAsia="黑体" w:cs="黑体"/>
          <w:color w:val="auto"/>
          <w:spacing w:val="1"/>
          <w:position w:val="17"/>
          <w:sz w:val="24"/>
          <w:szCs w:val="24"/>
        </w:rPr>
        <w:t>（五）参加政府采购活动前三年内，在经营活动中没有重大违法记录；</w:t>
      </w:r>
    </w:p>
    <w:p w14:paraId="272CD74E">
      <w:pPr>
        <w:spacing w:before="1" w:line="221" w:lineRule="auto"/>
        <w:ind w:left="508"/>
        <w:rPr>
          <w:rFonts w:ascii="黑体" w:hAnsi="黑体" w:eastAsia="黑体" w:cs="黑体"/>
          <w:color w:val="auto"/>
          <w:sz w:val="24"/>
          <w:szCs w:val="24"/>
        </w:rPr>
      </w:pPr>
      <w:r>
        <w:rPr>
          <w:rFonts w:ascii="黑体" w:hAnsi="黑体" w:eastAsia="黑体" w:cs="黑体"/>
          <w:color w:val="auto"/>
          <w:sz w:val="24"/>
          <w:szCs w:val="24"/>
        </w:rPr>
        <w:t>（六）法律、行政法规规定的其他条件。</w:t>
      </w:r>
    </w:p>
    <w:p w14:paraId="1F3BDAE2">
      <w:pPr>
        <w:spacing w:before="180" w:line="221" w:lineRule="auto"/>
        <w:jc w:val="right"/>
        <w:rPr>
          <w:rFonts w:ascii="黑体" w:hAnsi="黑体" w:eastAsia="黑体" w:cs="黑体"/>
          <w:color w:val="auto"/>
          <w:sz w:val="24"/>
          <w:szCs w:val="24"/>
        </w:rPr>
      </w:pPr>
      <w:r>
        <w:rPr>
          <w:rFonts w:ascii="黑体" w:hAnsi="黑体" w:eastAsia="黑体" w:cs="黑体"/>
          <w:color w:val="auto"/>
          <w:spacing w:val="7"/>
          <w:sz w:val="24"/>
          <w:szCs w:val="24"/>
        </w:rPr>
        <w:t>1.2凡参加投标的供应商必须具有履行本竞争性磋商文件规定的有关要求的能</w:t>
      </w:r>
    </w:p>
    <w:p w14:paraId="45417311">
      <w:pPr>
        <w:spacing w:before="181" w:line="213" w:lineRule="auto"/>
        <w:ind w:left="6"/>
        <w:rPr>
          <w:rFonts w:ascii="黑体" w:hAnsi="黑体" w:eastAsia="黑体" w:cs="黑体"/>
          <w:color w:val="auto"/>
          <w:sz w:val="24"/>
          <w:szCs w:val="24"/>
        </w:rPr>
      </w:pPr>
      <w:r>
        <w:rPr>
          <w:rFonts w:ascii="黑体" w:hAnsi="黑体" w:eastAsia="黑体" w:cs="黑体"/>
          <w:color w:val="auto"/>
          <w:spacing w:val="-1"/>
          <w:sz w:val="24"/>
          <w:szCs w:val="24"/>
        </w:rPr>
        <w:t>力，信誉良好。</w:t>
      </w:r>
    </w:p>
    <w:p w14:paraId="1268C422">
      <w:pPr>
        <w:spacing w:before="191" w:line="213" w:lineRule="auto"/>
        <w:ind w:left="456"/>
        <w:rPr>
          <w:rFonts w:ascii="黑体" w:hAnsi="黑体" w:eastAsia="黑体" w:cs="黑体"/>
          <w:color w:val="auto"/>
          <w:sz w:val="24"/>
          <w:szCs w:val="24"/>
        </w:rPr>
      </w:pPr>
      <w:r>
        <w:rPr>
          <w:rFonts w:ascii="黑体" w:hAnsi="黑体" w:eastAsia="黑体" w:cs="黑体"/>
          <w:color w:val="auto"/>
          <w:spacing w:val="-18"/>
          <w:sz w:val="24"/>
          <w:szCs w:val="24"/>
        </w:rPr>
        <w:t>1.3若采购人员及相关人员与供应商有下列利害关系之一的，应</w:t>
      </w:r>
      <w:r>
        <w:rPr>
          <w:rFonts w:ascii="黑体" w:hAnsi="黑体" w:eastAsia="黑体" w:cs="黑体"/>
          <w:color w:val="auto"/>
          <w:spacing w:val="-19"/>
          <w:sz w:val="24"/>
          <w:szCs w:val="24"/>
        </w:rPr>
        <w:t>当回避：</w:t>
      </w:r>
    </w:p>
    <w:p w14:paraId="191C6951">
      <w:pPr>
        <w:spacing w:before="191" w:line="213" w:lineRule="auto"/>
        <w:ind w:left="0" w:leftChars="0" w:firstLine="420" w:firstLineChars="175"/>
        <w:rPr>
          <w:rFonts w:ascii="黑体" w:hAnsi="黑体" w:eastAsia="黑体" w:cs="黑体"/>
          <w:color w:val="auto"/>
          <w:sz w:val="24"/>
          <w:szCs w:val="24"/>
        </w:rPr>
      </w:pPr>
      <w:r>
        <w:rPr>
          <w:rFonts w:ascii="黑体" w:hAnsi="黑体" w:eastAsia="黑体" w:cs="黑体"/>
          <w:color w:val="auto"/>
          <w:sz w:val="24"/>
          <w:szCs w:val="24"/>
        </w:rPr>
        <w:t>1.3.1参加采购活动前3年内与供应商存在劳动关系；</w:t>
      </w:r>
    </w:p>
    <w:p w14:paraId="368FEC48">
      <w:pPr>
        <w:spacing w:before="191" w:line="213" w:lineRule="auto"/>
        <w:ind w:left="0" w:leftChars="0" w:firstLine="420" w:firstLineChars="175"/>
        <w:rPr>
          <w:rFonts w:ascii="黑体" w:hAnsi="黑体" w:eastAsia="黑体" w:cs="黑体"/>
          <w:color w:val="auto"/>
          <w:sz w:val="24"/>
          <w:szCs w:val="24"/>
        </w:rPr>
      </w:pPr>
      <w:r>
        <w:rPr>
          <w:rFonts w:ascii="黑体" w:hAnsi="黑体" w:eastAsia="黑体" w:cs="黑体"/>
          <w:color w:val="auto"/>
          <w:sz w:val="24"/>
          <w:szCs w:val="24"/>
        </w:rPr>
        <w:t>1.3.2参加采购活动前3年内担任供应商的董事、监事；</w:t>
      </w:r>
    </w:p>
    <w:p w14:paraId="331F374C">
      <w:pPr>
        <w:spacing w:before="191" w:line="213" w:lineRule="auto"/>
        <w:ind w:left="0" w:leftChars="0" w:firstLine="423" w:firstLineChars="175"/>
        <w:rPr>
          <w:rFonts w:ascii="黑体" w:hAnsi="黑体" w:eastAsia="黑体" w:cs="黑体"/>
          <w:color w:val="auto"/>
          <w:sz w:val="24"/>
          <w:szCs w:val="24"/>
        </w:rPr>
      </w:pPr>
      <w:r>
        <w:rPr>
          <w:rFonts w:ascii="黑体" w:hAnsi="黑体" w:eastAsia="黑体" w:cs="黑体"/>
          <w:color w:val="auto"/>
          <w:spacing w:val="1"/>
          <w:sz w:val="24"/>
          <w:szCs w:val="24"/>
        </w:rPr>
        <w:t>1.3.3参加采购活动前3年内是供应商的控</w:t>
      </w:r>
      <w:r>
        <w:rPr>
          <w:rFonts w:ascii="黑体" w:hAnsi="黑体" w:eastAsia="黑体" w:cs="黑体"/>
          <w:color w:val="auto"/>
          <w:sz w:val="24"/>
          <w:szCs w:val="24"/>
        </w:rPr>
        <w:t>股股东或者实际控制人；</w:t>
      </w:r>
    </w:p>
    <w:p w14:paraId="799F7AD7">
      <w:pPr>
        <w:spacing w:before="191" w:line="221" w:lineRule="auto"/>
        <w:ind w:left="0" w:leftChars="0" w:firstLine="423" w:firstLineChars="175"/>
        <w:jc w:val="both"/>
        <w:rPr>
          <w:rFonts w:ascii="黑体" w:hAnsi="黑体" w:eastAsia="黑体" w:cs="黑体"/>
          <w:color w:val="auto"/>
          <w:sz w:val="24"/>
          <w:szCs w:val="24"/>
        </w:rPr>
      </w:pPr>
      <w:r>
        <w:rPr>
          <w:rFonts w:ascii="黑体" w:hAnsi="黑体" w:eastAsia="黑体" w:cs="黑体"/>
          <w:color w:val="auto"/>
          <w:spacing w:val="1"/>
          <w:sz w:val="24"/>
          <w:szCs w:val="24"/>
        </w:rPr>
        <w:t>1.3.4与供应商的法定代表人或者负责</w:t>
      </w:r>
      <w:r>
        <w:rPr>
          <w:rFonts w:ascii="黑体" w:hAnsi="黑体" w:eastAsia="黑体" w:cs="黑体"/>
          <w:color w:val="auto"/>
          <w:sz w:val="24"/>
          <w:szCs w:val="24"/>
        </w:rPr>
        <w:t>人有夫妻、直系血亲、三代以内旁系血亲或者近姻亲关系；</w:t>
      </w:r>
    </w:p>
    <w:p w14:paraId="77B6C249">
      <w:pPr>
        <w:spacing w:before="190" w:line="222" w:lineRule="auto"/>
        <w:ind w:left="0" w:leftChars="0" w:firstLine="423" w:firstLineChars="175"/>
        <w:rPr>
          <w:rFonts w:ascii="黑体" w:hAnsi="黑体" w:eastAsia="黑体" w:cs="黑体"/>
          <w:color w:val="auto"/>
          <w:sz w:val="24"/>
          <w:szCs w:val="24"/>
        </w:rPr>
      </w:pPr>
      <w:r>
        <w:rPr>
          <w:rFonts w:ascii="黑体" w:hAnsi="黑体" w:eastAsia="黑体" w:cs="黑体"/>
          <w:color w:val="auto"/>
          <w:spacing w:val="1"/>
          <w:sz w:val="24"/>
          <w:szCs w:val="24"/>
        </w:rPr>
        <w:t>1.3.</w:t>
      </w:r>
      <w:r>
        <w:rPr>
          <w:rFonts w:hint="eastAsia" w:ascii="黑体" w:hAnsi="黑体" w:eastAsia="黑体" w:cs="黑体"/>
          <w:color w:val="auto"/>
          <w:spacing w:val="1"/>
          <w:sz w:val="24"/>
          <w:szCs w:val="24"/>
          <w:lang w:val="en-US" w:eastAsia="zh-CN"/>
        </w:rPr>
        <w:t>5</w:t>
      </w:r>
      <w:r>
        <w:rPr>
          <w:rFonts w:ascii="黑体" w:hAnsi="黑体" w:eastAsia="黑体" w:cs="黑体"/>
          <w:color w:val="auto"/>
          <w:spacing w:val="-18"/>
          <w:sz w:val="24"/>
          <w:szCs w:val="24"/>
        </w:rPr>
        <w:t>与供应商有其他可能影响政府采购活动公平、公正进行的关系。</w:t>
      </w:r>
    </w:p>
    <w:p w14:paraId="137E56BF">
      <w:pPr>
        <w:spacing w:before="180" w:line="360" w:lineRule="auto"/>
        <w:ind w:left="0" w:leftChars="0" w:firstLine="420" w:firstLineChars="175"/>
        <w:jc w:val="both"/>
        <w:rPr>
          <w:rFonts w:ascii="黑体" w:hAnsi="黑体" w:eastAsia="黑体" w:cs="黑体"/>
          <w:color w:val="auto"/>
          <w:sz w:val="24"/>
          <w:szCs w:val="24"/>
        </w:rPr>
      </w:pPr>
      <w:r>
        <w:rPr>
          <w:rFonts w:ascii="黑体" w:hAnsi="黑体" w:eastAsia="黑体" w:cs="黑体"/>
          <w:color w:val="auto"/>
          <w:sz w:val="24"/>
          <w:szCs w:val="24"/>
        </w:rPr>
        <w:t>1.3.6供应商认为采购人员及相关人员与其他供应商有利害关系的，可以向采购</w:t>
      </w:r>
      <w:r>
        <w:rPr>
          <w:rFonts w:ascii="黑体" w:hAnsi="黑体" w:eastAsia="黑体" w:cs="黑体"/>
          <w:color w:val="auto"/>
          <w:spacing w:val="1"/>
          <w:sz w:val="24"/>
          <w:szCs w:val="24"/>
        </w:rPr>
        <w:t>人或者采购代理机构书面提出回避申请，并说明理由。采购人或者采购代理</w:t>
      </w:r>
      <w:r>
        <w:rPr>
          <w:rFonts w:ascii="黑体" w:hAnsi="黑体" w:eastAsia="黑体" w:cs="黑体"/>
          <w:color w:val="auto"/>
          <w:sz w:val="24"/>
          <w:szCs w:val="24"/>
        </w:rPr>
        <w:t>机构应当</w:t>
      </w:r>
    </w:p>
    <w:p w14:paraId="72CC2629">
      <w:pPr>
        <w:spacing w:before="2" w:line="212" w:lineRule="auto"/>
        <w:ind w:left="0" w:leftChars="0" w:firstLine="427" w:firstLineChars="175"/>
        <w:rPr>
          <w:rFonts w:ascii="黑体" w:hAnsi="黑体" w:eastAsia="黑体" w:cs="黑体"/>
          <w:color w:val="auto"/>
          <w:sz w:val="24"/>
          <w:szCs w:val="24"/>
        </w:rPr>
      </w:pPr>
      <w:r>
        <w:rPr>
          <w:rFonts w:ascii="黑体" w:hAnsi="黑体" w:eastAsia="黑体" w:cs="黑体"/>
          <w:color w:val="auto"/>
          <w:spacing w:val="2"/>
          <w:sz w:val="24"/>
          <w:szCs w:val="24"/>
        </w:rPr>
        <w:t>及时询问被申请回避人员，有利害关系的被申请回避人员应当回避。</w:t>
      </w:r>
    </w:p>
    <w:p w14:paraId="5E00154C">
      <w:pPr>
        <w:spacing w:before="191" w:line="468" w:lineRule="exact"/>
        <w:jc w:val="right"/>
        <w:rPr>
          <w:rFonts w:ascii="黑体" w:hAnsi="黑体" w:eastAsia="黑体" w:cs="黑体"/>
          <w:color w:val="auto"/>
          <w:sz w:val="24"/>
          <w:szCs w:val="24"/>
        </w:rPr>
      </w:pPr>
      <w:r>
        <w:rPr>
          <w:rFonts w:ascii="黑体" w:hAnsi="黑体" w:eastAsia="黑体" w:cs="黑体"/>
          <w:color w:val="auto"/>
          <w:position w:val="17"/>
          <w:sz w:val="24"/>
          <w:szCs w:val="24"/>
        </w:rPr>
        <w:t>1.4采购人或者采购代理机构有下列情形之一的，属于以不合理的条件对供应商</w:t>
      </w:r>
    </w:p>
    <w:p w14:paraId="50883D0B">
      <w:pPr>
        <w:spacing w:before="1" w:line="221" w:lineRule="auto"/>
        <w:ind w:left="6"/>
        <w:rPr>
          <w:rFonts w:ascii="黑体" w:hAnsi="黑体" w:eastAsia="黑体" w:cs="黑体"/>
          <w:color w:val="auto"/>
          <w:sz w:val="24"/>
          <w:szCs w:val="24"/>
        </w:rPr>
      </w:pPr>
      <w:r>
        <w:rPr>
          <w:rFonts w:ascii="黑体" w:hAnsi="黑体" w:eastAsia="黑体" w:cs="黑体"/>
          <w:color w:val="auto"/>
          <w:sz w:val="24"/>
          <w:szCs w:val="24"/>
        </w:rPr>
        <w:t>实行差别待遇或者歧视待遇：</w:t>
      </w:r>
    </w:p>
    <w:p w14:paraId="139325DD">
      <w:pPr>
        <w:spacing w:before="179" w:line="213" w:lineRule="auto"/>
        <w:ind w:left="499"/>
        <w:rPr>
          <w:rFonts w:ascii="黑体" w:hAnsi="黑体" w:eastAsia="黑体" w:cs="黑体"/>
          <w:color w:val="auto"/>
          <w:sz w:val="24"/>
          <w:szCs w:val="24"/>
        </w:rPr>
      </w:pPr>
      <w:r>
        <w:rPr>
          <w:rFonts w:ascii="黑体" w:hAnsi="黑体" w:eastAsia="黑体" w:cs="黑体"/>
          <w:color w:val="auto"/>
          <w:spacing w:val="1"/>
          <w:sz w:val="24"/>
          <w:szCs w:val="24"/>
        </w:rPr>
        <w:t>1.4.1就同一采购项目向供应商提供有差别的项目信息；</w:t>
      </w:r>
    </w:p>
    <w:p w14:paraId="4CE42395">
      <w:pPr>
        <w:spacing w:before="192" w:line="468" w:lineRule="exact"/>
        <w:ind w:left="0" w:leftChars="0" w:firstLine="420" w:firstLineChars="175"/>
        <w:jc w:val="both"/>
        <w:rPr>
          <w:rFonts w:ascii="黑体" w:hAnsi="黑体" w:eastAsia="黑体" w:cs="黑体"/>
          <w:color w:val="auto"/>
          <w:sz w:val="24"/>
          <w:szCs w:val="24"/>
        </w:rPr>
      </w:pPr>
      <w:r>
        <w:rPr>
          <w:rFonts w:ascii="黑体" w:hAnsi="黑体" w:eastAsia="黑体" w:cs="黑体"/>
          <w:color w:val="auto"/>
          <w:position w:val="17"/>
          <w:sz w:val="24"/>
          <w:szCs w:val="24"/>
        </w:rPr>
        <w:t>1.4.2设定的资格、技术、商务条件与采购项目的具体特点和实际需要不相适应</w:t>
      </w:r>
      <w:r>
        <w:rPr>
          <w:rFonts w:ascii="黑体" w:hAnsi="黑体" w:eastAsia="黑体" w:cs="黑体"/>
          <w:color w:val="auto"/>
          <w:sz w:val="24"/>
          <w:szCs w:val="24"/>
        </w:rPr>
        <w:t>或者与合同履行无关；</w:t>
      </w:r>
    </w:p>
    <w:p w14:paraId="5D013AB0">
      <w:pPr>
        <w:spacing w:before="191" w:line="213" w:lineRule="auto"/>
        <w:ind w:left="0" w:leftChars="0" w:firstLine="423" w:firstLineChars="175"/>
        <w:rPr>
          <w:rFonts w:ascii="黑体" w:hAnsi="黑体" w:eastAsia="黑体" w:cs="黑体"/>
          <w:color w:val="auto"/>
          <w:sz w:val="24"/>
          <w:szCs w:val="24"/>
        </w:rPr>
      </w:pPr>
      <w:r>
        <w:rPr>
          <w:rFonts w:ascii="黑体" w:hAnsi="黑体" w:eastAsia="黑体" w:cs="黑体"/>
          <w:color w:val="auto"/>
          <w:spacing w:val="1"/>
          <w:sz w:val="24"/>
          <w:szCs w:val="24"/>
        </w:rPr>
        <w:t>1.4.3采购需求中的技术、服务等要求指向特定供应商、特定产品；</w:t>
      </w:r>
    </w:p>
    <w:p w14:paraId="30BA3383">
      <w:pPr>
        <w:spacing w:before="191" w:line="213" w:lineRule="auto"/>
        <w:ind w:left="0" w:leftChars="0" w:firstLine="357" w:firstLineChars="175"/>
        <w:rPr>
          <w:rFonts w:ascii="黑体" w:hAnsi="黑体" w:eastAsia="黑体" w:cs="黑体"/>
          <w:color w:val="auto"/>
          <w:sz w:val="24"/>
          <w:szCs w:val="24"/>
        </w:rPr>
      </w:pPr>
      <w:r>
        <w:rPr>
          <w:rFonts w:ascii="黑体" w:hAnsi="黑体" w:eastAsia="黑体" w:cs="黑体"/>
          <w:color w:val="auto"/>
          <w:spacing w:val="-18"/>
          <w:sz w:val="24"/>
          <w:szCs w:val="24"/>
        </w:rPr>
        <w:t>1.4.4以特定行政区域或者特定行业的业绩、奖项作为中标和成交条件；</w:t>
      </w:r>
    </w:p>
    <w:p w14:paraId="5EF08E3F">
      <w:pPr>
        <w:spacing w:line="213" w:lineRule="auto"/>
        <w:rPr>
          <w:rFonts w:ascii="黑体" w:hAnsi="黑体" w:eastAsia="黑体" w:cs="黑体"/>
          <w:color w:val="auto"/>
          <w:sz w:val="24"/>
          <w:szCs w:val="24"/>
        </w:rPr>
        <w:sectPr>
          <w:footerReference r:id="rId7" w:type="default"/>
          <w:pgSz w:w="11906" w:h="16839"/>
          <w:pgMar w:top="1431" w:right="1562" w:bottom="1012" w:left="1425" w:header="0" w:footer="850" w:gutter="0"/>
          <w:pgNumType w:fmt="decimal"/>
          <w:cols w:space="720" w:num="1"/>
        </w:sectPr>
      </w:pPr>
    </w:p>
    <w:p w14:paraId="2D9D9C50">
      <w:pPr>
        <w:spacing w:before="101" w:line="213" w:lineRule="auto"/>
        <w:ind w:left="505"/>
        <w:rPr>
          <w:rFonts w:ascii="黑体" w:hAnsi="黑体" w:eastAsia="黑体" w:cs="黑体"/>
          <w:color w:val="auto"/>
          <w:sz w:val="24"/>
          <w:szCs w:val="24"/>
        </w:rPr>
      </w:pPr>
      <w:r>
        <w:rPr>
          <w:rFonts w:ascii="黑体" w:hAnsi="黑体" w:eastAsia="黑体" w:cs="黑体"/>
          <w:color w:val="auto"/>
          <w:spacing w:val="1"/>
          <w:sz w:val="24"/>
          <w:szCs w:val="24"/>
        </w:rPr>
        <w:t>1.4.5对供应商采取不同的资格审查或者评审标准；</w:t>
      </w:r>
    </w:p>
    <w:p w14:paraId="65862329">
      <w:pPr>
        <w:spacing w:before="191" w:line="213" w:lineRule="auto"/>
        <w:ind w:left="505"/>
        <w:rPr>
          <w:rFonts w:ascii="黑体" w:hAnsi="黑体" w:eastAsia="黑体" w:cs="黑体"/>
          <w:color w:val="auto"/>
          <w:sz w:val="24"/>
          <w:szCs w:val="24"/>
        </w:rPr>
      </w:pPr>
      <w:r>
        <w:rPr>
          <w:rFonts w:ascii="黑体" w:hAnsi="黑体" w:eastAsia="黑体" w:cs="黑体"/>
          <w:color w:val="auto"/>
          <w:spacing w:val="1"/>
          <w:sz w:val="24"/>
          <w:szCs w:val="24"/>
        </w:rPr>
        <w:t>1.4.6限定或者指定特定的专利、商标、品牌或者供应商；</w:t>
      </w:r>
    </w:p>
    <w:p w14:paraId="72DF1D59">
      <w:pPr>
        <w:spacing w:before="191" w:line="213" w:lineRule="auto"/>
        <w:ind w:left="505"/>
        <w:rPr>
          <w:rFonts w:ascii="黑体" w:hAnsi="黑体" w:eastAsia="黑体" w:cs="黑体"/>
          <w:color w:val="auto"/>
          <w:sz w:val="24"/>
          <w:szCs w:val="24"/>
        </w:rPr>
      </w:pPr>
      <w:r>
        <w:rPr>
          <w:rFonts w:ascii="黑体" w:hAnsi="黑体" w:eastAsia="黑体" w:cs="黑体"/>
          <w:color w:val="auto"/>
          <w:spacing w:val="1"/>
          <w:sz w:val="24"/>
          <w:szCs w:val="24"/>
        </w:rPr>
        <w:t>1.4.7非法限定供应商的所有制形式、组织形式或者所在地；</w:t>
      </w:r>
    </w:p>
    <w:p w14:paraId="2EF67631">
      <w:pPr>
        <w:spacing w:before="191" w:line="221" w:lineRule="auto"/>
        <w:ind w:left="505"/>
        <w:rPr>
          <w:rFonts w:ascii="黑体" w:hAnsi="黑体" w:eastAsia="黑体" w:cs="黑体"/>
          <w:color w:val="auto"/>
          <w:sz w:val="24"/>
          <w:szCs w:val="24"/>
        </w:rPr>
      </w:pPr>
      <w:r>
        <w:rPr>
          <w:rFonts w:ascii="黑体" w:hAnsi="黑体" w:eastAsia="黑体" w:cs="黑体"/>
          <w:color w:val="auto"/>
          <w:spacing w:val="1"/>
          <w:sz w:val="24"/>
          <w:szCs w:val="24"/>
        </w:rPr>
        <w:t>1.4.8以其他不合理条件限制或者排斥潜在供应商。</w:t>
      </w:r>
    </w:p>
    <w:p w14:paraId="4B04E24B">
      <w:pPr>
        <w:spacing w:before="180" w:line="213" w:lineRule="auto"/>
        <w:ind w:left="505"/>
        <w:rPr>
          <w:rFonts w:ascii="黑体" w:hAnsi="黑体" w:eastAsia="黑体" w:cs="黑体"/>
          <w:color w:val="auto"/>
          <w:sz w:val="24"/>
          <w:szCs w:val="24"/>
        </w:rPr>
      </w:pPr>
      <w:r>
        <w:rPr>
          <w:rFonts w:ascii="黑体" w:hAnsi="黑体" w:eastAsia="黑体" w:cs="黑体"/>
          <w:color w:val="auto"/>
          <w:spacing w:val="1"/>
          <w:sz w:val="24"/>
          <w:szCs w:val="24"/>
        </w:rPr>
        <w:t>1.5有下列情形之一的，视为供应商串通投标，其投标无效：</w:t>
      </w:r>
    </w:p>
    <w:p w14:paraId="662F5B67">
      <w:pPr>
        <w:spacing w:before="191" w:line="213" w:lineRule="auto"/>
        <w:ind w:left="505"/>
        <w:rPr>
          <w:rFonts w:ascii="黑体" w:hAnsi="黑体" w:eastAsia="黑体" w:cs="黑体"/>
          <w:color w:val="auto"/>
          <w:sz w:val="24"/>
          <w:szCs w:val="24"/>
        </w:rPr>
      </w:pPr>
      <w:r>
        <w:rPr>
          <w:rFonts w:ascii="黑体" w:hAnsi="黑体" w:eastAsia="黑体" w:cs="黑体"/>
          <w:color w:val="auto"/>
          <w:spacing w:val="1"/>
          <w:sz w:val="24"/>
          <w:szCs w:val="24"/>
        </w:rPr>
        <w:t>1.5.1不同供应商的响应文件由同一单位或者</w:t>
      </w:r>
      <w:r>
        <w:rPr>
          <w:rFonts w:ascii="黑体" w:hAnsi="黑体" w:eastAsia="黑体" w:cs="黑体"/>
          <w:color w:val="auto"/>
          <w:sz w:val="24"/>
          <w:szCs w:val="24"/>
        </w:rPr>
        <w:t>个人编制；</w:t>
      </w:r>
    </w:p>
    <w:p w14:paraId="024A19D9">
      <w:pPr>
        <w:spacing w:before="191" w:line="213" w:lineRule="auto"/>
        <w:ind w:left="505"/>
        <w:rPr>
          <w:rFonts w:ascii="黑体" w:hAnsi="黑体" w:eastAsia="黑体" w:cs="黑体"/>
          <w:color w:val="auto"/>
          <w:sz w:val="24"/>
          <w:szCs w:val="24"/>
        </w:rPr>
      </w:pPr>
      <w:r>
        <w:rPr>
          <w:rFonts w:ascii="黑体" w:hAnsi="黑体" w:eastAsia="黑体" w:cs="黑体"/>
          <w:color w:val="auto"/>
          <w:spacing w:val="1"/>
          <w:sz w:val="24"/>
          <w:szCs w:val="24"/>
        </w:rPr>
        <w:t>1.5.2不同供应商委托同一单位或者个人办理</w:t>
      </w:r>
      <w:r>
        <w:rPr>
          <w:rFonts w:ascii="黑体" w:hAnsi="黑体" w:eastAsia="黑体" w:cs="黑体"/>
          <w:color w:val="auto"/>
          <w:sz w:val="24"/>
          <w:szCs w:val="24"/>
        </w:rPr>
        <w:t>投标事宜；</w:t>
      </w:r>
    </w:p>
    <w:p w14:paraId="40878676">
      <w:pPr>
        <w:spacing w:before="191" w:line="213" w:lineRule="auto"/>
        <w:ind w:left="505"/>
        <w:rPr>
          <w:rFonts w:ascii="黑体" w:hAnsi="黑体" w:eastAsia="黑体" w:cs="黑体"/>
          <w:color w:val="auto"/>
          <w:sz w:val="24"/>
          <w:szCs w:val="24"/>
        </w:rPr>
      </w:pPr>
      <w:r>
        <w:rPr>
          <w:rFonts w:ascii="黑体" w:hAnsi="黑体" w:eastAsia="黑体" w:cs="黑体"/>
          <w:color w:val="auto"/>
          <w:spacing w:val="1"/>
          <w:sz w:val="24"/>
          <w:szCs w:val="24"/>
        </w:rPr>
        <w:t>1.5.3不同供应商的响应文件载明的项目管理成员或者联系人员为同一人；</w:t>
      </w:r>
    </w:p>
    <w:p w14:paraId="7ECA57D3">
      <w:pPr>
        <w:spacing w:before="191" w:line="213" w:lineRule="auto"/>
        <w:ind w:left="503"/>
        <w:rPr>
          <w:rFonts w:ascii="黑体" w:hAnsi="黑体" w:eastAsia="黑体" w:cs="黑体"/>
          <w:color w:val="auto"/>
          <w:sz w:val="24"/>
          <w:szCs w:val="24"/>
        </w:rPr>
      </w:pPr>
      <w:r>
        <w:rPr>
          <w:rFonts w:ascii="黑体" w:hAnsi="黑体" w:eastAsia="黑体" w:cs="黑体"/>
          <w:color w:val="auto"/>
          <w:spacing w:val="1"/>
          <w:sz w:val="24"/>
          <w:szCs w:val="24"/>
        </w:rPr>
        <w:t>1.5.4不同供应商的响应文件异常一致或者投标报价呈规律性差异；</w:t>
      </w:r>
    </w:p>
    <w:p w14:paraId="03F5E4C6">
      <w:pPr>
        <w:spacing w:before="191" w:line="213" w:lineRule="auto"/>
        <w:ind w:left="503"/>
        <w:rPr>
          <w:rFonts w:ascii="黑体" w:hAnsi="黑体" w:eastAsia="黑体" w:cs="黑体"/>
          <w:color w:val="auto"/>
          <w:sz w:val="24"/>
          <w:szCs w:val="24"/>
        </w:rPr>
      </w:pPr>
      <w:r>
        <w:rPr>
          <w:rFonts w:ascii="黑体" w:hAnsi="黑体" w:eastAsia="黑体" w:cs="黑体"/>
          <w:color w:val="auto"/>
          <w:sz w:val="24"/>
          <w:szCs w:val="24"/>
        </w:rPr>
        <w:t>1.5.5不同供应商的响应文件相互混装；</w:t>
      </w:r>
    </w:p>
    <w:p w14:paraId="0C20A5CB">
      <w:pPr>
        <w:spacing w:before="191" w:line="221" w:lineRule="auto"/>
        <w:ind w:left="503"/>
        <w:rPr>
          <w:rFonts w:ascii="黑体" w:hAnsi="黑体" w:eastAsia="黑体" w:cs="黑体"/>
          <w:color w:val="auto"/>
          <w:sz w:val="24"/>
          <w:szCs w:val="24"/>
        </w:rPr>
      </w:pPr>
      <w:r>
        <w:rPr>
          <w:rFonts w:ascii="黑体" w:hAnsi="黑体" w:eastAsia="黑体" w:cs="黑体"/>
          <w:color w:val="auto"/>
          <w:spacing w:val="1"/>
          <w:sz w:val="24"/>
          <w:szCs w:val="24"/>
        </w:rPr>
        <w:t>1.5.6不同供应商的投标保证金从同一单位或者个人的账户转出。</w:t>
      </w:r>
    </w:p>
    <w:p w14:paraId="51B6A094">
      <w:pPr>
        <w:spacing w:before="180" w:line="213" w:lineRule="auto"/>
        <w:jc w:val="center"/>
        <w:rPr>
          <w:rFonts w:ascii="黑体" w:hAnsi="黑体" w:eastAsia="黑体" w:cs="黑体"/>
          <w:color w:val="auto"/>
          <w:sz w:val="24"/>
          <w:szCs w:val="24"/>
        </w:rPr>
      </w:pPr>
      <w:r>
        <w:rPr>
          <w:rFonts w:hint="eastAsia" w:ascii="黑体" w:hAnsi="黑体" w:eastAsia="黑体" w:cs="黑体"/>
          <w:color w:val="auto"/>
          <w:spacing w:val="-3"/>
          <w:sz w:val="24"/>
          <w:szCs w:val="24"/>
          <w:lang w:val="en-US" w:eastAsia="zh-CN"/>
        </w:rPr>
        <w:t xml:space="preserve">    </w:t>
      </w:r>
      <w:r>
        <w:rPr>
          <w:rFonts w:ascii="黑体" w:hAnsi="黑体" w:eastAsia="黑体" w:cs="黑体"/>
          <w:color w:val="auto"/>
          <w:spacing w:val="-3"/>
          <w:sz w:val="24"/>
          <w:szCs w:val="24"/>
        </w:rPr>
        <w:t>1.6供应商在本次采购活动中，必须遵循《中华人民共和国政府采购法实施条例》</w:t>
      </w:r>
    </w:p>
    <w:p w14:paraId="476FB460">
      <w:pPr>
        <w:spacing w:before="191" w:line="219" w:lineRule="auto"/>
        <w:ind w:left="4"/>
        <w:rPr>
          <w:rFonts w:ascii="黑体" w:hAnsi="黑体" w:eastAsia="黑体" w:cs="黑体"/>
          <w:color w:val="auto"/>
          <w:sz w:val="24"/>
          <w:szCs w:val="24"/>
        </w:rPr>
      </w:pPr>
      <w:r>
        <w:rPr>
          <w:rFonts w:ascii="黑体" w:hAnsi="黑体" w:eastAsia="黑体" w:cs="黑体"/>
          <w:color w:val="auto"/>
          <w:spacing w:val="1"/>
          <w:sz w:val="24"/>
          <w:szCs w:val="24"/>
        </w:rPr>
        <w:t>等相关法令、法规的规定。</w:t>
      </w:r>
    </w:p>
    <w:p w14:paraId="2B0364FD">
      <w:pPr>
        <w:spacing w:before="183" w:line="223" w:lineRule="auto"/>
        <w:ind w:left="4"/>
        <w:rPr>
          <w:rFonts w:ascii="黑体" w:hAnsi="黑体" w:eastAsia="黑体" w:cs="黑体"/>
          <w:color w:val="auto"/>
          <w:sz w:val="24"/>
          <w:szCs w:val="24"/>
        </w:rPr>
      </w:pPr>
      <w:r>
        <w:rPr>
          <w:rFonts w:ascii="黑体" w:hAnsi="黑体" w:eastAsia="黑体" w:cs="黑体"/>
          <w:color w:val="auto"/>
          <w:spacing w:val="-4"/>
          <w:sz w:val="24"/>
          <w:szCs w:val="24"/>
          <w14:textOutline w14:w="4358" w14:cap="sq" w14:cmpd="sng">
            <w14:solidFill>
              <w14:srgbClr w14:val="000000"/>
            </w14:solidFill>
            <w14:prstDash w14:val="solid"/>
            <w14:bevel/>
          </w14:textOutline>
        </w:rPr>
        <w:t>2</w:t>
      </w:r>
      <w:r>
        <w:rPr>
          <w:rFonts w:hint="eastAsia" w:ascii="黑体" w:hAnsi="黑体" w:eastAsia="黑体" w:cs="黑体"/>
          <w:color w:val="auto"/>
          <w:spacing w:val="-4"/>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4"/>
          <w:sz w:val="24"/>
          <w:szCs w:val="24"/>
          <w14:textOutline w14:w="4358" w14:cap="sq" w14:cmpd="sng">
            <w14:solidFill>
              <w14:srgbClr w14:val="000000"/>
            </w14:solidFill>
            <w14:prstDash w14:val="solid"/>
            <w14:bevel/>
          </w14:textOutline>
        </w:rPr>
        <w:t>定义</w:t>
      </w:r>
    </w:p>
    <w:p w14:paraId="03963EB6">
      <w:pPr>
        <w:spacing w:before="178" w:line="222" w:lineRule="auto"/>
        <w:ind w:left="491"/>
        <w:rPr>
          <w:rFonts w:ascii="黑体" w:hAnsi="黑体" w:eastAsia="黑体" w:cs="黑体"/>
          <w:color w:val="auto"/>
          <w:sz w:val="24"/>
          <w:szCs w:val="24"/>
        </w:rPr>
      </w:pPr>
      <w:r>
        <w:rPr>
          <w:rFonts w:ascii="黑体" w:hAnsi="黑体" w:eastAsia="黑体" w:cs="黑体"/>
          <w:color w:val="auto"/>
          <w:spacing w:val="2"/>
          <w:sz w:val="24"/>
          <w:szCs w:val="24"/>
        </w:rPr>
        <w:t>2.1“采购人”系指依法进行政府采购的国家机关、事业单位、团体组织。</w:t>
      </w:r>
    </w:p>
    <w:p w14:paraId="77F9F765">
      <w:pPr>
        <w:spacing w:before="180" w:line="468" w:lineRule="exact"/>
        <w:ind w:left="491"/>
        <w:rPr>
          <w:rFonts w:ascii="黑体" w:hAnsi="黑体" w:eastAsia="黑体" w:cs="黑体"/>
          <w:color w:val="auto"/>
          <w:sz w:val="24"/>
          <w:szCs w:val="24"/>
        </w:rPr>
      </w:pPr>
      <w:r>
        <w:rPr>
          <w:rFonts w:ascii="黑体" w:hAnsi="黑体" w:eastAsia="黑体" w:cs="黑体"/>
          <w:color w:val="auto"/>
          <w:spacing w:val="4"/>
          <w:position w:val="17"/>
          <w:sz w:val="24"/>
          <w:szCs w:val="24"/>
        </w:rPr>
        <w:t>2.2“采购代理机构”系指具备一定条件，经政府有关部门批准而依法拥有政府</w:t>
      </w:r>
    </w:p>
    <w:p w14:paraId="6209762C">
      <w:pPr>
        <w:spacing w:before="1" w:line="221" w:lineRule="auto"/>
        <w:ind w:left="4"/>
        <w:rPr>
          <w:rFonts w:ascii="黑体" w:hAnsi="黑体" w:eastAsia="黑体" w:cs="黑体"/>
          <w:color w:val="auto"/>
          <w:sz w:val="24"/>
          <w:szCs w:val="24"/>
        </w:rPr>
      </w:pPr>
      <w:r>
        <w:rPr>
          <w:rFonts w:ascii="黑体" w:hAnsi="黑体" w:eastAsia="黑体" w:cs="黑体"/>
          <w:color w:val="auto"/>
          <w:spacing w:val="1"/>
          <w:sz w:val="24"/>
          <w:szCs w:val="24"/>
        </w:rPr>
        <w:t>采购代理资格的社会中介机构。</w:t>
      </w:r>
    </w:p>
    <w:p w14:paraId="760B2EC7">
      <w:pPr>
        <w:spacing w:before="63" w:line="377" w:lineRule="auto"/>
        <w:ind w:left="9" w:right="114" w:firstLine="482"/>
        <w:rPr>
          <w:rFonts w:ascii="黑体" w:hAnsi="黑体" w:eastAsia="黑体" w:cs="黑体"/>
          <w:color w:val="auto"/>
          <w:sz w:val="24"/>
          <w:szCs w:val="24"/>
        </w:rPr>
      </w:pPr>
      <w:r>
        <w:rPr>
          <w:rFonts w:ascii="黑体" w:hAnsi="黑体" w:eastAsia="黑体" w:cs="黑体"/>
          <w:color w:val="auto"/>
          <w:spacing w:val="4"/>
          <w:sz w:val="24"/>
          <w:szCs w:val="24"/>
        </w:rPr>
        <w:t>2.3“供应商”系指参加政府采购市场的合法供应</w:t>
      </w:r>
      <w:r>
        <w:rPr>
          <w:color w:val="auto"/>
        </w:rPr>
        <w:fldChar w:fldCharType="begin"/>
      </w:r>
      <w:r>
        <w:rPr>
          <w:color w:val="auto"/>
        </w:rPr>
        <w:instrText xml:space="preserve">HYPERLINK"https://baike.baidu.com/item/%E4%B8%BB%E4%BD%93/2888766"</w:instrText>
      </w:r>
      <w:r>
        <w:rPr>
          <w:color w:val="auto"/>
        </w:rPr>
        <w:fldChar w:fldCharType="separate"/>
      </w:r>
      <w:r>
        <w:rPr>
          <w:rFonts w:ascii="黑体" w:hAnsi="黑体" w:eastAsia="黑体" w:cs="黑体"/>
          <w:color w:val="auto"/>
          <w:spacing w:val="4"/>
          <w:sz w:val="24"/>
          <w:szCs w:val="24"/>
        </w:rPr>
        <w:t>主体</w:t>
      </w:r>
      <w:r>
        <w:rPr>
          <w:rFonts w:ascii="黑体" w:hAnsi="黑体" w:eastAsia="黑体" w:cs="黑体"/>
          <w:color w:val="auto"/>
          <w:spacing w:val="4"/>
          <w:sz w:val="24"/>
          <w:szCs w:val="24"/>
        </w:rPr>
        <w:fldChar w:fldCharType="end"/>
      </w:r>
      <w:r>
        <w:rPr>
          <w:rFonts w:ascii="黑体" w:hAnsi="黑体" w:eastAsia="黑体" w:cs="黑体"/>
          <w:color w:val="auto"/>
          <w:spacing w:val="4"/>
          <w:sz w:val="24"/>
          <w:szCs w:val="24"/>
        </w:rPr>
        <w:t>，具体是指向采购人提供</w:t>
      </w:r>
      <w:r>
        <w:rPr>
          <w:rFonts w:ascii="黑体" w:hAnsi="黑体" w:eastAsia="黑体" w:cs="黑体"/>
          <w:color w:val="auto"/>
          <w:spacing w:val="1"/>
          <w:sz w:val="24"/>
          <w:szCs w:val="24"/>
        </w:rPr>
        <w:t>货物、工程或者服务的法人、其他组织或者</w:t>
      </w:r>
      <w:r>
        <w:rPr>
          <w:color w:val="auto"/>
        </w:rPr>
        <w:fldChar w:fldCharType="begin"/>
      </w:r>
      <w:r>
        <w:rPr>
          <w:color w:val="auto"/>
        </w:rPr>
        <w:instrText xml:space="preserve">HYPERLINK"https://baike.baidu.com/item/%E8%87%AA%E7%84%B6%E4%BA%BA/1465"</w:instrText>
      </w:r>
      <w:r>
        <w:rPr>
          <w:color w:val="auto"/>
        </w:rPr>
        <w:fldChar w:fldCharType="separate"/>
      </w:r>
      <w:r>
        <w:rPr>
          <w:rFonts w:ascii="黑体" w:hAnsi="黑体" w:eastAsia="黑体" w:cs="黑体"/>
          <w:color w:val="auto"/>
          <w:spacing w:val="1"/>
          <w:sz w:val="24"/>
          <w:szCs w:val="24"/>
        </w:rPr>
        <w:t>自然人</w:t>
      </w:r>
      <w:r>
        <w:rPr>
          <w:rFonts w:ascii="黑体" w:hAnsi="黑体" w:eastAsia="黑体" w:cs="黑体"/>
          <w:color w:val="auto"/>
          <w:spacing w:val="1"/>
          <w:sz w:val="24"/>
          <w:szCs w:val="24"/>
        </w:rPr>
        <w:fldChar w:fldCharType="end"/>
      </w:r>
      <w:r>
        <w:rPr>
          <w:rFonts w:ascii="黑体" w:hAnsi="黑体" w:eastAsia="黑体" w:cs="黑体"/>
          <w:color w:val="auto"/>
          <w:spacing w:val="1"/>
          <w:sz w:val="24"/>
          <w:szCs w:val="24"/>
        </w:rPr>
        <w:t>。</w:t>
      </w:r>
    </w:p>
    <w:p w14:paraId="5D9527C5">
      <w:pPr>
        <w:spacing w:before="72" w:line="468" w:lineRule="exact"/>
        <w:ind w:left="491"/>
        <w:rPr>
          <w:rFonts w:ascii="黑体" w:hAnsi="黑体" w:eastAsia="黑体" w:cs="黑体"/>
          <w:color w:val="auto"/>
          <w:sz w:val="24"/>
          <w:szCs w:val="24"/>
        </w:rPr>
      </w:pPr>
      <w:r>
        <w:rPr>
          <w:rFonts w:ascii="黑体" w:hAnsi="黑体" w:eastAsia="黑体" w:cs="黑体"/>
          <w:color w:val="auto"/>
          <w:spacing w:val="4"/>
          <w:position w:val="17"/>
          <w:sz w:val="24"/>
          <w:szCs w:val="24"/>
        </w:rPr>
        <w:t>2.4“采购”是指以合同方式有偿取得货物、工程或者服务的行为，包括购买、</w:t>
      </w:r>
    </w:p>
    <w:p w14:paraId="72E6CA1C">
      <w:pPr>
        <w:spacing w:before="1" w:line="222" w:lineRule="auto"/>
        <w:ind w:left="11"/>
        <w:rPr>
          <w:rFonts w:ascii="黑体" w:hAnsi="黑体" w:eastAsia="黑体" w:cs="黑体"/>
          <w:color w:val="auto"/>
          <w:sz w:val="24"/>
          <w:szCs w:val="24"/>
        </w:rPr>
      </w:pPr>
      <w:r>
        <w:rPr>
          <w:rFonts w:ascii="黑体" w:hAnsi="黑体" w:eastAsia="黑体" w:cs="黑体"/>
          <w:color w:val="auto"/>
          <w:sz w:val="24"/>
          <w:szCs w:val="24"/>
        </w:rPr>
        <w:t>租赁、委托、雇用等。</w:t>
      </w:r>
    </w:p>
    <w:p w14:paraId="39D5E8E0">
      <w:pPr>
        <w:spacing w:before="179" w:line="213" w:lineRule="auto"/>
        <w:ind w:left="491"/>
        <w:rPr>
          <w:rFonts w:ascii="黑体" w:hAnsi="黑体" w:eastAsia="黑体" w:cs="黑体"/>
          <w:color w:val="auto"/>
          <w:sz w:val="24"/>
          <w:szCs w:val="24"/>
        </w:rPr>
      </w:pPr>
      <w:r>
        <w:rPr>
          <w:rFonts w:ascii="黑体" w:hAnsi="黑体" w:eastAsia="黑体" w:cs="黑体"/>
          <w:color w:val="auto"/>
          <w:spacing w:val="2"/>
          <w:sz w:val="24"/>
          <w:szCs w:val="24"/>
        </w:rPr>
        <w:t>2.5“货物”是指各种形态和种类的物品，包括原材料、燃料、设备、产品等。</w:t>
      </w:r>
    </w:p>
    <w:p w14:paraId="2C2BA7F1">
      <w:pPr>
        <w:spacing w:before="191" w:line="468" w:lineRule="exact"/>
        <w:ind w:left="491"/>
        <w:rPr>
          <w:rFonts w:ascii="黑体" w:hAnsi="黑体" w:eastAsia="黑体" w:cs="黑体"/>
          <w:color w:val="auto"/>
          <w:sz w:val="24"/>
          <w:szCs w:val="24"/>
        </w:rPr>
      </w:pPr>
      <w:r>
        <w:rPr>
          <w:rFonts w:ascii="黑体" w:hAnsi="黑体" w:eastAsia="黑体" w:cs="黑体"/>
          <w:color w:val="auto"/>
          <w:spacing w:val="4"/>
          <w:position w:val="17"/>
          <w:sz w:val="24"/>
          <w:szCs w:val="24"/>
        </w:rPr>
        <w:t>2.6“服务”是指除货物和工程以外的其他政府采购对象，包括政府自身需要的</w:t>
      </w:r>
    </w:p>
    <w:p w14:paraId="27CC994D">
      <w:pPr>
        <w:spacing w:before="1" w:line="220" w:lineRule="auto"/>
        <w:ind w:left="5"/>
        <w:rPr>
          <w:rFonts w:ascii="黑体" w:hAnsi="黑体" w:eastAsia="黑体" w:cs="黑体"/>
          <w:color w:val="auto"/>
          <w:sz w:val="24"/>
          <w:szCs w:val="24"/>
        </w:rPr>
      </w:pPr>
      <w:r>
        <w:rPr>
          <w:rFonts w:ascii="黑体" w:hAnsi="黑体" w:eastAsia="黑体" w:cs="黑体"/>
          <w:color w:val="auto"/>
          <w:spacing w:val="1"/>
          <w:sz w:val="24"/>
          <w:szCs w:val="24"/>
        </w:rPr>
        <w:t>服务和政府向社会公众提供的公共服务。</w:t>
      </w:r>
    </w:p>
    <w:p w14:paraId="112DA19B">
      <w:pPr>
        <w:spacing w:before="181" w:line="468" w:lineRule="exact"/>
        <w:ind w:left="491"/>
        <w:rPr>
          <w:rFonts w:ascii="黑体" w:hAnsi="黑体" w:eastAsia="黑体" w:cs="黑体"/>
          <w:color w:val="auto"/>
          <w:sz w:val="24"/>
          <w:szCs w:val="24"/>
        </w:rPr>
      </w:pPr>
      <w:r>
        <w:rPr>
          <w:rFonts w:ascii="黑体" w:hAnsi="黑体" w:eastAsia="黑体" w:cs="黑体"/>
          <w:color w:val="auto"/>
          <w:spacing w:val="-2"/>
          <w:position w:val="17"/>
          <w:sz w:val="24"/>
          <w:szCs w:val="24"/>
        </w:rPr>
        <w:t>2.7“竞争性磋商文件”系指由采购人向供应商发</w:t>
      </w:r>
      <w:r>
        <w:rPr>
          <w:rFonts w:ascii="黑体" w:hAnsi="黑体" w:eastAsia="黑体" w:cs="黑体"/>
          <w:color w:val="auto"/>
          <w:spacing w:val="-3"/>
          <w:position w:val="17"/>
          <w:sz w:val="24"/>
          <w:szCs w:val="24"/>
        </w:rPr>
        <w:t>出的本采购项目的全部文件（包</w:t>
      </w:r>
    </w:p>
    <w:p w14:paraId="32616C88">
      <w:pPr>
        <w:spacing w:before="1" w:line="220" w:lineRule="auto"/>
        <w:ind w:left="6"/>
        <w:rPr>
          <w:rFonts w:ascii="黑体" w:hAnsi="黑体" w:eastAsia="黑体" w:cs="黑体"/>
          <w:color w:val="auto"/>
          <w:sz w:val="24"/>
          <w:szCs w:val="24"/>
        </w:rPr>
      </w:pPr>
      <w:r>
        <w:rPr>
          <w:rFonts w:ascii="黑体" w:hAnsi="黑体" w:eastAsia="黑体" w:cs="黑体"/>
          <w:color w:val="auto"/>
          <w:spacing w:val="2"/>
          <w:sz w:val="24"/>
          <w:szCs w:val="24"/>
        </w:rPr>
        <w:t>括修改文件、补充文件、答疑纪要、各种通知和附件</w:t>
      </w:r>
      <w:r>
        <w:rPr>
          <w:rFonts w:ascii="黑体" w:hAnsi="黑体" w:eastAsia="黑体" w:cs="黑体"/>
          <w:color w:val="auto"/>
          <w:spacing w:val="1"/>
          <w:sz w:val="24"/>
          <w:szCs w:val="24"/>
        </w:rPr>
        <w:t>等）。</w:t>
      </w:r>
    </w:p>
    <w:p w14:paraId="3AD4837F">
      <w:pPr>
        <w:spacing w:before="180" w:line="222" w:lineRule="auto"/>
        <w:ind w:left="491"/>
        <w:rPr>
          <w:rFonts w:ascii="黑体" w:hAnsi="黑体" w:eastAsia="黑体" w:cs="黑体"/>
          <w:color w:val="auto"/>
          <w:sz w:val="24"/>
          <w:szCs w:val="24"/>
        </w:rPr>
      </w:pPr>
      <w:r>
        <w:rPr>
          <w:rFonts w:ascii="黑体" w:hAnsi="黑体" w:eastAsia="黑体" w:cs="黑体"/>
          <w:color w:val="auto"/>
          <w:spacing w:val="2"/>
          <w:sz w:val="24"/>
          <w:szCs w:val="24"/>
        </w:rPr>
        <w:t>2.8“响应文件”系指供应商根据竞争性磋商文件提交的所有文件。</w:t>
      </w:r>
    </w:p>
    <w:p w14:paraId="1FFFBB89">
      <w:pPr>
        <w:spacing w:before="180" w:line="468" w:lineRule="exact"/>
        <w:ind w:left="6"/>
        <w:rPr>
          <w:rFonts w:ascii="黑体" w:hAnsi="黑体" w:eastAsia="黑体" w:cs="黑体"/>
          <w:color w:val="auto"/>
          <w:sz w:val="24"/>
          <w:szCs w:val="24"/>
        </w:rPr>
      </w:pPr>
      <w:r>
        <w:rPr>
          <w:rFonts w:ascii="黑体" w:hAnsi="黑体" w:eastAsia="黑体" w:cs="黑体"/>
          <w:color w:val="auto"/>
          <w:spacing w:val="-1"/>
          <w:position w:val="17"/>
          <w:sz w:val="24"/>
          <w:szCs w:val="24"/>
          <w14:textOutline w14:w="4358" w14:cap="sq" w14:cmpd="sng">
            <w14:solidFill>
              <w14:srgbClr w14:val="000000"/>
            </w14:solidFill>
            <w14:prstDash w14:val="solid"/>
            <w14:bevel/>
          </w14:textOutline>
        </w:rPr>
        <w:t>3</w:t>
      </w:r>
      <w:r>
        <w:rPr>
          <w:rFonts w:hint="eastAsia" w:ascii="黑体" w:hAnsi="黑体" w:eastAsia="黑体" w:cs="黑体"/>
          <w:color w:val="auto"/>
          <w:spacing w:val="-1"/>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position w:val="17"/>
          <w:sz w:val="24"/>
          <w:szCs w:val="24"/>
          <w14:textOutline w14:w="4358" w14:cap="sq" w14:cmpd="sng">
            <w14:solidFill>
              <w14:srgbClr w14:val="000000"/>
            </w14:solidFill>
            <w14:prstDash w14:val="solid"/>
            <w14:bevel/>
          </w14:textOutline>
        </w:rPr>
        <w:t>文件费用:无。</w:t>
      </w:r>
    </w:p>
    <w:p w14:paraId="10F27FF0">
      <w:pPr>
        <w:spacing w:before="1" w:line="222" w:lineRule="auto"/>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4</w:t>
      </w:r>
      <w:r>
        <w:rPr>
          <w:rFonts w:hint="eastAsia" w:ascii="黑体" w:hAnsi="黑体" w:eastAsia="黑体" w:cs="黑体"/>
          <w:color w:val="auto"/>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采购内容</w:t>
      </w:r>
    </w:p>
    <w:p w14:paraId="32526AB0">
      <w:pPr>
        <w:spacing w:before="179" w:line="221" w:lineRule="auto"/>
        <w:ind w:left="487"/>
        <w:rPr>
          <w:rFonts w:ascii="黑体" w:hAnsi="黑体" w:eastAsia="黑体" w:cs="黑体"/>
          <w:color w:val="auto"/>
          <w:sz w:val="24"/>
          <w:szCs w:val="24"/>
        </w:rPr>
      </w:pPr>
      <w:r>
        <w:rPr>
          <w:rFonts w:ascii="黑体" w:hAnsi="黑体" w:eastAsia="黑体" w:cs="黑体"/>
          <w:color w:val="auto"/>
          <w:spacing w:val="1"/>
          <w:sz w:val="24"/>
          <w:szCs w:val="24"/>
        </w:rPr>
        <w:t>4.1采购内容：供应商须知前附表。</w:t>
      </w:r>
    </w:p>
    <w:p w14:paraId="53EB7560">
      <w:pPr>
        <w:spacing w:line="221" w:lineRule="auto"/>
        <w:rPr>
          <w:rFonts w:ascii="黑体" w:hAnsi="黑体" w:eastAsia="黑体" w:cs="黑体"/>
          <w:color w:val="auto"/>
          <w:sz w:val="24"/>
          <w:szCs w:val="24"/>
        </w:rPr>
        <w:sectPr>
          <w:footerReference r:id="rId8" w:type="default"/>
          <w:pgSz w:w="11906" w:h="16839"/>
          <w:pgMar w:top="1431" w:right="1447" w:bottom="1012" w:left="1418" w:header="0" w:footer="850" w:gutter="0"/>
          <w:pgNumType w:fmt="decimal"/>
          <w:cols w:space="720" w:num="1"/>
        </w:sectPr>
      </w:pPr>
    </w:p>
    <w:p w14:paraId="326D1C33">
      <w:pPr>
        <w:spacing w:before="101" w:line="213" w:lineRule="auto"/>
        <w:ind w:left="486"/>
        <w:rPr>
          <w:rFonts w:ascii="黑体" w:hAnsi="黑体" w:eastAsia="黑体" w:cs="黑体"/>
          <w:color w:val="auto"/>
          <w:sz w:val="24"/>
          <w:szCs w:val="24"/>
        </w:rPr>
      </w:pPr>
      <w:r>
        <w:rPr>
          <w:rFonts w:ascii="黑体" w:hAnsi="黑体" w:eastAsia="黑体" w:cs="黑体"/>
          <w:color w:val="auto"/>
          <w:spacing w:val="2"/>
          <w:sz w:val="24"/>
          <w:szCs w:val="24"/>
        </w:rPr>
        <w:t>4.2采购项目名称、数量、技术规格要求详见工程量清单；</w:t>
      </w:r>
    </w:p>
    <w:p w14:paraId="35819C85">
      <w:pPr>
        <w:spacing w:before="190" w:line="222" w:lineRule="auto"/>
        <w:ind w:left="486"/>
        <w:rPr>
          <w:rFonts w:ascii="黑体" w:hAnsi="黑体" w:eastAsia="黑体" w:cs="黑体"/>
          <w:color w:val="auto"/>
          <w:sz w:val="24"/>
          <w:szCs w:val="24"/>
        </w:rPr>
      </w:pPr>
      <w:r>
        <w:rPr>
          <w:rFonts w:ascii="黑体" w:hAnsi="黑体" w:eastAsia="黑体" w:cs="黑体"/>
          <w:color w:val="auto"/>
          <w:spacing w:val="1"/>
          <w:sz w:val="24"/>
          <w:szCs w:val="24"/>
        </w:rPr>
        <w:t>4.3在采购活动中的标准按国家现行规定（国际标准、国家标准、部标或行业标</w:t>
      </w:r>
    </w:p>
    <w:p w14:paraId="1082E69D">
      <w:pPr>
        <w:spacing w:before="180" w:line="219" w:lineRule="auto"/>
        <w:ind w:left="6"/>
        <w:rPr>
          <w:rFonts w:ascii="黑体" w:hAnsi="黑体" w:eastAsia="黑体" w:cs="黑体"/>
          <w:color w:val="auto"/>
          <w:sz w:val="24"/>
          <w:szCs w:val="24"/>
        </w:rPr>
      </w:pPr>
      <w:r>
        <w:rPr>
          <w:rFonts w:ascii="黑体" w:hAnsi="黑体" w:eastAsia="黑体" w:cs="黑体"/>
          <w:color w:val="auto"/>
          <w:spacing w:val="-1"/>
          <w:sz w:val="24"/>
          <w:szCs w:val="24"/>
        </w:rPr>
        <w:t>准）执行。</w:t>
      </w:r>
    </w:p>
    <w:p w14:paraId="2E1B42E9">
      <w:pPr>
        <w:spacing w:before="182" w:line="221" w:lineRule="auto"/>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5</w:t>
      </w:r>
      <w:r>
        <w:rPr>
          <w:rFonts w:hint="eastAsia" w:ascii="黑体" w:hAnsi="黑体" w:eastAsia="黑体" w:cs="黑体"/>
          <w:color w:val="auto"/>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有关说明</w:t>
      </w:r>
    </w:p>
    <w:p w14:paraId="29F55D2A">
      <w:pPr>
        <w:spacing w:before="180" w:line="468" w:lineRule="exact"/>
        <w:ind w:left="487"/>
        <w:rPr>
          <w:rFonts w:ascii="黑体" w:hAnsi="黑体" w:eastAsia="黑体" w:cs="黑体"/>
          <w:color w:val="auto"/>
          <w:sz w:val="24"/>
          <w:szCs w:val="24"/>
        </w:rPr>
      </w:pPr>
      <w:r>
        <w:rPr>
          <w:rFonts w:ascii="黑体" w:hAnsi="黑体" w:eastAsia="黑体" w:cs="黑体"/>
          <w:color w:val="auto"/>
          <w:spacing w:val="1"/>
          <w:position w:val="17"/>
          <w:sz w:val="24"/>
          <w:szCs w:val="24"/>
        </w:rPr>
        <w:t>5.1规范要求和实际需要的内容，在竞争性磋商文件中有漏项，务请在</w:t>
      </w:r>
      <w:r>
        <w:rPr>
          <w:rFonts w:ascii="黑体" w:hAnsi="黑体" w:eastAsia="黑体" w:cs="黑体"/>
          <w:color w:val="auto"/>
          <w:position w:val="17"/>
          <w:sz w:val="24"/>
          <w:szCs w:val="24"/>
        </w:rPr>
        <w:t>响应文件</w:t>
      </w:r>
    </w:p>
    <w:p w14:paraId="16E1EAC2">
      <w:pPr>
        <w:spacing w:before="1" w:line="212" w:lineRule="auto"/>
        <w:ind w:left="24"/>
        <w:rPr>
          <w:rFonts w:ascii="黑体" w:hAnsi="黑体" w:eastAsia="黑体" w:cs="黑体"/>
          <w:color w:val="auto"/>
          <w:sz w:val="24"/>
          <w:szCs w:val="24"/>
        </w:rPr>
      </w:pPr>
      <w:r>
        <w:rPr>
          <w:rFonts w:ascii="黑体" w:hAnsi="黑体" w:eastAsia="黑体" w:cs="黑体"/>
          <w:color w:val="auto"/>
          <w:sz w:val="24"/>
          <w:szCs w:val="24"/>
        </w:rPr>
        <w:t>中指出，并提供解决方案作实质性响应。</w:t>
      </w:r>
    </w:p>
    <w:p w14:paraId="2ABCC93E">
      <w:pPr>
        <w:spacing w:before="192" w:line="468" w:lineRule="exact"/>
        <w:ind w:left="487"/>
        <w:rPr>
          <w:rFonts w:ascii="黑体" w:hAnsi="黑体" w:eastAsia="黑体" w:cs="黑体"/>
          <w:color w:val="auto"/>
          <w:sz w:val="24"/>
          <w:szCs w:val="24"/>
        </w:rPr>
      </w:pPr>
      <w:r>
        <w:rPr>
          <w:rFonts w:ascii="黑体" w:hAnsi="黑体" w:eastAsia="黑体" w:cs="黑体"/>
          <w:color w:val="auto"/>
          <w:spacing w:val="1"/>
          <w:position w:val="17"/>
          <w:sz w:val="24"/>
          <w:szCs w:val="24"/>
        </w:rPr>
        <w:t>5.2供应商根据采购文件载明的标的采购项目实际情况，拟在中标后将中标</w:t>
      </w:r>
      <w:r>
        <w:rPr>
          <w:rFonts w:ascii="黑体" w:hAnsi="黑体" w:eastAsia="黑体" w:cs="黑体"/>
          <w:color w:val="auto"/>
          <w:position w:val="17"/>
          <w:sz w:val="24"/>
          <w:szCs w:val="24"/>
        </w:rPr>
        <w:t>项目</w:t>
      </w:r>
    </w:p>
    <w:p w14:paraId="6B9DE0A8">
      <w:pPr>
        <w:spacing w:before="1" w:line="212" w:lineRule="auto"/>
        <w:ind w:left="18"/>
        <w:rPr>
          <w:rFonts w:ascii="黑体" w:hAnsi="黑体" w:eastAsia="黑体" w:cs="黑体"/>
          <w:color w:val="auto"/>
          <w:sz w:val="24"/>
          <w:szCs w:val="24"/>
        </w:rPr>
      </w:pPr>
      <w:r>
        <w:rPr>
          <w:rFonts w:ascii="黑体" w:hAnsi="黑体" w:eastAsia="黑体" w:cs="黑体"/>
          <w:color w:val="auto"/>
          <w:spacing w:val="1"/>
          <w:sz w:val="24"/>
          <w:szCs w:val="24"/>
        </w:rPr>
        <w:t>的非主体、非关键性工作交由他人完成的，应当在投标文件中载明。</w:t>
      </w:r>
    </w:p>
    <w:p w14:paraId="5A344D59">
      <w:pPr>
        <w:spacing w:before="191" w:line="221" w:lineRule="auto"/>
        <w:ind w:left="487"/>
        <w:rPr>
          <w:rFonts w:ascii="黑体" w:hAnsi="黑体" w:eastAsia="黑体" w:cs="黑体"/>
          <w:color w:val="auto"/>
          <w:sz w:val="24"/>
          <w:szCs w:val="24"/>
        </w:rPr>
      </w:pPr>
      <w:r>
        <w:rPr>
          <w:rFonts w:ascii="黑体" w:hAnsi="黑体" w:eastAsia="黑体" w:cs="黑体"/>
          <w:color w:val="auto"/>
          <w:spacing w:val="2"/>
          <w:sz w:val="24"/>
          <w:szCs w:val="24"/>
        </w:rPr>
        <w:t>5.3供应商应提供该项目技术支持和服务承</w:t>
      </w:r>
      <w:r>
        <w:rPr>
          <w:rFonts w:ascii="黑体" w:hAnsi="黑体" w:eastAsia="黑体" w:cs="黑体"/>
          <w:color w:val="auto"/>
          <w:spacing w:val="1"/>
          <w:sz w:val="24"/>
          <w:szCs w:val="24"/>
        </w:rPr>
        <w:t>诺书。</w:t>
      </w:r>
    </w:p>
    <w:p w14:paraId="7C80201B">
      <w:pPr>
        <w:pStyle w:val="5"/>
        <w:spacing w:line="255" w:lineRule="auto"/>
        <w:rPr>
          <w:color w:val="auto"/>
        </w:rPr>
      </w:pPr>
    </w:p>
    <w:p w14:paraId="3E9322E4">
      <w:pPr>
        <w:pStyle w:val="5"/>
        <w:spacing w:line="255" w:lineRule="auto"/>
        <w:rPr>
          <w:color w:val="auto"/>
        </w:rPr>
      </w:pPr>
    </w:p>
    <w:p w14:paraId="44B248F2">
      <w:pPr>
        <w:pStyle w:val="5"/>
        <w:spacing w:line="255" w:lineRule="auto"/>
        <w:rPr>
          <w:color w:val="auto"/>
        </w:rPr>
      </w:pPr>
    </w:p>
    <w:p w14:paraId="1A9228B2">
      <w:pPr>
        <w:spacing w:before="91" w:line="222" w:lineRule="auto"/>
        <w:ind w:left="3201"/>
        <w:rPr>
          <w:rFonts w:ascii="黑体" w:hAnsi="黑体" w:eastAsia="黑体" w:cs="黑体"/>
          <w:color w:val="auto"/>
          <w:sz w:val="28"/>
          <w:szCs w:val="28"/>
        </w:rPr>
      </w:pPr>
      <w:r>
        <w:rPr>
          <w:rFonts w:ascii="黑体" w:hAnsi="黑体" w:eastAsia="黑体" w:cs="黑体"/>
          <w:color w:val="auto"/>
          <w:spacing w:val="1"/>
          <w:sz w:val="28"/>
          <w:szCs w:val="28"/>
          <w14:textOutline w14:w="5103" w14:cap="sq" w14:cmpd="sng">
            <w14:solidFill>
              <w14:srgbClr w14:val="000000"/>
            </w14:solidFill>
            <w14:prstDash w14:val="solid"/>
            <w14:bevel/>
          </w14:textOutline>
        </w:rPr>
        <w:t>二、竞争性磋商文件</w:t>
      </w:r>
    </w:p>
    <w:p w14:paraId="2610F6E6">
      <w:pPr>
        <w:spacing w:before="231" w:line="222" w:lineRule="auto"/>
        <w:ind w:left="4"/>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6</w:t>
      </w:r>
      <w:r>
        <w:rPr>
          <w:rFonts w:hint="eastAsia" w:ascii="黑体" w:hAnsi="黑体" w:eastAsia="黑体" w:cs="黑体"/>
          <w:color w:val="auto"/>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竞争性磋商文件</w:t>
      </w:r>
    </w:p>
    <w:p w14:paraId="34216D6C">
      <w:pPr>
        <w:spacing w:before="180" w:line="468" w:lineRule="exact"/>
        <w:ind w:left="491"/>
        <w:rPr>
          <w:rFonts w:ascii="黑体" w:hAnsi="黑体" w:eastAsia="黑体" w:cs="黑体"/>
          <w:color w:val="auto"/>
          <w:sz w:val="24"/>
          <w:szCs w:val="24"/>
        </w:rPr>
      </w:pPr>
      <w:r>
        <w:rPr>
          <w:rFonts w:ascii="黑体" w:hAnsi="黑体" w:eastAsia="黑体" w:cs="黑体"/>
          <w:color w:val="auto"/>
          <w:spacing w:val="1"/>
          <w:position w:val="17"/>
          <w:sz w:val="24"/>
          <w:szCs w:val="24"/>
        </w:rPr>
        <w:t>6.1竞争性磋商文件用以阐明所需货物、工程或者服务采购程序和</w:t>
      </w:r>
      <w:r>
        <w:rPr>
          <w:rFonts w:ascii="黑体" w:hAnsi="黑体" w:eastAsia="黑体" w:cs="黑体"/>
          <w:color w:val="auto"/>
          <w:position w:val="17"/>
          <w:sz w:val="24"/>
          <w:szCs w:val="24"/>
        </w:rPr>
        <w:t>商务合同主要</w:t>
      </w:r>
    </w:p>
    <w:p w14:paraId="09CC373E">
      <w:pPr>
        <w:spacing w:before="1" w:line="212" w:lineRule="auto"/>
        <w:ind w:left="6"/>
        <w:rPr>
          <w:rFonts w:ascii="黑体" w:hAnsi="黑体" w:eastAsia="黑体" w:cs="黑体"/>
          <w:color w:val="auto"/>
          <w:sz w:val="24"/>
          <w:szCs w:val="24"/>
        </w:rPr>
      </w:pPr>
      <w:r>
        <w:rPr>
          <w:rFonts w:ascii="黑体" w:hAnsi="黑体" w:eastAsia="黑体" w:cs="黑体"/>
          <w:color w:val="auto"/>
          <w:spacing w:val="-1"/>
          <w:sz w:val="24"/>
          <w:szCs w:val="24"/>
        </w:rPr>
        <w:t>条款，包括：</w:t>
      </w:r>
    </w:p>
    <w:p w14:paraId="3BE1F784">
      <w:pPr>
        <w:spacing w:before="191" w:line="468" w:lineRule="exact"/>
        <w:ind w:left="492"/>
        <w:rPr>
          <w:rFonts w:ascii="黑体" w:hAnsi="黑体" w:eastAsia="黑体" w:cs="黑体"/>
          <w:color w:val="auto"/>
          <w:sz w:val="24"/>
          <w:szCs w:val="24"/>
        </w:rPr>
      </w:pPr>
      <w:r>
        <w:rPr>
          <w:rFonts w:ascii="黑体" w:hAnsi="黑体" w:eastAsia="黑体" w:cs="黑体"/>
          <w:color w:val="auto"/>
          <w:spacing w:val="2"/>
          <w:position w:val="17"/>
          <w:sz w:val="24"/>
          <w:szCs w:val="24"/>
          <w14:textOutline w14:w="4358" w14:cap="sq" w14:cmpd="sng">
            <w14:solidFill>
              <w14:srgbClr w14:val="000000"/>
            </w14:solidFill>
            <w14:prstDash w14:val="solid"/>
            <w14:bevel/>
          </w14:textOutline>
        </w:rPr>
        <w:t>第一章竞争性磋商公告</w:t>
      </w:r>
    </w:p>
    <w:p w14:paraId="7FE90E67">
      <w:pPr>
        <w:spacing w:before="1" w:line="220" w:lineRule="auto"/>
        <w:ind w:left="492"/>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第二章供应商须知</w:t>
      </w:r>
    </w:p>
    <w:p w14:paraId="7D5936AB">
      <w:pPr>
        <w:spacing w:before="181" w:line="221" w:lineRule="auto"/>
        <w:ind w:left="1343"/>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供应商须知前附表</w:t>
      </w:r>
    </w:p>
    <w:p w14:paraId="313AF26C">
      <w:pPr>
        <w:spacing w:before="181" w:line="468" w:lineRule="exact"/>
        <w:ind w:left="1343"/>
        <w:rPr>
          <w:rFonts w:ascii="黑体" w:hAnsi="黑体" w:eastAsia="黑体" w:cs="黑体"/>
          <w:color w:val="auto"/>
          <w:sz w:val="24"/>
          <w:szCs w:val="24"/>
        </w:rPr>
      </w:pPr>
      <w:r>
        <w:rPr>
          <w:rFonts w:ascii="黑体" w:hAnsi="黑体" w:eastAsia="黑体" w:cs="黑体"/>
          <w:color w:val="auto"/>
          <w:spacing w:val="2"/>
          <w:position w:val="17"/>
          <w:sz w:val="24"/>
          <w:szCs w:val="24"/>
          <w14:textOutline w14:w="4358" w14:cap="sq" w14:cmpd="sng">
            <w14:solidFill>
              <w14:srgbClr w14:val="000000"/>
            </w14:solidFill>
            <w14:prstDash w14:val="solid"/>
            <w14:bevel/>
          </w14:textOutline>
        </w:rPr>
        <w:t>供应商须知正文部分</w:t>
      </w:r>
    </w:p>
    <w:p w14:paraId="5A151E6D">
      <w:pPr>
        <w:spacing w:before="1" w:line="221" w:lineRule="auto"/>
        <w:ind w:left="492"/>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第三章清单</w:t>
      </w:r>
    </w:p>
    <w:p w14:paraId="6A00EAAE">
      <w:pPr>
        <w:spacing w:before="179" w:line="222" w:lineRule="auto"/>
        <w:ind w:left="492"/>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第四章合同范本</w:t>
      </w:r>
    </w:p>
    <w:p w14:paraId="233704FA">
      <w:pPr>
        <w:spacing w:before="179" w:line="222" w:lineRule="auto"/>
        <w:ind w:left="492"/>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第五章主要响应文件的格式及其内容</w:t>
      </w:r>
    </w:p>
    <w:p w14:paraId="634A36C4">
      <w:pPr>
        <w:spacing w:before="180" w:line="360" w:lineRule="auto"/>
        <w:ind w:left="4" w:firstLine="487"/>
        <w:jc w:val="both"/>
        <w:rPr>
          <w:rFonts w:ascii="黑体" w:hAnsi="黑体" w:eastAsia="黑体" w:cs="黑体"/>
          <w:color w:val="auto"/>
          <w:sz w:val="24"/>
          <w:szCs w:val="24"/>
        </w:rPr>
      </w:pPr>
      <w:r>
        <w:rPr>
          <w:rFonts w:ascii="黑体" w:hAnsi="黑体" w:eastAsia="黑体" w:cs="黑体"/>
          <w:color w:val="auto"/>
          <w:spacing w:val="-3"/>
          <w:sz w:val="24"/>
          <w:szCs w:val="24"/>
        </w:rPr>
        <w:t>6.2供应商应认真阅读竞争性磋商文件中所有的事项、格</w:t>
      </w:r>
      <w:r>
        <w:rPr>
          <w:rFonts w:ascii="黑体" w:hAnsi="黑体" w:eastAsia="黑体" w:cs="黑体"/>
          <w:color w:val="auto"/>
          <w:spacing w:val="-4"/>
          <w:sz w:val="24"/>
          <w:szCs w:val="24"/>
        </w:rPr>
        <w:t>式、条款和规范等要求。</w:t>
      </w:r>
      <w:r>
        <w:rPr>
          <w:rFonts w:ascii="黑体" w:hAnsi="黑体" w:eastAsia="黑体" w:cs="黑体"/>
          <w:color w:val="auto"/>
          <w:spacing w:val="8"/>
          <w:sz w:val="24"/>
          <w:szCs w:val="24"/>
        </w:rPr>
        <w:t>如果没有按照竞争性磋商文件要求提交全部资料或者响应文</w:t>
      </w:r>
      <w:r>
        <w:rPr>
          <w:rFonts w:ascii="黑体" w:hAnsi="黑体" w:eastAsia="黑体" w:cs="黑体"/>
          <w:color w:val="auto"/>
          <w:spacing w:val="7"/>
          <w:sz w:val="24"/>
          <w:szCs w:val="24"/>
        </w:rPr>
        <w:t>件没有对竞争性磋商文</w:t>
      </w:r>
    </w:p>
    <w:p w14:paraId="043619B5">
      <w:pPr>
        <w:spacing w:before="1" w:line="212" w:lineRule="auto"/>
        <w:ind w:left="3"/>
        <w:rPr>
          <w:rFonts w:ascii="黑体" w:hAnsi="黑体" w:eastAsia="黑体" w:cs="黑体"/>
          <w:color w:val="auto"/>
          <w:sz w:val="24"/>
          <w:szCs w:val="24"/>
        </w:rPr>
      </w:pPr>
      <w:r>
        <w:rPr>
          <w:rFonts w:ascii="黑体" w:hAnsi="黑体" w:eastAsia="黑体" w:cs="黑体"/>
          <w:color w:val="auto"/>
          <w:spacing w:val="1"/>
          <w:sz w:val="24"/>
          <w:szCs w:val="24"/>
        </w:rPr>
        <w:t>件做出实质性响应，其响应文件可能被拒绝。</w:t>
      </w:r>
    </w:p>
    <w:p w14:paraId="0B08C763">
      <w:pPr>
        <w:spacing w:before="191" w:line="222" w:lineRule="auto"/>
        <w:ind w:left="6"/>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7</w:t>
      </w:r>
      <w:r>
        <w:rPr>
          <w:rFonts w:hint="eastAsia" w:ascii="黑体" w:hAnsi="黑体" w:eastAsia="黑体" w:cs="黑体"/>
          <w:color w:val="auto"/>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竞争性磋商文件的澄清</w:t>
      </w:r>
    </w:p>
    <w:p w14:paraId="3711BA71">
      <w:pPr>
        <w:spacing w:before="180" w:line="360" w:lineRule="auto"/>
        <w:ind w:left="3" w:right="76" w:firstLine="490"/>
        <w:jc w:val="both"/>
        <w:rPr>
          <w:rFonts w:ascii="黑体" w:hAnsi="黑体" w:eastAsia="黑体" w:cs="黑体"/>
          <w:color w:val="auto"/>
          <w:sz w:val="24"/>
          <w:szCs w:val="24"/>
        </w:rPr>
      </w:pPr>
      <w:r>
        <w:rPr>
          <w:rFonts w:ascii="黑体" w:hAnsi="黑体" w:eastAsia="黑体" w:cs="黑体"/>
          <w:color w:val="auto"/>
          <w:spacing w:val="1"/>
          <w:sz w:val="24"/>
          <w:szCs w:val="24"/>
        </w:rPr>
        <w:t>7.1采购人或者采购代理机构可以对已发出的竞争性磋商文件（资格预审文件、投标邀请书）进行必要的澄清或者修改，但不得改变采购标的和资格条件。澄清或者修改应当在原公告发布媒体上发布澄清公告。澄清或者修改的内容为竞争性磋商文件</w:t>
      </w:r>
    </w:p>
    <w:p w14:paraId="72BFB3B6">
      <w:pPr>
        <w:spacing w:before="1" w:line="221" w:lineRule="auto"/>
        <w:ind w:left="26"/>
        <w:rPr>
          <w:rFonts w:ascii="黑体" w:hAnsi="黑体" w:eastAsia="黑体" w:cs="黑体"/>
          <w:color w:val="auto"/>
          <w:sz w:val="24"/>
          <w:szCs w:val="24"/>
        </w:rPr>
      </w:pPr>
      <w:r>
        <w:rPr>
          <w:rFonts w:ascii="黑体" w:hAnsi="黑体" w:eastAsia="黑体" w:cs="黑体"/>
          <w:color w:val="auto"/>
          <w:sz w:val="24"/>
          <w:szCs w:val="24"/>
        </w:rPr>
        <w:t>（资格预审文件、投标邀请书）的组成部分。</w:t>
      </w:r>
    </w:p>
    <w:p w14:paraId="551EC850">
      <w:pPr>
        <w:spacing w:line="221" w:lineRule="auto"/>
        <w:rPr>
          <w:rFonts w:ascii="黑体" w:hAnsi="黑体" w:eastAsia="黑体" w:cs="黑体"/>
          <w:color w:val="auto"/>
          <w:sz w:val="24"/>
          <w:szCs w:val="24"/>
        </w:rPr>
        <w:sectPr>
          <w:footerReference r:id="rId9" w:type="default"/>
          <w:pgSz w:w="11906" w:h="16839"/>
          <w:pgMar w:top="1431" w:right="1477" w:bottom="1012" w:left="1419" w:header="0" w:footer="850" w:gutter="0"/>
          <w:pgNumType w:fmt="decimal"/>
          <w:cols w:space="720" w:num="1"/>
        </w:sectPr>
      </w:pPr>
    </w:p>
    <w:p w14:paraId="48D4639C">
      <w:pPr>
        <w:spacing w:before="101" w:line="360" w:lineRule="auto"/>
        <w:ind w:left="11" w:firstLine="484"/>
        <w:jc w:val="both"/>
        <w:rPr>
          <w:rFonts w:ascii="黑体" w:hAnsi="黑体" w:eastAsia="黑体" w:cs="黑体"/>
          <w:color w:val="auto"/>
          <w:sz w:val="24"/>
          <w:szCs w:val="24"/>
        </w:rPr>
      </w:pPr>
      <w:r>
        <w:rPr>
          <w:rFonts w:ascii="黑体" w:hAnsi="黑体" w:eastAsia="黑体" w:cs="黑体"/>
          <w:color w:val="auto"/>
          <w:spacing w:val="1"/>
          <w:sz w:val="24"/>
          <w:szCs w:val="24"/>
        </w:rPr>
        <w:t>澄清或者修改的内容可能影响响应文件编制的，采购人、采购代</w:t>
      </w:r>
      <w:r>
        <w:rPr>
          <w:rFonts w:ascii="黑体" w:hAnsi="黑体" w:eastAsia="黑体" w:cs="黑体"/>
          <w:color w:val="auto"/>
          <w:sz w:val="24"/>
          <w:szCs w:val="24"/>
        </w:rPr>
        <w:t>理机构应当在提</w:t>
      </w:r>
      <w:r>
        <w:rPr>
          <w:rFonts w:ascii="黑体" w:hAnsi="黑体" w:eastAsia="黑体" w:cs="黑体"/>
          <w:color w:val="auto"/>
          <w:spacing w:val="-1"/>
          <w:sz w:val="24"/>
          <w:szCs w:val="24"/>
        </w:rPr>
        <w:t>交首次响应文件截止时间至少5日前，以书面形式通知所有获取磋商文件的供应商；</w:t>
      </w:r>
    </w:p>
    <w:p w14:paraId="46CC2DC1">
      <w:pPr>
        <w:spacing w:before="1" w:line="212" w:lineRule="auto"/>
        <w:ind w:left="9"/>
        <w:rPr>
          <w:rFonts w:ascii="黑体" w:hAnsi="黑体" w:eastAsia="黑体" w:cs="黑体"/>
          <w:color w:val="auto"/>
          <w:sz w:val="24"/>
          <w:szCs w:val="24"/>
        </w:rPr>
      </w:pPr>
      <w:r>
        <w:rPr>
          <w:rFonts w:ascii="黑体" w:hAnsi="黑体" w:eastAsia="黑体" w:cs="黑体"/>
          <w:color w:val="auto"/>
          <w:sz w:val="24"/>
          <w:szCs w:val="24"/>
        </w:rPr>
        <w:t>不足5日的，采购人、采购代理机构应当顺延提交首次响应文件截止时间。</w:t>
      </w:r>
    </w:p>
    <w:p w14:paraId="4DF21957">
      <w:pPr>
        <w:spacing w:before="190" w:line="222" w:lineRule="auto"/>
        <w:ind w:left="3"/>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8</w:t>
      </w:r>
      <w:r>
        <w:rPr>
          <w:rFonts w:hint="eastAsia" w:ascii="黑体" w:hAnsi="黑体" w:eastAsia="黑体" w:cs="黑体"/>
          <w:color w:val="auto"/>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2"/>
          <w:sz w:val="24"/>
          <w:szCs w:val="24"/>
          <w14:textOutline w14:w="4358" w14:cap="sq" w14:cmpd="sng">
            <w14:solidFill>
              <w14:srgbClr w14:val="000000"/>
            </w14:solidFill>
            <w14:prstDash w14:val="solid"/>
            <w14:bevel/>
          </w14:textOutline>
        </w:rPr>
        <w:t>竞争性磋商文件的修改</w:t>
      </w:r>
    </w:p>
    <w:p w14:paraId="1EFA43FA">
      <w:pPr>
        <w:spacing w:before="179" w:line="360" w:lineRule="auto"/>
        <w:ind w:left="6" w:firstLine="484"/>
        <w:jc w:val="both"/>
        <w:rPr>
          <w:rFonts w:ascii="黑体" w:hAnsi="黑体" w:eastAsia="黑体" w:cs="黑体"/>
          <w:color w:val="auto"/>
          <w:sz w:val="24"/>
          <w:szCs w:val="24"/>
        </w:rPr>
      </w:pPr>
      <w:r>
        <w:rPr>
          <w:rFonts w:ascii="黑体" w:hAnsi="黑体" w:eastAsia="黑体" w:cs="黑体"/>
          <w:color w:val="auto"/>
          <w:spacing w:val="1"/>
          <w:sz w:val="24"/>
          <w:szCs w:val="24"/>
        </w:rPr>
        <w:t>8.1采购人可以视采购具体情况，延长投标截止时间和开标时间，但至</w:t>
      </w:r>
      <w:r>
        <w:rPr>
          <w:rFonts w:ascii="黑体" w:hAnsi="黑体" w:eastAsia="黑体" w:cs="黑体"/>
          <w:color w:val="auto"/>
          <w:sz w:val="24"/>
          <w:szCs w:val="24"/>
        </w:rPr>
        <w:t>少应当在</w:t>
      </w:r>
      <w:r>
        <w:rPr>
          <w:rFonts w:ascii="黑体" w:hAnsi="黑体" w:eastAsia="黑体" w:cs="黑体"/>
          <w:color w:val="auto"/>
          <w:spacing w:val="-1"/>
          <w:sz w:val="24"/>
          <w:szCs w:val="24"/>
        </w:rPr>
        <w:t>竞争性磋商文件要求提交响应文件的截止时间3日前，将变更时间书面通知所有竞争</w:t>
      </w:r>
    </w:p>
    <w:p w14:paraId="7E9401E6">
      <w:pPr>
        <w:spacing w:before="1" w:line="212" w:lineRule="auto"/>
        <w:ind w:left="6"/>
        <w:rPr>
          <w:rFonts w:ascii="黑体" w:hAnsi="黑体" w:eastAsia="黑体" w:cs="黑体"/>
          <w:color w:val="auto"/>
          <w:sz w:val="24"/>
          <w:szCs w:val="24"/>
        </w:rPr>
      </w:pPr>
      <w:r>
        <w:rPr>
          <w:rFonts w:ascii="黑体" w:hAnsi="黑体" w:eastAsia="黑体" w:cs="黑体"/>
          <w:color w:val="auto"/>
          <w:spacing w:val="2"/>
          <w:sz w:val="24"/>
          <w:szCs w:val="24"/>
        </w:rPr>
        <w:t>性磋商文件收受人，并在财政部门指定的政府采购信息发布媒体上发布变更公告。</w:t>
      </w:r>
    </w:p>
    <w:p w14:paraId="18ABA067">
      <w:pPr>
        <w:spacing w:before="191" w:line="468" w:lineRule="exact"/>
        <w:jc w:val="right"/>
        <w:rPr>
          <w:rFonts w:ascii="黑体" w:hAnsi="黑体" w:eastAsia="黑体" w:cs="黑体"/>
          <w:color w:val="auto"/>
          <w:sz w:val="24"/>
          <w:szCs w:val="24"/>
        </w:rPr>
      </w:pPr>
      <w:r>
        <w:rPr>
          <w:rFonts w:ascii="黑体" w:hAnsi="黑体" w:eastAsia="黑体" w:cs="黑体"/>
          <w:color w:val="auto"/>
          <w:spacing w:val="1"/>
          <w:position w:val="17"/>
          <w:sz w:val="24"/>
          <w:szCs w:val="24"/>
        </w:rPr>
        <w:t>8.2竞争性磋商文件的修改将以书面通知所有竞争性磋商文件收受人，</w:t>
      </w:r>
      <w:r>
        <w:rPr>
          <w:rFonts w:ascii="黑体" w:hAnsi="黑体" w:eastAsia="黑体" w:cs="黑体"/>
          <w:color w:val="auto"/>
          <w:position w:val="17"/>
          <w:sz w:val="24"/>
          <w:szCs w:val="24"/>
        </w:rPr>
        <w:t>并对供应</w:t>
      </w:r>
    </w:p>
    <w:p w14:paraId="62D3FFEE">
      <w:pPr>
        <w:spacing w:before="1" w:line="221" w:lineRule="auto"/>
        <w:ind w:left="14"/>
        <w:rPr>
          <w:rFonts w:ascii="黑体" w:hAnsi="黑体" w:eastAsia="黑体" w:cs="黑体"/>
          <w:color w:val="auto"/>
          <w:sz w:val="24"/>
          <w:szCs w:val="24"/>
        </w:rPr>
      </w:pPr>
      <w:r>
        <w:rPr>
          <w:rFonts w:ascii="黑体" w:hAnsi="黑体" w:eastAsia="黑体" w:cs="黑体"/>
          <w:color w:val="auto"/>
          <w:spacing w:val="-1"/>
          <w:sz w:val="24"/>
          <w:szCs w:val="24"/>
        </w:rPr>
        <w:t>商具有约束力。</w:t>
      </w:r>
    </w:p>
    <w:p w14:paraId="551ECA01">
      <w:pPr>
        <w:pStyle w:val="5"/>
        <w:spacing w:line="254" w:lineRule="auto"/>
        <w:rPr>
          <w:color w:val="auto"/>
        </w:rPr>
      </w:pPr>
    </w:p>
    <w:p w14:paraId="16C9A456">
      <w:pPr>
        <w:pStyle w:val="5"/>
        <w:spacing w:line="254" w:lineRule="auto"/>
        <w:rPr>
          <w:color w:val="auto"/>
        </w:rPr>
      </w:pPr>
    </w:p>
    <w:p w14:paraId="40329889">
      <w:pPr>
        <w:pStyle w:val="5"/>
        <w:spacing w:line="255" w:lineRule="auto"/>
        <w:rPr>
          <w:color w:val="auto"/>
        </w:rPr>
      </w:pPr>
    </w:p>
    <w:p w14:paraId="12A9A5A9">
      <w:pPr>
        <w:spacing w:before="91" w:line="222" w:lineRule="auto"/>
        <w:ind w:left="3131"/>
        <w:rPr>
          <w:rFonts w:ascii="黑体" w:hAnsi="黑体" w:eastAsia="黑体" w:cs="黑体"/>
          <w:color w:val="auto"/>
          <w:sz w:val="28"/>
          <w:szCs w:val="28"/>
        </w:rPr>
      </w:pPr>
      <w:r>
        <w:rPr>
          <w:rFonts w:ascii="黑体" w:hAnsi="黑体" w:eastAsia="黑体" w:cs="黑体"/>
          <w:color w:val="auto"/>
          <w:spacing w:val="-2"/>
          <w:sz w:val="28"/>
          <w:szCs w:val="28"/>
          <w14:textOutline w14:w="5103" w14:cap="sq" w14:cmpd="sng">
            <w14:solidFill>
              <w14:srgbClr w14:val="000000"/>
            </w14:solidFill>
            <w14:prstDash w14:val="solid"/>
            <w14:bevel/>
          </w14:textOutline>
        </w:rPr>
        <w:t>三、响应文件的编制</w:t>
      </w:r>
    </w:p>
    <w:p w14:paraId="4D3181A0">
      <w:pPr>
        <w:spacing w:before="232" w:line="221" w:lineRule="auto"/>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9</w:t>
      </w:r>
      <w:r>
        <w:rPr>
          <w:rFonts w:hint="eastAsia" w:ascii="黑体" w:hAnsi="黑体" w:eastAsia="黑体" w:cs="黑体"/>
          <w:color w:val="auto"/>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响应文件的编写</w:t>
      </w:r>
    </w:p>
    <w:p w14:paraId="5AF35759">
      <w:pPr>
        <w:spacing w:before="181" w:line="360" w:lineRule="auto"/>
        <w:ind w:left="4" w:firstLine="482"/>
        <w:jc w:val="both"/>
        <w:rPr>
          <w:rFonts w:ascii="黑体" w:hAnsi="黑体" w:eastAsia="黑体" w:cs="黑体"/>
          <w:color w:val="auto"/>
          <w:sz w:val="24"/>
          <w:szCs w:val="24"/>
        </w:rPr>
      </w:pPr>
      <w:r>
        <w:rPr>
          <w:rFonts w:ascii="黑体" w:hAnsi="黑体" w:eastAsia="黑体" w:cs="黑体"/>
          <w:color w:val="auto"/>
          <w:spacing w:val="4"/>
          <w:sz w:val="24"/>
          <w:szCs w:val="24"/>
        </w:rPr>
        <w:t>9.1供应商应仔细阅读竞争性磋商文件,了解竞争性磋商文件的要求。在充分理</w:t>
      </w:r>
      <w:r>
        <w:rPr>
          <w:rFonts w:ascii="黑体" w:hAnsi="黑体" w:eastAsia="黑体" w:cs="黑体"/>
          <w:color w:val="auto"/>
          <w:spacing w:val="1"/>
          <w:sz w:val="24"/>
          <w:szCs w:val="24"/>
        </w:rPr>
        <w:t>解竞争性磋商文件、技术规范及标准、项目采购需求、合同文本（主要内容）后编制</w:t>
      </w:r>
    </w:p>
    <w:p w14:paraId="67FFCCD6">
      <w:pPr>
        <w:spacing w:before="1" w:line="221" w:lineRule="auto"/>
        <w:ind w:left="15"/>
        <w:rPr>
          <w:rFonts w:ascii="黑体" w:hAnsi="黑体" w:eastAsia="黑体" w:cs="黑体"/>
          <w:color w:val="auto"/>
          <w:sz w:val="24"/>
          <w:szCs w:val="24"/>
        </w:rPr>
      </w:pPr>
      <w:r>
        <w:rPr>
          <w:rFonts w:ascii="黑体" w:hAnsi="黑体" w:eastAsia="黑体" w:cs="黑体"/>
          <w:color w:val="auto"/>
          <w:spacing w:val="-3"/>
          <w:sz w:val="24"/>
          <w:szCs w:val="24"/>
        </w:rPr>
        <w:t>响应文件。</w:t>
      </w:r>
    </w:p>
    <w:p w14:paraId="200EF8C5">
      <w:pPr>
        <w:spacing w:before="179" w:line="221" w:lineRule="auto"/>
        <w:jc w:val="center"/>
        <w:rPr>
          <w:rFonts w:ascii="黑体" w:hAnsi="黑体" w:eastAsia="黑体" w:cs="黑体"/>
          <w:color w:val="auto"/>
          <w:sz w:val="24"/>
          <w:szCs w:val="24"/>
        </w:rPr>
      </w:pPr>
      <w:r>
        <w:rPr>
          <w:rFonts w:hint="eastAsia" w:ascii="黑体" w:hAnsi="黑体" w:eastAsia="黑体" w:cs="黑体"/>
          <w:color w:val="auto"/>
          <w:spacing w:val="1"/>
          <w:sz w:val="24"/>
          <w:szCs w:val="24"/>
          <w:lang w:val="en-US" w:eastAsia="zh-CN"/>
        </w:rPr>
        <w:t xml:space="preserve">  </w:t>
      </w:r>
      <w:r>
        <w:rPr>
          <w:rFonts w:ascii="黑体" w:hAnsi="黑体" w:eastAsia="黑体" w:cs="黑体"/>
          <w:color w:val="auto"/>
          <w:spacing w:val="1"/>
          <w:sz w:val="24"/>
          <w:szCs w:val="24"/>
        </w:rPr>
        <w:t>9.2投标供应商编制电子响应文件可参考《政府采购项目电子交易管理操作指南</w:t>
      </w:r>
    </w:p>
    <w:p w14:paraId="3A05AFE8">
      <w:pPr>
        <w:spacing w:before="181" w:line="213" w:lineRule="auto"/>
        <w:ind w:left="1"/>
        <w:rPr>
          <w:rFonts w:ascii="黑体" w:hAnsi="黑体" w:eastAsia="黑体" w:cs="黑体"/>
          <w:color w:val="auto"/>
          <w:sz w:val="24"/>
          <w:szCs w:val="24"/>
        </w:rPr>
      </w:pPr>
      <w:r>
        <w:rPr>
          <w:rFonts w:ascii="黑体" w:hAnsi="黑体" w:eastAsia="黑体" w:cs="黑体"/>
          <w:color w:val="auto"/>
          <w:spacing w:val="2"/>
          <w:sz w:val="24"/>
          <w:szCs w:val="24"/>
        </w:rPr>
        <w:t>-供应商》，在政采云《帮助文档》下载。</w:t>
      </w:r>
    </w:p>
    <w:p w14:paraId="222B0350">
      <w:pPr>
        <w:spacing w:before="191" w:line="222" w:lineRule="auto"/>
        <w:ind w:left="18"/>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10</w:t>
      </w:r>
      <w:r>
        <w:rPr>
          <w:rFonts w:hint="eastAsia" w:ascii="黑体" w:hAnsi="黑体" w:eastAsia="黑体" w:cs="黑体"/>
          <w:color w:val="auto"/>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响应文件的语言及计量单位</w:t>
      </w:r>
    </w:p>
    <w:p w14:paraId="3B61DD87">
      <w:pPr>
        <w:spacing w:before="180" w:line="360" w:lineRule="auto"/>
        <w:ind w:left="7" w:firstLine="498"/>
        <w:jc w:val="both"/>
        <w:rPr>
          <w:rFonts w:ascii="黑体" w:hAnsi="黑体" w:eastAsia="黑体" w:cs="黑体"/>
          <w:color w:val="auto"/>
          <w:sz w:val="24"/>
          <w:szCs w:val="24"/>
        </w:rPr>
      </w:pPr>
      <w:r>
        <w:rPr>
          <w:rFonts w:ascii="黑体" w:hAnsi="黑体" w:eastAsia="黑体" w:cs="黑体"/>
          <w:color w:val="auto"/>
          <w:spacing w:val="4"/>
          <w:sz w:val="24"/>
          <w:szCs w:val="24"/>
        </w:rPr>
        <w:t>10.1响应文件以及供应商和采购人及采购代理机构就有</w:t>
      </w:r>
      <w:r>
        <w:rPr>
          <w:rFonts w:ascii="黑体" w:hAnsi="黑体" w:eastAsia="黑体" w:cs="黑体"/>
          <w:color w:val="auto"/>
          <w:spacing w:val="3"/>
          <w:sz w:val="24"/>
          <w:szCs w:val="24"/>
        </w:rPr>
        <w:t>关采购活动的所有文件</w:t>
      </w:r>
      <w:r>
        <w:rPr>
          <w:rFonts w:ascii="黑体" w:hAnsi="黑体" w:eastAsia="黑体" w:cs="黑体"/>
          <w:color w:val="auto"/>
          <w:spacing w:val="1"/>
          <w:sz w:val="24"/>
          <w:szCs w:val="24"/>
        </w:rPr>
        <w:t>和来往函件，应以中文书写。供应商可以提交用其他语言（原文）打印的资料，但必</w:t>
      </w:r>
    </w:p>
    <w:p w14:paraId="05FB0B3E">
      <w:pPr>
        <w:spacing w:before="1" w:line="212" w:lineRule="auto"/>
        <w:ind w:left="4"/>
        <w:rPr>
          <w:rFonts w:ascii="黑体" w:hAnsi="黑体" w:eastAsia="黑体" w:cs="黑体"/>
          <w:color w:val="auto"/>
          <w:sz w:val="24"/>
          <w:szCs w:val="24"/>
        </w:rPr>
      </w:pPr>
      <w:r>
        <w:rPr>
          <w:rFonts w:ascii="黑体" w:hAnsi="黑体" w:eastAsia="黑体" w:cs="黑体"/>
          <w:color w:val="auto"/>
          <w:spacing w:val="2"/>
          <w:sz w:val="24"/>
          <w:szCs w:val="24"/>
        </w:rPr>
        <w:t>须翻译成中文，当原文和译文（中文）之间存有差异和/或矛盾时，以中文为准。</w:t>
      </w:r>
    </w:p>
    <w:p w14:paraId="106F53A7">
      <w:pPr>
        <w:spacing w:before="191" w:line="468" w:lineRule="exact"/>
        <w:jc w:val="right"/>
        <w:rPr>
          <w:rFonts w:ascii="黑体" w:hAnsi="黑体" w:eastAsia="黑体" w:cs="黑体"/>
          <w:color w:val="auto"/>
          <w:sz w:val="24"/>
          <w:szCs w:val="24"/>
        </w:rPr>
      </w:pPr>
      <w:r>
        <w:rPr>
          <w:rFonts w:ascii="黑体" w:hAnsi="黑体" w:eastAsia="黑体" w:cs="黑体"/>
          <w:color w:val="auto"/>
          <w:spacing w:val="4"/>
          <w:position w:val="17"/>
          <w:sz w:val="24"/>
          <w:szCs w:val="24"/>
        </w:rPr>
        <w:t>10.2响应文件中所使用的计量单位除竞争性磋商文件中</w:t>
      </w:r>
      <w:r>
        <w:rPr>
          <w:rFonts w:ascii="黑体" w:hAnsi="黑体" w:eastAsia="黑体" w:cs="黑体"/>
          <w:color w:val="auto"/>
          <w:spacing w:val="3"/>
          <w:position w:val="17"/>
          <w:sz w:val="24"/>
          <w:szCs w:val="24"/>
        </w:rPr>
        <w:t>有特殊规定外，一律使</w:t>
      </w:r>
    </w:p>
    <w:p w14:paraId="32383209">
      <w:pPr>
        <w:spacing w:before="1" w:line="222" w:lineRule="auto"/>
        <w:ind w:left="10"/>
        <w:rPr>
          <w:rFonts w:ascii="黑体" w:hAnsi="黑体" w:eastAsia="黑体" w:cs="黑体"/>
          <w:color w:val="auto"/>
          <w:sz w:val="24"/>
          <w:szCs w:val="24"/>
        </w:rPr>
      </w:pPr>
      <w:r>
        <w:rPr>
          <w:rFonts w:ascii="黑体" w:hAnsi="黑体" w:eastAsia="黑体" w:cs="黑体"/>
          <w:color w:val="auto"/>
          <w:sz w:val="24"/>
          <w:szCs w:val="24"/>
        </w:rPr>
        <w:t>用法定计量单位。</w:t>
      </w:r>
    </w:p>
    <w:p w14:paraId="3C60CA9A">
      <w:pPr>
        <w:spacing w:before="178" w:line="222" w:lineRule="auto"/>
        <w:ind w:left="18"/>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11</w:t>
      </w:r>
      <w:r>
        <w:rPr>
          <w:rFonts w:hint="eastAsia" w:ascii="黑体" w:hAnsi="黑体" w:eastAsia="黑体" w:cs="黑体"/>
          <w:color w:val="auto"/>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3"/>
          <w:sz w:val="24"/>
          <w:szCs w:val="24"/>
          <w14:textOutline w14:w="4358" w14:cap="sq" w14:cmpd="sng">
            <w14:solidFill>
              <w14:srgbClr w14:val="000000"/>
            </w14:solidFill>
            <w14:prstDash w14:val="solid"/>
            <w14:bevel/>
          </w14:textOutline>
        </w:rPr>
        <w:t>响应文件构成</w:t>
      </w:r>
    </w:p>
    <w:p w14:paraId="437F2D06">
      <w:pPr>
        <w:spacing w:before="181" w:line="213" w:lineRule="auto"/>
        <w:ind w:left="514"/>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（1）投标函（详见附件1</w:t>
      </w:r>
      <w:r>
        <w:rPr>
          <w:rFonts w:ascii="黑体" w:hAnsi="黑体" w:eastAsia="黑体" w:cs="黑体"/>
          <w:color w:val="auto"/>
          <w:spacing w:val="2"/>
          <w:sz w:val="24"/>
          <w:szCs w:val="24"/>
          <w14:textOutline w14:w="4358" w14:cap="sq" w14:cmpd="sng">
            <w14:solidFill>
              <w14:srgbClr w14:val="000000"/>
            </w14:solidFill>
            <w14:prstDash w14:val="solid"/>
            <w14:bevel/>
          </w14:textOutline>
        </w:rPr>
        <w:t>）；</w:t>
      </w:r>
    </w:p>
    <w:p w14:paraId="328BD1E7">
      <w:pPr>
        <w:spacing w:before="191" w:line="213" w:lineRule="auto"/>
        <w:ind w:left="514"/>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（2）法定代表人资格证明及授权委托书（详见附件2</w:t>
      </w:r>
      <w:r>
        <w:rPr>
          <w:rFonts w:ascii="黑体" w:hAnsi="黑体" w:eastAsia="黑体" w:cs="黑体"/>
          <w:color w:val="auto"/>
          <w:spacing w:val="5"/>
          <w:sz w:val="24"/>
          <w:szCs w:val="24"/>
          <w14:textOutline w14:w="4358" w14:cap="sq" w14:cmpd="sng">
            <w14:solidFill>
              <w14:srgbClr w14:val="000000"/>
            </w14:solidFill>
            <w14:prstDash w14:val="solid"/>
            <w14:bevel/>
          </w14:textOutline>
        </w:rPr>
        <w:t>）；</w:t>
      </w:r>
    </w:p>
    <w:p w14:paraId="1DCA9BD7">
      <w:pPr>
        <w:spacing w:before="191" w:line="468" w:lineRule="exact"/>
        <w:ind w:left="514"/>
        <w:rPr>
          <w:rFonts w:ascii="黑体" w:hAnsi="黑体" w:eastAsia="黑体" w:cs="黑体"/>
          <w:color w:val="auto"/>
          <w:sz w:val="24"/>
          <w:szCs w:val="24"/>
        </w:rPr>
      </w:pPr>
      <w:r>
        <w:rPr>
          <w:rFonts w:ascii="黑体" w:hAnsi="黑体" w:eastAsia="黑体" w:cs="黑体"/>
          <w:color w:val="auto"/>
          <w:position w:val="17"/>
          <w:sz w:val="24"/>
          <w:szCs w:val="24"/>
          <w14:textOutline w14:w="4358" w14:cap="sq" w14:cmpd="sng">
            <w14:solidFill>
              <w14:srgbClr w14:val="000000"/>
            </w14:solidFill>
            <w14:prstDash w14:val="solid"/>
            <w14:bevel/>
          </w14:textOutline>
        </w:rPr>
        <w:t>（3）报价一览表（详见附件3）；</w:t>
      </w:r>
    </w:p>
    <w:p w14:paraId="387815F4">
      <w:pPr>
        <w:spacing w:before="1" w:line="212" w:lineRule="auto"/>
        <w:ind w:left="984"/>
        <w:rPr>
          <w:rFonts w:ascii="黑体" w:hAnsi="黑体" w:eastAsia="黑体" w:cs="黑体"/>
          <w:color w:val="auto"/>
          <w:sz w:val="24"/>
          <w:szCs w:val="24"/>
        </w:rPr>
      </w:pPr>
      <w:r>
        <w:rPr>
          <w:rFonts w:ascii="黑体" w:hAnsi="黑体" w:eastAsia="黑体" w:cs="黑体"/>
          <w:color w:val="auto"/>
          <w:sz w:val="24"/>
          <w:szCs w:val="24"/>
          <w14:textOutline w14:w="4358" w14:cap="sq" w14:cmpd="sng">
            <w14:solidFill>
              <w14:srgbClr w14:val="000000"/>
            </w14:solidFill>
            <w14:prstDash w14:val="solid"/>
            <w14:bevel/>
          </w14:textOutline>
        </w:rPr>
        <w:t>分项报价明细表（附件3.1</w:t>
      </w:r>
      <w:r>
        <w:rPr>
          <w:rFonts w:ascii="黑体" w:hAnsi="黑体" w:eastAsia="黑体" w:cs="黑体"/>
          <w:color w:val="auto"/>
          <w:spacing w:val="5"/>
          <w:sz w:val="24"/>
          <w:szCs w:val="24"/>
          <w14:textOutline w14:w="4358" w14:cap="sq" w14:cmpd="sng">
            <w14:solidFill>
              <w14:srgbClr w14:val="000000"/>
            </w14:solidFill>
            <w14:prstDash w14:val="solid"/>
            <w14:bevel/>
          </w14:textOutline>
        </w:rPr>
        <w:t>）；</w:t>
      </w:r>
    </w:p>
    <w:p w14:paraId="7EACEAF4">
      <w:pPr>
        <w:spacing w:line="212" w:lineRule="auto"/>
        <w:rPr>
          <w:rFonts w:ascii="黑体" w:hAnsi="黑体" w:eastAsia="黑体" w:cs="黑体"/>
          <w:color w:val="auto"/>
          <w:sz w:val="24"/>
          <w:szCs w:val="24"/>
        </w:rPr>
        <w:sectPr>
          <w:footerReference r:id="rId10" w:type="default"/>
          <w:pgSz w:w="11906" w:h="16839"/>
          <w:pgMar w:top="1431" w:right="1562" w:bottom="1012" w:left="1418" w:header="0" w:footer="850" w:gutter="0"/>
          <w:pgNumType w:fmt="decimal"/>
          <w:cols w:space="720" w:num="1"/>
        </w:sectPr>
      </w:pPr>
    </w:p>
    <w:p w14:paraId="39703B2D">
      <w:pPr>
        <w:spacing w:before="101" w:line="468" w:lineRule="exact"/>
        <w:ind w:left="509"/>
        <w:rPr>
          <w:rFonts w:ascii="黑体" w:hAnsi="黑体" w:eastAsia="黑体" w:cs="黑体"/>
          <w:color w:val="auto"/>
          <w:sz w:val="24"/>
          <w:szCs w:val="24"/>
        </w:rPr>
      </w:pPr>
      <w:r>
        <w:rPr>
          <w:rFonts w:ascii="黑体" w:hAnsi="黑体" w:eastAsia="黑体" w:cs="黑体"/>
          <w:color w:val="auto"/>
          <w:position w:val="17"/>
          <w:sz w:val="24"/>
          <w:szCs w:val="24"/>
          <w14:textOutline w14:w="4358" w14:cap="sq" w14:cmpd="sng">
            <w14:solidFill>
              <w14:srgbClr w14:val="000000"/>
            </w14:solidFill>
            <w14:prstDash w14:val="solid"/>
            <w14:bevel/>
          </w14:textOutline>
        </w:rPr>
        <w:t>（4）供应商概况表（详见附件4</w:t>
      </w:r>
      <w:r>
        <w:rPr>
          <w:rFonts w:ascii="黑体" w:hAnsi="黑体" w:eastAsia="黑体" w:cs="黑体"/>
          <w:color w:val="auto"/>
          <w:spacing w:val="4"/>
          <w:position w:val="17"/>
          <w:sz w:val="24"/>
          <w:szCs w:val="24"/>
          <w14:textOutline w14:w="4358" w14:cap="sq" w14:cmpd="sng">
            <w14:solidFill>
              <w14:srgbClr w14:val="000000"/>
            </w14:solidFill>
            <w14:prstDash w14:val="solid"/>
            <w14:bevel/>
          </w14:textOutline>
        </w:rPr>
        <w:t>）；</w:t>
      </w:r>
    </w:p>
    <w:p w14:paraId="15EF5FC9">
      <w:pPr>
        <w:spacing w:before="1" w:line="220" w:lineRule="auto"/>
        <w:ind w:left="509"/>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（5）声明（详见附件5）</w:t>
      </w:r>
    </w:p>
    <w:p w14:paraId="0FBEC7C6">
      <w:pPr>
        <w:spacing w:before="180" w:line="468" w:lineRule="exact"/>
        <w:ind w:left="509"/>
        <w:rPr>
          <w:rFonts w:ascii="黑体" w:hAnsi="黑体" w:eastAsia="黑体" w:cs="黑体"/>
          <w:color w:val="auto"/>
          <w:sz w:val="24"/>
          <w:szCs w:val="24"/>
        </w:rPr>
      </w:pPr>
      <w:r>
        <w:rPr>
          <w:rFonts w:ascii="黑体" w:hAnsi="黑体" w:eastAsia="黑体" w:cs="黑体"/>
          <w:color w:val="auto"/>
          <w:spacing w:val="1"/>
          <w:position w:val="17"/>
          <w:sz w:val="24"/>
          <w:szCs w:val="24"/>
          <w14:textOutline w14:w="4358" w14:cap="sq" w14:cmpd="sng">
            <w14:solidFill>
              <w14:srgbClr w14:val="000000"/>
            </w14:solidFill>
            <w14:prstDash w14:val="solid"/>
            <w14:bevel/>
          </w14:textOutline>
        </w:rPr>
        <w:t>（6）无重大违法记录的书面声明（详见附件6</w:t>
      </w:r>
      <w:r>
        <w:rPr>
          <w:rFonts w:ascii="黑体" w:hAnsi="黑体" w:eastAsia="黑体" w:cs="黑体"/>
          <w:color w:val="auto"/>
          <w:spacing w:val="2"/>
          <w:position w:val="17"/>
          <w:sz w:val="24"/>
          <w:szCs w:val="24"/>
          <w14:textOutline w14:w="4358" w14:cap="sq" w14:cmpd="sng">
            <w14:solidFill>
              <w14:srgbClr w14:val="000000"/>
            </w14:solidFill>
            <w14:prstDash w14:val="solid"/>
            <w14:bevel/>
          </w14:textOutline>
        </w:rPr>
        <w:t>）；</w:t>
      </w:r>
    </w:p>
    <w:p w14:paraId="03289C31">
      <w:pPr>
        <w:spacing w:before="1" w:line="212" w:lineRule="auto"/>
        <w:ind w:left="509"/>
        <w:rPr>
          <w:rFonts w:ascii="黑体" w:hAnsi="黑体" w:eastAsia="黑体" w:cs="黑体"/>
          <w:color w:val="auto"/>
          <w:sz w:val="24"/>
          <w:szCs w:val="24"/>
        </w:rPr>
      </w:pPr>
      <w:r>
        <w:rPr>
          <w:rFonts w:ascii="黑体" w:hAnsi="黑体" w:eastAsia="黑体" w:cs="黑体"/>
          <w:color w:val="auto"/>
          <w:sz w:val="24"/>
          <w:szCs w:val="24"/>
          <w14:textOutline w14:w="4358" w14:cap="sq" w14:cmpd="sng">
            <w14:solidFill>
              <w14:srgbClr w14:val="000000"/>
            </w14:solidFill>
            <w14:prstDash w14:val="solid"/>
            <w14:bevel/>
          </w14:textOutline>
        </w:rPr>
        <w:t>（7）企业</w:t>
      </w:r>
      <w:r>
        <w:rPr>
          <w:rFonts w:hint="eastAsia" w:ascii="黑体" w:hAnsi="黑体" w:eastAsia="黑体" w:cs="黑体"/>
          <w:color w:val="auto"/>
          <w:sz w:val="24"/>
          <w:szCs w:val="24"/>
          <w:lang w:val="en-US" w:eastAsia="zh-CN"/>
          <w14:textOutline w14:w="4358" w14:cap="sq" w14:cmpd="sng">
            <w14:solidFill>
              <w14:srgbClr w14:val="000000"/>
            </w14:solidFill>
            <w14:prstDash w14:val="solid"/>
            <w14:bevel/>
          </w14:textOutline>
        </w:rPr>
        <w:t>(2024年度）</w:t>
      </w:r>
      <w:r>
        <w:rPr>
          <w:rFonts w:ascii="黑体" w:hAnsi="黑体" w:eastAsia="黑体" w:cs="黑体"/>
          <w:color w:val="auto"/>
          <w:sz w:val="24"/>
          <w:szCs w:val="24"/>
          <w14:textOutline w14:w="4358" w14:cap="sq" w14:cmpd="sng">
            <w14:solidFill>
              <w14:srgbClr w14:val="000000"/>
            </w14:solidFill>
            <w14:prstDash w14:val="solid"/>
            <w14:bevel/>
          </w14:textOutline>
        </w:rPr>
        <w:t>财务审计报告（详见附</w:t>
      </w:r>
      <w:r>
        <w:rPr>
          <w:rFonts w:ascii="黑体" w:hAnsi="黑体" w:eastAsia="黑体" w:cs="黑体"/>
          <w:color w:val="auto"/>
          <w:spacing w:val="-1"/>
          <w:sz w:val="24"/>
          <w:szCs w:val="24"/>
          <w14:textOutline w14:w="4358" w14:cap="sq" w14:cmpd="sng">
            <w14:solidFill>
              <w14:srgbClr w14:val="000000"/>
            </w14:solidFill>
            <w14:prstDash w14:val="solid"/>
            <w14:bevel/>
          </w14:textOutline>
        </w:rPr>
        <w:t>件7</w:t>
      </w:r>
      <w:r>
        <w:rPr>
          <w:rFonts w:ascii="黑体" w:hAnsi="黑体" w:eastAsia="黑体" w:cs="黑体"/>
          <w:color w:val="auto"/>
          <w:sz w:val="24"/>
          <w:szCs w:val="24"/>
          <w14:textOutline w14:w="4358" w14:cap="sq" w14:cmpd="sng">
            <w14:solidFill>
              <w14:srgbClr w14:val="000000"/>
            </w14:solidFill>
            <w14:prstDash w14:val="solid"/>
            <w14:bevel/>
          </w14:textOutline>
        </w:rPr>
        <w:t>）；</w:t>
      </w:r>
    </w:p>
    <w:p w14:paraId="2D6F0F3E">
      <w:pPr>
        <w:spacing w:before="191" w:line="213" w:lineRule="auto"/>
        <w:ind w:left="509"/>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（8）“重法纪、讲诚信”承诺书（详见附件8</w:t>
      </w:r>
      <w:r>
        <w:rPr>
          <w:rFonts w:ascii="黑体" w:hAnsi="黑体" w:eastAsia="黑体" w:cs="黑体"/>
          <w:color w:val="auto"/>
          <w:spacing w:val="3"/>
          <w:sz w:val="24"/>
          <w:szCs w:val="24"/>
          <w14:textOutline w14:w="4358" w14:cap="sq" w14:cmpd="sng">
            <w14:solidFill>
              <w14:srgbClr w14:val="000000"/>
            </w14:solidFill>
            <w14:prstDash w14:val="solid"/>
            <w14:bevel/>
          </w14:textOutline>
        </w:rPr>
        <w:t>）；</w:t>
      </w:r>
    </w:p>
    <w:p w14:paraId="7E67BE94">
      <w:pPr>
        <w:spacing w:before="191" w:line="468" w:lineRule="exact"/>
        <w:ind w:left="509"/>
        <w:rPr>
          <w:rFonts w:ascii="黑体" w:hAnsi="黑体" w:eastAsia="黑体" w:cs="黑体"/>
          <w:color w:val="auto"/>
          <w:sz w:val="24"/>
          <w:szCs w:val="24"/>
        </w:rPr>
      </w:pPr>
      <w:r>
        <w:rPr>
          <w:rFonts w:ascii="黑体" w:hAnsi="黑体" w:eastAsia="黑体" w:cs="黑体"/>
          <w:color w:val="auto"/>
          <w:spacing w:val="1"/>
          <w:position w:val="17"/>
          <w:sz w:val="24"/>
          <w:szCs w:val="24"/>
          <w14:textOutline w14:w="4358" w14:cap="sq" w14:cmpd="sng">
            <w14:solidFill>
              <w14:srgbClr w14:val="000000"/>
            </w14:solidFill>
            <w14:prstDash w14:val="solid"/>
            <w14:bevel/>
          </w14:textOutline>
        </w:rPr>
        <w:t>（9）反商业贿赂承诺书（详见附件9</w:t>
      </w:r>
      <w:r>
        <w:rPr>
          <w:rFonts w:ascii="黑体" w:hAnsi="黑体" w:eastAsia="黑体" w:cs="黑体"/>
          <w:color w:val="auto"/>
          <w:position w:val="17"/>
          <w:sz w:val="24"/>
          <w:szCs w:val="24"/>
          <w14:textOutline w14:w="4358" w14:cap="sq" w14:cmpd="sng">
            <w14:solidFill>
              <w14:srgbClr w14:val="000000"/>
            </w14:solidFill>
            <w14:prstDash w14:val="solid"/>
            <w14:bevel/>
          </w14:textOutline>
        </w:rPr>
        <w:t>）；</w:t>
      </w:r>
    </w:p>
    <w:p w14:paraId="24758122">
      <w:pPr>
        <w:spacing w:before="1" w:line="220" w:lineRule="auto"/>
        <w:ind w:left="509"/>
        <w:rPr>
          <w:rFonts w:ascii="黑体" w:hAnsi="黑体" w:eastAsia="黑体" w:cs="黑体"/>
          <w:color w:val="auto"/>
          <w:sz w:val="24"/>
          <w:szCs w:val="24"/>
        </w:rPr>
      </w:pPr>
      <w:r>
        <w:rPr>
          <w:rFonts w:ascii="黑体" w:hAnsi="黑体" w:eastAsia="黑体" w:cs="黑体"/>
          <w:color w:val="auto"/>
          <w:sz w:val="24"/>
          <w:szCs w:val="24"/>
          <w14:textOutline w14:w="4358" w14:cap="sq" w14:cmpd="sng">
            <w14:solidFill>
              <w14:srgbClr w14:val="000000"/>
            </w14:solidFill>
            <w14:prstDash w14:val="solid"/>
            <w14:bevel/>
          </w14:textOutline>
        </w:rPr>
        <w:t>（10）商务条款偏离表（详见附件10）</w:t>
      </w:r>
    </w:p>
    <w:p w14:paraId="417C00EB">
      <w:pPr>
        <w:spacing w:before="191" w:line="468" w:lineRule="exact"/>
        <w:ind w:left="509"/>
        <w:rPr>
          <w:rFonts w:ascii="黑体" w:hAnsi="黑体" w:eastAsia="黑体" w:cs="黑体"/>
          <w:color w:val="auto"/>
          <w:sz w:val="24"/>
          <w:szCs w:val="24"/>
        </w:rPr>
      </w:pPr>
      <w:r>
        <w:rPr>
          <w:rFonts w:ascii="黑体" w:hAnsi="黑体" w:eastAsia="黑体" w:cs="黑体"/>
          <w:color w:val="auto"/>
          <w:spacing w:val="1"/>
          <w:position w:val="17"/>
          <w:sz w:val="24"/>
          <w:szCs w:val="24"/>
          <w14:textOutline w14:w="4358" w14:cap="sq" w14:cmpd="sng">
            <w14:solidFill>
              <w14:srgbClr w14:val="000000"/>
            </w14:solidFill>
            <w14:prstDash w14:val="solid"/>
            <w14:bevel/>
          </w14:textOutline>
        </w:rPr>
        <w:t>（11）近</w:t>
      </w:r>
      <w:r>
        <w:rPr>
          <w:rFonts w:hint="eastAsia" w:ascii="黑体" w:hAnsi="黑体" w:eastAsia="黑体" w:cs="黑体"/>
          <w:color w:val="auto"/>
          <w:spacing w:val="1"/>
          <w:position w:val="17"/>
          <w:sz w:val="24"/>
          <w:szCs w:val="24"/>
          <w:lang w:val="en-US" w:eastAsia="zh-CN"/>
          <w14:textOutline w14:w="4358" w14:cap="sq" w14:cmpd="sng">
            <w14:solidFill>
              <w14:srgbClr w14:val="000000"/>
            </w14:solidFill>
            <w14:prstDash w14:val="solid"/>
            <w14:bevel/>
          </w14:textOutline>
        </w:rPr>
        <w:t>三</w:t>
      </w:r>
      <w:r>
        <w:rPr>
          <w:rFonts w:ascii="黑体" w:hAnsi="黑体" w:eastAsia="黑体" w:cs="黑体"/>
          <w:color w:val="auto"/>
          <w:spacing w:val="1"/>
          <w:position w:val="17"/>
          <w:sz w:val="24"/>
          <w:szCs w:val="24"/>
          <w14:textOutline w14:w="4358" w14:cap="sq" w14:cmpd="sng">
            <w14:solidFill>
              <w14:srgbClr w14:val="000000"/>
            </w14:solidFill>
            <w14:prstDash w14:val="solid"/>
            <w14:bevel/>
          </w14:textOutline>
        </w:rPr>
        <w:t>年同类项目业绩表</w:t>
      </w:r>
      <w:r>
        <w:rPr>
          <w:rFonts w:hint="eastAsia" w:ascii="黑体" w:hAnsi="黑体" w:eastAsia="黑体" w:cs="黑体"/>
          <w:color w:val="auto"/>
          <w:spacing w:val="1"/>
          <w:position w:val="17"/>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color w:val="auto"/>
          <w:spacing w:val="1"/>
          <w:position w:val="17"/>
          <w:sz w:val="24"/>
          <w:szCs w:val="24"/>
          <w:lang w:val="en-US" w:eastAsia="zh-CN"/>
          <w14:textOutline w14:w="4358" w14:cap="sq" w14:cmpd="sng">
            <w14:solidFill>
              <w14:srgbClr w14:val="000000"/>
            </w14:solidFill>
            <w14:prstDash w14:val="solid"/>
            <w14:bevel/>
          </w14:textOutline>
        </w:rPr>
        <w:t>2022年1月至今</w:t>
      </w:r>
      <w:r>
        <w:rPr>
          <w:rFonts w:hint="eastAsia" w:ascii="黑体" w:hAnsi="黑体" w:eastAsia="黑体" w:cs="黑体"/>
          <w:color w:val="auto"/>
          <w:spacing w:val="1"/>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position w:val="17"/>
          <w:sz w:val="24"/>
          <w:szCs w:val="24"/>
          <w14:textOutline w14:w="4358" w14:cap="sq" w14:cmpd="sng">
            <w14:solidFill>
              <w14:srgbClr w14:val="000000"/>
            </w14:solidFill>
            <w14:prstDash w14:val="solid"/>
            <w14:bevel/>
          </w14:textOutline>
        </w:rPr>
        <w:t>（详见附件11</w:t>
      </w:r>
      <w:r>
        <w:rPr>
          <w:rFonts w:ascii="黑体" w:hAnsi="黑体" w:eastAsia="黑体" w:cs="黑体"/>
          <w:color w:val="auto"/>
          <w:spacing w:val="4"/>
          <w:position w:val="17"/>
          <w:sz w:val="24"/>
          <w:szCs w:val="24"/>
          <w14:textOutline w14:w="4358" w14:cap="sq" w14:cmpd="sng">
            <w14:solidFill>
              <w14:srgbClr w14:val="000000"/>
            </w14:solidFill>
            <w14:prstDash w14:val="solid"/>
            <w14:bevel/>
          </w14:textOutline>
        </w:rPr>
        <w:t>）；</w:t>
      </w:r>
    </w:p>
    <w:p w14:paraId="7406EE9C">
      <w:pPr>
        <w:spacing w:before="1" w:line="212" w:lineRule="auto"/>
        <w:ind w:left="509"/>
        <w:rPr>
          <w:rFonts w:ascii="黑体" w:hAnsi="黑体" w:eastAsia="黑体" w:cs="黑体"/>
          <w:color w:val="auto"/>
          <w:sz w:val="24"/>
          <w:szCs w:val="24"/>
        </w:rPr>
      </w:pPr>
      <w:r>
        <w:rPr>
          <w:rFonts w:ascii="黑体" w:hAnsi="黑体" w:eastAsia="黑体" w:cs="黑体"/>
          <w:color w:val="auto"/>
          <w:sz w:val="24"/>
          <w:szCs w:val="24"/>
          <w14:textOutline w14:w="4358" w14:cap="sq" w14:cmpd="sng">
            <w14:solidFill>
              <w14:srgbClr w14:val="000000"/>
            </w14:solidFill>
            <w14:prstDash w14:val="solid"/>
            <w14:bevel/>
          </w14:textOutline>
        </w:rPr>
        <w:t>（12）拟派项目负责人简历表（详见附件12</w:t>
      </w:r>
      <w:r>
        <w:rPr>
          <w:rFonts w:ascii="黑体" w:hAnsi="黑体" w:eastAsia="黑体" w:cs="黑体"/>
          <w:color w:val="auto"/>
          <w:spacing w:val="4"/>
          <w:sz w:val="24"/>
          <w:szCs w:val="24"/>
          <w14:textOutline w14:w="4358" w14:cap="sq" w14:cmpd="sng">
            <w14:solidFill>
              <w14:srgbClr w14:val="000000"/>
            </w14:solidFill>
            <w14:prstDash w14:val="solid"/>
            <w14:bevel/>
          </w14:textOutline>
        </w:rPr>
        <w:t>）；</w:t>
      </w:r>
    </w:p>
    <w:p w14:paraId="55B0F148">
      <w:pPr>
        <w:spacing w:before="192" w:line="468" w:lineRule="exact"/>
        <w:ind w:left="509"/>
        <w:rPr>
          <w:rFonts w:ascii="黑体" w:hAnsi="黑体" w:eastAsia="黑体" w:cs="黑体"/>
          <w:color w:val="auto"/>
          <w:sz w:val="24"/>
          <w:szCs w:val="24"/>
        </w:rPr>
      </w:pPr>
      <w:r>
        <w:rPr>
          <w:rFonts w:ascii="黑体" w:hAnsi="黑体" w:eastAsia="黑体" w:cs="黑体"/>
          <w:color w:val="auto"/>
          <w:spacing w:val="1"/>
          <w:position w:val="17"/>
          <w:sz w:val="24"/>
          <w:szCs w:val="24"/>
          <w14:textOutline w14:w="4358" w14:cap="sq" w14:cmpd="sng">
            <w14:solidFill>
              <w14:srgbClr w14:val="000000"/>
            </w14:solidFill>
            <w14:prstDash w14:val="solid"/>
            <w14:bevel/>
          </w14:textOutline>
        </w:rPr>
        <w:t>（13）拟派本项目技术人员配置情况表（详见附件</w:t>
      </w:r>
      <w:r>
        <w:rPr>
          <w:rFonts w:ascii="黑体" w:hAnsi="黑体" w:eastAsia="黑体" w:cs="黑体"/>
          <w:color w:val="auto"/>
          <w:position w:val="17"/>
          <w:sz w:val="24"/>
          <w:szCs w:val="24"/>
          <w14:textOutline w14:w="4358" w14:cap="sq" w14:cmpd="sng">
            <w14:solidFill>
              <w14:srgbClr w14:val="000000"/>
            </w14:solidFill>
            <w14:prstDash w14:val="solid"/>
            <w14:bevel/>
          </w14:textOutline>
        </w:rPr>
        <w:t>13）；</w:t>
      </w:r>
    </w:p>
    <w:p w14:paraId="495B8F09">
      <w:pPr>
        <w:spacing w:before="1" w:line="212" w:lineRule="auto"/>
        <w:ind w:left="509"/>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（14）中、小微企业声明函（如若有</w:t>
      </w:r>
      <w:r>
        <w:rPr>
          <w:rFonts w:ascii="黑体" w:hAnsi="黑体" w:eastAsia="黑体" w:cs="黑体"/>
          <w:color w:val="auto"/>
          <w:spacing w:val="-5"/>
          <w:sz w:val="24"/>
          <w:szCs w:val="24"/>
          <w14:textOutline w14:w="4358" w14:cap="sq" w14:cmpd="sng">
            <w14:solidFill>
              <w14:srgbClr w14:val="000000"/>
            </w14:solidFill>
            <w14:prstDash w14:val="solid"/>
            <w14:bevel/>
          </w14:textOutline>
        </w:rPr>
        <w:t>）（</w:t>
      </w:r>
      <w:r>
        <w:rPr>
          <w:rFonts w:ascii="黑体" w:hAnsi="黑体" w:eastAsia="黑体" w:cs="黑体"/>
          <w:color w:val="auto"/>
          <w:spacing w:val="2"/>
          <w:sz w:val="24"/>
          <w:szCs w:val="24"/>
          <w14:textOutline w14:w="4358" w14:cap="sq" w14:cmpd="sng">
            <w14:solidFill>
              <w14:srgbClr w14:val="000000"/>
            </w14:solidFill>
            <w14:prstDash w14:val="solid"/>
            <w14:bevel/>
          </w14:textOutline>
        </w:rPr>
        <w:t>详见</w:t>
      </w:r>
      <w:r>
        <w:rPr>
          <w:rFonts w:ascii="黑体" w:hAnsi="黑体" w:eastAsia="黑体" w:cs="黑体"/>
          <w:color w:val="auto"/>
          <w:spacing w:val="1"/>
          <w:sz w:val="24"/>
          <w:szCs w:val="24"/>
          <w14:textOutline w14:w="4358" w14:cap="sq" w14:cmpd="sng">
            <w14:solidFill>
              <w14:srgbClr w14:val="000000"/>
            </w14:solidFill>
            <w14:prstDash w14:val="solid"/>
            <w14:bevel/>
          </w14:textOutline>
        </w:rPr>
        <w:t>附件14</w:t>
      </w:r>
      <w:r>
        <w:rPr>
          <w:rFonts w:ascii="黑体" w:hAnsi="黑体" w:eastAsia="黑体" w:cs="黑体"/>
          <w:color w:val="auto"/>
          <w:spacing w:val="-5"/>
          <w:sz w:val="24"/>
          <w:szCs w:val="24"/>
          <w14:textOutline w14:w="4358" w14:cap="sq" w14:cmpd="sng">
            <w14:solidFill>
              <w14:srgbClr w14:val="000000"/>
            </w14:solidFill>
            <w14:prstDash w14:val="solid"/>
            <w14:bevel/>
          </w14:textOutline>
        </w:rPr>
        <w:t>）；</w:t>
      </w:r>
    </w:p>
    <w:p w14:paraId="45A9EA7D">
      <w:pPr>
        <w:spacing w:before="191" w:line="468" w:lineRule="exact"/>
        <w:ind w:right="4"/>
        <w:jc w:val="right"/>
        <w:rPr>
          <w:rFonts w:ascii="黑体" w:hAnsi="黑体" w:eastAsia="黑体" w:cs="黑体"/>
          <w:color w:val="auto"/>
          <w:sz w:val="24"/>
          <w:szCs w:val="24"/>
        </w:rPr>
      </w:pPr>
      <w:r>
        <w:rPr>
          <w:rFonts w:ascii="黑体" w:hAnsi="黑体" w:eastAsia="黑体" w:cs="黑体"/>
          <w:color w:val="auto"/>
          <w:position w:val="17"/>
          <w:sz w:val="24"/>
          <w:szCs w:val="24"/>
          <w14:textOutline w14:w="4358" w14:cap="sq" w14:cmpd="sng">
            <w14:solidFill>
              <w14:srgbClr w14:val="000000"/>
            </w14:solidFill>
            <w14:prstDash w14:val="solid"/>
            <w14:bevel/>
          </w14:textOutline>
        </w:rPr>
        <w:t>（15）施工方案与技术措施、质量管理体系与措施、安全管理体系与措施、环境</w:t>
      </w:r>
    </w:p>
    <w:p w14:paraId="607850A2">
      <w:pPr>
        <w:spacing w:before="1" w:line="212" w:lineRule="auto"/>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保护管理体系与措施、工程进度计划与措施（供应商自拟</w:t>
      </w:r>
      <w:r>
        <w:rPr>
          <w:rFonts w:ascii="黑体" w:hAnsi="黑体" w:eastAsia="黑体" w:cs="黑体"/>
          <w:color w:val="auto"/>
          <w:spacing w:val="-4"/>
          <w:sz w:val="24"/>
          <w:szCs w:val="24"/>
          <w14:textOutline w14:w="4358" w14:cap="sq" w14:cmpd="sng">
            <w14:solidFill>
              <w14:srgbClr w14:val="000000"/>
            </w14:solidFill>
            <w14:prstDash w14:val="solid"/>
            <w14:bevel/>
          </w14:textOutline>
        </w:rPr>
        <w:t>）（</w:t>
      </w:r>
      <w:r>
        <w:rPr>
          <w:rFonts w:ascii="黑体" w:hAnsi="黑体" w:eastAsia="黑体" w:cs="黑体"/>
          <w:color w:val="auto"/>
          <w:spacing w:val="3"/>
          <w:sz w:val="24"/>
          <w:szCs w:val="24"/>
          <w14:textOutline w14:w="4358" w14:cap="sq" w14:cmpd="sng">
            <w14:solidFill>
              <w14:srgbClr w14:val="000000"/>
            </w14:solidFill>
            <w14:prstDash w14:val="solid"/>
            <w14:bevel/>
          </w14:textOutline>
        </w:rPr>
        <w:t>详见附件15</w:t>
      </w:r>
      <w:r>
        <w:rPr>
          <w:rFonts w:ascii="黑体" w:hAnsi="黑体" w:eastAsia="黑体" w:cs="黑体"/>
          <w:color w:val="auto"/>
          <w:spacing w:val="-4"/>
          <w:sz w:val="24"/>
          <w:szCs w:val="24"/>
          <w14:textOutline w14:w="4358" w14:cap="sq" w14:cmpd="sng">
            <w14:solidFill>
              <w14:srgbClr w14:val="000000"/>
            </w14:solidFill>
            <w14:prstDash w14:val="solid"/>
            <w14:bevel/>
          </w14:textOutline>
        </w:rPr>
        <w:t>）；</w:t>
      </w:r>
    </w:p>
    <w:p w14:paraId="7853EB00">
      <w:pPr>
        <w:spacing w:before="191" w:line="468" w:lineRule="exact"/>
        <w:ind w:left="509"/>
        <w:rPr>
          <w:rFonts w:ascii="黑体" w:hAnsi="黑体" w:eastAsia="黑体" w:cs="黑体"/>
          <w:color w:val="auto"/>
          <w:sz w:val="24"/>
          <w:szCs w:val="24"/>
        </w:rPr>
      </w:pPr>
      <w:r>
        <w:rPr>
          <w:rFonts w:ascii="黑体" w:hAnsi="黑体" w:eastAsia="黑体" w:cs="黑体"/>
          <w:color w:val="auto"/>
          <w:spacing w:val="2"/>
          <w:position w:val="17"/>
          <w:sz w:val="24"/>
          <w:szCs w:val="24"/>
          <w14:textOutline w14:w="4358" w14:cap="sq" w14:cmpd="sng">
            <w14:solidFill>
              <w14:srgbClr w14:val="000000"/>
            </w14:solidFill>
            <w14:prstDash w14:val="solid"/>
            <w14:bevel/>
          </w14:textOutline>
        </w:rPr>
        <w:t>（16）要求提供的其它材料以及供应商认</w:t>
      </w:r>
      <w:r>
        <w:rPr>
          <w:rFonts w:ascii="黑体" w:hAnsi="黑体" w:eastAsia="黑体" w:cs="黑体"/>
          <w:color w:val="auto"/>
          <w:spacing w:val="1"/>
          <w:position w:val="17"/>
          <w:sz w:val="24"/>
          <w:szCs w:val="24"/>
          <w14:textOutline w14:w="4358" w14:cap="sq" w14:cmpd="sng">
            <w14:solidFill>
              <w14:srgbClr w14:val="000000"/>
            </w14:solidFill>
            <w14:prstDash w14:val="solid"/>
            <w14:bevel/>
          </w14:textOutline>
        </w:rPr>
        <w:t>为需要提交的材料（详见附件16）。</w:t>
      </w:r>
    </w:p>
    <w:p w14:paraId="170BAF77">
      <w:pPr>
        <w:spacing w:before="1" w:line="221" w:lineRule="auto"/>
        <w:ind w:left="14"/>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12</w:t>
      </w:r>
      <w:r>
        <w:rPr>
          <w:rFonts w:hint="eastAsia" w:ascii="黑体" w:hAnsi="黑体" w:eastAsia="黑体" w:cs="黑体"/>
          <w:color w:val="auto"/>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2"/>
          <w:sz w:val="24"/>
          <w:szCs w:val="24"/>
          <w14:textOutline w14:w="4358" w14:cap="sq" w14:cmpd="sng">
            <w14:solidFill>
              <w14:srgbClr w14:val="000000"/>
            </w14:solidFill>
            <w14:prstDash w14:val="solid"/>
            <w14:bevel/>
          </w14:textOutline>
        </w:rPr>
        <w:t>响应文件的格式</w:t>
      </w:r>
    </w:p>
    <w:p w14:paraId="483EAD54">
      <w:pPr>
        <w:spacing w:before="180" w:line="468" w:lineRule="exact"/>
        <w:ind w:right="2"/>
        <w:jc w:val="right"/>
        <w:rPr>
          <w:rFonts w:ascii="黑体" w:hAnsi="黑体" w:eastAsia="黑体" w:cs="黑体"/>
          <w:color w:val="auto"/>
          <w:sz w:val="24"/>
          <w:szCs w:val="24"/>
        </w:rPr>
      </w:pPr>
      <w:r>
        <w:rPr>
          <w:rFonts w:ascii="黑体" w:hAnsi="黑体" w:eastAsia="黑体" w:cs="黑体"/>
          <w:color w:val="auto"/>
          <w:spacing w:val="4"/>
          <w:position w:val="17"/>
          <w:sz w:val="24"/>
          <w:szCs w:val="24"/>
        </w:rPr>
        <w:t>12.1竞争性磋商文件附件及竞争性磋商文件各章节提供</w:t>
      </w:r>
      <w:r>
        <w:rPr>
          <w:rFonts w:ascii="黑体" w:hAnsi="黑体" w:eastAsia="黑体" w:cs="黑体"/>
          <w:color w:val="auto"/>
          <w:spacing w:val="3"/>
          <w:position w:val="17"/>
          <w:sz w:val="24"/>
          <w:szCs w:val="24"/>
        </w:rPr>
        <w:t>了一部分用于编制响应</w:t>
      </w:r>
    </w:p>
    <w:p w14:paraId="7A6E3FC1">
      <w:pPr>
        <w:spacing w:before="1" w:line="212" w:lineRule="auto"/>
        <w:ind w:left="4"/>
        <w:rPr>
          <w:rFonts w:ascii="黑体" w:hAnsi="黑体" w:eastAsia="黑体" w:cs="黑体"/>
          <w:color w:val="auto"/>
          <w:sz w:val="24"/>
          <w:szCs w:val="24"/>
        </w:rPr>
      </w:pPr>
      <w:r>
        <w:rPr>
          <w:rFonts w:ascii="黑体" w:hAnsi="黑体" w:eastAsia="黑体" w:cs="黑体"/>
          <w:color w:val="auto"/>
          <w:spacing w:val="2"/>
          <w:sz w:val="24"/>
          <w:szCs w:val="24"/>
        </w:rPr>
        <w:t>文件时必要的格式，供应商应按此格式编制响</w:t>
      </w:r>
      <w:r>
        <w:rPr>
          <w:rFonts w:ascii="黑体" w:hAnsi="黑体" w:eastAsia="黑体" w:cs="黑体"/>
          <w:color w:val="auto"/>
          <w:spacing w:val="1"/>
          <w:sz w:val="24"/>
          <w:szCs w:val="24"/>
        </w:rPr>
        <w:t>应文件。</w:t>
      </w:r>
    </w:p>
    <w:p w14:paraId="119D2CEB">
      <w:pPr>
        <w:spacing w:before="191" w:line="221" w:lineRule="auto"/>
        <w:ind w:left="501"/>
        <w:rPr>
          <w:rFonts w:ascii="黑体" w:hAnsi="黑体" w:eastAsia="黑体" w:cs="黑体"/>
          <w:color w:val="auto"/>
          <w:sz w:val="24"/>
          <w:szCs w:val="24"/>
        </w:rPr>
      </w:pPr>
      <w:r>
        <w:rPr>
          <w:rFonts w:ascii="黑体" w:hAnsi="黑体" w:eastAsia="黑体" w:cs="黑体"/>
          <w:color w:val="auto"/>
          <w:spacing w:val="1"/>
          <w:sz w:val="24"/>
          <w:szCs w:val="24"/>
        </w:rPr>
        <w:t>12.2竞争性磋商文件中未提供格式的部分由供应商自行编制。</w:t>
      </w:r>
    </w:p>
    <w:p w14:paraId="6FFE9E41">
      <w:pPr>
        <w:spacing w:before="181" w:line="222" w:lineRule="auto"/>
        <w:ind w:left="14"/>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13</w:t>
      </w:r>
      <w:r>
        <w:rPr>
          <w:rFonts w:hint="eastAsia" w:ascii="黑体" w:hAnsi="黑体" w:eastAsia="黑体" w:cs="黑体"/>
          <w:color w:val="auto"/>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3"/>
          <w:sz w:val="24"/>
          <w:szCs w:val="24"/>
          <w14:textOutline w14:w="4358" w14:cap="sq" w14:cmpd="sng">
            <w14:solidFill>
              <w14:srgbClr w14:val="000000"/>
            </w14:solidFill>
            <w14:prstDash w14:val="solid"/>
            <w14:bevel/>
          </w14:textOutline>
        </w:rPr>
        <w:t>投标报价</w:t>
      </w:r>
    </w:p>
    <w:p w14:paraId="754642AC">
      <w:pPr>
        <w:spacing w:before="180" w:line="468" w:lineRule="exact"/>
        <w:ind w:right="4"/>
        <w:jc w:val="right"/>
        <w:rPr>
          <w:rFonts w:ascii="黑体" w:hAnsi="黑体" w:eastAsia="黑体" w:cs="黑体"/>
          <w:color w:val="auto"/>
          <w:sz w:val="24"/>
          <w:szCs w:val="24"/>
        </w:rPr>
      </w:pPr>
      <w:r>
        <w:rPr>
          <w:rFonts w:ascii="黑体" w:hAnsi="黑体" w:eastAsia="黑体" w:cs="黑体"/>
          <w:color w:val="auto"/>
          <w:spacing w:val="4"/>
          <w:position w:val="17"/>
          <w:sz w:val="24"/>
          <w:szCs w:val="24"/>
          <w14:textOutline w14:w="4358" w14:cap="sq" w14:cmpd="sng">
            <w14:solidFill>
              <w14:srgbClr w14:val="000000"/>
            </w14:solidFill>
            <w14:prstDash w14:val="solid"/>
            <w14:bevel/>
          </w14:textOutline>
        </w:rPr>
        <w:t>13.1除本竞争性磋商文件另有规定外，供应商应</w:t>
      </w:r>
      <w:r>
        <w:rPr>
          <w:rFonts w:ascii="黑体" w:hAnsi="黑体" w:eastAsia="黑体" w:cs="黑体"/>
          <w:color w:val="auto"/>
          <w:spacing w:val="3"/>
          <w:position w:val="17"/>
          <w:sz w:val="24"/>
          <w:szCs w:val="24"/>
          <w14:textOutline w14:w="4358" w14:cap="sq" w14:cmpd="sng">
            <w14:solidFill>
              <w14:srgbClr w14:val="000000"/>
            </w14:solidFill>
            <w14:prstDash w14:val="solid"/>
            <w14:bevel/>
          </w14:textOutline>
        </w:rPr>
        <w:t>按竞争性磋商文件所附相应的</w:t>
      </w:r>
    </w:p>
    <w:p w14:paraId="433FD2FD">
      <w:pPr>
        <w:spacing w:before="1" w:line="220" w:lineRule="auto"/>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投标一览表格式标明投标报价等内容。报价以人民币</w:t>
      </w:r>
      <w:r>
        <w:rPr>
          <w:rFonts w:ascii="黑体" w:hAnsi="黑体" w:eastAsia="黑体" w:cs="黑体"/>
          <w:color w:val="auto"/>
          <w:spacing w:val="2"/>
          <w:sz w:val="24"/>
          <w:szCs w:val="24"/>
          <w14:textOutline w14:w="4358" w14:cap="sq" w14:cmpd="sng">
            <w14:solidFill>
              <w14:srgbClr w14:val="000000"/>
            </w14:solidFill>
            <w14:prstDash w14:val="solid"/>
            <w14:bevel/>
          </w14:textOutline>
        </w:rPr>
        <w:t>报价。</w:t>
      </w:r>
    </w:p>
    <w:p w14:paraId="360AEA7B">
      <w:pPr>
        <w:spacing w:before="180" w:line="222" w:lineRule="auto"/>
        <w:ind w:left="501"/>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13.2任何有选择性的报价将不予接受。</w:t>
      </w:r>
    </w:p>
    <w:p w14:paraId="00C47BC1">
      <w:pPr>
        <w:spacing w:before="180" w:line="468" w:lineRule="exact"/>
        <w:jc w:val="center"/>
        <w:rPr>
          <w:rFonts w:ascii="黑体" w:hAnsi="黑体" w:eastAsia="黑体" w:cs="黑体"/>
          <w:color w:val="auto"/>
          <w:sz w:val="24"/>
          <w:szCs w:val="24"/>
        </w:rPr>
      </w:pPr>
      <w:r>
        <w:rPr>
          <w:rFonts w:hint="eastAsia" w:ascii="黑体" w:hAnsi="黑体" w:eastAsia="黑体" w:cs="黑体"/>
          <w:color w:val="auto"/>
          <w:spacing w:val="4"/>
          <w:position w:val="17"/>
          <w:sz w:val="24"/>
          <w:szCs w:val="24"/>
          <w:lang w:val="en-US" w:eastAsia="zh-CN"/>
        </w:rPr>
        <w:t xml:space="preserve">   </w:t>
      </w:r>
      <w:r>
        <w:rPr>
          <w:rFonts w:ascii="黑体" w:hAnsi="黑体" w:eastAsia="黑体" w:cs="黑体"/>
          <w:color w:val="auto"/>
          <w:spacing w:val="4"/>
          <w:position w:val="17"/>
          <w:sz w:val="24"/>
          <w:szCs w:val="24"/>
        </w:rPr>
        <w:t>13.3供应商须充分注意并重视第三章“工程量清单”的内容</w:t>
      </w:r>
      <w:r>
        <w:rPr>
          <w:rFonts w:ascii="黑体" w:hAnsi="黑体" w:eastAsia="黑体" w:cs="黑体"/>
          <w:color w:val="auto"/>
          <w:spacing w:val="3"/>
          <w:position w:val="17"/>
          <w:sz w:val="24"/>
          <w:szCs w:val="24"/>
        </w:rPr>
        <w:t>，并严格按该章的</w:t>
      </w:r>
    </w:p>
    <w:p w14:paraId="0458AFAF">
      <w:pPr>
        <w:spacing w:before="1" w:line="221" w:lineRule="auto"/>
        <w:ind w:left="2"/>
        <w:rPr>
          <w:rFonts w:ascii="黑体" w:hAnsi="黑体" w:eastAsia="黑体" w:cs="黑体"/>
          <w:color w:val="auto"/>
          <w:sz w:val="24"/>
          <w:szCs w:val="24"/>
        </w:rPr>
      </w:pPr>
      <w:r>
        <w:rPr>
          <w:rFonts w:ascii="黑体" w:hAnsi="黑体" w:eastAsia="黑体" w:cs="黑体"/>
          <w:color w:val="auto"/>
          <w:spacing w:val="1"/>
          <w:sz w:val="24"/>
          <w:szCs w:val="24"/>
        </w:rPr>
        <w:t>有关内容做出实质性响应。</w:t>
      </w:r>
    </w:p>
    <w:p w14:paraId="08110F42">
      <w:pPr>
        <w:spacing w:before="180" w:line="360" w:lineRule="auto"/>
        <w:ind w:right="2" w:firstLine="501"/>
        <w:rPr>
          <w:rFonts w:ascii="黑体" w:hAnsi="黑体" w:eastAsia="黑体" w:cs="黑体"/>
          <w:color w:val="auto"/>
          <w:sz w:val="24"/>
          <w:szCs w:val="24"/>
        </w:rPr>
      </w:pPr>
      <w:r>
        <w:rPr>
          <w:rFonts w:ascii="黑体" w:hAnsi="黑体" w:eastAsia="黑体" w:cs="黑体"/>
          <w:color w:val="auto"/>
          <w:spacing w:val="4"/>
          <w:sz w:val="24"/>
          <w:szCs w:val="24"/>
        </w:rPr>
        <w:t>13.4供应商可按竞争性磋商文件第三章“工程量清单”</w:t>
      </w:r>
      <w:r>
        <w:rPr>
          <w:rFonts w:ascii="黑体" w:hAnsi="黑体" w:eastAsia="黑体" w:cs="黑体"/>
          <w:color w:val="auto"/>
          <w:spacing w:val="3"/>
          <w:sz w:val="24"/>
          <w:szCs w:val="24"/>
        </w:rPr>
        <w:t>的内容进行报价，投标</w:t>
      </w:r>
      <w:r>
        <w:rPr>
          <w:rFonts w:ascii="黑体" w:hAnsi="黑体" w:eastAsia="黑体" w:cs="黑体"/>
          <w:color w:val="auto"/>
          <w:spacing w:val="1"/>
          <w:sz w:val="24"/>
          <w:szCs w:val="24"/>
        </w:rPr>
        <w:t>报价应包含税金及本项目所产生的全部费用，</w:t>
      </w:r>
      <w:r>
        <w:rPr>
          <w:rFonts w:ascii="黑体" w:hAnsi="黑体" w:eastAsia="黑体" w:cs="黑体"/>
          <w:color w:val="auto"/>
          <w:spacing w:val="1"/>
          <w:sz w:val="24"/>
          <w:szCs w:val="24"/>
          <w14:textOutline w14:w="4358" w14:cap="sq" w14:cmpd="sng">
            <w14:solidFill>
              <w14:srgbClr w14:val="000000"/>
            </w14:solidFill>
            <w14:prstDash w14:val="solid"/>
            <w14:bevel/>
          </w14:textOutline>
        </w:rPr>
        <w:t>且投标报价不得等于或高于最高限价金</w:t>
      </w:r>
    </w:p>
    <w:p w14:paraId="02B03002">
      <w:pPr>
        <w:spacing w:before="1" w:line="212" w:lineRule="auto"/>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额，否则将按无效投标处理。</w:t>
      </w:r>
    </w:p>
    <w:p w14:paraId="64DD4B83">
      <w:pPr>
        <w:spacing w:before="191" w:line="468" w:lineRule="exact"/>
        <w:ind w:right="2"/>
        <w:jc w:val="right"/>
        <w:rPr>
          <w:rFonts w:ascii="黑体" w:hAnsi="黑体" w:eastAsia="黑体" w:cs="黑体"/>
          <w:color w:val="auto"/>
          <w:sz w:val="24"/>
          <w:szCs w:val="24"/>
        </w:rPr>
      </w:pPr>
      <w:r>
        <w:rPr>
          <w:rFonts w:ascii="黑体" w:hAnsi="黑体" w:eastAsia="黑体" w:cs="黑体"/>
          <w:color w:val="auto"/>
          <w:spacing w:val="4"/>
          <w:position w:val="17"/>
          <w:sz w:val="24"/>
          <w:szCs w:val="24"/>
        </w:rPr>
        <w:t>13.5供应商的报价在中标后的合同实施期间应保持不变</w:t>
      </w:r>
      <w:r>
        <w:rPr>
          <w:rFonts w:ascii="黑体" w:hAnsi="黑体" w:eastAsia="黑体" w:cs="黑体"/>
          <w:color w:val="auto"/>
          <w:spacing w:val="3"/>
          <w:position w:val="17"/>
          <w:sz w:val="24"/>
          <w:szCs w:val="24"/>
        </w:rPr>
        <w:t>，即不因市场价格或政</w:t>
      </w:r>
    </w:p>
    <w:p w14:paraId="483A7D4F">
      <w:pPr>
        <w:spacing w:before="1" w:line="221" w:lineRule="auto"/>
        <w:rPr>
          <w:rFonts w:ascii="黑体" w:hAnsi="黑体" w:eastAsia="黑体" w:cs="黑体"/>
          <w:color w:val="auto"/>
          <w:sz w:val="24"/>
          <w:szCs w:val="24"/>
        </w:rPr>
      </w:pPr>
      <w:r>
        <w:rPr>
          <w:rFonts w:ascii="黑体" w:hAnsi="黑体" w:eastAsia="黑体" w:cs="黑体"/>
          <w:color w:val="auto"/>
          <w:spacing w:val="1"/>
          <w:sz w:val="24"/>
          <w:szCs w:val="24"/>
        </w:rPr>
        <w:t>策性价格的调整而增减。</w:t>
      </w:r>
    </w:p>
    <w:p w14:paraId="1DD4966E">
      <w:pPr>
        <w:spacing w:before="180" w:line="221" w:lineRule="auto"/>
        <w:ind w:left="14"/>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14</w:t>
      </w:r>
      <w:r>
        <w:rPr>
          <w:rFonts w:hint="eastAsia" w:ascii="黑体" w:hAnsi="黑体" w:eastAsia="黑体" w:cs="黑体"/>
          <w:color w:val="auto"/>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证明供应商合格的资格证明文件</w:t>
      </w:r>
    </w:p>
    <w:p w14:paraId="4BDBDEDA">
      <w:pPr>
        <w:spacing w:line="221" w:lineRule="auto"/>
        <w:rPr>
          <w:rFonts w:ascii="黑体" w:hAnsi="黑体" w:eastAsia="黑体" w:cs="黑体"/>
          <w:color w:val="auto"/>
          <w:sz w:val="24"/>
          <w:szCs w:val="24"/>
        </w:rPr>
        <w:sectPr>
          <w:footerReference r:id="rId11" w:type="default"/>
          <w:pgSz w:w="11906" w:h="16839"/>
          <w:pgMar w:top="1431" w:right="1559" w:bottom="1012" w:left="1423" w:header="0" w:footer="850" w:gutter="0"/>
          <w:pgNumType w:fmt="decimal"/>
          <w:cols w:space="720" w:num="1"/>
        </w:sectPr>
      </w:pPr>
    </w:p>
    <w:p w14:paraId="131C4D2E">
      <w:pPr>
        <w:spacing w:before="101" w:line="468" w:lineRule="exact"/>
        <w:ind w:left="487"/>
        <w:rPr>
          <w:rFonts w:ascii="黑体" w:hAnsi="黑体" w:eastAsia="黑体" w:cs="黑体"/>
          <w:color w:val="auto"/>
          <w:sz w:val="24"/>
          <w:szCs w:val="24"/>
        </w:rPr>
      </w:pPr>
      <w:r>
        <w:rPr>
          <w:rFonts w:ascii="黑体" w:hAnsi="黑体" w:eastAsia="黑体" w:cs="黑体"/>
          <w:color w:val="auto"/>
          <w:spacing w:val="1"/>
          <w:position w:val="17"/>
          <w:sz w:val="24"/>
          <w:szCs w:val="24"/>
        </w:rPr>
        <w:t>按照供应商须知前附表规定，供应商应提交竞争性磋商文件所要求的资格</w:t>
      </w:r>
      <w:r>
        <w:rPr>
          <w:rFonts w:ascii="黑体" w:hAnsi="黑体" w:eastAsia="黑体" w:cs="黑体"/>
          <w:color w:val="auto"/>
          <w:position w:val="17"/>
          <w:sz w:val="24"/>
          <w:szCs w:val="24"/>
        </w:rPr>
        <w:t>证明文</w:t>
      </w:r>
    </w:p>
    <w:p w14:paraId="16287F29">
      <w:pPr>
        <w:spacing w:line="224" w:lineRule="auto"/>
        <w:rPr>
          <w:rFonts w:ascii="黑体" w:hAnsi="黑体" w:eastAsia="黑体" w:cs="黑体"/>
          <w:color w:val="auto"/>
          <w:sz w:val="24"/>
          <w:szCs w:val="24"/>
        </w:rPr>
      </w:pPr>
      <w:r>
        <w:rPr>
          <w:rFonts w:ascii="黑体" w:hAnsi="黑体" w:eastAsia="黑体" w:cs="黑体"/>
          <w:color w:val="auto"/>
          <w:spacing w:val="-4"/>
          <w:sz w:val="24"/>
          <w:szCs w:val="24"/>
        </w:rPr>
        <w:t>件。</w:t>
      </w:r>
    </w:p>
    <w:p w14:paraId="23892E64">
      <w:pPr>
        <w:spacing w:before="176" w:line="221" w:lineRule="auto"/>
        <w:ind w:left="14"/>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15</w:t>
      </w:r>
      <w:r>
        <w:rPr>
          <w:rFonts w:hint="eastAsia" w:ascii="黑体" w:hAnsi="黑体" w:eastAsia="黑体" w:cs="黑体"/>
          <w:color w:val="auto"/>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2"/>
          <w:sz w:val="24"/>
          <w:szCs w:val="24"/>
          <w14:textOutline w14:w="4358" w14:cap="sq" w14:cmpd="sng">
            <w14:solidFill>
              <w14:srgbClr w14:val="000000"/>
            </w14:solidFill>
            <w14:prstDash w14:val="solid"/>
            <w14:bevel/>
          </w14:textOutline>
        </w:rPr>
        <w:t>证明符合竞争性磋商文件规定的文件</w:t>
      </w:r>
    </w:p>
    <w:p w14:paraId="46EF3743">
      <w:pPr>
        <w:spacing w:before="180" w:line="360" w:lineRule="auto"/>
        <w:ind w:left="2" w:right="40" w:firstLine="485"/>
        <w:jc w:val="both"/>
        <w:rPr>
          <w:rFonts w:ascii="黑体" w:hAnsi="黑体" w:eastAsia="黑体" w:cs="黑体"/>
          <w:color w:val="auto"/>
          <w:sz w:val="24"/>
          <w:szCs w:val="24"/>
        </w:rPr>
      </w:pPr>
      <w:r>
        <w:rPr>
          <w:rFonts w:ascii="黑体" w:hAnsi="黑体" w:eastAsia="黑体" w:cs="黑体"/>
          <w:color w:val="auto"/>
          <w:spacing w:val="1"/>
          <w:sz w:val="24"/>
          <w:szCs w:val="24"/>
        </w:rPr>
        <w:t>供应商应逐条对竞争性磋商文件要求的内容做出实质性响应，认真填写</w:t>
      </w:r>
      <w:r>
        <w:rPr>
          <w:rFonts w:ascii="黑体" w:hAnsi="黑体" w:eastAsia="黑体" w:cs="黑体"/>
          <w:color w:val="auto"/>
          <w:sz w:val="24"/>
          <w:szCs w:val="24"/>
        </w:rPr>
        <w:t>竞争性磋</w:t>
      </w:r>
      <w:r>
        <w:rPr>
          <w:rFonts w:ascii="黑体" w:hAnsi="黑体" w:eastAsia="黑体" w:cs="黑体"/>
          <w:color w:val="auto"/>
          <w:spacing w:val="4"/>
          <w:sz w:val="24"/>
          <w:szCs w:val="24"/>
        </w:rPr>
        <w:t>商文件所附的“商务条款偏离表”、“技术规格偏离表”。</w:t>
      </w:r>
      <w:r>
        <w:rPr>
          <w:rFonts w:ascii="黑体" w:hAnsi="黑体" w:eastAsia="黑体" w:cs="黑体"/>
          <w:color w:val="auto"/>
          <w:spacing w:val="4"/>
          <w:sz w:val="24"/>
          <w:szCs w:val="24"/>
          <w14:textOutline w14:w="4358" w14:cap="sq" w14:cmpd="sng">
            <w14:solidFill>
              <w14:srgbClr w14:val="000000"/>
            </w14:solidFill>
            <w14:prstDash w14:val="solid"/>
            <w14:bevel/>
          </w14:textOutline>
        </w:rPr>
        <w:t>若有偏离,请将具体偏离</w:t>
      </w:r>
      <w:r>
        <w:rPr>
          <w:rFonts w:ascii="黑体" w:hAnsi="黑体" w:eastAsia="黑体" w:cs="黑体"/>
          <w:color w:val="auto"/>
          <w:spacing w:val="2"/>
          <w:sz w:val="24"/>
          <w:szCs w:val="24"/>
          <w14:textOutline w14:w="4358" w14:cap="sq" w14:cmpd="sng">
            <w14:solidFill>
              <w14:srgbClr w14:val="000000"/>
            </w14:solidFill>
            <w14:prstDash w14:val="solid"/>
            <w14:bevel/>
          </w14:textOutline>
        </w:rPr>
        <w:t>条款在“偏离”一栏中详细说明；若无偏离，请在“偏离”一栏中标注“无”字样。</w:t>
      </w:r>
    </w:p>
    <w:p w14:paraId="355E5F7B">
      <w:pPr>
        <w:spacing w:line="221" w:lineRule="auto"/>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如不填写将视为不响应竞争性磋商文件要求。</w:t>
      </w:r>
    </w:p>
    <w:p w14:paraId="7225057C">
      <w:pPr>
        <w:spacing w:before="180" w:line="221" w:lineRule="auto"/>
        <w:ind w:left="14"/>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16</w:t>
      </w:r>
      <w:r>
        <w:rPr>
          <w:rFonts w:hint="eastAsia" w:ascii="黑体" w:hAnsi="黑体" w:eastAsia="黑体" w:cs="黑体"/>
          <w:color w:val="auto"/>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2"/>
          <w:sz w:val="24"/>
          <w:szCs w:val="24"/>
          <w14:textOutline w14:w="4358" w14:cap="sq" w14:cmpd="sng">
            <w14:solidFill>
              <w14:srgbClr w14:val="000000"/>
            </w14:solidFill>
            <w14:prstDash w14:val="solid"/>
            <w14:bevel/>
          </w14:textOutline>
        </w:rPr>
        <w:t>电子响应文件的有效期</w:t>
      </w:r>
    </w:p>
    <w:p w14:paraId="19B4661E">
      <w:pPr>
        <w:spacing w:before="181" w:line="220" w:lineRule="auto"/>
        <w:ind w:left="501"/>
        <w:rPr>
          <w:rFonts w:ascii="黑体" w:hAnsi="黑体" w:eastAsia="黑体" w:cs="黑体"/>
          <w:color w:val="auto"/>
          <w:sz w:val="24"/>
          <w:szCs w:val="24"/>
        </w:rPr>
      </w:pPr>
      <w:r>
        <w:rPr>
          <w:rFonts w:ascii="黑体" w:hAnsi="黑体" w:eastAsia="黑体" w:cs="黑体"/>
          <w:color w:val="auto"/>
          <w:spacing w:val="1"/>
          <w:sz w:val="24"/>
          <w:szCs w:val="24"/>
        </w:rPr>
        <w:t>16.1</w:t>
      </w:r>
      <w:r>
        <w:rPr>
          <w:rFonts w:ascii="黑体" w:hAnsi="黑体" w:eastAsia="黑体" w:cs="黑体"/>
          <w:color w:val="auto"/>
          <w:spacing w:val="1"/>
          <w:sz w:val="24"/>
          <w:szCs w:val="24"/>
          <w14:textOutline w14:w="4358" w14:cap="sq" w14:cmpd="sng">
            <w14:solidFill>
              <w14:srgbClr w14:val="000000"/>
            </w14:solidFill>
            <w14:prstDash w14:val="solid"/>
            <w14:bevel/>
          </w14:textOutline>
        </w:rPr>
        <w:t>响应文件有效期：提交响应文件的截止之日起</w:t>
      </w:r>
      <w:r>
        <w:rPr>
          <w:rFonts w:hint="eastAsia" w:ascii="黑体" w:hAnsi="黑体" w:eastAsia="黑体" w:cs="黑体"/>
          <w:color w:val="auto"/>
          <w:spacing w:val="1"/>
          <w:sz w:val="24"/>
          <w:szCs w:val="24"/>
          <w:lang w:val="en-US" w:eastAsia="zh-CN"/>
          <w14:textOutline w14:w="4358" w14:cap="sq" w14:cmpd="sng">
            <w14:solidFill>
              <w14:srgbClr w14:val="000000"/>
            </w14:solidFill>
            <w14:prstDash w14:val="solid"/>
            <w14:bevel/>
          </w14:textOutline>
        </w:rPr>
        <w:t>45</w:t>
      </w:r>
      <w:r>
        <w:rPr>
          <w:rFonts w:ascii="黑体" w:hAnsi="黑体" w:eastAsia="黑体" w:cs="黑体"/>
          <w:color w:val="auto"/>
          <w:spacing w:val="1"/>
          <w:sz w:val="24"/>
          <w:szCs w:val="24"/>
          <w14:textOutline w14:w="4358" w14:cap="sq" w14:cmpd="sng">
            <w14:solidFill>
              <w14:srgbClr w14:val="000000"/>
            </w14:solidFill>
            <w14:prstDash w14:val="solid"/>
            <w14:bevel/>
          </w14:textOutline>
        </w:rPr>
        <w:t>天。</w:t>
      </w:r>
    </w:p>
    <w:p w14:paraId="21069427">
      <w:pPr>
        <w:spacing w:before="182" w:line="468" w:lineRule="exact"/>
        <w:ind w:left="501"/>
        <w:rPr>
          <w:rFonts w:ascii="黑体" w:hAnsi="黑体" w:eastAsia="黑体" w:cs="黑体"/>
          <w:color w:val="auto"/>
          <w:sz w:val="24"/>
          <w:szCs w:val="24"/>
        </w:rPr>
      </w:pPr>
      <w:r>
        <w:rPr>
          <w:rFonts w:ascii="黑体" w:hAnsi="黑体" w:eastAsia="黑体" w:cs="黑体"/>
          <w:color w:val="auto"/>
          <w:spacing w:val="4"/>
          <w:position w:val="17"/>
          <w:sz w:val="24"/>
          <w:szCs w:val="24"/>
        </w:rPr>
        <w:t>16.2在特殊情况下,在原响应文件有效期届满</w:t>
      </w:r>
      <w:r>
        <w:rPr>
          <w:rFonts w:ascii="黑体" w:hAnsi="黑体" w:eastAsia="黑体" w:cs="黑体"/>
          <w:color w:val="auto"/>
          <w:spacing w:val="3"/>
          <w:position w:val="17"/>
          <w:sz w:val="24"/>
          <w:szCs w:val="24"/>
        </w:rPr>
        <w:t>之前，采购人可与供应商协商延</w:t>
      </w:r>
    </w:p>
    <w:p w14:paraId="3EAC6797">
      <w:pPr>
        <w:spacing w:before="1" w:line="212" w:lineRule="auto"/>
        <w:ind w:left="6"/>
        <w:rPr>
          <w:rFonts w:ascii="黑体" w:hAnsi="黑体" w:eastAsia="黑体" w:cs="黑体"/>
          <w:color w:val="auto"/>
          <w:sz w:val="24"/>
          <w:szCs w:val="24"/>
        </w:rPr>
      </w:pPr>
      <w:r>
        <w:rPr>
          <w:rFonts w:ascii="黑体" w:hAnsi="黑体" w:eastAsia="黑体" w:cs="黑体"/>
          <w:color w:val="auto"/>
          <w:spacing w:val="1"/>
          <w:sz w:val="24"/>
          <w:szCs w:val="24"/>
        </w:rPr>
        <w:t>长响应文件的有效期，并经供应商确认。</w:t>
      </w:r>
    </w:p>
    <w:p w14:paraId="7F1CF7C9">
      <w:pPr>
        <w:spacing w:before="190" w:line="222" w:lineRule="auto"/>
        <w:ind w:left="14"/>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17</w:t>
      </w:r>
      <w:r>
        <w:rPr>
          <w:rFonts w:hint="eastAsia" w:ascii="黑体" w:hAnsi="黑体" w:eastAsia="黑体" w:cs="黑体"/>
          <w:color w:val="auto"/>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电子响应文件的格式要求及签署</w:t>
      </w:r>
    </w:p>
    <w:p w14:paraId="2EF15241">
      <w:pPr>
        <w:spacing w:before="180" w:line="468" w:lineRule="exact"/>
        <w:ind w:left="501"/>
        <w:rPr>
          <w:rFonts w:ascii="黑体" w:hAnsi="黑体" w:eastAsia="黑体" w:cs="黑体"/>
          <w:color w:val="auto"/>
          <w:sz w:val="24"/>
          <w:szCs w:val="24"/>
        </w:rPr>
      </w:pPr>
      <w:r>
        <w:rPr>
          <w:rFonts w:ascii="黑体" w:hAnsi="黑体" w:eastAsia="黑体" w:cs="黑体"/>
          <w:color w:val="auto"/>
          <w:spacing w:val="4"/>
          <w:position w:val="17"/>
          <w:sz w:val="24"/>
          <w:szCs w:val="24"/>
        </w:rPr>
        <w:t>17.1响应文件的格式应清楚工整，未实质性</w:t>
      </w:r>
      <w:r>
        <w:rPr>
          <w:rFonts w:ascii="黑体" w:hAnsi="黑体" w:eastAsia="黑体" w:cs="黑体"/>
          <w:color w:val="auto"/>
          <w:spacing w:val="3"/>
          <w:position w:val="17"/>
          <w:sz w:val="24"/>
          <w:szCs w:val="24"/>
        </w:rPr>
        <w:t>响应竞争性磋商文件、字迹潦草、</w:t>
      </w:r>
    </w:p>
    <w:p w14:paraId="72A80EDD">
      <w:pPr>
        <w:spacing w:before="2" w:line="220" w:lineRule="auto"/>
        <w:ind w:left="5"/>
        <w:rPr>
          <w:rFonts w:ascii="黑体" w:hAnsi="黑体" w:eastAsia="黑体" w:cs="黑体"/>
          <w:color w:val="auto"/>
          <w:sz w:val="24"/>
          <w:szCs w:val="24"/>
        </w:rPr>
      </w:pPr>
      <w:r>
        <w:rPr>
          <w:rFonts w:ascii="黑体" w:hAnsi="黑体" w:eastAsia="黑体" w:cs="黑体"/>
          <w:color w:val="auto"/>
          <w:spacing w:val="2"/>
          <w:sz w:val="24"/>
          <w:szCs w:val="24"/>
        </w:rPr>
        <w:t>表达不清、未按要求填写或可能导致非唯一理解的响应文件将按无效投标处理。</w:t>
      </w:r>
    </w:p>
    <w:p w14:paraId="6E6F9E94">
      <w:pPr>
        <w:spacing w:before="180" w:line="468" w:lineRule="exact"/>
        <w:ind w:left="501"/>
        <w:rPr>
          <w:rFonts w:ascii="黑体" w:hAnsi="黑体" w:eastAsia="黑体" w:cs="黑体"/>
          <w:color w:val="auto"/>
          <w:sz w:val="24"/>
          <w:szCs w:val="24"/>
        </w:rPr>
      </w:pPr>
      <w:r>
        <w:rPr>
          <w:rFonts w:ascii="黑体" w:hAnsi="黑体" w:eastAsia="黑体" w:cs="黑体"/>
          <w:color w:val="auto"/>
          <w:spacing w:val="4"/>
          <w:position w:val="17"/>
          <w:sz w:val="24"/>
          <w:szCs w:val="24"/>
        </w:rPr>
        <w:t>17.2响应文件应由供应商法定代表人或委托代理人在规</w:t>
      </w:r>
      <w:r>
        <w:rPr>
          <w:rFonts w:ascii="黑体" w:hAnsi="黑体" w:eastAsia="黑体" w:cs="黑体"/>
          <w:color w:val="auto"/>
          <w:spacing w:val="3"/>
          <w:position w:val="17"/>
          <w:sz w:val="24"/>
          <w:szCs w:val="24"/>
        </w:rPr>
        <w:t>定签章处逐一签署及加</w:t>
      </w:r>
    </w:p>
    <w:p w14:paraId="67CFD0AF">
      <w:pPr>
        <w:spacing w:before="1" w:line="221" w:lineRule="auto"/>
        <w:rPr>
          <w:rFonts w:ascii="黑体" w:hAnsi="黑体" w:eastAsia="黑体" w:cs="黑体"/>
          <w:color w:val="auto"/>
          <w:sz w:val="24"/>
          <w:szCs w:val="24"/>
        </w:rPr>
      </w:pPr>
      <w:r>
        <w:rPr>
          <w:rFonts w:ascii="黑体" w:hAnsi="黑体" w:eastAsia="黑体" w:cs="黑体"/>
          <w:color w:val="auto"/>
          <w:sz w:val="24"/>
          <w:szCs w:val="24"/>
        </w:rPr>
        <w:t>盖供应商的公章。</w:t>
      </w:r>
    </w:p>
    <w:p w14:paraId="6C68D26E">
      <w:pPr>
        <w:spacing w:before="180" w:line="222" w:lineRule="auto"/>
        <w:ind w:left="14"/>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18</w:t>
      </w:r>
      <w:r>
        <w:rPr>
          <w:rFonts w:hint="eastAsia" w:ascii="黑体" w:hAnsi="黑体" w:eastAsia="黑体" w:cs="黑体"/>
          <w:color w:val="auto"/>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2"/>
          <w:sz w:val="24"/>
          <w:szCs w:val="24"/>
          <w14:textOutline w14:w="4358" w14:cap="sq" w14:cmpd="sng">
            <w14:solidFill>
              <w14:srgbClr w14:val="000000"/>
            </w14:solidFill>
            <w14:prstDash w14:val="solid"/>
            <w14:bevel/>
          </w14:textOutline>
        </w:rPr>
        <w:t>投标保证金</w:t>
      </w:r>
    </w:p>
    <w:p w14:paraId="1EAAD382">
      <w:pPr>
        <w:spacing w:before="179" w:line="213" w:lineRule="auto"/>
        <w:jc w:val="right"/>
        <w:rPr>
          <w:rFonts w:ascii="黑体" w:hAnsi="黑体" w:eastAsia="黑体" w:cs="黑体"/>
          <w:color w:val="auto"/>
          <w:sz w:val="24"/>
          <w:szCs w:val="24"/>
        </w:rPr>
      </w:pPr>
      <w:r>
        <w:rPr>
          <w:rFonts w:ascii="黑体" w:hAnsi="黑体" w:eastAsia="黑体" w:cs="黑体"/>
          <w:color w:val="auto"/>
          <w:sz w:val="24"/>
          <w:szCs w:val="24"/>
        </w:rPr>
        <w:t>18.1投标保证金金额为前附表要求金额</w:t>
      </w:r>
      <w:r>
        <w:rPr>
          <w:rFonts w:ascii="黑体" w:hAnsi="黑体" w:eastAsia="黑体" w:cs="黑体"/>
          <w:color w:val="auto"/>
          <w:spacing w:val="-1"/>
          <w:sz w:val="24"/>
          <w:szCs w:val="24"/>
        </w:rPr>
        <w:t>，各供应商必须在投标截止时间前提交。</w:t>
      </w:r>
    </w:p>
    <w:p w14:paraId="5C28F3DD">
      <w:pPr>
        <w:spacing w:before="191" w:line="222" w:lineRule="auto"/>
        <w:jc w:val="right"/>
        <w:rPr>
          <w:rFonts w:ascii="黑体" w:hAnsi="黑体" w:eastAsia="黑体" w:cs="黑体"/>
          <w:color w:val="auto"/>
          <w:sz w:val="24"/>
          <w:szCs w:val="24"/>
        </w:rPr>
      </w:pPr>
      <w:r>
        <w:rPr>
          <w:rFonts w:ascii="黑体" w:hAnsi="黑体" w:eastAsia="黑体" w:cs="黑体"/>
          <w:color w:val="auto"/>
          <w:sz w:val="24"/>
          <w:szCs w:val="24"/>
        </w:rPr>
        <w:t>18.2投标保证金用于保护本次招标免受</w:t>
      </w:r>
      <w:r>
        <w:rPr>
          <w:rFonts w:ascii="黑体" w:hAnsi="黑体" w:eastAsia="黑体" w:cs="黑体"/>
          <w:color w:val="auto"/>
          <w:spacing w:val="-1"/>
          <w:sz w:val="24"/>
          <w:szCs w:val="24"/>
        </w:rPr>
        <w:t>供应商的违规、违约行为而引起的风险。</w:t>
      </w:r>
    </w:p>
    <w:p w14:paraId="40CDAA02">
      <w:pPr>
        <w:spacing w:before="180" w:line="221" w:lineRule="auto"/>
        <w:ind w:left="501"/>
        <w:rPr>
          <w:rFonts w:ascii="黑体" w:hAnsi="黑体" w:eastAsia="黑体" w:cs="黑体"/>
          <w:color w:val="auto"/>
          <w:sz w:val="24"/>
          <w:szCs w:val="24"/>
        </w:rPr>
      </w:pPr>
      <w:r>
        <w:rPr>
          <w:rFonts w:ascii="黑体" w:hAnsi="黑体" w:eastAsia="黑体" w:cs="黑体"/>
          <w:color w:val="auto"/>
          <w:sz w:val="24"/>
          <w:szCs w:val="24"/>
        </w:rPr>
        <w:t>18.3发生以下情况投标保证金不予退还：</w:t>
      </w:r>
    </w:p>
    <w:p w14:paraId="56D6281D">
      <w:pPr>
        <w:spacing w:before="181" w:line="213" w:lineRule="auto"/>
        <w:ind w:left="501"/>
        <w:rPr>
          <w:rFonts w:ascii="黑体" w:hAnsi="黑体" w:eastAsia="黑体" w:cs="黑体"/>
          <w:color w:val="auto"/>
          <w:sz w:val="24"/>
          <w:szCs w:val="24"/>
        </w:rPr>
      </w:pPr>
      <w:r>
        <w:rPr>
          <w:rFonts w:ascii="黑体" w:hAnsi="黑体" w:eastAsia="黑体" w:cs="黑体"/>
          <w:color w:val="auto"/>
          <w:spacing w:val="1"/>
          <w:sz w:val="24"/>
          <w:szCs w:val="24"/>
        </w:rPr>
        <w:t>18.3.1如果供应商在投标有效期内撤回响应文件的；</w:t>
      </w:r>
    </w:p>
    <w:p w14:paraId="11B3991A">
      <w:pPr>
        <w:spacing w:before="191" w:line="213" w:lineRule="auto"/>
        <w:ind w:left="501"/>
        <w:rPr>
          <w:rFonts w:ascii="黑体" w:hAnsi="黑体" w:eastAsia="黑体" w:cs="黑体"/>
          <w:color w:val="auto"/>
          <w:sz w:val="24"/>
          <w:szCs w:val="24"/>
        </w:rPr>
      </w:pPr>
      <w:r>
        <w:rPr>
          <w:rFonts w:ascii="黑体" w:hAnsi="黑体" w:eastAsia="黑体" w:cs="黑体"/>
          <w:color w:val="auto"/>
          <w:spacing w:val="4"/>
          <w:sz w:val="24"/>
          <w:szCs w:val="24"/>
        </w:rPr>
        <w:t>18.3.2中标供应商有下列情形之一的，投标保证金不予退还；情节严重的，由</w:t>
      </w:r>
    </w:p>
    <w:p w14:paraId="2BF1FF12">
      <w:pPr>
        <w:spacing w:before="191" w:line="468" w:lineRule="exact"/>
        <w:ind w:left="3"/>
        <w:rPr>
          <w:rFonts w:ascii="黑体" w:hAnsi="黑体" w:eastAsia="黑体" w:cs="黑体"/>
          <w:color w:val="auto"/>
          <w:sz w:val="24"/>
          <w:szCs w:val="24"/>
        </w:rPr>
      </w:pPr>
      <w:r>
        <w:rPr>
          <w:rFonts w:ascii="黑体" w:hAnsi="黑体" w:eastAsia="黑体" w:cs="黑体"/>
          <w:color w:val="auto"/>
          <w:spacing w:val="1"/>
          <w:position w:val="17"/>
          <w:sz w:val="24"/>
          <w:szCs w:val="24"/>
        </w:rPr>
        <w:t>财政部门将其列入不良行为记录名单，在一至三年内禁止参加政府采购活动，并</w:t>
      </w:r>
      <w:r>
        <w:rPr>
          <w:rFonts w:ascii="黑体" w:hAnsi="黑体" w:eastAsia="黑体" w:cs="黑体"/>
          <w:color w:val="auto"/>
          <w:position w:val="17"/>
          <w:sz w:val="24"/>
          <w:szCs w:val="24"/>
        </w:rPr>
        <w:t>予以</w:t>
      </w:r>
    </w:p>
    <w:p w14:paraId="5C9365D1">
      <w:pPr>
        <w:spacing w:line="222" w:lineRule="auto"/>
        <w:rPr>
          <w:rFonts w:ascii="黑体" w:hAnsi="黑体" w:eastAsia="黑体" w:cs="黑体"/>
          <w:color w:val="auto"/>
          <w:sz w:val="24"/>
          <w:szCs w:val="24"/>
        </w:rPr>
      </w:pPr>
      <w:r>
        <w:rPr>
          <w:rFonts w:ascii="黑体" w:hAnsi="黑体" w:eastAsia="黑体" w:cs="黑体"/>
          <w:color w:val="auto"/>
          <w:spacing w:val="-2"/>
          <w:sz w:val="24"/>
          <w:szCs w:val="24"/>
        </w:rPr>
        <w:t>通报：</w:t>
      </w:r>
    </w:p>
    <w:p w14:paraId="4FC39E31">
      <w:pPr>
        <w:spacing w:before="179" w:line="213" w:lineRule="auto"/>
        <w:ind w:left="509"/>
        <w:rPr>
          <w:rFonts w:ascii="黑体" w:hAnsi="黑体" w:eastAsia="黑体" w:cs="黑体"/>
          <w:color w:val="auto"/>
          <w:sz w:val="24"/>
          <w:szCs w:val="24"/>
        </w:rPr>
      </w:pPr>
      <w:r>
        <w:rPr>
          <w:rFonts w:ascii="黑体" w:hAnsi="黑体" w:eastAsia="黑体" w:cs="黑体"/>
          <w:color w:val="auto"/>
          <w:spacing w:val="1"/>
          <w:sz w:val="24"/>
          <w:szCs w:val="24"/>
        </w:rPr>
        <w:t>（一）中标后无正当理由不与采购人签订合同的；</w:t>
      </w:r>
    </w:p>
    <w:p w14:paraId="50A1FBB5">
      <w:pPr>
        <w:spacing w:before="191" w:line="468" w:lineRule="exact"/>
        <w:ind w:right="38"/>
        <w:jc w:val="right"/>
        <w:rPr>
          <w:rFonts w:ascii="黑体" w:hAnsi="黑体" w:eastAsia="黑体" w:cs="黑体"/>
          <w:color w:val="auto"/>
          <w:sz w:val="24"/>
          <w:szCs w:val="24"/>
        </w:rPr>
      </w:pPr>
      <w:r>
        <w:rPr>
          <w:rFonts w:ascii="黑体" w:hAnsi="黑体" w:eastAsia="黑体" w:cs="黑体"/>
          <w:color w:val="auto"/>
          <w:spacing w:val="2"/>
          <w:position w:val="17"/>
          <w:sz w:val="24"/>
          <w:szCs w:val="24"/>
        </w:rPr>
        <w:t>（二）未经采购人同意将中标项目转让给他</w:t>
      </w:r>
      <w:r>
        <w:rPr>
          <w:rFonts w:ascii="黑体" w:hAnsi="黑体" w:eastAsia="黑体" w:cs="黑体"/>
          <w:color w:val="auto"/>
          <w:spacing w:val="1"/>
          <w:position w:val="17"/>
          <w:sz w:val="24"/>
          <w:szCs w:val="24"/>
        </w:rPr>
        <w:t>人，或者将中标项目分包给他人的；</w:t>
      </w:r>
    </w:p>
    <w:p w14:paraId="5EA94090">
      <w:pPr>
        <w:spacing w:before="2" w:line="220" w:lineRule="auto"/>
        <w:ind w:left="509"/>
        <w:rPr>
          <w:rFonts w:ascii="黑体" w:hAnsi="黑体" w:eastAsia="黑体" w:cs="黑体"/>
          <w:color w:val="auto"/>
          <w:sz w:val="24"/>
          <w:szCs w:val="24"/>
        </w:rPr>
      </w:pPr>
      <w:r>
        <w:rPr>
          <w:rFonts w:ascii="黑体" w:hAnsi="黑体" w:eastAsia="黑体" w:cs="黑体"/>
          <w:color w:val="auto"/>
          <w:spacing w:val="-1"/>
          <w:sz w:val="24"/>
          <w:szCs w:val="24"/>
        </w:rPr>
        <w:t>（三）拒绝履行合同义务的。</w:t>
      </w:r>
    </w:p>
    <w:p w14:paraId="0DF58013">
      <w:pPr>
        <w:spacing w:before="180" w:line="360" w:lineRule="auto"/>
        <w:ind w:right="84" w:firstLine="501"/>
        <w:rPr>
          <w:rFonts w:ascii="黑体" w:hAnsi="黑体" w:eastAsia="黑体" w:cs="黑体"/>
          <w:color w:val="auto"/>
          <w:sz w:val="24"/>
          <w:szCs w:val="24"/>
        </w:rPr>
      </w:pPr>
      <w:r>
        <w:rPr>
          <w:rFonts w:ascii="黑体" w:hAnsi="黑体" w:eastAsia="黑体" w:cs="黑体"/>
          <w:color w:val="auto"/>
          <w:spacing w:val="4"/>
          <w:sz w:val="24"/>
          <w:szCs w:val="24"/>
        </w:rPr>
        <w:t>18.3.3如果中标供应商放弃中标项目的，无正</w:t>
      </w:r>
      <w:r>
        <w:rPr>
          <w:rFonts w:ascii="黑体" w:hAnsi="黑体" w:eastAsia="黑体" w:cs="黑体"/>
          <w:color w:val="auto"/>
          <w:spacing w:val="3"/>
          <w:sz w:val="24"/>
          <w:szCs w:val="24"/>
        </w:rPr>
        <w:t>当理由不与采购人签订合同的，</w:t>
      </w:r>
      <w:r>
        <w:rPr>
          <w:rFonts w:ascii="黑体" w:hAnsi="黑体" w:eastAsia="黑体" w:cs="黑体"/>
          <w:color w:val="auto"/>
          <w:spacing w:val="1"/>
          <w:sz w:val="24"/>
          <w:szCs w:val="24"/>
        </w:rPr>
        <w:t>在签订合同时向采购人提出附加条件或者更改合同实质性内容的，或者拒不提交所要</w:t>
      </w:r>
    </w:p>
    <w:p w14:paraId="37B1F753">
      <w:pPr>
        <w:spacing w:before="1" w:line="221" w:lineRule="auto"/>
        <w:ind w:left="3"/>
        <w:rPr>
          <w:rFonts w:ascii="黑体" w:hAnsi="黑体" w:eastAsia="黑体" w:cs="黑体"/>
          <w:color w:val="auto"/>
          <w:sz w:val="24"/>
          <w:szCs w:val="24"/>
        </w:rPr>
      </w:pPr>
      <w:r>
        <w:rPr>
          <w:rFonts w:ascii="黑体" w:hAnsi="黑体" w:eastAsia="黑体" w:cs="黑体"/>
          <w:color w:val="auto"/>
          <w:sz w:val="24"/>
          <w:szCs w:val="24"/>
        </w:rPr>
        <w:t>求的履约保证金的。</w:t>
      </w:r>
    </w:p>
    <w:p w14:paraId="2FC75227">
      <w:pPr>
        <w:spacing w:line="221" w:lineRule="auto"/>
        <w:rPr>
          <w:rFonts w:ascii="黑体" w:hAnsi="黑体" w:eastAsia="黑体" w:cs="黑体"/>
          <w:color w:val="auto"/>
          <w:sz w:val="24"/>
          <w:szCs w:val="24"/>
        </w:rPr>
        <w:sectPr>
          <w:footerReference r:id="rId12" w:type="default"/>
          <w:pgSz w:w="11906" w:h="16839"/>
          <w:pgMar w:top="1431" w:right="1477" w:bottom="1012" w:left="1423" w:header="0" w:footer="850" w:gutter="0"/>
          <w:pgNumType w:fmt="decimal"/>
          <w:cols w:space="720" w:num="1"/>
        </w:sectPr>
      </w:pPr>
    </w:p>
    <w:p w14:paraId="7D072ACA">
      <w:pPr>
        <w:spacing w:before="91" w:line="222" w:lineRule="auto"/>
        <w:jc w:val="center"/>
        <w:rPr>
          <w:rFonts w:ascii="黑体" w:hAnsi="黑体" w:eastAsia="黑体" w:cs="黑体"/>
          <w:color w:val="auto"/>
          <w:sz w:val="28"/>
          <w:szCs w:val="28"/>
        </w:rPr>
      </w:pPr>
      <w:r>
        <w:rPr>
          <w:rFonts w:ascii="黑体" w:hAnsi="黑体" w:eastAsia="黑体" w:cs="黑体"/>
          <w:color w:val="auto"/>
          <w:spacing w:val="-3"/>
          <w:sz w:val="28"/>
          <w:szCs w:val="28"/>
          <w14:textOutline w14:w="5103" w14:cap="sq" w14:cmpd="sng">
            <w14:solidFill>
              <w14:srgbClr w14:val="000000"/>
            </w14:solidFill>
            <w14:prstDash w14:val="solid"/>
            <w14:bevel/>
          </w14:textOutline>
        </w:rPr>
        <w:t>四、响应文件的提交</w:t>
      </w:r>
    </w:p>
    <w:p w14:paraId="729D2C68">
      <w:pPr>
        <w:spacing w:before="230" w:line="468" w:lineRule="exact"/>
        <w:ind w:left="14"/>
        <w:rPr>
          <w:rFonts w:ascii="黑体" w:hAnsi="黑体" w:eastAsia="黑体" w:cs="黑体"/>
          <w:color w:val="auto"/>
          <w:sz w:val="24"/>
          <w:szCs w:val="24"/>
        </w:rPr>
      </w:pPr>
      <w:r>
        <w:rPr>
          <w:rFonts w:ascii="黑体" w:hAnsi="黑体" w:eastAsia="黑体" w:cs="黑体"/>
          <w:color w:val="auto"/>
          <w:spacing w:val="1"/>
          <w:position w:val="17"/>
          <w:sz w:val="24"/>
          <w:szCs w:val="24"/>
          <w14:textOutline w14:w="4358" w14:cap="sq" w14:cmpd="sng">
            <w14:solidFill>
              <w14:srgbClr w14:val="000000"/>
            </w14:solidFill>
            <w14:prstDash w14:val="solid"/>
            <w14:bevel/>
          </w14:textOutline>
        </w:rPr>
        <w:t>19</w:t>
      </w:r>
      <w:r>
        <w:rPr>
          <w:rFonts w:hint="eastAsia" w:ascii="黑体" w:hAnsi="黑体" w:eastAsia="黑体" w:cs="黑体"/>
          <w:color w:val="auto"/>
          <w:spacing w:val="1"/>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position w:val="17"/>
          <w:sz w:val="24"/>
          <w:szCs w:val="24"/>
          <w14:textOutline w14:w="4358" w14:cap="sq" w14:cmpd="sng">
            <w14:solidFill>
              <w14:srgbClr w14:val="000000"/>
            </w14:solidFill>
            <w14:prstDash w14:val="solid"/>
            <w14:bevel/>
          </w14:textOutline>
        </w:rPr>
        <w:t>响应文件的提交详见供应商须知。</w:t>
      </w:r>
    </w:p>
    <w:p w14:paraId="24530078">
      <w:pPr>
        <w:spacing w:line="220" w:lineRule="auto"/>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20</w:t>
      </w:r>
      <w:r>
        <w:rPr>
          <w:rFonts w:hint="eastAsia" w:ascii="黑体" w:hAnsi="黑体" w:eastAsia="黑体" w:cs="黑体"/>
          <w:color w:val="auto"/>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2"/>
          <w:sz w:val="24"/>
          <w:szCs w:val="24"/>
          <w14:textOutline w14:w="4358" w14:cap="sq" w14:cmpd="sng">
            <w14:solidFill>
              <w14:srgbClr w14:val="000000"/>
            </w14:solidFill>
            <w14:prstDash w14:val="solid"/>
            <w14:bevel/>
          </w14:textOutline>
        </w:rPr>
        <w:t>响应文件提交的截止时间</w:t>
      </w:r>
    </w:p>
    <w:p w14:paraId="3302DF3A">
      <w:pPr>
        <w:spacing w:before="182" w:line="220" w:lineRule="auto"/>
        <w:ind w:left="487"/>
        <w:rPr>
          <w:rFonts w:ascii="黑体" w:hAnsi="黑体" w:eastAsia="黑体" w:cs="黑体"/>
          <w:color w:val="auto"/>
          <w:sz w:val="24"/>
          <w:szCs w:val="24"/>
        </w:rPr>
      </w:pPr>
      <w:r>
        <w:rPr>
          <w:rFonts w:ascii="黑体" w:hAnsi="黑体" w:eastAsia="黑体" w:cs="黑体"/>
          <w:color w:val="auto"/>
          <w:spacing w:val="2"/>
          <w:sz w:val="24"/>
          <w:szCs w:val="24"/>
        </w:rPr>
        <w:t>20.1供应商必须在竞争性磋商文件要求提交响应文件的截止时间前提</w:t>
      </w:r>
      <w:r>
        <w:rPr>
          <w:rFonts w:ascii="黑体" w:hAnsi="黑体" w:eastAsia="黑体" w:cs="黑体"/>
          <w:color w:val="auto"/>
          <w:spacing w:val="1"/>
          <w:sz w:val="24"/>
          <w:szCs w:val="24"/>
        </w:rPr>
        <w:t>交。</w:t>
      </w:r>
    </w:p>
    <w:p w14:paraId="72600E5E">
      <w:pPr>
        <w:spacing w:before="181" w:line="468" w:lineRule="exact"/>
        <w:ind w:right="69"/>
        <w:jc w:val="right"/>
        <w:rPr>
          <w:rFonts w:ascii="黑体" w:hAnsi="黑体" w:eastAsia="黑体" w:cs="黑体"/>
          <w:color w:val="auto"/>
          <w:sz w:val="24"/>
          <w:szCs w:val="24"/>
        </w:rPr>
      </w:pPr>
      <w:r>
        <w:rPr>
          <w:rFonts w:ascii="黑体" w:hAnsi="黑体" w:eastAsia="黑体" w:cs="黑体"/>
          <w:color w:val="auto"/>
          <w:spacing w:val="5"/>
          <w:position w:val="17"/>
          <w:sz w:val="24"/>
          <w:szCs w:val="24"/>
        </w:rPr>
        <w:t>20.2在竞争性磋商文件要求提交响应</w:t>
      </w:r>
      <w:r>
        <w:rPr>
          <w:rFonts w:ascii="黑体" w:hAnsi="黑体" w:eastAsia="黑体" w:cs="黑体"/>
          <w:color w:val="auto"/>
          <w:spacing w:val="4"/>
          <w:position w:val="17"/>
          <w:sz w:val="24"/>
          <w:szCs w:val="24"/>
        </w:rPr>
        <w:t>文件的截止时间之后上传的响应文件，为</w:t>
      </w:r>
    </w:p>
    <w:p w14:paraId="0B4F53B3">
      <w:pPr>
        <w:spacing w:before="1" w:line="212" w:lineRule="auto"/>
        <w:ind w:left="6"/>
        <w:rPr>
          <w:rFonts w:ascii="黑体" w:hAnsi="黑体" w:eastAsia="黑体" w:cs="黑体"/>
          <w:color w:val="auto"/>
          <w:sz w:val="24"/>
          <w:szCs w:val="24"/>
        </w:rPr>
      </w:pPr>
      <w:r>
        <w:rPr>
          <w:rFonts w:ascii="黑体" w:hAnsi="黑体" w:eastAsia="黑体" w:cs="黑体"/>
          <w:color w:val="auto"/>
          <w:spacing w:val="1"/>
          <w:sz w:val="24"/>
          <w:szCs w:val="24"/>
        </w:rPr>
        <w:t>无效响应文件，采购人将不予接收。</w:t>
      </w:r>
    </w:p>
    <w:p w14:paraId="2E8A8D9C">
      <w:pPr>
        <w:spacing w:before="191" w:line="222" w:lineRule="auto"/>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21</w:t>
      </w:r>
      <w:r>
        <w:rPr>
          <w:rFonts w:hint="eastAsia" w:ascii="黑体" w:hAnsi="黑体" w:eastAsia="黑体" w:cs="黑体"/>
          <w:color w:val="auto"/>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2"/>
          <w:sz w:val="24"/>
          <w:szCs w:val="24"/>
          <w14:textOutline w14:w="4358" w14:cap="sq" w14:cmpd="sng">
            <w14:solidFill>
              <w14:srgbClr w14:val="000000"/>
            </w14:solidFill>
            <w14:prstDash w14:val="solid"/>
            <w14:bevel/>
          </w14:textOutline>
        </w:rPr>
        <w:t>响应文件的修改和撤回</w:t>
      </w:r>
    </w:p>
    <w:p w14:paraId="079C3447">
      <w:pPr>
        <w:spacing w:before="180" w:line="360" w:lineRule="auto"/>
        <w:ind w:right="84" w:firstLine="487"/>
        <w:rPr>
          <w:rFonts w:ascii="黑体" w:hAnsi="黑体" w:eastAsia="黑体" w:cs="黑体"/>
          <w:color w:val="auto"/>
          <w:sz w:val="24"/>
          <w:szCs w:val="24"/>
        </w:rPr>
      </w:pPr>
      <w:r>
        <w:rPr>
          <w:rFonts w:ascii="黑体" w:hAnsi="黑体" w:eastAsia="黑体" w:cs="黑体"/>
          <w:color w:val="auto"/>
          <w:spacing w:val="4"/>
          <w:sz w:val="24"/>
          <w:szCs w:val="24"/>
        </w:rPr>
        <w:t>21.1供应商在投标截止时间前，可以对所提交的响应文件进行补充、修改或者</w:t>
      </w:r>
      <w:r>
        <w:rPr>
          <w:rFonts w:ascii="黑体" w:hAnsi="黑体" w:eastAsia="黑体" w:cs="黑体"/>
          <w:color w:val="auto"/>
          <w:spacing w:val="1"/>
          <w:sz w:val="24"/>
          <w:szCs w:val="24"/>
        </w:rPr>
        <w:t>撤回。补充、修改的内容应当按竞争性磋商文件要求签署、盖章，并作为响应文件的组成部分。供应商对其响应文件进行的修改或撤回应在竞争性磋商文件规定的投标截</w:t>
      </w:r>
    </w:p>
    <w:p w14:paraId="6106A8A7">
      <w:pPr>
        <w:spacing w:line="222" w:lineRule="auto"/>
        <w:ind w:left="4"/>
        <w:rPr>
          <w:rFonts w:ascii="黑体" w:hAnsi="黑体" w:eastAsia="黑体" w:cs="黑体"/>
          <w:color w:val="auto"/>
          <w:sz w:val="24"/>
          <w:szCs w:val="24"/>
        </w:rPr>
      </w:pPr>
      <w:r>
        <w:rPr>
          <w:rFonts w:ascii="黑体" w:hAnsi="黑体" w:eastAsia="黑体" w:cs="黑体"/>
          <w:color w:val="auto"/>
          <w:spacing w:val="-1"/>
          <w:sz w:val="24"/>
          <w:szCs w:val="24"/>
        </w:rPr>
        <w:t>止时间前送达。</w:t>
      </w:r>
    </w:p>
    <w:p w14:paraId="694709D2">
      <w:pPr>
        <w:spacing w:before="179"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21.2供应商根据竞争性磋商文件载明采购项目的实际情况，拟在中标后将中标</w:t>
      </w:r>
    </w:p>
    <w:p w14:paraId="084C228F">
      <w:pPr>
        <w:spacing w:before="1" w:line="212" w:lineRule="auto"/>
        <w:ind w:left="1"/>
        <w:rPr>
          <w:rFonts w:ascii="黑体" w:hAnsi="黑体" w:eastAsia="黑体" w:cs="黑体"/>
          <w:color w:val="auto"/>
          <w:sz w:val="24"/>
          <w:szCs w:val="24"/>
        </w:rPr>
      </w:pPr>
      <w:r>
        <w:rPr>
          <w:rFonts w:ascii="黑体" w:hAnsi="黑体" w:eastAsia="黑体" w:cs="黑体"/>
          <w:color w:val="auto"/>
          <w:spacing w:val="2"/>
          <w:sz w:val="24"/>
          <w:szCs w:val="24"/>
        </w:rPr>
        <w:t>项目的非主体、非关键性工作交由他人完成的，应当在响应文件中载明。</w:t>
      </w:r>
    </w:p>
    <w:p w14:paraId="381A222E">
      <w:pPr>
        <w:spacing w:before="192" w:line="220" w:lineRule="auto"/>
        <w:ind w:left="487"/>
        <w:rPr>
          <w:rFonts w:ascii="黑体" w:hAnsi="黑体" w:eastAsia="黑体" w:cs="黑体"/>
          <w:color w:val="auto"/>
          <w:sz w:val="24"/>
          <w:szCs w:val="24"/>
        </w:rPr>
      </w:pPr>
      <w:r>
        <w:rPr>
          <w:rFonts w:ascii="黑体" w:hAnsi="黑体" w:eastAsia="黑体" w:cs="黑体"/>
          <w:color w:val="auto"/>
          <w:spacing w:val="1"/>
          <w:sz w:val="24"/>
          <w:szCs w:val="24"/>
        </w:rPr>
        <w:t>21.3投标截止时间后不得修改响应文件。</w:t>
      </w:r>
    </w:p>
    <w:p w14:paraId="0944AD12">
      <w:pPr>
        <w:spacing w:before="181"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21.4供应商不得在投标有效期内撤销响应文件，否则采购人将不予退还其投标</w:t>
      </w:r>
    </w:p>
    <w:p w14:paraId="3C9E4DFE">
      <w:pPr>
        <w:spacing w:before="1" w:line="224" w:lineRule="auto"/>
        <w:rPr>
          <w:rFonts w:ascii="黑体" w:hAnsi="黑体" w:eastAsia="黑体" w:cs="黑体"/>
          <w:color w:val="auto"/>
          <w:sz w:val="24"/>
          <w:szCs w:val="24"/>
        </w:rPr>
      </w:pPr>
      <w:r>
        <w:rPr>
          <w:rFonts w:ascii="黑体" w:hAnsi="黑体" w:eastAsia="黑体" w:cs="黑体"/>
          <w:color w:val="auto"/>
          <w:spacing w:val="-1"/>
          <w:sz w:val="24"/>
          <w:szCs w:val="24"/>
        </w:rPr>
        <w:t>保证金。</w:t>
      </w:r>
    </w:p>
    <w:p w14:paraId="3E2563C2">
      <w:pPr>
        <w:pStyle w:val="5"/>
        <w:spacing w:line="253" w:lineRule="auto"/>
        <w:rPr>
          <w:color w:val="auto"/>
        </w:rPr>
      </w:pPr>
    </w:p>
    <w:p w14:paraId="0EE3A081">
      <w:pPr>
        <w:pStyle w:val="5"/>
        <w:spacing w:line="253" w:lineRule="auto"/>
        <w:rPr>
          <w:color w:val="auto"/>
        </w:rPr>
      </w:pPr>
    </w:p>
    <w:p w14:paraId="17386821">
      <w:pPr>
        <w:pStyle w:val="5"/>
        <w:spacing w:line="254" w:lineRule="auto"/>
        <w:rPr>
          <w:color w:val="auto"/>
        </w:rPr>
      </w:pPr>
    </w:p>
    <w:p w14:paraId="587DF439">
      <w:pPr>
        <w:spacing w:before="92" w:line="225" w:lineRule="auto"/>
        <w:ind w:left="3697"/>
        <w:rPr>
          <w:rFonts w:ascii="黑体" w:hAnsi="黑体" w:eastAsia="黑体" w:cs="黑体"/>
          <w:color w:val="auto"/>
          <w:sz w:val="28"/>
          <w:szCs w:val="28"/>
        </w:rPr>
      </w:pPr>
      <w:r>
        <w:rPr>
          <w:rFonts w:ascii="黑体" w:hAnsi="黑体" w:eastAsia="黑体" w:cs="黑体"/>
          <w:color w:val="auto"/>
          <w:spacing w:val="-14"/>
          <w:sz w:val="28"/>
          <w:szCs w:val="28"/>
          <w14:textOutline w14:w="5103" w14:cap="sq" w14:cmpd="sng">
            <w14:solidFill>
              <w14:srgbClr w14:val="000000"/>
            </w14:solidFill>
            <w14:prstDash w14:val="solid"/>
            <w14:bevel/>
          </w14:textOutline>
        </w:rPr>
        <w:t>五、开标</w:t>
      </w:r>
    </w:p>
    <w:p w14:paraId="2E27D65B">
      <w:pPr>
        <w:spacing w:before="227" w:line="224" w:lineRule="auto"/>
        <w:rPr>
          <w:rFonts w:ascii="黑体" w:hAnsi="黑体" w:eastAsia="黑体" w:cs="黑体"/>
          <w:color w:val="auto"/>
          <w:sz w:val="24"/>
          <w:szCs w:val="24"/>
        </w:rPr>
      </w:pPr>
      <w:r>
        <w:rPr>
          <w:rFonts w:ascii="黑体" w:hAnsi="黑体" w:eastAsia="黑体" w:cs="黑体"/>
          <w:color w:val="auto"/>
          <w:spacing w:val="-4"/>
          <w:sz w:val="24"/>
          <w:szCs w:val="24"/>
          <w14:textOutline w14:w="4358" w14:cap="sq" w14:cmpd="sng">
            <w14:solidFill>
              <w14:srgbClr w14:val="000000"/>
            </w14:solidFill>
            <w14:prstDash w14:val="solid"/>
            <w14:bevel/>
          </w14:textOutline>
        </w:rPr>
        <w:t>22</w:t>
      </w:r>
      <w:r>
        <w:rPr>
          <w:rFonts w:hint="eastAsia" w:ascii="黑体" w:hAnsi="黑体" w:eastAsia="黑体" w:cs="黑体"/>
          <w:color w:val="auto"/>
          <w:spacing w:val="-4"/>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4"/>
          <w:sz w:val="24"/>
          <w:szCs w:val="24"/>
          <w14:textOutline w14:w="4358" w14:cap="sq" w14:cmpd="sng">
            <w14:solidFill>
              <w14:srgbClr w14:val="000000"/>
            </w14:solidFill>
            <w14:prstDash w14:val="solid"/>
            <w14:bevel/>
          </w14:textOutline>
        </w:rPr>
        <w:t>开标</w:t>
      </w:r>
    </w:p>
    <w:p w14:paraId="74572FBE">
      <w:pPr>
        <w:spacing w:before="176"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22.1开标时间为竞争性磋商文件中提交响应文件的截止时间；开标地点为竞争</w:t>
      </w:r>
    </w:p>
    <w:p w14:paraId="16094B68">
      <w:pPr>
        <w:spacing w:before="1" w:line="221" w:lineRule="auto"/>
        <w:ind w:left="1"/>
        <w:rPr>
          <w:rFonts w:ascii="黑体" w:hAnsi="黑体" w:eastAsia="黑体" w:cs="黑体"/>
          <w:color w:val="auto"/>
          <w:sz w:val="24"/>
          <w:szCs w:val="24"/>
        </w:rPr>
      </w:pPr>
      <w:r>
        <w:rPr>
          <w:rFonts w:ascii="黑体" w:hAnsi="黑体" w:eastAsia="黑体" w:cs="黑体"/>
          <w:color w:val="auto"/>
          <w:spacing w:val="1"/>
          <w:sz w:val="24"/>
          <w:szCs w:val="24"/>
        </w:rPr>
        <w:t>性磋商文件中预先确定的地点。</w:t>
      </w:r>
    </w:p>
    <w:p w14:paraId="51EB3FCD">
      <w:pPr>
        <w:spacing w:before="180"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22.2采购代理机构主持，采购人、供应商和有关方面代表参加。投标供应商不</w:t>
      </w:r>
    </w:p>
    <w:p w14:paraId="68A76547">
      <w:pPr>
        <w:spacing w:before="1" w:line="212" w:lineRule="auto"/>
        <w:ind w:left="7"/>
        <w:rPr>
          <w:rFonts w:ascii="黑体" w:hAnsi="黑体" w:eastAsia="黑体" w:cs="黑体"/>
          <w:color w:val="auto"/>
          <w:sz w:val="24"/>
          <w:szCs w:val="24"/>
        </w:rPr>
      </w:pPr>
      <w:r>
        <w:rPr>
          <w:rFonts w:ascii="黑体" w:hAnsi="黑体" w:eastAsia="黑体" w:cs="黑体"/>
          <w:color w:val="auto"/>
          <w:spacing w:val="-3"/>
          <w:sz w:val="24"/>
          <w:szCs w:val="24"/>
        </w:rPr>
        <w:t>足3家的，不得开标。</w:t>
      </w:r>
    </w:p>
    <w:p w14:paraId="1C40DC18">
      <w:pPr>
        <w:spacing w:before="191" w:line="221" w:lineRule="auto"/>
        <w:ind w:left="487"/>
        <w:rPr>
          <w:rFonts w:ascii="黑体" w:hAnsi="黑体" w:eastAsia="黑体" w:cs="黑体"/>
          <w:color w:val="auto"/>
          <w:sz w:val="24"/>
          <w:szCs w:val="24"/>
        </w:rPr>
      </w:pPr>
      <w:r>
        <w:rPr>
          <w:rFonts w:ascii="黑体" w:hAnsi="黑体" w:eastAsia="黑体" w:cs="黑体"/>
          <w:color w:val="auto"/>
          <w:spacing w:val="1"/>
          <w:sz w:val="24"/>
          <w:szCs w:val="24"/>
        </w:rPr>
        <w:t>22.3开标方式：电子开评标</w:t>
      </w:r>
    </w:p>
    <w:p w14:paraId="230118BE">
      <w:pPr>
        <w:spacing w:before="181" w:line="468" w:lineRule="exact"/>
        <w:ind w:left="487"/>
        <w:rPr>
          <w:rFonts w:ascii="黑体" w:hAnsi="黑体" w:eastAsia="黑体" w:cs="黑体"/>
          <w:color w:val="auto"/>
          <w:sz w:val="24"/>
          <w:szCs w:val="24"/>
        </w:rPr>
      </w:pPr>
      <w:r>
        <w:rPr>
          <w:rFonts w:ascii="黑体" w:hAnsi="黑体" w:eastAsia="黑体" w:cs="黑体"/>
          <w:color w:val="auto"/>
          <w:spacing w:val="3"/>
          <w:position w:val="17"/>
          <w:sz w:val="24"/>
          <w:szCs w:val="24"/>
        </w:rPr>
        <w:t>22.3.1开标时间到达后，主持人开启解密标书后，供应商点击【</w:t>
      </w:r>
      <w:r>
        <w:rPr>
          <w:rFonts w:ascii="黑体" w:hAnsi="黑体" w:eastAsia="黑体" w:cs="黑体"/>
          <w:color w:val="auto"/>
          <w:position w:val="17"/>
          <w:sz w:val="24"/>
          <w:szCs w:val="24"/>
        </w:rPr>
        <w:t>CA</w:t>
      </w:r>
      <w:r>
        <w:rPr>
          <w:rFonts w:ascii="黑体" w:hAnsi="黑体" w:eastAsia="黑体" w:cs="黑体"/>
          <w:color w:val="auto"/>
          <w:spacing w:val="3"/>
          <w:position w:val="17"/>
          <w:sz w:val="24"/>
          <w:szCs w:val="24"/>
        </w:rPr>
        <w:t>解密】进行</w:t>
      </w:r>
    </w:p>
    <w:p w14:paraId="0B1AE553">
      <w:pPr>
        <w:spacing w:before="1" w:line="212" w:lineRule="auto"/>
        <w:jc w:val="right"/>
        <w:rPr>
          <w:rFonts w:ascii="黑体" w:hAnsi="黑体" w:eastAsia="黑体" w:cs="黑体"/>
          <w:color w:val="auto"/>
          <w:sz w:val="24"/>
          <w:szCs w:val="24"/>
        </w:rPr>
      </w:pPr>
      <w:r>
        <w:rPr>
          <w:rFonts w:ascii="黑体" w:hAnsi="黑体" w:eastAsia="黑体" w:cs="黑体"/>
          <w:color w:val="auto"/>
          <w:spacing w:val="-3"/>
          <w:sz w:val="24"/>
          <w:szCs w:val="24"/>
        </w:rPr>
        <w:t>解密，超过解密时限，默认供应商自动放弃。解密成功的响应文件的可继续进行</w:t>
      </w:r>
      <w:r>
        <w:rPr>
          <w:rFonts w:ascii="黑体" w:hAnsi="黑体" w:eastAsia="黑体" w:cs="黑体"/>
          <w:color w:val="auto"/>
          <w:spacing w:val="-4"/>
          <w:sz w:val="24"/>
          <w:szCs w:val="24"/>
        </w:rPr>
        <w:t>开标。</w:t>
      </w:r>
    </w:p>
    <w:p w14:paraId="55931E46">
      <w:pPr>
        <w:spacing w:before="191" w:line="213" w:lineRule="auto"/>
        <w:ind w:left="487"/>
        <w:rPr>
          <w:rFonts w:ascii="黑体" w:hAnsi="黑体" w:eastAsia="黑体" w:cs="黑体"/>
          <w:color w:val="auto"/>
          <w:sz w:val="24"/>
          <w:szCs w:val="24"/>
        </w:rPr>
      </w:pPr>
      <w:r>
        <w:rPr>
          <w:rFonts w:ascii="黑体" w:hAnsi="黑体" w:eastAsia="黑体" w:cs="黑体"/>
          <w:color w:val="auto"/>
          <w:spacing w:val="4"/>
          <w:sz w:val="24"/>
          <w:szCs w:val="24"/>
        </w:rPr>
        <w:t>22.3.2若提交响应文件家数少于三家或者开标后成功解密的家数少</w:t>
      </w:r>
      <w:r>
        <w:rPr>
          <w:rFonts w:ascii="黑体" w:hAnsi="黑体" w:eastAsia="黑体" w:cs="黑体"/>
          <w:color w:val="auto"/>
          <w:spacing w:val="3"/>
          <w:sz w:val="24"/>
          <w:szCs w:val="24"/>
        </w:rPr>
        <w:t>于三家的，</w:t>
      </w:r>
    </w:p>
    <w:p w14:paraId="2F20D29E">
      <w:pPr>
        <w:spacing w:line="213" w:lineRule="auto"/>
        <w:rPr>
          <w:rFonts w:ascii="黑体" w:hAnsi="黑体" w:eastAsia="黑体" w:cs="黑体"/>
          <w:color w:val="auto"/>
          <w:sz w:val="24"/>
          <w:szCs w:val="24"/>
        </w:rPr>
        <w:sectPr>
          <w:footerReference r:id="rId13" w:type="default"/>
          <w:pgSz w:w="11906" w:h="16839"/>
          <w:pgMar w:top="1431" w:right="1477" w:bottom="1012" w:left="1423" w:header="0" w:footer="850" w:gutter="0"/>
          <w:pgNumType w:fmt="decimal"/>
          <w:cols w:space="720" w:num="1"/>
        </w:sectPr>
      </w:pPr>
    </w:p>
    <w:p w14:paraId="16307213">
      <w:pPr>
        <w:spacing w:before="100" w:line="222" w:lineRule="auto"/>
        <w:rPr>
          <w:rFonts w:ascii="黑体" w:hAnsi="黑体" w:eastAsia="黑体" w:cs="黑体"/>
          <w:color w:val="auto"/>
          <w:sz w:val="24"/>
          <w:szCs w:val="24"/>
        </w:rPr>
      </w:pPr>
      <w:r>
        <w:rPr>
          <w:rFonts w:ascii="黑体" w:hAnsi="黑体" w:eastAsia="黑体" w:cs="黑体"/>
          <w:color w:val="auto"/>
          <w:spacing w:val="1"/>
          <w:sz w:val="24"/>
          <w:szCs w:val="24"/>
        </w:rPr>
        <w:t>将终止该项目（标项）的开标。</w:t>
      </w:r>
    </w:p>
    <w:p w14:paraId="518F65B3">
      <w:pPr>
        <w:spacing w:before="179"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22.4响应文件报价出现前后不一致的，除竞争性磋商文件另有规定外，按照下</w:t>
      </w:r>
    </w:p>
    <w:p w14:paraId="7C6DA4B4">
      <w:pPr>
        <w:spacing w:line="221" w:lineRule="auto"/>
        <w:ind w:left="4"/>
        <w:rPr>
          <w:rFonts w:ascii="黑体" w:hAnsi="黑体" w:eastAsia="黑体" w:cs="黑体"/>
          <w:color w:val="auto"/>
          <w:sz w:val="24"/>
          <w:szCs w:val="24"/>
        </w:rPr>
      </w:pPr>
      <w:r>
        <w:rPr>
          <w:rFonts w:ascii="黑体" w:hAnsi="黑体" w:eastAsia="黑体" w:cs="黑体"/>
          <w:color w:val="auto"/>
          <w:spacing w:val="-1"/>
          <w:sz w:val="24"/>
          <w:szCs w:val="24"/>
        </w:rPr>
        <w:t>列规定修正：</w:t>
      </w:r>
    </w:p>
    <w:p w14:paraId="66485B68">
      <w:pPr>
        <w:spacing w:before="179" w:line="222" w:lineRule="auto"/>
        <w:ind w:left="487"/>
        <w:rPr>
          <w:rFonts w:ascii="黑体" w:hAnsi="黑体" w:eastAsia="黑体" w:cs="黑体"/>
          <w:color w:val="auto"/>
          <w:sz w:val="24"/>
          <w:szCs w:val="24"/>
        </w:rPr>
      </w:pPr>
      <w:r>
        <w:rPr>
          <w:rFonts w:ascii="黑体" w:hAnsi="黑体" w:eastAsia="黑体" w:cs="黑体"/>
          <w:color w:val="auto"/>
          <w:spacing w:val="-1"/>
          <w:sz w:val="24"/>
          <w:szCs w:val="24"/>
        </w:rPr>
        <w:t>22.4.1响应文件中开标一览表（报价一览表）内容与响应文件中相应内容不一致</w:t>
      </w:r>
    </w:p>
    <w:p w14:paraId="43C11CA6">
      <w:pPr>
        <w:spacing w:before="180" w:line="213" w:lineRule="auto"/>
        <w:ind w:left="15"/>
        <w:rPr>
          <w:rFonts w:ascii="黑体" w:hAnsi="黑体" w:eastAsia="黑体" w:cs="黑体"/>
          <w:color w:val="auto"/>
          <w:sz w:val="24"/>
          <w:szCs w:val="24"/>
        </w:rPr>
      </w:pPr>
      <w:r>
        <w:rPr>
          <w:rFonts w:ascii="黑体" w:hAnsi="黑体" w:eastAsia="黑体" w:cs="黑体"/>
          <w:color w:val="auto"/>
          <w:spacing w:val="1"/>
          <w:sz w:val="24"/>
          <w:szCs w:val="24"/>
        </w:rPr>
        <w:t>的，以开标一览表（报价一览表）为准；</w:t>
      </w:r>
    </w:p>
    <w:p w14:paraId="5CC060DA">
      <w:pPr>
        <w:spacing w:before="191" w:line="213" w:lineRule="auto"/>
        <w:ind w:left="487"/>
        <w:rPr>
          <w:rFonts w:ascii="黑体" w:hAnsi="黑体" w:eastAsia="黑体" w:cs="黑体"/>
          <w:color w:val="auto"/>
          <w:sz w:val="24"/>
          <w:szCs w:val="24"/>
        </w:rPr>
      </w:pPr>
      <w:r>
        <w:rPr>
          <w:rFonts w:ascii="黑体" w:hAnsi="黑体" w:eastAsia="黑体" w:cs="黑体"/>
          <w:color w:val="auto"/>
          <w:spacing w:val="1"/>
          <w:sz w:val="24"/>
          <w:szCs w:val="24"/>
        </w:rPr>
        <w:t>22.4.2大写金额和小写金额不一致的，以大写金额为准；</w:t>
      </w:r>
    </w:p>
    <w:p w14:paraId="0D64B963">
      <w:pPr>
        <w:spacing w:before="191" w:line="468" w:lineRule="exact"/>
        <w:jc w:val="right"/>
        <w:rPr>
          <w:rFonts w:ascii="黑体" w:hAnsi="黑体" w:eastAsia="黑体" w:cs="黑体"/>
          <w:color w:val="auto"/>
          <w:sz w:val="24"/>
          <w:szCs w:val="24"/>
        </w:rPr>
      </w:pPr>
      <w:r>
        <w:rPr>
          <w:rFonts w:ascii="黑体" w:hAnsi="黑体" w:eastAsia="黑体" w:cs="黑体"/>
          <w:color w:val="auto"/>
          <w:spacing w:val="1"/>
          <w:position w:val="17"/>
          <w:sz w:val="24"/>
          <w:szCs w:val="24"/>
        </w:rPr>
        <w:t>22.4.3单价金额小数点或者百分比有明显错位的，以开标一览表（</w:t>
      </w:r>
      <w:r>
        <w:rPr>
          <w:rFonts w:ascii="黑体" w:hAnsi="黑体" w:eastAsia="黑体" w:cs="黑体"/>
          <w:color w:val="auto"/>
          <w:position w:val="17"/>
          <w:sz w:val="24"/>
          <w:szCs w:val="24"/>
        </w:rPr>
        <w:t>报价一览表）</w:t>
      </w:r>
    </w:p>
    <w:p w14:paraId="2AF0AC59">
      <w:pPr>
        <w:spacing w:before="2" w:line="212" w:lineRule="auto"/>
        <w:ind w:left="15"/>
        <w:rPr>
          <w:rFonts w:ascii="黑体" w:hAnsi="黑体" w:eastAsia="黑体" w:cs="黑体"/>
          <w:color w:val="auto"/>
          <w:sz w:val="24"/>
          <w:szCs w:val="24"/>
        </w:rPr>
      </w:pPr>
      <w:r>
        <w:rPr>
          <w:rFonts w:ascii="黑体" w:hAnsi="黑体" w:eastAsia="黑体" w:cs="黑体"/>
          <w:color w:val="auto"/>
          <w:sz w:val="24"/>
          <w:szCs w:val="24"/>
        </w:rPr>
        <w:t>的总价为准，并修改单价；</w:t>
      </w:r>
    </w:p>
    <w:p w14:paraId="4F2D97B1">
      <w:pPr>
        <w:spacing w:before="191" w:line="213" w:lineRule="auto"/>
        <w:ind w:left="487"/>
        <w:rPr>
          <w:rFonts w:ascii="黑体" w:hAnsi="黑体" w:eastAsia="黑体" w:cs="黑体"/>
          <w:color w:val="auto"/>
          <w:sz w:val="24"/>
          <w:szCs w:val="24"/>
        </w:rPr>
      </w:pPr>
      <w:r>
        <w:rPr>
          <w:rFonts w:ascii="黑体" w:hAnsi="黑体" w:eastAsia="黑体" w:cs="黑体"/>
          <w:color w:val="auto"/>
          <w:spacing w:val="1"/>
          <w:sz w:val="24"/>
          <w:szCs w:val="24"/>
        </w:rPr>
        <w:t>22.4.4总价金额与按单价汇总金额不一致的，以单价金额计算结果为准。</w:t>
      </w:r>
    </w:p>
    <w:p w14:paraId="77C93BC8">
      <w:pPr>
        <w:spacing w:before="191" w:line="213" w:lineRule="auto"/>
        <w:ind w:left="443"/>
        <w:rPr>
          <w:rFonts w:ascii="黑体" w:hAnsi="黑体" w:eastAsia="黑体" w:cs="黑体"/>
          <w:color w:val="auto"/>
          <w:sz w:val="24"/>
          <w:szCs w:val="24"/>
        </w:rPr>
      </w:pPr>
      <w:r>
        <w:rPr>
          <w:rFonts w:ascii="黑体" w:hAnsi="黑体" w:eastAsia="黑体" w:cs="黑体"/>
          <w:color w:val="auto"/>
          <w:spacing w:val="-17"/>
          <w:sz w:val="24"/>
          <w:szCs w:val="24"/>
        </w:rPr>
        <w:t>22.4.5对不同文字文本响应文件的解释发生异议的，以中文文本为准。</w:t>
      </w:r>
    </w:p>
    <w:p w14:paraId="75A1F559">
      <w:pPr>
        <w:spacing w:before="191" w:line="468" w:lineRule="exact"/>
        <w:ind w:right="66"/>
        <w:jc w:val="right"/>
        <w:rPr>
          <w:rFonts w:ascii="黑体" w:hAnsi="黑体" w:eastAsia="黑体" w:cs="黑体"/>
          <w:color w:val="auto"/>
          <w:sz w:val="24"/>
          <w:szCs w:val="24"/>
        </w:rPr>
      </w:pPr>
      <w:r>
        <w:rPr>
          <w:rFonts w:ascii="黑体" w:hAnsi="黑体" w:eastAsia="黑体" w:cs="黑体"/>
          <w:color w:val="auto"/>
          <w:spacing w:val="4"/>
          <w:position w:val="17"/>
          <w:sz w:val="24"/>
          <w:szCs w:val="24"/>
        </w:rPr>
        <w:t>22.5对未按照本竞争性磋商文件要求进行投标及资格审查不合格的供应商，其</w:t>
      </w:r>
    </w:p>
    <w:p w14:paraId="13AB5FC2">
      <w:pPr>
        <w:spacing w:before="1" w:line="220" w:lineRule="auto"/>
        <w:ind w:left="11"/>
        <w:rPr>
          <w:rFonts w:ascii="黑体" w:hAnsi="黑体" w:eastAsia="黑体" w:cs="黑体"/>
          <w:color w:val="auto"/>
          <w:sz w:val="24"/>
          <w:szCs w:val="24"/>
        </w:rPr>
      </w:pPr>
      <w:r>
        <w:rPr>
          <w:rFonts w:ascii="黑体" w:hAnsi="黑体" w:eastAsia="黑体" w:cs="黑体"/>
          <w:color w:val="auto"/>
          <w:sz w:val="24"/>
          <w:szCs w:val="24"/>
        </w:rPr>
        <w:t>响应文件将按无效投标处理。</w:t>
      </w:r>
    </w:p>
    <w:p w14:paraId="6BF40C75">
      <w:pPr>
        <w:spacing w:before="181" w:line="468" w:lineRule="exact"/>
        <w:ind w:right="66"/>
        <w:jc w:val="right"/>
        <w:rPr>
          <w:rFonts w:ascii="黑体" w:hAnsi="黑体" w:eastAsia="黑体" w:cs="黑体"/>
          <w:color w:val="auto"/>
          <w:sz w:val="24"/>
          <w:szCs w:val="24"/>
        </w:rPr>
      </w:pPr>
      <w:r>
        <w:rPr>
          <w:rFonts w:ascii="黑体" w:hAnsi="黑体" w:eastAsia="黑体" w:cs="黑体"/>
          <w:color w:val="auto"/>
          <w:spacing w:val="4"/>
          <w:position w:val="17"/>
          <w:sz w:val="24"/>
          <w:szCs w:val="24"/>
        </w:rPr>
        <w:t>22.6供应商之间不得相互串通投标报价，不得妨碍其他供应商的公平竞争，不</w:t>
      </w:r>
    </w:p>
    <w:p w14:paraId="46377D3A">
      <w:pPr>
        <w:spacing w:before="1" w:line="221" w:lineRule="auto"/>
        <w:ind w:left="2"/>
        <w:rPr>
          <w:rFonts w:ascii="黑体" w:hAnsi="黑体" w:eastAsia="黑体" w:cs="黑体"/>
          <w:color w:val="auto"/>
          <w:sz w:val="24"/>
          <w:szCs w:val="24"/>
        </w:rPr>
      </w:pPr>
      <w:r>
        <w:rPr>
          <w:rFonts w:ascii="黑体" w:hAnsi="黑体" w:eastAsia="黑体" w:cs="黑体"/>
          <w:color w:val="auto"/>
          <w:spacing w:val="1"/>
          <w:sz w:val="24"/>
          <w:szCs w:val="24"/>
        </w:rPr>
        <w:t>得损害采购人或者其他供应商的合法权益。</w:t>
      </w:r>
    </w:p>
    <w:p w14:paraId="66622B30">
      <w:pPr>
        <w:spacing w:before="180"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22.7供应商不得向采购人、评标委员会成员行贿或者采取其他不正当手段谋取</w:t>
      </w:r>
    </w:p>
    <w:p w14:paraId="135873F8">
      <w:pPr>
        <w:spacing w:before="1" w:line="223" w:lineRule="auto"/>
        <w:ind w:left="20"/>
        <w:rPr>
          <w:rFonts w:ascii="黑体" w:hAnsi="黑体" w:eastAsia="黑体" w:cs="黑体"/>
          <w:color w:val="auto"/>
          <w:sz w:val="24"/>
          <w:szCs w:val="24"/>
        </w:rPr>
      </w:pPr>
      <w:r>
        <w:rPr>
          <w:rFonts w:ascii="黑体" w:hAnsi="黑体" w:eastAsia="黑体" w:cs="黑体"/>
          <w:color w:val="auto"/>
          <w:spacing w:val="-9"/>
          <w:sz w:val="24"/>
          <w:szCs w:val="24"/>
        </w:rPr>
        <w:t>中标。</w:t>
      </w:r>
    </w:p>
    <w:p w14:paraId="5524EDBF">
      <w:pPr>
        <w:pStyle w:val="5"/>
        <w:spacing w:line="253" w:lineRule="auto"/>
        <w:rPr>
          <w:color w:val="auto"/>
        </w:rPr>
      </w:pPr>
    </w:p>
    <w:p w14:paraId="5FF31B82">
      <w:pPr>
        <w:pStyle w:val="5"/>
        <w:spacing w:line="254" w:lineRule="auto"/>
        <w:rPr>
          <w:color w:val="auto"/>
        </w:rPr>
      </w:pPr>
    </w:p>
    <w:p w14:paraId="6875DA50">
      <w:pPr>
        <w:pStyle w:val="5"/>
        <w:spacing w:line="254" w:lineRule="auto"/>
        <w:rPr>
          <w:color w:val="auto"/>
        </w:rPr>
      </w:pPr>
    </w:p>
    <w:p w14:paraId="6791C53A">
      <w:pPr>
        <w:spacing w:before="91" w:line="222" w:lineRule="auto"/>
        <w:ind w:left="3413"/>
        <w:rPr>
          <w:rFonts w:ascii="黑体" w:hAnsi="黑体" w:eastAsia="黑体" w:cs="黑体"/>
          <w:color w:val="auto"/>
          <w:sz w:val="28"/>
          <w:szCs w:val="28"/>
        </w:rPr>
      </w:pPr>
      <w:r>
        <w:rPr>
          <w:rFonts w:ascii="黑体" w:hAnsi="黑体" w:eastAsia="黑体" w:cs="黑体"/>
          <w:color w:val="auto"/>
          <w:sz w:val="28"/>
          <w:szCs w:val="28"/>
          <w14:textOutline w14:w="5103" w14:cap="sq" w14:cmpd="sng">
            <w14:solidFill>
              <w14:srgbClr w14:val="000000"/>
            </w14:solidFill>
            <w14:prstDash w14:val="solid"/>
            <w14:bevel/>
          </w14:textOutline>
        </w:rPr>
        <w:t>六、评标、定标</w:t>
      </w:r>
    </w:p>
    <w:p w14:paraId="43D02198">
      <w:pPr>
        <w:spacing w:before="231" w:line="222" w:lineRule="auto"/>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23</w:t>
      </w:r>
      <w:r>
        <w:rPr>
          <w:rFonts w:hint="eastAsia" w:ascii="黑体" w:hAnsi="黑体" w:eastAsia="黑体" w:cs="黑体"/>
          <w:color w:val="auto"/>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3"/>
          <w:sz w:val="24"/>
          <w:szCs w:val="24"/>
          <w14:textOutline w14:w="4358" w14:cap="sq" w14:cmpd="sng">
            <w14:solidFill>
              <w14:srgbClr w14:val="000000"/>
            </w14:solidFill>
            <w14:prstDash w14:val="solid"/>
            <w14:bevel/>
          </w14:textOutline>
        </w:rPr>
        <w:t>评标</w:t>
      </w:r>
    </w:p>
    <w:p w14:paraId="58806BB3">
      <w:pPr>
        <w:spacing w:before="180" w:line="221" w:lineRule="auto"/>
        <w:ind w:left="487"/>
        <w:rPr>
          <w:rFonts w:ascii="黑体" w:hAnsi="黑体" w:eastAsia="黑体" w:cs="黑体"/>
          <w:color w:val="auto"/>
          <w:sz w:val="24"/>
          <w:szCs w:val="24"/>
        </w:rPr>
      </w:pPr>
      <w:r>
        <w:rPr>
          <w:rFonts w:ascii="黑体" w:hAnsi="黑体" w:eastAsia="黑体" w:cs="黑体"/>
          <w:color w:val="auto"/>
          <w:spacing w:val="-1"/>
          <w:sz w:val="24"/>
          <w:szCs w:val="24"/>
        </w:rPr>
        <w:t>23.1评标委员会</w:t>
      </w:r>
    </w:p>
    <w:p w14:paraId="7A4BA927">
      <w:pPr>
        <w:spacing w:before="181" w:line="360" w:lineRule="auto"/>
        <w:ind w:left="2" w:right="78" w:firstLine="484"/>
        <w:rPr>
          <w:rFonts w:ascii="黑体" w:hAnsi="黑体" w:eastAsia="黑体" w:cs="黑体"/>
          <w:color w:val="auto"/>
          <w:sz w:val="24"/>
          <w:szCs w:val="24"/>
        </w:rPr>
      </w:pPr>
      <w:r>
        <w:rPr>
          <w:rFonts w:ascii="黑体" w:hAnsi="黑体" w:eastAsia="黑体" w:cs="黑体"/>
          <w:color w:val="auto"/>
          <w:spacing w:val="3"/>
          <w:sz w:val="24"/>
          <w:szCs w:val="24"/>
        </w:rPr>
        <w:t>23.1.1评标委员会由采购人代表和评审专家组成，成员人数应当为3人以上单数，其中评审专家不得少于成员总数的三分之二。采购预算金</w:t>
      </w:r>
      <w:r>
        <w:rPr>
          <w:rFonts w:ascii="黑体" w:hAnsi="黑体" w:eastAsia="黑体" w:cs="黑体"/>
          <w:color w:val="auto"/>
          <w:spacing w:val="2"/>
          <w:sz w:val="24"/>
          <w:szCs w:val="24"/>
        </w:rPr>
        <w:t>额在1000万元以上、</w:t>
      </w:r>
    </w:p>
    <w:p w14:paraId="1FBE64FA">
      <w:pPr>
        <w:spacing w:before="1" w:line="212" w:lineRule="auto"/>
        <w:ind w:left="1"/>
        <w:rPr>
          <w:rFonts w:ascii="黑体" w:hAnsi="黑体" w:eastAsia="黑体" w:cs="黑体"/>
          <w:color w:val="auto"/>
          <w:sz w:val="24"/>
          <w:szCs w:val="24"/>
        </w:rPr>
      </w:pPr>
      <w:r>
        <w:rPr>
          <w:rFonts w:ascii="黑体" w:hAnsi="黑体" w:eastAsia="黑体" w:cs="黑体"/>
          <w:color w:val="auto"/>
          <w:spacing w:val="1"/>
          <w:sz w:val="24"/>
          <w:szCs w:val="24"/>
        </w:rPr>
        <w:t>技术复杂、社会影响较大的采购项目，评标委员会成员人数应当为5人以上单数。</w:t>
      </w:r>
    </w:p>
    <w:p w14:paraId="77787CA6">
      <w:pPr>
        <w:spacing w:before="191" w:line="468" w:lineRule="exact"/>
        <w:ind w:right="37"/>
        <w:jc w:val="right"/>
        <w:rPr>
          <w:rFonts w:ascii="黑体" w:hAnsi="黑体" w:eastAsia="黑体" w:cs="黑体"/>
          <w:color w:val="auto"/>
          <w:sz w:val="24"/>
          <w:szCs w:val="24"/>
        </w:rPr>
      </w:pPr>
      <w:r>
        <w:rPr>
          <w:rFonts w:ascii="黑体" w:hAnsi="黑体" w:eastAsia="黑体" w:cs="黑体"/>
          <w:color w:val="auto"/>
          <w:spacing w:val="-17"/>
          <w:position w:val="17"/>
          <w:sz w:val="24"/>
          <w:szCs w:val="24"/>
        </w:rPr>
        <w:t>23.1.2评审专家对本单位的采购项目只能作为采购人代表参与评</w:t>
      </w:r>
      <w:r>
        <w:rPr>
          <w:rFonts w:ascii="黑体" w:hAnsi="黑体" w:eastAsia="黑体" w:cs="黑体"/>
          <w:color w:val="auto"/>
          <w:spacing w:val="-18"/>
          <w:position w:val="17"/>
          <w:sz w:val="24"/>
          <w:szCs w:val="24"/>
        </w:rPr>
        <w:t>标，采购代理机构工作</w:t>
      </w:r>
    </w:p>
    <w:p w14:paraId="1B82CF7E">
      <w:pPr>
        <w:spacing w:before="1" w:line="220" w:lineRule="auto"/>
        <w:ind w:left="5"/>
        <w:rPr>
          <w:rFonts w:ascii="黑体" w:hAnsi="黑体" w:eastAsia="黑体" w:cs="黑体"/>
          <w:color w:val="auto"/>
          <w:sz w:val="24"/>
          <w:szCs w:val="24"/>
        </w:rPr>
      </w:pPr>
      <w:r>
        <w:rPr>
          <w:rFonts w:ascii="黑体" w:hAnsi="黑体" w:eastAsia="黑体" w:cs="黑体"/>
          <w:color w:val="auto"/>
          <w:spacing w:val="-19"/>
          <w:sz w:val="24"/>
          <w:szCs w:val="24"/>
        </w:rPr>
        <w:t>人员不得参加由本机构代理的政府采购项目的评标。</w:t>
      </w:r>
    </w:p>
    <w:p w14:paraId="2BD5EF3B">
      <w:pPr>
        <w:spacing w:before="181"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23.1.3采购人就竞争性磋商文件征询过意见的专家，不得再作为评标专家参加</w:t>
      </w:r>
    </w:p>
    <w:p w14:paraId="698557AB">
      <w:pPr>
        <w:spacing w:before="1" w:line="220" w:lineRule="auto"/>
        <w:rPr>
          <w:rFonts w:ascii="黑体" w:hAnsi="黑体" w:eastAsia="黑体" w:cs="黑体"/>
          <w:color w:val="auto"/>
          <w:sz w:val="24"/>
          <w:szCs w:val="24"/>
        </w:rPr>
      </w:pPr>
      <w:r>
        <w:rPr>
          <w:rFonts w:ascii="黑体" w:hAnsi="黑体" w:eastAsia="黑体" w:cs="黑体"/>
          <w:color w:val="auto"/>
          <w:spacing w:val="2"/>
          <w:sz w:val="24"/>
          <w:szCs w:val="24"/>
        </w:rPr>
        <w:t>评标。采购代理机构工作人员不得参加由本机构代理的政府采购项目的评标。</w:t>
      </w:r>
    </w:p>
    <w:p w14:paraId="3D1B6B5F">
      <w:pPr>
        <w:spacing w:before="181"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14:textOutline w14:w="4358" w14:cap="sq" w14:cmpd="sng">
            <w14:solidFill>
              <w14:srgbClr w14:val="000000"/>
            </w14:solidFill>
            <w14:prstDash w14:val="solid"/>
            <w14:bevel/>
          </w14:textOutline>
        </w:rPr>
        <w:t>23.1.4采购人委托代表参加评标委员会，向采购代理机构出具授权函，采购人</w:t>
      </w:r>
    </w:p>
    <w:p w14:paraId="470F4692">
      <w:pPr>
        <w:spacing w:before="1" w:line="220" w:lineRule="auto"/>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代表不得担任评标委员会主任委员。</w:t>
      </w:r>
    </w:p>
    <w:p w14:paraId="07A15792">
      <w:pPr>
        <w:spacing w:line="220" w:lineRule="auto"/>
        <w:rPr>
          <w:rFonts w:ascii="黑体" w:hAnsi="黑体" w:eastAsia="黑体" w:cs="黑体"/>
          <w:color w:val="auto"/>
          <w:sz w:val="24"/>
          <w:szCs w:val="24"/>
        </w:rPr>
        <w:sectPr>
          <w:footerReference r:id="rId14" w:type="default"/>
          <w:pgSz w:w="11906" w:h="16839"/>
          <w:pgMar w:top="1431" w:right="1483" w:bottom="1012" w:left="1423" w:header="0" w:footer="850" w:gutter="0"/>
          <w:pgNumType w:fmt="decimal"/>
          <w:cols w:space="720" w:num="1"/>
        </w:sectPr>
      </w:pPr>
    </w:p>
    <w:p w14:paraId="17F52DF2">
      <w:pPr>
        <w:spacing w:before="101" w:line="468" w:lineRule="exact"/>
        <w:ind w:left="487"/>
        <w:rPr>
          <w:rFonts w:ascii="黑体" w:hAnsi="黑体" w:eastAsia="黑体" w:cs="黑体"/>
          <w:color w:val="auto"/>
          <w:sz w:val="24"/>
          <w:szCs w:val="24"/>
        </w:rPr>
      </w:pPr>
      <w:r>
        <w:rPr>
          <w:rFonts w:ascii="黑体" w:hAnsi="黑体" w:eastAsia="黑体" w:cs="黑体"/>
          <w:color w:val="auto"/>
          <w:position w:val="17"/>
          <w:sz w:val="24"/>
          <w:szCs w:val="24"/>
          <w14:textOutline w14:w="4358" w14:cap="sq" w14:cmpd="sng">
            <w14:solidFill>
              <w14:srgbClr w14:val="000000"/>
            </w14:solidFill>
            <w14:prstDash w14:val="solid"/>
            <w14:bevel/>
          </w14:textOutline>
        </w:rPr>
        <w:t>采购人委派的评标人员进入评标现场不得超过2人，其他无关人员不得进入评标</w:t>
      </w:r>
    </w:p>
    <w:p w14:paraId="5FF2ACF5">
      <w:pPr>
        <w:spacing w:line="221" w:lineRule="auto"/>
        <w:ind w:left="1"/>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现场。</w:t>
      </w:r>
    </w:p>
    <w:p w14:paraId="48EDD32D">
      <w:pPr>
        <w:spacing w:before="179"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23.1.5评标委员会成员由采购代理在政采云评审专家库中，通过随机方式抽取</w:t>
      </w:r>
    </w:p>
    <w:p w14:paraId="1769A83F">
      <w:pPr>
        <w:spacing w:before="1" w:line="212" w:lineRule="auto"/>
        <w:rPr>
          <w:rFonts w:ascii="黑体" w:hAnsi="黑体" w:eastAsia="黑体" w:cs="黑体"/>
          <w:color w:val="auto"/>
          <w:sz w:val="24"/>
          <w:szCs w:val="24"/>
        </w:rPr>
      </w:pPr>
      <w:r>
        <w:rPr>
          <w:rFonts w:ascii="黑体" w:hAnsi="黑体" w:eastAsia="黑体" w:cs="黑体"/>
          <w:color w:val="auto"/>
          <w:spacing w:val="2"/>
          <w:sz w:val="24"/>
          <w:szCs w:val="24"/>
        </w:rPr>
        <w:t>评标专家，评标委员会成员名单在评标结果公告前应当保密。</w:t>
      </w:r>
    </w:p>
    <w:p w14:paraId="079318ED">
      <w:pPr>
        <w:spacing w:before="191"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23.1.6评标委员会成员应认真执行相关法规规定，同时维护采购人与供应商的</w:t>
      </w:r>
    </w:p>
    <w:p w14:paraId="2E2F2653">
      <w:pPr>
        <w:spacing w:line="223" w:lineRule="auto"/>
        <w:ind w:left="2"/>
        <w:rPr>
          <w:rFonts w:ascii="黑体" w:hAnsi="黑体" w:eastAsia="黑体" w:cs="黑体"/>
          <w:color w:val="auto"/>
          <w:sz w:val="24"/>
          <w:szCs w:val="24"/>
        </w:rPr>
      </w:pPr>
      <w:r>
        <w:rPr>
          <w:rFonts w:ascii="黑体" w:hAnsi="黑体" w:eastAsia="黑体" w:cs="黑体"/>
          <w:color w:val="auto"/>
          <w:spacing w:val="-1"/>
          <w:sz w:val="24"/>
          <w:szCs w:val="24"/>
        </w:rPr>
        <w:t>合法权益。</w:t>
      </w:r>
    </w:p>
    <w:p w14:paraId="7E5DF0F1">
      <w:pPr>
        <w:spacing w:before="177" w:line="222" w:lineRule="auto"/>
        <w:ind w:left="487"/>
        <w:rPr>
          <w:rFonts w:ascii="黑体" w:hAnsi="黑体" w:eastAsia="黑体" w:cs="黑体"/>
          <w:color w:val="auto"/>
          <w:sz w:val="24"/>
          <w:szCs w:val="24"/>
        </w:rPr>
      </w:pPr>
      <w:r>
        <w:rPr>
          <w:rFonts w:ascii="黑体" w:hAnsi="黑体" w:eastAsia="黑体" w:cs="黑体"/>
          <w:color w:val="auto"/>
          <w:spacing w:val="1"/>
          <w:sz w:val="24"/>
          <w:szCs w:val="24"/>
        </w:rPr>
        <w:t>23.1.7评标的依据为竞争性磋商文件和响应文件。</w:t>
      </w:r>
    </w:p>
    <w:p w14:paraId="0B4C578A">
      <w:pPr>
        <w:spacing w:before="180"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23.1.6评标中评标委员会成员若发生意见分歧，通过书面表决形式，以少数服</w:t>
      </w:r>
    </w:p>
    <w:p w14:paraId="7A91E689">
      <w:pPr>
        <w:spacing w:before="1" w:line="221" w:lineRule="auto"/>
        <w:ind w:left="1"/>
        <w:rPr>
          <w:rFonts w:ascii="黑体" w:hAnsi="黑体" w:eastAsia="黑体" w:cs="黑体"/>
          <w:color w:val="auto"/>
          <w:sz w:val="24"/>
          <w:szCs w:val="24"/>
        </w:rPr>
      </w:pPr>
      <w:r>
        <w:rPr>
          <w:rFonts w:ascii="黑体" w:hAnsi="黑体" w:eastAsia="黑体" w:cs="黑体"/>
          <w:color w:val="auto"/>
          <w:spacing w:val="1"/>
          <w:sz w:val="24"/>
          <w:szCs w:val="24"/>
        </w:rPr>
        <w:t>从多数为原则决定。</w:t>
      </w:r>
    </w:p>
    <w:p w14:paraId="6A0CFA66">
      <w:pPr>
        <w:spacing w:before="179" w:line="222" w:lineRule="auto"/>
        <w:ind w:left="487"/>
        <w:rPr>
          <w:rFonts w:ascii="黑体" w:hAnsi="黑体" w:eastAsia="黑体" w:cs="黑体"/>
          <w:color w:val="auto"/>
          <w:sz w:val="24"/>
          <w:szCs w:val="24"/>
        </w:rPr>
      </w:pPr>
      <w:r>
        <w:rPr>
          <w:rFonts w:ascii="黑体" w:hAnsi="黑体" w:eastAsia="黑体" w:cs="黑体"/>
          <w:color w:val="auto"/>
          <w:sz w:val="24"/>
          <w:szCs w:val="24"/>
        </w:rPr>
        <w:t>23.2评标纪律</w:t>
      </w:r>
    </w:p>
    <w:p w14:paraId="0FAE6558">
      <w:pPr>
        <w:spacing w:before="180"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23.2.1要严格遵守评审时间，主动出具身份证明，遵守评审工作纪律和评审回</w:t>
      </w:r>
    </w:p>
    <w:p w14:paraId="0CFBBB82">
      <w:pPr>
        <w:spacing w:line="223" w:lineRule="auto"/>
        <w:rPr>
          <w:rFonts w:ascii="黑体" w:hAnsi="黑体" w:eastAsia="黑体" w:cs="黑体"/>
          <w:color w:val="auto"/>
          <w:sz w:val="24"/>
          <w:szCs w:val="24"/>
        </w:rPr>
      </w:pPr>
      <w:r>
        <w:rPr>
          <w:rFonts w:ascii="黑体" w:hAnsi="黑体" w:eastAsia="黑体" w:cs="黑体"/>
          <w:color w:val="auto"/>
          <w:sz w:val="24"/>
          <w:szCs w:val="24"/>
        </w:rPr>
        <w:t>避的相关规定。</w:t>
      </w:r>
    </w:p>
    <w:p w14:paraId="42E65EC8">
      <w:pPr>
        <w:spacing w:before="179" w:line="360" w:lineRule="auto"/>
        <w:ind w:right="82" w:firstLine="487"/>
        <w:rPr>
          <w:rFonts w:ascii="黑体" w:hAnsi="黑体" w:eastAsia="黑体" w:cs="黑体"/>
          <w:color w:val="auto"/>
          <w:sz w:val="24"/>
          <w:szCs w:val="24"/>
        </w:rPr>
      </w:pPr>
      <w:r>
        <w:rPr>
          <w:rFonts w:ascii="黑体" w:hAnsi="黑体" w:eastAsia="黑体" w:cs="黑体"/>
          <w:color w:val="auto"/>
          <w:spacing w:val="4"/>
          <w:sz w:val="24"/>
          <w:szCs w:val="24"/>
        </w:rPr>
        <w:t>23.2.2在评审工作开始前，将手机等通讯工具或相关电子设备交由采购人或采</w:t>
      </w:r>
      <w:r>
        <w:rPr>
          <w:rFonts w:ascii="黑体" w:hAnsi="黑体" w:eastAsia="黑体" w:cs="黑体"/>
          <w:color w:val="auto"/>
          <w:spacing w:val="1"/>
          <w:sz w:val="24"/>
          <w:szCs w:val="24"/>
        </w:rPr>
        <w:t>购代理机构统一保管，拒不上交的，采购人或采购代理机构可以拒绝其参加评审工作</w:t>
      </w:r>
    </w:p>
    <w:p w14:paraId="1A1C60DE">
      <w:pPr>
        <w:spacing w:line="222" w:lineRule="auto"/>
        <w:ind w:left="4"/>
        <w:rPr>
          <w:rFonts w:ascii="黑体" w:hAnsi="黑体" w:eastAsia="黑体" w:cs="黑体"/>
          <w:color w:val="auto"/>
          <w:sz w:val="24"/>
          <w:szCs w:val="24"/>
        </w:rPr>
      </w:pPr>
      <w:r>
        <w:rPr>
          <w:rFonts w:ascii="黑体" w:hAnsi="黑体" w:eastAsia="黑体" w:cs="黑体"/>
          <w:color w:val="auto"/>
          <w:sz w:val="24"/>
          <w:szCs w:val="24"/>
        </w:rPr>
        <w:t>并向财政部门报告。</w:t>
      </w:r>
    </w:p>
    <w:p w14:paraId="10CB8C3F">
      <w:pPr>
        <w:spacing w:before="179" w:line="360" w:lineRule="auto"/>
        <w:ind w:firstLine="486"/>
        <w:rPr>
          <w:rFonts w:ascii="黑体" w:hAnsi="黑体" w:eastAsia="黑体" w:cs="黑体"/>
          <w:color w:val="auto"/>
          <w:sz w:val="24"/>
          <w:szCs w:val="24"/>
        </w:rPr>
      </w:pPr>
      <w:r>
        <w:rPr>
          <w:rFonts w:ascii="黑体" w:hAnsi="黑体" w:eastAsia="黑体" w:cs="黑体"/>
          <w:color w:val="auto"/>
          <w:spacing w:val="5"/>
          <w:sz w:val="24"/>
          <w:szCs w:val="24"/>
        </w:rPr>
        <w:t>23.2.3评审委员会成员和评审工作有关人员不得干预或者影响正常</w:t>
      </w:r>
      <w:r>
        <w:rPr>
          <w:rFonts w:ascii="黑体" w:hAnsi="黑体" w:eastAsia="黑体" w:cs="黑体"/>
          <w:color w:val="auto"/>
          <w:spacing w:val="4"/>
          <w:sz w:val="24"/>
          <w:szCs w:val="24"/>
        </w:rPr>
        <w:t>评审工作，</w:t>
      </w:r>
      <w:r>
        <w:rPr>
          <w:rFonts w:ascii="黑体" w:hAnsi="黑体" w:eastAsia="黑体" w:cs="黑体"/>
          <w:color w:val="auto"/>
          <w:spacing w:val="-3"/>
          <w:sz w:val="24"/>
          <w:szCs w:val="24"/>
        </w:rPr>
        <w:t>不得明示或者暗示其倾向性、引导性意见，不得修改或细化采购文件确定</w:t>
      </w:r>
      <w:r>
        <w:rPr>
          <w:rFonts w:ascii="黑体" w:hAnsi="黑体" w:eastAsia="黑体" w:cs="黑体"/>
          <w:color w:val="auto"/>
          <w:spacing w:val="-4"/>
          <w:sz w:val="24"/>
          <w:szCs w:val="24"/>
        </w:rPr>
        <w:t>的评审程序、</w:t>
      </w:r>
      <w:r>
        <w:rPr>
          <w:rFonts w:ascii="黑体" w:hAnsi="黑体" w:eastAsia="黑体" w:cs="黑体"/>
          <w:color w:val="auto"/>
          <w:spacing w:val="1"/>
          <w:sz w:val="24"/>
          <w:szCs w:val="24"/>
        </w:rPr>
        <w:t>评审方法、评审因素和评审标准，不得接受供应商主动提出的澄清和解释，不得征询</w:t>
      </w:r>
    </w:p>
    <w:p w14:paraId="191E6DB3">
      <w:pPr>
        <w:spacing w:before="1" w:line="212" w:lineRule="auto"/>
        <w:rPr>
          <w:rFonts w:ascii="黑体" w:hAnsi="黑体" w:eastAsia="黑体" w:cs="黑体"/>
          <w:color w:val="auto"/>
          <w:sz w:val="24"/>
          <w:szCs w:val="24"/>
        </w:rPr>
      </w:pPr>
      <w:r>
        <w:rPr>
          <w:rFonts w:ascii="黑体" w:hAnsi="黑体" w:eastAsia="黑体" w:cs="黑体"/>
          <w:color w:val="auto"/>
          <w:spacing w:val="2"/>
          <w:sz w:val="24"/>
          <w:szCs w:val="24"/>
        </w:rPr>
        <w:t>采购人代表的倾向性意见，不得协商评分，不得记录、复制或带走任何评审资料。</w:t>
      </w:r>
    </w:p>
    <w:p w14:paraId="1D1739D8">
      <w:pPr>
        <w:spacing w:before="191" w:line="360" w:lineRule="auto"/>
        <w:ind w:right="82" w:firstLine="487"/>
        <w:rPr>
          <w:rFonts w:ascii="黑体" w:hAnsi="黑体" w:eastAsia="黑体" w:cs="黑体"/>
          <w:color w:val="auto"/>
          <w:sz w:val="24"/>
          <w:szCs w:val="24"/>
        </w:rPr>
      </w:pPr>
      <w:r>
        <w:rPr>
          <w:rFonts w:ascii="黑体" w:hAnsi="黑体" w:eastAsia="黑体" w:cs="黑体"/>
          <w:color w:val="auto"/>
          <w:spacing w:val="4"/>
          <w:sz w:val="24"/>
          <w:szCs w:val="24"/>
        </w:rPr>
        <w:t>23.2.4评审结果汇总完成后，采购人、采购代理机构和评审委员会均不得修改</w:t>
      </w:r>
      <w:r>
        <w:rPr>
          <w:rFonts w:ascii="黑体" w:hAnsi="黑体" w:eastAsia="黑体" w:cs="黑体"/>
          <w:color w:val="auto"/>
          <w:spacing w:val="1"/>
          <w:sz w:val="24"/>
          <w:szCs w:val="24"/>
        </w:rPr>
        <w:t>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w:t>
      </w:r>
    </w:p>
    <w:p w14:paraId="34EDA904">
      <w:pPr>
        <w:spacing w:before="1" w:line="220" w:lineRule="auto"/>
        <w:ind w:left="13"/>
        <w:rPr>
          <w:rFonts w:ascii="黑体" w:hAnsi="黑体" w:eastAsia="黑体" w:cs="黑体"/>
          <w:color w:val="auto"/>
          <w:sz w:val="24"/>
          <w:szCs w:val="24"/>
        </w:rPr>
      </w:pPr>
      <w:r>
        <w:rPr>
          <w:rFonts w:ascii="黑体" w:hAnsi="黑体" w:eastAsia="黑体" w:cs="黑体"/>
          <w:color w:val="auto"/>
          <w:spacing w:val="-3"/>
          <w:sz w:val="24"/>
          <w:szCs w:val="24"/>
        </w:rPr>
        <w:t>明确记载。</w:t>
      </w:r>
    </w:p>
    <w:p w14:paraId="08E9219C">
      <w:pPr>
        <w:spacing w:before="181" w:line="213" w:lineRule="auto"/>
        <w:ind w:left="487"/>
        <w:rPr>
          <w:rFonts w:ascii="黑体" w:hAnsi="黑体" w:eastAsia="黑体" w:cs="黑体"/>
          <w:color w:val="auto"/>
          <w:sz w:val="24"/>
          <w:szCs w:val="24"/>
        </w:rPr>
      </w:pPr>
      <w:r>
        <w:rPr>
          <w:rFonts w:ascii="黑体" w:hAnsi="黑体" w:eastAsia="黑体" w:cs="黑体"/>
          <w:color w:val="auto"/>
          <w:spacing w:val="2"/>
          <w:sz w:val="24"/>
          <w:szCs w:val="24"/>
        </w:rPr>
        <w:t>23.3评标委员会负责具体评标事务，并独立履行</w:t>
      </w:r>
      <w:r>
        <w:rPr>
          <w:rFonts w:ascii="黑体" w:hAnsi="黑体" w:eastAsia="黑体" w:cs="黑体"/>
          <w:color w:val="auto"/>
          <w:spacing w:val="1"/>
          <w:sz w:val="24"/>
          <w:szCs w:val="24"/>
        </w:rPr>
        <w:t>下列职责：</w:t>
      </w:r>
    </w:p>
    <w:p w14:paraId="03665112">
      <w:pPr>
        <w:spacing w:before="191" w:line="468" w:lineRule="exact"/>
        <w:ind w:left="487"/>
        <w:rPr>
          <w:rFonts w:ascii="黑体" w:hAnsi="黑体" w:eastAsia="黑体" w:cs="黑体"/>
          <w:color w:val="auto"/>
          <w:sz w:val="24"/>
          <w:szCs w:val="24"/>
        </w:rPr>
      </w:pPr>
      <w:r>
        <w:rPr>
          <w:rFonts w:ascii="黑体" w:hAnsi="黑体" w:eastAsia="黑体" w:cs="黑体"/>
          <w:color w:val="auto"/>
          <w:spacing w:val="4"/>
          <w:position w:val="17"/>
          <w:sz w:val="24"/>
          <w:szCs w:val="24"/>
        </w:rPr>
        <w:t>23.3.1审查、评价响应文件是否符合竞争性磋商文件的商务、技术等实质性要</w:t>
      </w:r>
    </w:p>
    <w:p w14:paraId="7FC3F23E">
      <w:pPr>
        <w:spacing w:before="2" w:line="212" w:lineRule="auto"/>
        <w:ind w:left="3"/>
        <w:rPr>
          <w:rFonts w:ascii="黑体" w:hAnsi="黑体" w:eastAsia="黑体" w:cs="黑体"/>
          <w:color w:val="auto"/>
          <w:sz w:val="24"/>
          <w:szCs w:val="24"/>
        </w:rPr>
      </w:pPr>
      <w:r>
        <w:rPr>
          <w:rFonts w:ascii="黑体" w:hAnsi="黑体" w:eastAsia="黑体" w:cs="黑体"/>
          <w:color w:val="auto"/>
          <w:spacing w:val="-6"/>
          <w:sz w:val="24"/>
          <w:szCs w:val="24"/>
        </w:rPr>
        <w:t>求；</w:t>
      </w:r>
    </w:p>
    <w:p w14:paraId="5351F7B9">
      <w:pPr>
        <w:spacing w:before="191" w:line="213" w:lineRule="auto"/>
        <w:ind w:left="487"/>
        <w:rPr>
          <w:rFonts w:ascii="黑体" w:hAnsi="黑体" w:eastAsia="黑体" w:cs="黑体"/>
          <w:color w:val="auto"/>
          <w:sz w:val="24"/>
          <w:szCs w:val="24"/>
        </w:rPr>
      </w:pPr>
      <w:r>
        <w:rPr>
          <w:rFonts w:ascii="黑体" w:hAnsi="黑体" w:eastAsia="黑体" w:cs="黑体"/>
          <w:color w:val="auto"/>
          <w:spacing w:val="2"/>
          <w:sz w:val="24"/>
          <w:szCs w:val="24"/>
        </w:rPr>
        <w:t>23.3.2要求供应商对响应文件有关事项作出澄清或</w:t>
      </w:r>
      <w:r>
        <w:rPr>
          <w:rFonts w:ascii="黑体" w:hAnsi="黑体" w:eastAsia="黑体" w:cs="黑体"/>
          <w:color w:val="auto"/>
          <w:spacing w:val="1"/>
          <w:sz w:val="24"/>
          <w:szCs w:val="24"/>
        </w:rPr>
        <w:t>者说明；</w:t>
      </w:r>
    </w:p>
    <w:p w14:paraId="13B2A905">
      <w:pPr>
        <w:spacing w:before="191" w:line="213" w:lineRule="auto"/>
        <w:ind w:left="487"/>
        <w:rPr>
          <w:rFonts w:ascii="黑体" w:hAnsi="黑体" w:eastAsia="黑体" w:cs="黑体"/>
          <w:color w:val="auto"/>
          <w:sz w:val="24"/>
          <w:szCs w:val="24"/>
        </w:rPr>
      </w:pPr>
      <w:r>
        <w:rPr>
          <w:rFonts w:ascii="黑体" w:hAnsi="黑体" w:eastAsia="黑体" w:cs="黑体"/>
          <w:color w:val="auto"/>
          <w:spacing w:val="1"/>
          <w:sz w:val="24"/>
          <w:szCs w:val="24"/>
        </w:rPr>
        <w:t>23.3.3对响应文件进行比较和评价；</w:t>
      </w:r>
    </w:p>
    <w:p w14:paraId="7EF96B32">
      <w:pPr>
        <w:spacing w:before="191" w:line="213" w:lineRule="auto"/>
        <w:ind w:left="487"/>
        <w:rPr>
          <w:rFonts w:ascii="黑体" w:hAnsi="黑体" w:eastAsia="黑体" w:cs="黑体"/>
          <w:color w:val="auto"/>
          <w:sz w:val="24"/>
          <w:szCs w:val="24"/>
        </w:rPr>
      </w:pPr>
      <w:r>
        <w:rPr>
          <w:rFonts w:ascii="黑体" w:hAnsi="黑体" w:eastAsia="黑体" w:cs="黑体"/>
          <w:color w:val="auto"/>
          <w:spacing w:val="2"/>
          <w:sz w:val="24"/>
          <w:szCs w:val="24"/>
        </w:rPr>
        <w:t>23.3.4确定中标候选人名单，以及根据采购人委托直接确定中</w:t>
      </w:r>
      <w:r>
        <w:rPr>
          <w:rFonts w:ascii="黑体" w:hAnsi="黑体" w:eastAsia="黑体" w:cs="黑体"/>
          <w:color w:val="auto"/>
          <w:spacing w:val="1"/>
          <w:sz w:val="24"/>
          <w:szCs w:val="24"/>
        </w:rPr>
        <w:t>标人；</w:t>
      </w:r>
    </w:p>
    <w:p w14:paraId="4B65F726">
      <w:pPr>
        <w:spacing w:line="213" w:lineRule="auto"/>
        <w:rPr>
          <w:rFonts w:ascii="黑体" w:hAnsi="黑体" w:eastAsia="黑体" w:cs="黑体"/>
          <w:color w:val="auto"/>
          <w:sz w:val="24"/>
          <w:szCs w:val="24"/>
        </w:rPr>
        <w:sectPr>
          <w:footerReference r:id="rId15" w:type="default"/>
          <w:pgSz w:w="11906" w:h="16839"/>
          <w:pgMar w:top="1431" w:right="1479" w:bottom="1012" w:left="1423" w:header="0" w:footer="850" w:gutter="0"/>
          <w:pgNumType w:fmt="decimal"/>
          <w:cols w:space="720" w:num="1"/>
        </w:sectPr>
      </w:pPr>
    </w:p>
    <w:p w14:paraId="5B15B8F2">
      <w:pPr>
        <w:spacing w:before="101" w:line="221" w:lineRule="auto"/>
        <w:ind w:left="487"/>
        <w:rPr>
          <w:rFonts w:ascii="黑体" w:hAnsi="黑体" w:eastAsia="黑体" w:cs="黑体"/>
          <w:color w:val="auto"/>
          <w:sz w:val="24"/>
          <w:szCs w:val="24"/>
        </w:rPr>
      </w:pPr>
      <w:r>
        <w:rPr>
          <w:rFonts w:ascii="黑体" w:hAnsi="黑体" w:eastAsia="黑体" w:cs="黑体"/>
          <w:color w:val="auto"/>
          <w:spacing w:val="1"/>
          <w:sz w:val="24"/>
          <w:szCs w:val="24"/>
        </w:rPr>
        <w:t>23.3.5向采购人、采购代理机构或者有关部门报告评标中发现的违法行为。</w:t>
      </w:r>
    </w:p>
    <w:p w14:paraId="657B514F">
      <w:pPr>
        <w:spacing w:before="180" w:line="221" w:lineRule="auto"/>
        <w:ind w:left="487"/>
        <w:rPr>
          <w:rFonts w:ascii="黑体" w:hAnsi="黑体" w:eastAsia="黑体" w:cs="黑体"/>
          <w:color w:val="auto"/>
          <w:sz w:val="24"/>
          <w:szCs w:val="24"/>
        </w:rPr>
      </w:pPr>
      <w:r>
        <w:rPr>
          <w:rFonts w:ascii="黑体" w:hAnsi="黑体" w:eastAsia="黑体" w:cs="黑体"/>
          <w:color w:val="auto"/>
          <w:spacing w:val="1"/>
          <w:sz w:val="24"/>
          <w:szCs w:val="24"/>
        </w:rPr>
        <w:t>23.4评标委员会成员应当履行下列义务：</w:t>
      </w:r>
    </w:p>
    <w:p w14:paraId="1F0C4977">
      <w:pPr>
        <w:spacing w:before="180" w:line="213" w:lineRule="auto"/>
        <w:ind w:left="487"/>
        <w:rPr>
          <w:rFonts w:ascii="黑体" w:hAnsi="黑体" w:eastAsia="黑体" w:cs="黑体"/>
          <w:color w:val="auto"/>
          <w:sz w:val="24"/>
          <w:szCs w:val="24"/>
        </w:rPr>
      </w:pPr>
      <w:r>
        <w:rPr>
          <w:rFonts w:ascii="黑体" w:hAnsi="黑体" w:eastAsia="黑体" w:cs="黑体"/>
          <w:color w:val="auto"/>
          <w:spacing w:val="1"/>
          <w:sz w:val="24"/>
          <w:szCs w:val="24"/>
        </w:rPr>
        <w:t>23.4.1遵纪守法，客观、公正、廉洁地履行职责；</w:t>
      </w:r>
    </w:p>
    <w:p w14:paraId="1095A628">
      <w:pPr>
        <w:spacing w:before="191" w:line="213" w:lineRule="auto"/>
        <w:jc w:val="right"/>
        <w:rPr>
          <w:rFonts w:ascii="黑体" w:hAnsi="黑体" w:eastAsia="黑体" w:cs="黑体"/>
          <w:color w:val="auto"/>
          <w:sz w:val="24"/>
          <w:szCs w:val="24"/>
        </w:rPr>
      </w:pPr>
      <w:r>
        <w:rPr>
          <w:rFonts w:ascii="黑体" w:hAnsi="黑体" w:eastAsia="黑体" w:cs="黑体"/>
          <w:color w:val="auto"/>
          <w:spacing w:val="4"/>
          <w:sz w:val="24"/>
          <w:szCs w:val="24"/>
        </w:rPr>
        <w:t>23.4.2按照竞争性磋商文件规定的评标方法和评标标准进行评标，对评审意见</w:t>
      </w:r>
    </w:p>
    <w:p w14:paraId="43C7CC5D">
      <w:pPr>
        <w:spacing w:before="191" w:line="213" w:lineRule="auto"/>
        <w:rPr>
          <w:rFonts w:ascii="黑体" w:hAnsi="黑体" w:eastAsia="黑体" w:cs="黑体"/>
          <w:color w:val="auto"/>
          <w:sz w:val="24"/>
          <w:szCs w:val="24"/>
        </w:rPr>
      </w:pPr>
      <w:r>
        <w:rPr>
          <w:rFonts w:ascii="黑体" w:hAnsi="黑体" w:eastAsia="黑体" w:cs="黑体"/>
          <w:color w:val="auto"/>
          <w:sz w:val="24"/>
          <w:szCs w:val="24"/>
        </w:rPr>
        <w:t>承担个人责任；</w:t>
      </w:r>
    </w:p>
    <w:p w14:paraId="4BE5A291">
      <w:pPr>
        <w:spacing w:before="191" w:line="213" w:lineRule="auto"/>
        <w:ind w:left="487"/>
        <w:rPr>
          <w:rFonts w:ascii="黑体" w:hAnsi="黑体" w:eastAsia="黑体" w:cs="黑体"/>
          <w:color w:val="auto"/>
          <w:sz w:val="24"/>
          <w:szCs w:val="24"/>
        </w:rPr>
      </w:pPr>
      <w:r>
        <w:rPr>
          <w:rFonts w:ascii="黑体" w:hAnsi="黑体" w:eastAsia="黑体" w:cs="黑体"/>
          <w:color w:val="auto"/>
          <w:spacing w:val="2"/>
          <w:sz w:val="24"/>
          <w:szCs w:val="24"/>
        </w:rPr>
        <w:t>23.4.3对评标过程和结果，以及供应商的商业</w:t>
      </w:r>
      <w:r>
        <w:rPr>
          <w:rFonts w:ascii="黑体" w:hAnsi="黑体" w:eastAsia="黑体" w:cs="黑体"/>
          <w:color w:val="auto"/>
          <w:spacing w:val="1"/>
          <w:sz w:val="24"/>
          <w:szCs w:val="24"/>
        </w:rPr>
        <w:t>秘密保密；</w:t>
      </w:r>
    </w:p>
    <w:p w14:paraId="6DED6AB1">
      <w:pPr>
        <w:spacing w:before="191" w:line="213" w:lineRule="auto"/>
        <w:ind w:left="487"/>
        <w:rPr>
          <w:rFonts w:ascii="黑体" w:hAnsi="黑体" w:eastAsia="黑体" w:cs="黑体"/>
          <w:color w:val="auto"/>
          <w:sz w:val="24"/>
          <w:szCs w:val="24"/>
        </w:rPr>
      </w:pPr>
      <w:r>
        <w:rPr>
          <w:rFonts w:ascii="黑体" w:hAnsi="黑体" w:eastAsia="黑体" w:cs="黑体"/>
          <w:color w:val="auto"/>
          <w:spacing w:val="1"/>
          <w:sz w:val="24"/>
          <w:szCs w:val="24"/>
        </w:rPr>
        <w:t>23.4.4参与评标报告的起草；</w:t>
      </w:r>
    </w:p>
    <w:p w14:paraId="60789477">
      <w:pPr>
        <w:spacing w:before="191" w:line="213" w:lineRule="auto"/>
        <w:ind w:left="487"/>
        <w:rPr>
          <w:rFonts w:ascii="黑体" w:hAnsi="黑体" w:eastAsia="黑体" w:cs="黑体"/>
          <w:color w:val="auto"/>
          <w:sz w:val="24"/>
          <w:szCs w:val="24"/>
        </w:rPr>
      </w:pPr>
      <w:r>
        <w:rPr>
          <w:rFonts w:ascii="黑体" w:hAnsi="黑体" w:eastAsia="黑体" w:cs="黑体"/>
          <w:color w:val="auto"/>
          <w:spacing w:val="1"/>
          <w:sz w:val="24"/>
          <w:szCs w:val="24"/>
        </w:rPr>
        <w:t>23.4.5配合财政部门的投诉处理工作；</w:t>
      </w:r>
    </w:p>
    <w:p w14:paraId="5B4C11DA">
      <w:pPr>
        <w:spacing w:before="191" w:line="221" w:lineRule="auto"/>
        <w:ind w:left="487"/>
        <w:rPr>
          <w:rFonts w:ascii="黑体" w:hAnsi="黑体" w:eastAsia="黑体" w:cs="黑体"/>
          <w:color w:val="auto"/>
          <w:sz w:val="24"/>
          <w:szCs w:val="24"/>
        </w:rPr>
      </w:pPr>
      <w:r>
        <w:rPr>
          <w:rFonts w:ascii="黑体" w:hAnsi="黑体" w:eastAsia="黑体" w:cs="黑体"/>
          <w:color w:val="auto"/>
          <w:spacing w:val="1"/>
          <w:sz w:val="24"/>
          <w:szCs w:val="24"/>
        </w:rPr>
        <w:t>23.4.6配合采购人答复投标供应商提出的质疑。</w:t>
      </w:r>
    </w:p>
    <w:p w14:paraId="3870299E">
      <w:pPr>
        <w:spacing w:before="180" w:line="222" w:lineRule="auto"/>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24</w:t>
      </w:r>
      <w:r>
        <w:rPr>
          <w:rFonts w:hint="eastAsia" w:ascii="黑体" w:hAnsi="黑体" w:eastAsia="黑体" w:cs="黑体"/>
          <w:color w:val="auto"/>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评标原则</w:t>
      </w:r>
    </w:p>
    <w:p w14:paraId="1F366B54">
      <w:pPr>
        <w:spacing w:before="180" w:line="360" w:lineRule="auto"/>
        <w:ind w:left="1" w:firstLine="485"/>
        <w:jc w:val="both"/>
        <w:rPr>
          <w:rFonts w:ascii="黑体" w:hAnsi="黑体" w:eastAsia="黑体" w:cs="黑体"/>
          <w:color w:val="auto"/>
          <w:sz w:val="24"/>
          <w:szCs w:val="24"/>
        </w:rPr>
      </w:pPr>
      <w:r>
        <w:rPr>
          <w:rFonts w:ascii="黑体" w:hAnsi="黑体" w:eastAsia="黑体" w:cs="黑体"/>
          <w:color w:val="auto"/>
          <w:spacing w:val="4"/>
          <w:sz w:val="24"/>
          <w:szCs w:val="24"/>
        </w:rPr>
        <w:t>24.1评审专家应当严格遵守评审工作纪律,按照客观、公正、审慎的原则,根据</w:t>
      </w:r>
      <w:r>
        <w:rPr>
          <w:rFonts w:ascii="黑体" w:hAnsi="黑体" w:eastAsia="黑体" w:cs="黑体"/>
          <w:color w:val="auto"/>
          <w:spacing w:val="1"/>
          <w:sz w:val="24"/>
          <w:szCs w:val="24"/>
        </w:rPr>
        <w:t>竞争性磋商文件规定的评审程序、评审方法和评审标准进行独立评审。评审专家发现竞争性磋商文件内容违反国家有关强制性规定或者竞争性磋商文件存在歧义、重大缺</w:t>
      </w:r>
      <w:r>
        <w:rPr>
          <w:rFonts w:ascii="黑体" w:hAnsi="黑体" w:eastAsia="黑体" w:cs="黑体"/>
          <w:color w:val="auto"/>
          <w:spacing w:val="4"/>
          <w:sz w:val="24"/>
          <w:szCs w:val="24"/>
        </w:rPr>
        <w:t>陷导致评审工作无法进行时,应当停止评审并向采购人或者采购代理机构书面说明情</w:t>
      </w:r>
    </w:p>
    <w:p w14:paraId="272322AE">
      <w:pPr>
        <w:spacing w:line="223" w:lineRule="auto"/>
        <w:ind w:left="3"/>
        <w:rPr>
          <w:rFonts w:ascii="黑体" w:hAnsi="黑体" w:eastAsia="黑体" w:cs="黑体"/>
          <w:color w:val="auto"/>
          <w:sz w:val="24"/>
          <w:szCs w:val="24"/>
        </w:rPr>
      </w:pPr>
      <w:r>
        <w:rPr>
          <w:rFonts w:ascii="黑体" w:hAnsi="黑体" w:eastAsia="黑体" w:cs="黑体"/>
          <w:color w:val="auto"/>
          <w:spacing w:val="-6"/>
          <w:sz w:val="24"/>
          <w:szCs w:val="24"/>
        </w:rPr>
        <w:t>况。</w:t>
      </w:r>
    </w:p>
    <w:p w14:paraId="3D1BE1AF">
      <w:pPr>
        <w:spacing w:before="178" w:line="360" w:lineRule="auto"/>
        <w:ind w:left="4" w:firstLine="482"/>
        <w:jc w:val="both"/>
        <w:rPr>
          <w:rFonts w:ascii="黑体" w:hAnsi="黑体" w:eastAsia="黑体" w:cs="黑体"/>
          <w:color w:val="auto"/>
          <w:sz w:val="24"/>
          <w:szCs w:val="24"/>
        </w:rPr>
      </w:pPr>
      <w:r>
        <w:rPr>
          <w:rFonts w:ascii="黑体" w:hAnsi="黑体" w:eastAsia="黑体" w:cs="黑体"/>
          <w:color w:val="auto"/>
          <w:spacing w:val="1"/>
          <w:sz w:val="24"/>
          <w:szCs w:val="24"/>
        </w:rPr>
        <w:t>24.2评审专家应当在评审报告上签字,对自己的评审意见承担法律</w:t>
      </w:r>
      <w:r>
        <w:rPr>
          <w:rFonts w:ascii="黑体" w:hAnsi="黑体" w:eastAsia="黑体" w:cs="黑体"/>
          <w:color w:val="auto"/>
          <w:sz w:val="24"/>
          <w:szCs w:val="24"/>
        </w:rPr>
        <w:t>责任。对需要</w:t>
      </w:r>
      <w:r>
        <w:rPr>
          <w:rFonts w:ascii="黑体" w:hAnsi="黑体" w:eastAsia="黑体" w:cs="黑体"/>
          <w:color w:val="auto"/>
          <w:spacing w:val="4"/>
          <w:sz w:val="24"/>
          <w:szCs w:val="24"/>
        </w:rPr>
        <w:t>共同认定的事项存在争议的,按照少数服从多数的原则做出结论。对评审报告有异议</w:t>
      </w:r>
    </w:p>
    <w:p w14:paraId="6E4F0C94">
      <w:pPr>
        <w:spacing w:before="1" w:line="220" w:lineRule="auto"/>
        <w:ind w:left="15"/>
        <w:rPr>
          <w:rFonts w:ascii="黑体" w:hAnsi="黑体" w:eastAsia="黑体" w:cs="黑体"/>
          <w:color w:val="auto"/>
          <w:sz w:val="24"/>
          <w:szCs w:val="24"/>
        </w:rPr>
      </w:pPr>
      <w:r>
        <w:rPr>
          <w:rFonts w:ascii="黑体" w:hAnsi="黑体" w:eastAsia="黑体" w:cs="黑体"/>
          <w:color w:val="auto"/>
          <w:spacing w:val="2"/>
          <w:sz w:val="24"/>
          <w:szCs w:val="24"/>
        </w:rPr>
        <w:t>的,应当在评审报告上签署不同意见并说明理由,</w:t>
      </w:r>
      <w:r>
        <w:rPr>
          <w:rFonts w:ascii="黑体" w:hAnsi="黑体" w:eastAsia="黑体" w:cs="黑体"/>
          <w:color w:val="auto"/>
          <w:spacing w:val="1"/>
          <w:sz w:val="24"/>
          <w:szCs w:val="24"/>
        </w:rPr>
        <w:t>否则视为同意评审报告。</w:t>
      </w:r>
    </w:p>
    <w:p w14:paraId="07088829">
      <w:pPr>
        <w:spacing w:before="180" w:line="222" w:lineRule="auto"/>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25</w:t>
      </w:r>
      <w:r>
        <w:rPr>
          <w:rFonts w:hint="eastAsia" w:ascii="黑体" w:hAnsi="黑体" w:eastAsia="黑体" w:cs="黑体"/>
          <w:color w:val="auto"/>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详细评审</w:t>
      </w:r>
    </w:p>
    <w:p w14:paraId="022FE146">
      <w:pPr>
        <w:spacing w:before="101" w:line="222" w:lineRule="auto"/>
        <w:ind w:left="487"/>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25.1首次报价</w:t>
      </w:r>
    </w:p>
    <w:p w14:paraId="68973A78">
      <w:pPr>
        <w:spacing w:before="177" w:line="468" w:lineRule="exact"/>
        <w:jc w:val="right"/>
        <w:rPr>
          <w:rFonts w:ascii="黑体" w:hAnsi="黑体" w:eastAsia="黑体" w:cs="黑体"/>
          <w:color w:val="auto"/>
          <w:sz w:val="24"/>
          <w:szCs w:val="24"/>
        </w:rPr>
      </w:pPr>
      <w:r>
        <w:rPr>
          <w:rFonts w:ascii="黑体" w:hAnsi="黑体" w:eastAsia="黑体" w:cs="黑体"/>
          <w:color w:val="auto"/>
          <w:spacing w:val="1"/>
          <w:position w:val="17"/>
          <w:sz w:val="24"/>
          <w:szCs w:val="24"/>
        </w:rPr>
        <w:t>供应商的首次报价于提交首次响应文件截止时间开启，本环节由采购代</w:t>
      </w:r>
      <w:r>
        <w:rPr>
          <w:rFonts w:ascii="黑体" w:hAnsi="黑体" w:eastAsia="黑体" w:cs="黑体"/>
          <w:color w:val="auto"/>
          <w:position w:val="17"/>
          <w:sz w:val="24"/>
          <w:szCs w:val="24"/>
        </w:rPr>
        <w:t>理机构主</w:t>
      </w:r>
    </w:p>
    <w:p w14:paraId="4E887451">
      <w:pPr>
        <w:spacing w:before="1" w:line="212" w:lineRule="auto"/>
        <w:rPr>
          <w:rFonts w:ascii="黑体" w:hAnsi="黑体" w:eastAsia="黑体" w:cs="黑体"/>
          <w:color w:val="auto"/>
          <w:sz w:val="24"/>
          <w:szCs w:val="24"/>
        </w:rPr>
      </w:pPr>
      <w:r>
        <w:rPr>
          <w:rFonts w:ascii="黑体" w:hAnsi="黑体" w:eastAsia="黑体" w:cs="黑体"/>
          <w:color w:val="auto"/>
          <w:spacing w:val="1"/>
          <w:sz w:val="24"/>
          <w:szCs w:val="24"/>
        </w:rPr>
        <w:t>持，采购人、供应商和有关方面代表参加。</w:t>
      </w:r>
    </w:p>
    <w:p w14:paraId="6835994F">
      <w:pPr>
        <w:spacing w:before="189" w:line="222" w:lineRule="auto"/>
        <w:ind w:left="487"/>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25.2磋商小组</w:t>
      </w:r>
    </w:p>
    <w:p w14:paraId="2E59220C">
      <w:pPr>
        <w:spacing w:before="179" w:line="222" w:lineRule="auto"/>
        <w:ind w:left="490"/>
        <w:rPr>
          <w:rFonts w:ascii="黑体" w:hAnsi="黑体" w:eastAsia="黑体" w:cs="黑体"/>
          <w:color w:val="auto"/>
          <w:sz w:val="24"/>
          <w:szCs w:val="24"/>
        </w:rPr>
      </w:pPr>
      <w:r>
        <w:rPr>
          <w:rFonts w:ascii="黑体" w:hAnsi="黑体" w:eastAsia="黑体" w:cs="黑体"/>
          <w:color w:val="auto"/>
          <w:spacing w:val="1"/>
          <w:sz w:val="24"/>
          <w:szCs w:val="24"/>
        </w:rPr>
        <w:t>本次磋商按照规定依法组建磋商小组。</w:t>
      </w:r>
    </w:p>
    <w:p w14:paraId="1F105109">
      <w:pPr>
        <w:spacing w:before="178" w:line="359" w:lineRule="auto"/>
        <w:ind w:left="2" w:firstLine="485"/>
        <w:rPr>
          <w:rFonts w:ascii="黑体" w:hAnsi="黑体" w:eastAsia="黑体" w:cs="黑体"/>
          <w:color w:val="auto"/>
          <w:sz w:val="24"/>
          <w:szCs w:val="24"/>
        </w:rPr>
      </w:pPr>
      <w:r>
        <w:rPr>
          <w:rFonts w:ascii="黑体" w:hAnsi="黑体" w:eastAsia="黑体" w:cs="黑体"/>
          <w:color w:val="auto"/>
          <w:spacing w:val="1"/>
          <w:sz w:val="24"/>
          <w:szCs w:val="24"/>
        </w:rPr>
        <w:t>磋商小组所有成员集中对响应文件进行审查，与每个供应商分别进行先</w:t>
      </w:r>
      <w:r>
        <w:rPr>
          <w:rFonts w:ascii="黑体" w:hAnsi="黑体" w:eastAsia="黑体" w:cs="黑体"/>
          <w:color w:val="auto"/>
          <w:sz w:val="24"/>
          <w:szCs w:val="24"/>
        </w:rPr>
        <w:t>商务技术</w:t>
      </w:r>
      <w:r>
        <w:rPr>
          <w:rFonts w:ascii="黑体" w:hAnsi="黑体" w:eastAsia="黑体" w:cs="黑体"/>
          <w:color w:val="auto"/>
          <w:spacing w:val="1"/>
          <w:sz w:val="24"/>
          <w:szCs w:val="24"/>
        </w:rPr>
        <w:t>条件后价格的磋商，本次磋商采用一轮磋商。磋商小组也可视实际情况确定磋商轮次</w:t>
      </w:r>
    </w:p>
    <w:p w14:paraId="569D6061">
      <w:pPr>
        <w:spacing w:before="1" w:line="212" w:lineRule="auto"/>
        <w:ind w:left="22"/>
        <w:rPr>
          <w:rFonts w:ascii="黑体" w:hAnsi="黑体" w:eastAsia="黑体" w:cs="黑体"/>
          <w:color w:val="auto"/>
          <w:sz w:val="24"/>
          <w:szCs w:val="24"/>
        </w:rPr>
      </w:pPr>
      <w:r>
        <w:rPr>
          <w:rFonts w:ascii="黑体" w:hAnsi="黑体" w:eastAsia="黑体" w:cs="黑体"/>
          <w:color w:val="auto"/>
          <w:spacing w:val="-1"/>
          <w:sz w:val="24"/>
          <w:szCs w:val="24"/>
        </w:rPr>
        <w:t>（报价最多不超过3轮</w:t>
      </w:r>
      <w:r>
        <w:rPr>
          <w:rFonts w:ascii="黑体" w:hAnsi="黑体" w:eastAsia="黑体" w:cs="黑体"/>
          <w:color w:val="auto"/>
          <w:spacing w:val="19"/>
          <w:sz w:val="24"/>
          <w:szCs w:val="24"/>
        </w:rPr>
        <w:t>），</w:t>
      </w:r>
      <w:r>
        <w:rPr>
          <w:rFonts w:ascii="黑体" w:hAnsi="黑体" w:eastAsia="黑体" w:cs="黑体"/>
          <w:color w:val="auto"/>
          <w:spacing w:val="-1"/>
          <w:sz w:val="24"/>
          <w:szCs w:val="24"/>
        </w:rPr>
        <w:t>并提交评审报告及推荐成交供应商。</w:t>
      </w:r>
    </w:p>
    <w:p w14:paraId="545E7DC1">
      <w:pPr>
        <w:spacing w:before="191" w:line="221" w:lineRule="auto"/>
        <w:ind w:left="487"/>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25.3评审方法：综合评分法。</w:t>
      </w:r>
    </w:p>
    <w:p w14:paraId="14992107">
      <w:pPr>
        <w:spacing w:before="178" w:line="222" w:lineRule="auto"/>
        <w:ind w:left="487"/>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25.4评审程序</w:t>
      </w:r>
    </w:p>
    <w:p w14:paraId="35FCCB54">
      <w:pPr>
        <w:spacing w:before="179" w:line="222" w:lineRule="auto"/>
        <w:ind w:left="487"/>
        <w:rPr>
          <w:rFonts w:ascii="黑体" w:hAnsi="黑体" w:eastAsia="黑体" w:cs="黑体"/>
          <w:color w:val="auto"/>
          <w:sz w:val="24"/>
          <w:szCs w:val="24"/>
        </w:rPr>
      </w:pPr>
      <w:r>
        <w:rPr>
          <w:rFonts w:ascii="黑体" w:hAnsi="黑体" w:eastAsia="黑体" w:cs="黑体"/>
          <w:color w:val="auto"/>
          <w:spacing w:val="1"/>
          <w:sz w:val="24"/>
          <w:szCs w:val="24"/>
        </w:rPr>
        <w:t>25.4.1磋商小组确认磋商文件</w:t>
      </w:r>
    </w:p>
    <w:p w14:paraId="5E263013">
      <w:pPr>
        <w:spacing w:line="222" w:lineRule="auto"/>
        <w:rPr>
          <w:rFonts w:ascii="黑体" w:hAnsi="黑体" w:eastAsia="黑体" w:cs="黑体"/>
          <w:color w:val="auto"/>
          <w:sz w:val="24"/>
          <w:szCs w:val="24"/>
        </w:rPr>
        <w:sectPr>
          <w:footerReference r:id="rId16" w:type="default"/>
          <w:pgSz w:w="11906" w:h="16839"/>
          <w:pgMar w:top="1431" w:right="1562" w:bottom="1012" w:left="1423" w:header="0" w:footer="850" w:gutter="0"/>
          <w:pgNumType w:fmt="decimal"/>
          <w:cols w:space="720" w:num="1"/>
        </w:sectPr>
      </w:pPr>
    </w:p>
    <w:p w14:paraId="31341577">
      <w:pPr>
        <w:spacing w:before="48" w:line="222" w:lineRule="auto"/>
        <w:ind w:left="497"/>
        <w:rPr>
          <w:rFonts w:ascii="黑体" w:hAnsi="黑体" w:eastAsia="黑体" w:cs="黑体"/>
          <w:color w:val="auto"/>
          <w:sz w:val="24"/>
          <w:szCs w:val="24"/>
        </w:rPr>
      </w:pPr>
      <w:r>
        <w:rPr>
          <w:rFonts w:ascii="黑体" w:hAnsi="黑体" w:eastAsia="黑体" w:cs="黑体"/>
          <w:color w:val="auto"/>
          <w:spacing w:val="-2"/>
          <w:sz w:val="24"/>
          <w:szCs w:val="24"/>
        </w:rPr>
        <w:t>资格性审查</w:t>
      </w:r>
    </w:p>
    <w:p w14:paraId="18FAD38A">
      <w:pPr>
        <w:spacing w:before="177" w:line="359" w:lineRule="auto"/>
        <w:ind w:left="6" w:firstLine="481"/>
        <w:rPr>
          <w:rFonts w:ascii="黑体" w:hAnsi="黑体" w:eastAsia="黑体" w:cs="黑体"/>
          <w:color w:val="auto"/>
          <w:sz w:val="24"/>
          <w:szCs w:val="24"/>
        </w:rPr>
      </w:pPr>
      <w:r>
        <w:rPr>
          <w:rFonts w:ascii="黑体" w:hAnsi="黑体" w:eastAsia="黑体" w:cs="黑体"/>
          <w:color w:val="auto"/>
          <w:spacing w:val="1"/>
          <w:sz w:val="24"/>
          <w:szCs w:val="24"/>
        </w:rPr>
        <w:t>磋商小组对每个供应商的响应文件进行资格性审查。资格性审查是审查</w:t>
      </w:r>
      <w:r>
        <w:rPr>
          <w:rFonts w:ascii="黑体" w:hAnsi="黑体" w:eastAsia="黑体" w:cs="黑体"/>
          <w:color w:val="auto"/>
          <w:sz w:val="24"/>
          <w:szCs w:val="24"/>
        </w:rPr>
        <w:t>响应文件</w:t>
      </w:r>
      <w:r>
        <w:rPr>
          <w:rFonts w:ascii="黑体" w:hAnsi="黑体" w:eastAsia="黑体" w:cs="黑体"/>
          <w:color w:val="auto"/>
          <w:spacing w:val="1"/>
          <w:sz w:val="24"/>
          <w:szCs w:val="24"/>
        </w:rPr>
        <w:t>是否对磋商文件的资格及实质性条款作出响对应。资格性审查不通过的供</w:t>
      </w:r>
      <w:r>
        <w:rPr>
          <w:rFonts w:ascii="黑体" w:hAnsi="黑体" w:eastAsia="黑体" w:cs="黑体"/>
          <w:color w:val="auto"/>
          <w:sz w:val="24"/>
          <w:szCs w:val="24"/>
        </w:rPr>
        <w:t>应商，其响</w:t>
      </w:r>
    </w:p>
    <w:p w14:paraId="63C8FE5B">
      <w:pPr>
        <w:spacing w:before="1" w:line="220" w:lineRule="auto"/>
        <w:ind w:left="3"/>
        <w:rPr>
          <w:rFonts w:ascii="黑体" w:hAnsi="黑体" w:eastAsia="黑体" w:cs="黑体"/>
          <w:color w:val="auto"/>
          <w:sz w:val="24"/>
          <w:szCs w:val="24"/>
        </w:rPr>
      </w:pPr>
      <w:r>
        <w:rPr>
          <w:rFonts w:ascii="黑体" w:hAnsi="黑体" w:eastAsia="黑体" w:cs="黑体"/>
          <w:color w:val="auto"/>
          <w:sz w:val="24"/>
          <w:szCs w:val="24"/>
        </w:rPr>
        <w:t>应文件作无效处理。</w:t>
      </w:r>
    </w:p>
    <w:p w14:paraId="6260B38E">
      <w:pPr>
        <w:spacing w:before="180" w:line="222" w:lineRule="auto"/>
        <w:ind w:left="488"/>
        <w:rPr>
          <w:rFonts w:ascii="黑体" w:hAnsi="黑体" w:eastAsia="黑体" w:cs="黑体"/>
          <w:color w:val="auto"/>
          <w:sz w:val="24"/>
          <w:szCs w:val="24"/>
        </w:rPr>
      </w:pPr>
      <w:r>
        <w:rPr>
          <w:rFonts w:ascii="黑体" w:hAnsi="黑体" w:eastAsia="黑体" w:cs="黑体"/>
          <w:color w:val="auto"/>
          <w:sz w:val="24"/>
          <w:szCs w:val="24"/>
        </w:rPr>
        <w:t>符合性审查</w:t>
      </w:r>
    </w:p>
    <w:p w14:paraId="3C4E16D2">
      <w:pPr>
        <w:spacing w:before="177" w:line="359" w:lineRule="auto"/>
        <w:ind w:left="6" w:firstLine="481"/>
        <w:rPr>
          <w:rFonts w:ascii="黑体" w:hAnsi="黑体" w:eastAsia="黑体" w:cs="黑体"/>
          <w:color w:val="auto"/>
          <w:sz w:val="24"/>
          <w:szCs w:val="24"/>
        </w:rPr>
      </w:pPr>
      <w:r>
        <w:rPr>
          <w:rFonts w:ascii="黑体" w:hAnsi="黑体" w:eastAsia="黑体" w:cs="黑体"/>
          <w:color w:val="auto"/>
          <w:spacing w:val="1"/>
          <w:sz w:val="24"/>
          <w:szCs w:val="24"/>
        </w:rPr>
        <w:t>磋商小组对每个供应商的响应文件进行符合性审查。符合性审查是审查</w:t>
      </w:r>
      <w:r>
        <w:rPr>
          <w:rFonts w:ascii="黑体" w:hAnsi="黑体" w:eastAsia="黑体" w:cs="黑体"/>
          <w:color w:val="auto"/>
          <w:sz w:val="24"/>
          <w:szCs w:val="24"/>
        </w:rPr>
        <w:t>响应文件</w:t>
      </w:r>
      <w:r>
        <w:rPr>
          <w:rFonts w:ascii="黑体" w:hAnsi="黑体" w:eastAsia="黑体" w:cs="黑体"/>
          <w:color w:val="auto"/>
          <w:spacing w:val="1"/>
          <w:sz w:val="24"/>
          <w:szCs w:val="24"/>
        </w:rPr>
        <w:t>是否对磋商文件的符合及实质性条款作出响应。对符合性审查不通过的供</w:t>
      </w:r>
      <w:r>
        <w:rPr>
          <w:rFonts w:ascii="黑体" w:hAnsi="黑体" w:eastAsia="黑体" w:cs="黑体"/>
          <w:color w:val="auto"/>
          <w:sz w:val="24"/>
          <w:szCs w:val="24"/>
        </w:rPr>
        <w:t>应商，其响</w:t>
      </w:r>
    </w:p>
    <w:p w14:paraId="3B5E5CC7">
      <w:pPr>
        <w:spacing w:before="1" w:line="220" w:lineRule="auto"/>
        <w:ind w:left="3"/>
        <w:rPr>
          <w:rFonts w:ascii="黑体" w:hAnsi="黑体" w:eastAsia="黑体" w:cs="黑体"/>
          <w:color w:val="auto"/>
          <w:sz w:val="24"/>
          <w:szCs w:val="24"/>
        </w:rPr>
      </w:pPr>
      <w:r>
        <w:rPr>
          <w:rFonts w:ascii="黑体" w:hAnsi="黑体" w:eastAsia="黑体" w:cs="黑体"/>
          <w:color w:val="auto"/>
          <w:sz w:val="24"/>
          <w:szCs w:val="24"/>
        </w:rPr>
        <w:t>应文件作无效处理。</w:t>
      </w:r>
    </w:p>
    <w:p w14:paraId="304CAF87">
      <w:pPr>
        <w:spacing w:before="180" w:line="222" w:lineRule="auto"/>
        <w:ind w:left="487"/>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25.5磋商</w:t>
      </w:r>
    </w:p>
    <w:p w14:paraId="0F266907">
      <w:pPr>
        <w:spacing w:before="177" w:line="221" w:lineRule="auto"/>
        <w:ind w:left="487"/>
        <w:rPr>
          <w:rFonts w:ascii="黑体" w:hAnsi="黑体" w:eastAsia="黑体" w:cs="黑体"/>
          <w:color w:val="auto"/>
          <w:sz w:val="24"/>
          <w:szCs w:val="24"/>
        </w:rPr>
      </w:pPr>
      <w:r>
        <w:rPr>
          <w:rFonts w:ascii="黑体" w:hAnsi="黑体" w:eastAsia="黑体" w:cs="黑体"/>
          <w:color w:val="auto"/>
          <w:spacing w:val="1"/>
          <w:sz w:val="24"/>
          <w:szCs w:val="24"/>
        </w:rPr>
        <w:t>25.5.1磋商文件未发生实质性变动的：</w:t>
      </w:r>
    </w:p>
    <w:p w14:paraId="4A6FB73A">
      <w:pPr>
        <w:spacing w:before="181" w:line="466" w:lineRule="exact"/>
        <w:jc w:val="right"/>
        <w:rPr>
          <w:rFonts w:ascii="黑体" w:hAnsi="黑体" w:eastAsia="黑体" w:cs="黑体"/>
          <w:color w:val="auto"/>
          <w:sz w:val="24"/>
          <w:szCs w:val="24"/>
        </w:rPr>
      </w:pPr>
      <w:r>
        <w:rPr>
          <w:rFonts w:ascii="黑体" w:hAnsi="黑体" w:eastAsia="黑体" w:cs="黑体"/>
          <w:color w:val="auto"/>
          <w:spacing w:val="1"/>
          <w:position w:val="17"/>
          <w:sz w:val="24"/>
          <w:szCs w:val="24"/>
        </w:rPr>
        <w:t>磋商小组没有对磋商文件作实质性变动增加新的需求，后一轮报价不得</w:t>
      </w:r>
      <w:r>
        <w:rPr>
          <w:rFonts w:ascii="黑体" w:hAnsi="黑体" w:eastAsia="黑体" w:cs="黑体"/>
          <w:color w:val="auto"/>
          <w:position w:val="17"/>
          <w:sz w:val="24"/>
          <w:szCs w:val="24"/>
        </w:rPr>
        <w:t>高于前一</w:t>
      </w:r>
    </w:p>
    <w:p w14:paraId="325E70AC">
      <w:pPr>
        <w:spacing w:before="1" w:line="212" w:lineRule="auto"/>
        <w:ind w:left="1"/>
        <w:rPr>
          <w:rFonts w:ascii="黑体" w:hAnsi="黑体" w:eastAsia="黑体" w:cs="黑体"/>
          <w:color w:val="auto"/>
          <w:sz w:val="24"/>
          <w:szCs w:val="24"/>
        </w:rPr>
      </w:pPr>
      <w:r>
        <w:rPr>
          <w:rFonts w:ascii="黑体" w:hAnsi="黑体" w:eastAsia="黑体" w:cs="黑体"/>
          <w:color w:val="auto"/>
          <w:spacing w:val="1"/>
          <w:sz w:val="24"/>
          <w:szCs w:val="24"/>
        </w:rPr>
        <w:t>轮报价，否则将按响应无效处理。</w:t>
      </w:r>
    </w:p>
    <w:p w14:paraId="2CC6C987">
      <w:pPr>
        <w:spacing w:before="191" w:line="221" w:lineRule="auto"/>
        <w:ind w:left="487"/>
        <w:rPr>
          <w:rFonts w:ascii="黑体" w:hAnsi="黑体" w:eastAsia="黑体" w:cs="黑体"/>
          <w:color w:val="auto"/>
          <w:sz w:val="24"/>
          <w:szCs w:val="24"/>
        </w:rPr>
      </w:pPr>
      <w:r>
        <w:rPr>
          <w:rFonts w:ascii="黑体" w:hAnsi="黑体" w:eastAsia="黑体" w:cs="黑体"/>
          <w:color w:val="auto"/>
          <w:spacing w:val="1"/>
          <w:sz w:val="24"/>
          <w:szCs w:val="24"/>
        </w:rPr>
        <w:t>25.5.2磋商文件发生实质性变动的：</w:t>
      </w:r>
    </w:p>
    <w:p w14:paraId="120BB412">
      <w:pPr>
        <w:spacing w:before="180" w:line="222" w:lineRule="auto"/>
        <w:ind w:left="509"/>
        <w:rPr>
          <w:rFonts w:ascii="黑体" w:hAnsi="黑体" w:eastAsia="黑体" w:cs="黑体"/>
          <w:color w:val="auto"/>
          <w:sz w:val="24"/>
          <w:szCs w:val="24"/>
        </w:rPr>
      </w:pPr>
      <w:r>
        <w:rPr>
          <w:rFonts w:ascii="黑体" w:hAnsi="黑体" w:eastAsia="黑体" w:cs="黑体"/>
          <w:color w:val="auto"/>
          <w:spacing w:val="-1"/>
          <w:sz w:val="24"/>
          <w:szCs w:val="24"/>
        </w:rPr>
        <w:t>（1）书面通知变更内容</w:t>
      </w:r>
    </w:p>
    <w:p w14:paraId="5F07A005">
      <w:pPr>
        <w:spacing w:before="177" w:line="359" w:lineRule="auto"/>
        <w:ind w:left="1" w:firstLine="485"/>
        <w:rPr>
          <w:rFonts w:ascii="黑体" w:hAnsi="黑体" w:eastAsia="黑体" w:cs="黑体"/>
          <w:color w:val="auto"/>
          <w:sz w:val="24"/>
          <w:szCs w:val="24"/>
        </w:rPr>
      </w:pPr>
      <w:r>
        <w:rPr>
          <w:rFonts w:ascii="黑体" w:hAnsi="黑体" w:eastAsia="黑体" w:cs="黑体"/>
          <w:color w:val="auto"/>
          <w:spacing w:val="1"/>
          <w:sz w:val="24"/>
          <w:szCs w:val="24"/>
        </w:rPr>
        <w:t>在磋商过程中，磋商小组可以根据磋商文件和磋商情况实质性变动采购需</w:t>
      </w:r>
      <w:r>
        <w:rPr>
          <w:rFonts w:ascii="黑体" w:hAnsi="黑体" w:eastAsia="黑体" w:cs="黑体"/>
          <w:color w:val="auto"/>
          <w:sz w:val="24"/>
          <w:szCs w:val="24"/>
        </w:rPr>
        <w:t>求中的</w:t>
      </w:r>
      <w:r>
        <w:rPr>
          <w:rFonts w:ascii="黑体" w:hAnsi="黑体" w:eastAsia="黑体" w:cs="黑体"/>
          <w:color w:val="auto"/>
          <w:spacing w:val="1"/>
          <w:sz w:val="24"/>
          <w:szCs w:val="24"/>
        </w:rPr>
        <w:t>技术、服务要求以及合同草案条款，但不得变动磋商文件中的其他内容。实质性变动的内容，经采购人代表确认后，由磋商小组在政采云平台在线询标--新增询标</w:t>
      </w:r>
      <w:r>
        <w:rPr>
          <w:rFonts w:ascii="黑体" w:hAnsi="黑体" w:eastAsia="黑体" w:cs="黑体"/>
          <w:color w:val="auto"/>
          <w:sz w:val="24"/>
          <w:szCs w:val="24"/>
        </w:rPr>
        <w:t>函方式</w:t>
      </w:r>
    </w:p>
    <w:p w14:paraId="20898A0F">
      <w:pPr>
        <w:spacing w:before="1" w:line="220" w:lineRule="auto"/>
        <w:rPr>
          <w:rFonts w:ascii="黑体" w:hAnsi="黑体" w:eastAsia="黑体" w:cs="黑体"/>
          <w:color w:val="auto"/>
          <w:sz w:val="24"/>
          <w:szCs w:val="24"/>
        </w:rPr>
      </w:pPr>
      <w:r>
        <w:rPr>
          <w:rFonts w:ascii="黑体" w:hAnsi="黑体" w:eastAsia="黑体" w:cs="黑体"/>
          <w:color w:val="auto"/>
          <w:spacing w:val="2"/>
          <w:sz w:val="24"/>
          <w:szCs w:val="24"/>
        </w:rPr>
        <w:t>通知所有供应商。对磋商文件作出的实质性变动是磋商文件的有效组成部分。</w:t>
      </w:r>
    </w:p>
    <w:p w14:paraId="773D2731">
      <w:pPr>
        <w:spacing w:before="181" w:line="222" w:lineRule="auto"/>
        <w:ind w:left="509"/>
        <w:rPr>
          <w:rFonts w:ascii="黑体" w:hAnsi="黑体" w:eastAsia="黑体" w:cs="黑体"/>
          <w:color w:val="auto"/>
          <w:sz w:val="24"/>
          <w:szCs w:val="24"/>
        </w:rPr>
      </w:pPr>
      <w:r>
        <w:rPr>
          <w:rFonts w:ascii="黑体" w:hAnsi="黑体" w:eastAsia="黑体" w:cs="黑体"/>
          <w:color w:val="auto"/>
          <w:spacing w:val="-5"/>
          <w:sz w:val="24"/>
          <w:szCs w:val="24"/>
        </w:rPr>
        <w:t>（2）磋商</w:t>
      </w:r>
    </w:p>
    <w:p w14:paraId="10B1FA2F">
      <w:pPr>
        <w:spacing w:before="180" w:line="359" w:lineRule="auto"/>
        <w:ind w:left="6" w:firstLine="481"/>
        <w:rPr>
          <w:rFonts w:ascii="黑体" w:hAnsi="黑体" w:eastAsia="黑体" w:cs="黑体"/>
          <w:color w:val="auto"/>
          <w:sz w:val="24"/>
          <w:szCs w:val="24"/>
        </w:rPr>
      </w:pPr>
      <w:r>
        <w:rPr>
          <w:rFonts w:ascii="黑体" w:hAnsi="黑体" w:eastAsia="黑体" w:cs="黑体"/>
          <w:color w:val="auto"/>
          <w:spacing w:val="1"/>
          <w:sz w:val="24"/>
          <w:szCs w:val="24"/>
        </w:rPr>
        <w:t>磋商小组集中与接受磋商文件变更的每个供应商分别进行询标。</w:t>
      </w:r>
      <w:r>
        <w:rPr>
          <w:rFonts w:ascii="黑体" w:hAnsi="黑体" w:eastAsia="黑体" w:cs="黑体"/>
          <w:color w:val="auto"/>
          <w:sz w:val="24"/>
          <w:szCs w:val="24"/>
        </w:rPr>
        <w:t>磋商的内容主要</w:t>
      </w:r>
      <w:r>
        <w:rPr>
          <w:rFonts w:ascii="黑体" w:hAnsi="黑体" w:eastAsia="黑体" w:cs="黑体"/>
          <w:color w:val="auto"/>
          <w:spacing w:val="1"/>
          <w:sz w:val="24"/>
          <w:szCs w:val="24"/>
        </w:rPr>
        <w:t>是对响应文件的澄清、修正、补充、确认等。不接受磋商文件变更的供应</w:t>
      </w:r>
      <w:r>
        <w:rPr>
          <w:rFonts w:ascii="黑体" w:hAnsi="黑体" w:eastAsia="黑体" w:cs="黑体"/>
          <w:color w:val="auto"/>
          <w:sz w:val="24"/>
          <w:szCs w:val="24"/>
        </w:rPr>
        <w:t>商，视为自</w:t>
      </w:r>
    </w:p>
    <w:p w14:paraId="6BDE9D1D">
      <w:pPr>
        <w:spacing w:before="1" w:line="212" w:lineRule="auto"/>
        <w:ind w:left="2"/>
        <w:rPr>
          <w:rFonts w:ascii="黑体" w:hAnsi="黑体" w:eastAsia="黑体" w:cs="黑体"/>
          <w:color w:val="auto"/>
          <w:sz w:val="24"/>
          <w:szCs w:val="24"/>
        </w:rPr>
      </w:pPr>
      <w:r>
        <w:rPr>
          <w:rFonts w:ascii="黑体" w:hAnsi="黑体" w:eastAsia="黑体" w:cs="黑体"/>
          <w:color w:val="auto"/>
          <w:spacing w:val="1"/>
          <w:sz w:val="24"/>
          <w:szCs w:val="24"/>
        </w:rPr>
        <w:t>动退出磋商，其响应文件作无效处理。</w:t>
      </w:r>
    </w:p>
    <w:p w14:paraId="5D47C3EC">
      <w:pPr>
        <w:spacing w:before="189" w:line="221" w:lineRule="auto"/>
        <w:ind w:left="509"/>
        <w:rPr>
          <w:rFonts w:ascii="黑体" w:hAnsi="黑体" w:eastAsia="黑体" w:cs="黑体"/>
          <w:color w:val="auto"/>
          <w:sz w:val="24"/>
          <w:szCs w:val="24"/>
        </w:rPr>
      </w:pPr>
      <w:r>
        <w:rPr>
          <w:rFonts w:ascii="黑体" w:hAnsi="黑体" w:eastAsia="黑体" w:cs="黑体"/>
          <w:color w:val="auto"/>
          <w:sz w:val="24"/>
          <w:szCs w:val="24"/>
        </w:rPr>
        <w:t>（3）重新提交响应文件（含报价）</w:t>
      </w:r>
    </w:p>
    <w:p w14:paraId="0A73BDAE">
      <w:pPr>
        <w:spacing w:before="180" w:line="359" w:lineRule="auto"/>
        <w:ind w:firstLine="488"/>
        <w:rPr>
          <w:rFonts w:ascii="黑体" w:hAnsi="黑体" w:eastAsia="黑体" w:cs="黑体"/>
          <w:color w:val="auto"/>
          <w:sz w:val="24"/>
          <w:szCs w:val="24"/>
        </w:rPr>
      </w:pPr>
      <w:r>
        <w:rPr>
          <w:rFonts w:ascii="黑体" w:hAnsi="黑体" w:eastAsia="黑体" w:cs="黑体"/>
          <w:color w:val="auto"/>
          <w:spacing w:val="1"/>
          <w:sz w:val="24"/>
          <w:szCs w:val="24"/>
        </w:rPr>
        <w:t>供应商应当按照磋商文件的变动情况和磋商小组的要求重新提交响应文</w:t>
      </w:r>
      <w:r>
        <w:rPr>
          <w:rFonts w:ascii="黑体" w:hAnsi="黑体" w:eastAsia="黑体" w:cs="黑体"/>
          <w:color w:val="auto"/>
          <w:sz w:val="24"/>
          <w:szCs w:val="24"/>
        </w:rPr>
        <w:t>件（指磋</w:t>
      </w:r>
      <w:r>
        <w:rPr>
          <w:rFonts w:ascii="黑体" w:hAnsi="黑体" w:eastAsia="黑体" w:cs="黑体"/>
          <w:color w:val="auto"/>
          <w:spacing w:val="1"/>
          <w:sz w:val="24"/>
          <w:szCs w:val="24"/>
        </w:rPr>
        <w:t>商结束后，在规定时间内填写《询标函》，在该文件上注明最后报价及有关承诺，并提交）。最终报价时间视磋商进程由磋商小组决定。《询标函》是响应文件的有效组</w:t>
      </w:r>
    </w:p>
    <w:p w14:paraId="11F497AD">
      <w:pPr>
        <w:spacing w:before="1" w:line="212" w:lineRule="auto"/>
        <w:rPr>
          <w:rFonts w:ascii="黑体" w:hAnsi="黑体" w:eastAsia="黑体" w:cs="黑体"/>
          <w:color w:val="auto"/>
          <w:sz w:val="24"/>
          <w:szCs w:val="24"/>
        </w:rPr>
      </w:pPr>
      <w:r>
        <w:rPr>
          <w:rFonts w:ascii="黑体" w:hAnsi="黑体" w:eastAsia="黑体" w:cs="黑体"/>
          <w:color w:val="auto"/>
          <w:spacing w:val="1"/>
          <w:sz w:val="24"/>
          <w:szCs w:val="24"/>
        </w:rPr>
        <w:t>成部分，须由供应商签章。</w:t>
      </w:r>
    </w:p>
    <w:p w14:paraId="3854AE21">
      <w:pPr>
        <w:spacing w:before="191" w:line="466" w:lineRule="exact"/>
        <w:jc w:val="right"/>
        <w:rPr>
          <w:rFonts w:ascii="黑体" w:hAnsi="黑体" w:eastAsia="黑体" w:cs="黑体"/>
          <w:color w:val="auto"/>
          <w:sz w:val="24"/>
          <w:szCs w:val="24"/>
        </w:rPr>
      </w:pPr>
      <w:r>
        <w:rPr>
          <w:rFonts w:ascii="黑体" w:hAnsi="黑体" w:eastAsia="黑体" w:cs="黑体"/>
          <w:color w:val="auto"/>
          <w:spacing w:val="1"/>
          <w:position w:val="17"/>
          <w:sz w:val="24"/>
          <w:szCs w:val="24"/>
        </w:rPr>
        <w:t>若供应商未按《询标函》的要求对相关问题进行响应的，视为非实质</w:t>
      </w:r>
      <w:r>
        <w:rPr>
          <w:rFonts w:ascii="黑体" w:hAnsi="黑体" w:eastAsia="黑体" w:cs="黑体"/>
          <w:color w:val="auto"/>
          <w:position w:val="17"/>
          <w:sz w:val="24"/>
          <w:szCs w:val="24"/>
        </w:rPr>
        <w:t>性响应磋商</w:t>
      </w:r>
    </w:p>
    <w:p w14:paraId="3F90A559">
      <w:pPr>
        <w:spacing w:line="221" w:lineRule="auto"/>
        <w:ind w:left="4"/>
        <w:rPr>
          <w:rFonts w:ascii="黑体" w:hAnsi="黑体" w:eastAsia="黑体" w:cs="黑体"/>
          <w:color w:val="auto"/>
          <w:sz w:val="24"/>
          <w:szCs w:val="24"/>
        </w:rPr>
      </w:pPr>
      <w:r>
        <w:rPr>
          <w:rFonts w:ascii="黑体" w:hAnsi="黑体" w:eastAsia="黑体" w:cs="黑体"/>
          <w:color w:val="auto"/>
          <w:spacing w:val="-4"/>
          <w:sz w:val="24"/>
          <w:szCs w:val="24"/>
        </w:rPr>
        <w:t>文件。</w:t>
      </w:r>
    </w:p>
    <w:p w14:paraId="33E35D5D">
      <w:pPr>
        <w:spacing w:before="180" w:line="213" w:lineRule="auto"/>
        <w:jc w:val="right"/>
        <w:rPr>
          <w:rFonts w:ascii="黑体" w:hAnsi="黑体" w:eastAsia="黑体" w:cs="黑体"/>
          <w:color w:val="auto"/>
          <w:sz w:val="24"/>
          <w:szCs w:val="24"/>
        </w:rPr>
      </w:pPr>
      <w:r>
        <w:rPr>
          <w:rFonts w:ascii="黑体" w:hAnsi="黑体" w:eastAsia="黑体" w:cs="黑体"/>
          <w:color w:val="auto"/>
          <w:spacing w:val="1"/>
          <w:sz w:val="24"/>
          <w:szCs w:val="24"/>
        </w:rPr>
        <w:t>除非在磋商中磋商小组调整或修改采购需求</w:t>
      </w:r>
      <w:r>
        <w:rPr>
          <w:rFonts w:ascii="黑体" w:hAnsi="黑体" w:eastAsia="黑体" w:cs="黑体"/>
          <w:color w:val="auto"/>
          <w:sz w:val="24"/>
          <w:szCs w:val="24"/>
        </w:rPr>
        <w:t>内容，否则采购人不接受高于前面轮</w:t>
      </w:r>
    </w:p>
    <w:p w14:paraId="616C4DBA">
      <w:pPr>
        <w:spacing w:line="213" w:lineRule="auto"/>
        <w:rPr>
          <w:rFonts w:ascii="黑体" w:hAnsi="黑体" w:eastAsia="黑体" w:cs="黑体"/>
          <w:color w:val="auto"/>
          <w:sz w:val="24"/>
          <w:szCs w:val="24"/>
        </w:rPr>
        <w:sectPr>
          <w:footerReference r:id="rId17" w:type="default"/>
          <w:pgSz w:w="11906" w:h="16839"/>
          <w:pgMar w:top="1404" w:right="1561" w:bottom="1012" w:left="1423" w:header="0" w:footer="850" w:gutter="0"/>
          <w:pgNumType w:fmt="decimal"/>
          <w:cols w:space="720" w:num="1"/>
        </w:sectPr>
      </w:pPr>
    </w:p>
    <w:p w14:paraId="117BBBBD">
      <w:pPr>
        <w:spacing w:before="48" w:line="222" w:lineRule="auto"/>
        <w:rPr>
          <w:rFonts w:ascii="黑体" w:hAnsi="黑体" w:eastAsia="黑体" w:cs="黑体"/>
          <w:color w:val="auto"/>
          <w:sz w:val="24"/>
          <w:szCs w:val="24"/>
        </w:rPr>
      </w:pPr>
      <w:r>
        <w:rPr>
          <w:rFonts w:ascii="黑体" w:hAnsi="黑体" w:eastAsia="黑体" w:cs="黑体"/>
          <w:color w:val="auto"/>
          <w:spacing w:val="1"/>
          <w:sz w:val="24"/>
          <w:szCs w:val="24"/>
        </w:rPr>
        <w:t>次磋商报价的最终报价。</w:t>
      </w:r>
    </w:p>
    <w:p w14:paraId="235824B4">
      <w:pPr>
        <w:spacing w:before="177" w:line="221" w:lineRule="auto"/>
        <w:ind w:left="486"/>
        <w:rPr>
          <w:rFonts w:ascii="黑体" w:hAnsi="黑体" w:eastAsia="黑体" w:cs="黑体"/>
          <w:color w:val="auto"/>
          <w:sz w:val="24"/>
          <w:szCs w:val="24"/>
        </w:rPr>
      </w:pPr>
      <w:r>
        <w:rPr>
          <w:rFonts w:ascii="黑体" w:hAnsi="黑体" w:eastAsia="黑体" w:cs="黑体"/>
          <w:color w:val="auto"/>
          <w:spacing w:val="1"/>
          <w:sz w:val="24"/>
          <w:szCs w:val="24"/>
        </w:rPr>
        <w:t>25.5.3综合评分法评审步骤</w:t>
      </w:r>
    </w:p>
    <w:p w14:paraId="75C2FC64">
      <w:pPr>
        <w:spacing w:before="179" w:line="359" w:lineRule="auto"/>
        <w:ind w:firstLine="490"/>
        <w:rPr>
          <w:rFonts w:ascii="黑体" w:hAnsi="黑体" w:eastAsia="黑体" w:cs="黑体"/>
          <w:color w:val="auto"/>
          <w:sz w:val="24"/>
          <w:szCs w:val="24"/>
        </w:rPr>
      </w:pPr>
      <w:r>
        <w:rPr>
          <w:rFonts w:ascii="黑体" w:hAnsi="黑体" w:eastAsia="黑体" w:cs="黑体"/>
          <w:color w:val="auto"/>
          <w:spacing w:val="1"/>
          <w:sz w:val="24"/>
          <w:szCs w:val="24"/>
        </w:rPr>
        <w:t>经磋商确定最终采购需求和提交最后报价的供应商后，由磋商</w:t>
      </w:r>
      <w:r>
        <w:rPr>
          <w:rFonts w:ascii="黑体" w:hAnsi="黑体" w:eastAsia="黑体" w:cs="黑体"/>
          <w:color w:val="auto"/>
          <w:sz w:val="24"/>
          <w:szCs w:val="24"/>
        </w:rPr>
        <w:t>小组采用综合评分</w:t>
      </w:r>
      <w:r>
        <w:rPr>
          <w:rFonts w:ascii="黑体" w:hAnsi="黑体" w:eastAsia="黑体" w:cs="黑体"/>
          <w:color w:val="auto"/>
          <w:spacing w:val="1"/>
          <w:sz w:val="24"/>
          <w:szCs w:val="24"/>
        </w:rPr>
        <w:t>法对提交最后报价的供应商的响应文件和最后报价进行综合评分。</w:t>
      </w:r>
      <w:r>
        <w:rPr>
          <w:rFonts w:ascii="黑体" w:hAnsi="黑体" w:eastAsia="黑体" w:cs="黑体"/>
          <w:color w:val="auto"/>
          <w:spacing w:val="1"/>
          <w:sz w:val="24"/>
          <w:szCs w:val="24"/>
          <w14:textOutline w14:w="4358" w14:cap="sq" w14:cmpd="sng">
            <w14:solidFill>
              <w14:srgbClr w14:val="000000"/>
            </w14:solidFill>
            <w14:prstDash w14:val="solid"/>
            <w14:bevel/>
          </w14:textOutline>
        </w:rPr>
        <w:t>先进行资格、</w:t>
      </w:r>
      <w:r>
        <w:rPr>
          <w:rFonts w:ascii="黑体" w:hAnsi="黑体" w:eastAsia="黑体" w:cs="黑体"/>
          <w:color w:val="auto"/>
          <w:sz w:val="24"/>
          <w:szCs w:val="24"/>
          <w14:textOutline w14:w="4358" w14:cap="sq" w14:cmpd="sng">
            <w14:solidFill>
              <w14:srgbClr w14:val="000000"/>
            </w14:solidFill>
            <w14:prstDash w14:val="solid"/>
            <w14:bevel/>
          </w14:textOutline>
        </w:rPr>
        <w:t>符合</w:t>
      </w:r>
      <w:r>
        <w:rPr>
          <w:rFonts w:ascii="黑体" w:hAnsi="黑体" w:eastAsia="黑体" w:cs="黑体"/>
          <w:color w:val="auto"/>
          <w:spacing w:val="1"/>
          <w:sz w:val="24"/>
          <w:szCs w:val="24"/>
          <w14:textOutline w14:w="4358" w14:cap="sq" w14:cmpd="sng">
            <w14:solidFill>
              <w14:srgbClr w14:val="000000"/>
            </w14:solidFill>
            <w14:prstDash w14:val="solid"/>
            <w14:bevel/>
          </w14:textOutline>
        </w:rPr>
        <w:t>性审查，再进行技术、商务及价格的详细评审。</w:t>
      </w:r>
      <w:r>
        <w:rPr>
          <w:rFonts w:ascii="黑体" w:hAnsi="黑体" w:eastAsia="黑体" w:cs="黑体"/>
          <w:color w:val="auto"/>
          <w:spacing w:val="1"/>
          <w:sz w:val="24"/>
          <w:szCs w:val="24"/>
        </w:rPr>
        <w:t>只有通过资格、符合性审查的供应商</w:t>
      </w:r>
    </w:p>
    <w:p w14:paraId="468E7013">
      <w:pPr>
        <w:spacing w:line="221" w:lineRule="auto"/>
        <w:ind w:left="9"/>
        <w:rPr>
          <w:rFonts w:ascii="黑体" w:hAnsi="黑体" w:eastAsia="黑体" w:cs="黑体"/>
          <w:color w:val="auto"/>
          <w:sz w:val="24"/>
          <w:szCs w:val="24"/>
        </w:rPr>
      </w:pPr>
      <w:r>
        <w:rPr>
          <w:rFonts w:ascii="黑体" w:hAnsi="黑体" w:eastAsia="黑体" w:cs="黑体"/>
          <w:color w:val="auto"/>
          <w:sz w:val="24"/>
          <w:szCs w:val="24"/>
        </w:rPr>
        <w:t>才能进入下一步的详细评审。</w:t>
      </w:r>
    </w:p>
    <w:p w14:paraId="0B15CEE2">
      <w:pPr>
        <w:spacing w:before="247" w:line="230" w:lineRule="auto"/>
        <w:ind w:left="498"/>
        <w:rPr>
          <w:rFonts w:ascii="黑体" w:hAnsi="黑体" w:eastAsia="黑体" w:cs="黑体"/>
          <w:color w:val="auto"/>
          <w:sz w:val="24"/>
          <w:szCs w:val="24"/>
        </w:rPr>
      </w:pPr>
      <w:r>
        <w:rPr>
          <w:rFonts w:ascii="Wingdings" w:hAnsi="Wingdings" w:eastAsia="Wingdings" w:cs="Wingdings"/>
          <w:color w:val="auto"/>
          <w:spacing w:val="-9"/>
          <w:sz w:val="24"/>
          <w:szCs w:val="24"/>
        </w:rPr>
        <w:t>.</w:t>
      </w:r>
      <w:r>
        <w:rPr>
          <w:rFonts w:ascii="黑体" w:hAnsi="黑体" w:eastAsia="黑体" w:cs="黑体"/>
          <w:color w:val="auto"/>
          <w:spacing w:val="-9"/>
          <w:sz w:val="24"/>
          <w:szCs w:val="24"/>
        </w:rPr>
        <w:t>资格、符合性审查表（详见附表一，附表二）</w:t>
      </w:r>
    </w:p>
    <w:p w14:paraId="1A955640">
      <w:pPr>
        <w:spacing w:before="169" w:line="238" w:lineRule="auto"/>
        <w:ind w:left="498"/>
        <w:rPr>
          <w:rFonts w:ascii="黑体" w:hAnsi="黑体" w:eastAsia="黑体" w:cs="黑体"/>
          <w:color w:val="auto"/>
          <w:sz w:val="24"/>
          <w:szCs w:val="24"/>
        </w:rPr>
      </w:pPr>
      <w:r>
        <w:rPr>
          <w:rFonts w:ascii="Wingdings" w:hAnsi="Wingdings" w:eastAsia="Wingdings" w:cs="Wingdings"/>
          <w:color w:val="auto"/>
          <w:spacing w:val="-13"/>
          <w:sz w:val="24"/>
          <w:szCs w:val="24"/>
        </w:rPr>
        <w:t>.</w:t>
      </w:r>
      <w:r>
        <w:rPr>
          <w:rFonts w:ascii="黑体" w:hAnsi="黑体" w:eastAsia="黑体" w:cs="黑体"/>
          <w:color w:val="auto"/>
          <w:spacing w:val="-13"/>
          <w:sz w:val="24"/>
          <w:szCs w:val="24"/>
        </w:rPr>
        <w:t>商务、技术评审表（详见附表三）</w:t>
      </w:r>
    </w:p>
    <w:p w14:paraId="293BF1DE">
      <w:pPr>
        <w:spacing w:before="158" w:line="239" w:lineRule="auto"/>
        <w:ind w:left="498"/>
        <w:rPr>
          <w:rFonts w:ascii="黑体" w:hAnsi="黑体" w:eastAsia="黑体" w:cs="黑体"/>
          <w:color w:val="auto"/>
          <w:sz w:val="24"/>
          <w:szCs w:val="24"/>
        </w:rPr>
      </w:pPr>
      <w:r>
        <w:rPr>
          <w:rFonts w:ascii="Wingdings" w:hAnsi="Wingdings" w:eastAsia="Wingdings" w:cs="Wingdings"/>
          <w:color w:val="auto"/>
          <w:spacing w:val="-23"/>
          <w:w w:val="94"/>
          <w:sz w:val="24"/>
          <w:szCs w:val="24"/>
        </w:rPr>
        <w:t>.</w:t>
      </w:r>
      <w:r>
        <w:rPr>
          <w:rFonts w:ascii="黑体" w:hAnsi="黑体" w:eastAsia="黑体" w:cs="黑体"/>
          <w:color w:val="auto"/>
          <w:spacing w:val="-23"/>
          <w:w w:val="94"/>
          <w:sz w:val="24"/>
          <w:szCs w:val="24"/>
        </w:rPr>
        <w:t>价格评审</w:t>
      </w:r>
    </w:p>
    <w:p w14:paraId="66FE90F4">
      <w:pPr>
        <w:spacing w:before="90" w:line="213" w:lineRule="auto"/>
        <w:jc w:val="right"/>
        <w:rPr>
          <w:rFonts w:ascii="黑体" w:hAnsi="黑体" w:eastAsia="黑体" w:cs="黑体"/>
          <w:color w:val="auto"/>
          <w:sz w:val="24"/>
          <w:szCs w:val="24"/>
        </w:rPr>
      </w:pPr>
      <w:r>
        <w:rPr>
          <w:rFonts w:ascii="黑体" w:hAnsi="黑体" w:eastAsia="黑体" w:cs="黑体"/>
          <w:color w:val="auto"/>
          <w:spacing w:val="1"/>
          <w:sz w:val="24"/>
          <w:szCs w:val="24"/>
        </w:rPr>
        <w:t>磋商小组按磋商文件中规定的评审方法和标准，对资格、符合性审查合</w:t>
      </w:r>
      <w:r>
        <w:rPr>
          <w:rFonts w:ascii="黑体" w:hAnsi="黑体" w:eastAsia="黑体" w:cs="黑体"/>
          <w:color w:val="auto"/>
          <w:sz w:val="24"/>
          <w:szCs w:val="24"/>
        </w:rPr>
        <w:t>格的响应</w:t>
      </w:r>
    </w:p>
    <w:p w14:paraId="110F32A3">
      <w:pPr>
        <w:spacing w:before="189" w:line="468" w:lineRule="exact"/>
        <w:ind w:left="3"/>
        <w:rPr>
          <w:rFonts w:ascii="黑体" w:hAnsi="黑体" w:eastAsia="黑体" w:cs="黑体"/>
          <w:color w:val="auto"/>
          <w:sz w:val="24"/>
          <w:szCs w:val="24"/>
        </w:rPr>
      </w:pPr>
      <w:r>
        <w:rPr>
          <w:rFonts w:ascii="黑体" w:hAnsi="黑体" w:eastAsia="黑体" w:cs="黑体"/>
          <w:color w:val="auto"/>
          <w:spacing w:val="1"/>
          <w:position w:val="17"/>
          <w:sz w:val="24"/>
          <w:szCs w:val="24"/>
        </w:rPr>
        <w:t>文件进行商务和技术评估，综合比较与评价。</w:t>
      </w:r>
    </w:p>
    <w:p w14:paraId="430CA8C0">
      <w:pPr>
        <w:spacing w:before="1" w:line="222" w:lineRule="auto"/>
        <w:ind w:left="6"/>
        <w:rPr>
          <w:rFonts w:ascii="黑体" w:hAnsi="黑体" w:eastAsia="黑体" w:cs="黑体"/>
          <w:color w:val="auto"/>
          <w:sz w:val="24"/>
          <w:szCs w:val="24"/>
        </w:rPr>
      </w:pPr>
      <w:r>
        <w:rPr>
          <w:rFonts w:ascii="黑体" w:hAnsi="黑体" w:eastAsia="黑体" w:cs="黑体"/>
          <w:color w:val="auto"/>
          <w:sz w:val="24"/>
          <w:szCs w:val="24"/>
        </w:rPr>
        <w:t>具体打分标准如下：</w:t>
      </w:r>
    </w:p>
    <w:p w14:paraId="589F6FE2">
      <w:pPr>
        <w:spacing w:before="176" w:line="221" w:lineRule="auto"/>
        <w:ind w:left="508"/>
        <w:rPr>
          <w:rFonts w:ascii="黑体" w:hAnsi="黑体" w:eastAsia="黑体" w:cs="黑体"/>
          <w:color w:val="auto"/>
          <w:sz w:val="24"/>
          <w:szCs w:val="24"/>
        </w:rPr>
      </w:pPr>
      <w:r>
        <w:rPr>
          <w:rFonts w:ascii="黑体" w:hAnsi="黑体" w:eastAsia="黑体" w:cs="黑体"/>
          <w:color w:val="auto"/>
          <w:sz w:val="24"/>
          <w:szCs w:val="24"/>
          <w14:textOutline w14:w="4358" w14:cap="sq" w14:cmpd="sng">
            <w14:solidFill>
              <w14:srgbClr w14:val="000000"/>
            </w14:solidFill>
            <w14:prstDash w14:val="solid"/>
            <w14:bevel/>
          </w14:textOutline>
        </w:rPr>
        <w:t>（1）商务、技术评分</w:t>
      </w:r>
    </w:p>
    <w:p w14:paraId="5313FE52">
      <w:pPr>
        <w:spacing w:before="181" w:line="359" w:lineRule="auto"/>
        <w:ind w:left="3" w:firstLine="483"/>
        <w:jc w:val="both"/>
        <w:rPr>
          <w:rFonts w:ascii="黑体" w:hAnsi="黑体" w:eastAsia="黑体" w:cs="黑体"/>
          <w:color w:val="auto"/>
          <w:sz w:val="24"/>
          <w:szCs w:val="24"/>
        </w:rPr>
      </w:pPr>
      <w:r>
        <w:rPr>
          <w:rFonts w:ascii="黑体" w:hAnsi="黑体" w:eastAsia="黑体" w:cs="黑体"/>
          <w:color w:val="auto"/>
          <w:spacing w:val="1"/>
          <w:sz w:val="24"/>
          <w:szCs w:val="24"/>
        </w:rPr>
        <w:t>磋商小组分别对各供应商的商务、技术响应文件中的各项内容进行评议</w:t>
      </w:r>
      <w:r>
        <w:rPr>
          <w:rFonts w:ascii="黑体" w:hAnsi="黑体" w:eastAsia="黑体" w:cs="黑体"/>
          <w:color w:val="auto"/>
          <w:sz w:val="24"/>
          <w:szCs w:val="24"/>
        </w:rPr>
        <w:t>比较，详</w:t>
      </w:r>
      <w:r>
        <w:rPr>
          <w:rFonts w:ascii="黑体" w:hAnsi="黑体" w:eastAsia="黑体" w:cs="黑体"/>
          <w:color w:val="auto"/>
          <w:spacing w:val="1"/>
          <w:sz w:val="24"/>
          <w:szCs w:val="24"/>
        </w:rPr>
        <w:t>细对比其商务、技术方案等各种因素方面是否满足磋商文件的要求。在商务、</w:t>
      </w:r>
      <w:r>
        <w:rPr>
          <w:rFonts w:ascii="黑体" w:hAnsi="黑体" w:eastAsia="黑体" w:cs="黑体"/>
          <w:color w:val="auto"/>
          <w:sz w:val="24"/>
          <w:szCs w:val="24"/>
        </w:rPr>
        <w:t>技术评</w:t>
      </w:r>
    </w:p>
    <w:p w14:paraId="643838F9">
      <w:pPr>
        <w:spacing w:before="1" w:line="221" w:lineRule="auto"/>
        <w:ind w:left="7"/>
        <w:rPr>
          <w:rFonts w:ascii="黑体" w:hAnsi="黑体" w:eastAsia="黑体" w:cs="黑体"/>
          <w:color w:val="auto"/>
          <w:sz w:val="24"/>
          <w:szCs w:val="24"/>
        </w:rPr>
      </w:pPr>
      <w:r>
        <w:rPr>
          <w:rFonts w:ascii="黑体" w:hAnsi="黑体" w:eastAsia="黑体" w:cs="黑体"/>
          <w:color w:val="auto"/>
          <w:sz w:val="24"/>
          <w:szCs w:val="24"/>
        </w:rPr>
        <w:t>审表的相应项各自记名打分。</w:t>
      </w:r>
    </w:p>
    <w:p w14:paraId="4D98EAEC">
      <w:pPr>
        <w:spacing w:before="180" w:line="221" w:lineRule="auto"/>
        <w:ind w:left="508"/>
        <w:rPr>
          <w:rFonts w:ascii="黑体" w:hAnsi="黑体" w:eastAsia="黑体" w:cs="黑体"/>
          <w:color w:val="auto"/>
          <w:sz w:val="24"/>
          <w:szCs w:val="24"/>
        </w:rPr>
      </w:pPr>
      <w:r>
        <w:rPr>
          <w:rFonts w:ascii="黑体" w:hAnsi="黑体" w:eastAsia="黑体" w:cs="黑体"/>
          <w:color w:val="auto"/>
          <w:sz w:val="24"/>
          <w:szCs w:val="24"/>
          <w14:textOutline w14:w="4358" w14:cap="sq" w14:cmpd="sng">
            <w14:solidFill>
              <w14:srgbClr w14:val="000000"/>
            </w14:solidFill>
            <w14:prstDash w14:val="solid"/>
            <w14:bevel/>
          </w14:textOutline>
        </w:rPr>
        <w:t>（2）商务、技术得分统计</w:t>
      </w:r>
    </w:p>
    <w:p w14:paraId="16CA6350">
      <w:pPr>
        <w:spacing w:before="257" w:line="468" w:lineRule="exact"/>
        <w:jc w:val="right"/>
        <w:rPr>
          <w:rFonts w:ascii="黑体" w:hAnsi="黑体" w:eastAsia="黑体" w:cs="黑体"/>
          <w:color w:val="auto"/>
          <w:sz w:val="24"/>
          <w:szCs w:val="24"/>
        </w:rPr>
      </w:pPr>
      <w:r>
        <w:rPr>
          <w:rFonts w:ascii="黑体" w:hAnsi="黑体" w:eastAsia="黑体" w:cs="黑体"/>
          <w:color w:val="auto"/>
          <w:spacing w:val="1"/>
          <w:position w:val="17"/>
          <w:sz w:val="24"/>
          <w:szCs w:val="24"/>
        </w:rPr>
        <w:t>将所有磋商小组的商务、技术评分的算术平均值即为每个有效供应商的</w:t>
      </w:r>
      <w:r>
        <w:rPr>
          <w:rFonts w:ascii="黑体" w:hAnsi="黑体" w:eastAsia="黑体" w:cs="黑体"/>
          <w:color w:val="auto"/>
          <w:position w:val="17"/>
          <w:sz w:val="24"/>
          <w:szCs w:val="24"/>
        </w:rPr>
        <w:t>技术得分</w:t>
      </w:r>
    </w:p>
    <w:p w14:paraId="0AE85559">
      <w:pPr>
        <w:spacing w:before="2" w:line="212" w:lineRule="auto"/>
        <w:ind w:left="21"/>
        <w:rPr>
          <w:rFonts w:ascii="黑体" w:hAnsi="黑体" w:eastAsia="黑体" w:cs="黑体"/>
          <w:color w:val="auto"/>
          <w:sz w:val="24"/>
          <w:szCs w:val="24"/>
        </w:rPr>
      </w:pPr>
      <w:r>
        <w:rPr>
          <w:rFonts w:ascii="黑体" w:hAnsi="黑体" w:eastAsia="黑体" w:cs="黑体"/>
          <w:color w:val="auto"/>
          <w:spacing w:val="-1"/>
          <w:sz w:val="24"/>
          <w:szCs w:val="24"/>
        </w:rPr>
        <w:t>（四舍五入后，精确到0.01）。</w:t>
      </w:r>
    </w:p>
    <w:p w14:paraId="2BDC7181">
      <w:pPr>
        <w:spacing w:before="191" w:line="389" w:lineRule="exact"/>
        <w:ind w:left="508"/>
        <w:rPr>
          <w:rFonts w:ascii="黑体" w:hAnsi="黑体" w:eastAsia="黑体" w:cs="黑体"/>
          <w:color w:val="auto"/>
          <w:sz w:val="24"/>
          <w:szCs w:val="24"/>
        </w:rPr>
      </w:pPr>
      <w:r>
        <w:rPr>
          <w:rFonts w:ascii="黑体" w:hAnsi="黑体" w:eastAsia="黑体" w:cs="黑体"/>
          <w:color w:val="auto"/>
          <w:spacing w:val="-1"/>
          <w:position w:val="10"/>
          <w:sz w:val="24"/>
          <w:szCs w:val="24"/>
          <w14:textOutline w14:w="4358" w14:cap="sq" w14:cmpd="sng">
            <w14:solidFill>
              <w14:srgbClr w14:val="000000"/>
            </w14:solidFill>
            <w14:prstDash w14:val="solid"/>
            <w14:bevel/>
          </w14:textOutline>
        </w:rPr>
        <w:t>（3）价格核准和评分</w:t>
      </w:r>
    </w:p>
    <w:p w14:paraId="7386F03D">
      <w:pPr>
        <w:spacing w:line="221" w:lineRule="auto"/>
        <w:ind w:left="481"/>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A、价格的核准</w:t>
      </w:r>
    </w:p>
    <w:p w14:paraId="078958FD">
      <w:pPr>
        <w:spacing w:before="179" w:line="359" w:lineRule="auto"/>
        <w:ind w:left="2" w:firstLine="474"/>
        <w:rPr>
          <w:rFonts w:ascii="黑体" w:hAnsi="黑体" w:eastAsia="黑体" w:cs="黑体"/>
          <w:color w:val="auto"/>
          <w:sz w:val="24"/>
          <w:szCs w:val="24"/>
        </w:rPr>
      </w:pPr>
      <w:r>
        <w:rPr>
          <w:rFonts w:ascii="黑体" w:hAnsi="黑体" w:eastAsia="黑体" w:cs="黑体"/>
          <w:color w:val="auto"/>
          <w:spacing w:val="1"/>
          <w:sz w:val="24"/>
          <w:szCs w:val="24"/>
        </w:rPr>
        <w:t>供应商不得以低于成本的报价竞争。如果磋商小组发现供应商的报价明显低于其他供应商的，使得其报价可能低于其个别成本的，将要求该供应商作书面说明并</w:t>
      </w:r>
      <w:r>
        <w:rPr>
          <w:rFonts w:ascii="黑体" w:hAnsi="黑体" w:eastAsia="黑体" w:cs="黑体"/>
          <w:color w:val="auto"/>
          <w:sz w:val="24"/>
          <w:szCs w:val="24"/>
        </w:rPr>
        <w:t>提供</w:t>
      </w:r>
      <w:r>
        <w:rPr>
          <w:rFonts w:ascii="黑体" w:hAnsi="黑体" w:eastAsia="黑体" w:cs="黑体"/>
          <w:color w:val="auto"/>
          <w:spacing w:val="1"/>
          <w:sz w:val="24"/>
          <w:szCs w:val="24"/>
        </w:rPr>
        <w:t>相关证明材料。供应商不能合理说明或不能提供相关证明材料的，磋商小组将认</w:t>
      </w:r>
      <w:r>
        <w:rPr>
          <w:rFonts w:ascii="黑体" w:hAnsi="黑体" w:eastAsia="黑体" w:cs="黑体"/>
          <w:color w:val="auto"/>
          <w:sz w:val="24"/>
          <w:szCs w:val="24"/>
        </w:rPr>
        <w:t>定该</w:t>
      </w:r>
    </w:p>
    <w:p w14:paraId="41706970">
      <w:pPr>
        <w:spacing w:before="2" w:line="212" w:lineRule="auto"/>
        <w:rPr>
          <w:rFonts w:ascii="黑体" w:hAnsi="黑体" w:eastAsia="黑体" w:cs="黑体"/>
          <w:color w:val="auto"/>
          <w:sz w:val="24"/>
          <w:szCs w:val="24"/>
        </w:rPr>
      </w:pPr>
      <w:r>
        <w:rPr>
          <w:rFonts w:ascii="黑体" w:hAnsi="黑体" w:eastAsia="黑体" w:cs="黑体"/>
          <w:color w:val="auto"/>
          <w:spacing w:val="2"/>
          <w:sz w:val="24"/>
          <w:szCs w:val="24"/>
        </w:rPr>
        <w:t>供应商以低于成本报价竞争，其响应文件作无效处理。</w:t>
      </w:r>
    </w:p>
    <w:p w14:paraId="6587C322">
      <w:pPr>
        <w:spacing w:before="191" w:line="465" w:lineRule="exact"/>
        <w:jc w:val="right"/>
        <w:rPr>
          <w:rFonts w:ascii="黑体" w:hAnsi="黑体" w:eastAsia="黑体" w:cs="黑体"/>
          <w:color w:val="auto"/>
          <w:sz w:val="24"/>
          <w:szCs w:val="24"/>
        </w:rPr>
      </w:pPr>
      <w:r>
        <w:rPr>
          <w:rFonts w:ascii="黑体" w:hAnsi="黑体" w:eastAsia="黑体" w:cs="黑体"/>
          <w:color w:val="auto"/>
          <w:spacing w:val="1"/>
          <w:position w:val="17"/>
          <w:sz w:val="24"/>
          <w:szCs w:val="24"/>
        </w:rPr>
        <w:t>磋商小组先对入围供应商的最后报价进行复核，审查其是否有计算上的错误，修</w:t>
      </w:r>
    </w:p>
    <w:p w14:paraId="3914AF22">
      <w:pPr>
        <w:spacing w:before="1" w:line="221" w:lineRule="auto"/>
        <w:ind w:left="5"/>
        <w:rPr>
          <w:rFonts w:ascii="黑体" w:hAnsi="黑体" w:eastAsia="黑体" w:cs="黑体"/>
          <w:color w:val="auto"/>
          <w:sz w:val="24"/>
          <w:szCs w:val="24"/>
        </w:rPr>
      </w:pPr>
      <w:r>
        <w:rPr>
          <w:rFonts w:ascii="黑体" w:hAnsi="黑体" w:eastAsia="黑体" w:cs="黑体"/>
          <w:color w:val="auto"/>
          <w:sz w:val="24"/>
          <w:szCs w:val="24"/>
        </w:rPr>
        <w:t>正错误的原则如下</w:t>
      </w:r>
    </w:p>
    <w:p w14:paraId="5AD6B2F4">
      <w:pPr>
        <w:spacing w:before="180" w:line="359" w:lineRule="auto"/>
        <w:ind w:left="4" w:firstLine="492"/>
        <w:rPr>
          <w:rFonts w:ascii="黑体" w:hAnsi="黑体" w:eastAsia="黑体" w:cs="黑体"/>
          <w:color w:val="auto"/>
          <w:sz w:val="24"/>
          <w:szCs w:val="24"/>
        </w:rPr>
      </w:pPr>
      <w:r>
        <w:rPr>
          <w:rFonts w:ascii="黑体" w:hAnsi="黑体" w:eastAsia="黑体" w:cs="黑体"/>
          <w:color w:val="auto"/>
          <w:spacing w:val="1"/>
          <w:sz w:val="24"/>
          <w:szCs w:val="24"/>
        </w:rPr>
        <w:t>响应文件的大写金额和小写金额不一致的，以大</w:t>
      </w:r>
      <w:r>
        <w:rPr>
          <w:rFonts w:ascii="黑体" w:hAnsi="黑体" w:eastAsia="黑体" w:cs="黑体"/>
          <w:color w:val="auto"/>
          <w:sz w:val="24"/>
          <w:szCs w:val="24"/>
        </w:rPr>
        <w:t>写金额为准；总价金额与按单价</w:t>
      </w:r>
      <w:r>
        <w:rPr>
          <w:rFonts w:ascii="黑体" w:hAnsi="黑体" w:eastAsia="黑体" w:cs="黑体"/>
          <w:color w:val="auto"/>
          <w:spacing w:val="1"/>
          <w:sz w:val="24"/>
          <w:szCs w:val="24"/>
        </w:rPr>
        <w:t>汇总金额不一致的，以单价金额计算结果为准；单价金额小数点有明显错位</w:t>
      </w:r>
      <w:r>
        <w:rPr>
          <w:rFonts w:ascii="黑体" w:hAnsi="黑体" w:eastAsia="黑体" w:cs="黑体"/>
          <w:color w:val="auto"/>
          <w:sz w:val="24"/>
          <w:szCs w:val="24"/>
        </w:rPr>
        <w:t>的，应以</w:t>
      </w:r>
    </w:p>
    <w:p w14:paraId="35C241CA">
      <w:pPr>
        <w:spacing w:before="2" w:line="212" w:lineRule="auto"/>
        <w:jc w:val="right"/>
        <w:rPr>
          <w:rFonts w:ascii="黑体" w:hAnsi="黑体" w:eastAsia="黑体" w:cs="黑体"/>
          <w:color w:val="auto"/>
          <w:sz w:val="24"/>
          <w:szCs w:val="24"/>
        </w:rPr>
      </w:pPr>
      <w:r>
        <w:rPr>
          <w:rFonts w:ascii="黑体" w:hAnsi="黑体" w:eastAsia="黑体" w:cs="黑体"/>
          <w:color w:val="auto"/>
          <w:spacing w:val="1"/>
          <w:sz w:val="24"/>
          <w:szCs w:val="24"/>
        </w:rPr>
        <w:t>总价为准，并修改单价；对不同文字文本响应文件的解释发生异议的，以</w:t>
      </w:r>
      <w:r>
        <w:rPr>
          <w:rFonts w:ascii="黑体" w:hAnsi="黑体" w:eastAsia="黑体" w:cs="黑体"/>
          <w:color w:val="auto"/>
          <w:sz w:val="24"/>
          <w:szCs w:val="24"/>
        </w:rPr>
        <w:t>中文文本为</w:t>
      </w:r>
    </w:p>
    <w:p w14:paraId="4238BA79">
      <w:pPr>
        <w:spacing w:line="212" w:lineRule="auto"/>
        <w:rPr>
          <w:rFonts w:ascii="黑体" w:hAnsi="黑体" w:eastAsia="黑体" w:cs="黑体"/>
          <w:color w:val="auto"/>
          <w:sz w:val="24"/>
          <w:szCs w:val="24"/>
        </w:rPr>
        <w:sectPr>
          <w:footerReference r:id="rId18" w:type="default"/>
          <w:pgSz w:w="11906" w:h="16839"/>
          <w:pgMar w:top="1404" w:right="1561" w:bottom="1012" w:left="1424" w:header="0" w:footer="850" w:gutter="0"/>
          <w:pgNumType w:fmt="decimal"/>
          <w:cols w:space="720" w:num="1"/>
        </w:sectPr>
      </w:pPr>
    </w:p>
    <w:p w14:paraId="658F6B50">
      <w:pPr>
        <w:spacing w:before="48" w:line="224" w:lineRule="auto"/>
        <w:ind w:left="2"/>
        <w:rPr>
          <w:rFonts w:ascii="黑体" w:hAnsi="黑体" w:eastAsia="黑体" w:cs="黑体"/>
          <w:color w:val="auto"/>
          <w:sz w:val="24"/>
          <w:szCs w:val="24"/>
        </w:rPr>
      </w:pPr>
      <w:r>
        <w:rPr>
          <w:rFonts w:ascii="黑体" w:hAnsi="黑体" w:eastAsia="黑体" w:cs="黑体"/>
          <w:color w:val="auto"/>
          <w:spacing w:val="-6"/>
          <w:sz w:val="24"/>
          <w:szCs w:val="24"/>
        </w:rPr>
        <w:t>准。</w:t>
      </w:r>
    </w:p>
    <w:p w14:paraId="24A978DF">
      <w:pPr>
        <w:spacing w:before="174" w:line="468" w:lineRule="exact"/>
        <w:ind w:left="487"/>
        <w:rPr>
          <w:rFonts w:ascii="黑体" w:hAnsi="黑体" w:eastAsia="黑体" w:cs="黑体"/>
          <w:color w:val="auto"/>
          <w:sz w:val="24"/>
          <w:szCs w:val="24"/>
        </w:rPr>
      </w:pPr>
      <w:r>
        <w:rPr>
          <w:rFonts w:ascii="黑体" w:hAnsi="黑体" w:eastAsia="黑体" w:cs="黑体"/>
          <w:color w:val="auto"/>
          <w:spacing w:val="1"/>
          <w:position w:val="17"/>
          <w:sz w:val="24"/>
          <w:szCs w:val="24"/>
        </w:rPr>
        <w:t>按上述修正错误的方法调整后的最后报价，对供应商具有约束力。如果供</w:t>
      </w:r>
      <w:r>
        <w:rPr>
          <w:rFonts w:ascii="黑体" w:hAnsi="黑体" w:eastAsia="黑体" w:cs="黑体"/>
          <w:color w:val="auto"/>
          <w:position w:val="17"/>
          <w:sz w:val="24"/>
          <w:szCs w:val="24"/>
        </w:rPr>
        <w:t>应商不</w:t>
      </w:r>
    </w:p>
    <w:p w14:paraId="06C294AB">
      <w:pPr>
        <w:spacing w:before="1" w:line="212" w:lineRule="auto"/>
        <w:rPr>
          <w:rFonts w:ascii="黑体" w:hAnsi="黑体" w:eastAsia="黑体" w:cs="黑体"/>
          <w:color w:val="auto"/>
          <w:sz w:val="24"/>
          <w:szCs w:val="24"/>
        </w:rPr>
      </w:pPr>
      <w:r>
        <w:rPr>
          <w:rFonts w:ascii="黑体" w:hAnsi="黑体" w:eastAsia="黑体" w:cs="黑体"/>
          <w:color w:val="auto"/>
          <w:spacing w:val="1"/>
          <w:sz w:val="24"/>
          <w:szCs w:val="24"/>
        </w:rPr>
        <w:t>接受修正后的价格，则其响应文件作无效处理。</w:t>
      </w:r>
    </w:p>
    <w:p w14:paraId="295B1360">
      <w:pPr>
        <w:spacing w:before="111" w:line="222" w:lineRule="auto"/>
        <w:ind w:left="488"/>
        <w:rPr>
          <w:rFonts w:ascii="黑体" w:hAnsi="黑体" w:eastAsia="黑体" w:cs="黑体"/>
          <w:color w:val="auto"/>
          <w:sz w:val="24"/>
          <w:szCs w:val="24"/>
        </w:rPr>
      </w:pPr>
      <w:r>
        <w:rPr>
          <w:rFonts w:hint="eastAsia" w:ascii="黑体" w:hAnsi="黑体" w:eastAsia="黑体" w:cs="黑体"/>
          <w:color w:val="auto"/>
          <w:spacing w:val="1"/>
          <w:sz w:val="24"/>
          <w:szCs w:val="24"/>
          <w:lang w:val="en-US" w:eastAsia="zh-CN"/>
          <w14:textOutline w14:w="4358" w14:cap="sq" w14:cmpd="sng">
            <w14:solidFill>
              <w14:srgbClr w14:val="000000"/>
            </w14:solidFill>
            <w14:prstDash w14:val="solid"/>
            <w14:bevel/>
          </w14:textOutline>
        </w:rPr>
        <w:t>B</w:t>
      </w:r>
      <w:r>
        <w:rPr>
          <w:rFonts w:ascii="黑体" w:hAnsi="黑体" w:eastAsia="黑体" w:cs="黑体"/>
          <w:color w:val="auto"/>
          <w:spacing w:val="1"/>
          <w:sz w:val="24"/>
          <w:szCs w:val="24"/>
          <w14:textOutline w14:w="4358" w14:cap="sq" w14:cmpd="sng">
            <w14:solidFill>
              <w14:srgbClr w14:val="000000"/>
            </w14:solidFill>
            <w14:prstDash w14:val="solid"/>
            <w14:bevel/>
          </w14:textOutline>
        </w:rPr>
        <w:t>、价格评分</w:t>
      </w:r>
    </w:p>
    <w:p w14:paraId="5E3B92AC">
      <w:pPr>
        <w:spacing w:before="179" w:line="359" w:lineRule="auto"/>
        <w:ind w:left="3" w:firstLine="474"/>
        <w:jc w:val="both"/>
        <w:rPr>
          <w:rFonts w:ascii="黑体" w:hAnsi="黑体" w:eastAsia="黑体" w:cs="黑体"/>
          <w:color w:val="auto"/>
          <w:sz w:val="24"/>
          <w:szCs w:val="24"/>
        </w:rPr>
      </w:pPr>
      <w:r>
        <w:rPr>
          <w:rFonts w:ascii="黑体" w:hAnsi="黑体" w:eastAsia="黑体" w:cs="黑体"/>
          <w:color w:val="auto"/>
          <w:spacing w:val="1"/>
          <w:sz w:val="24"/>
          <w:szCs w:val="24"/>
        </w:rPr>
        <w:t>磋商小组对入围的供应商的最后价格进行修正及价格扣除得出评审价。综合评分法中的价格分统一采用低价优先法计算，即满足磋商文件要求（通过资格、符合</w:t>
      </w:r>
      <w:r>
        <w:rPr>
          <w:rFonts w:ascii="黑体" w:hAnsi="黑体" w:eastAsia="黑体" w:cs="黑体"/>
          <w:color w:val="auto"/>
          <w:sz w:val="24"/>
          <w:szCs w:val="24"/>
        </w:rPr>
        <w:t>性审</w:t>
      </w:r>
      <w:r>
        <w:rPr>
          <w:rFonts w:ascii="黑体" w:hAnsi="黑体" w:eastAsia="黑体" w:cs="黑体"/>
          <w:color w:val="auto"/>
          <w:spacing w:val="1"/>
          <w:sz w:val="24"/>
          <w:szCs w:val="24"/>
        </w:rPr>
        <w:t>查）且价格最低的有效最后报价（指修正后的价格，下同）为磋商基准价，其价</w:t>
      </w:r>
      <w:r>
        <w:rPr>
          <w:rFonts w:ascii="黑体" w:hAnsi="黑体" w:eastAsia="黑体" w:cs="黑体"/>
          <w:color w:val="auto"/>
          <w:sz w:val="24"/>
          <w:szCs w:val="24"/>
        </w:rPr>
        <w:t>格分</w:t>
      </w:r>
    </w:p>
    <w:p w14:paraId="214B443E">
      <w:pPr>
        <w:spacing w:before="1" w:line="220" w:lineRule="auto"/>
        <w:ind w:left="7"/>
        <w:rPr>
          <w:rFonts w:ascii="黑体" w:hAnsi="黑体" w:eastAsia="黑体" w:cs="黑体"/>
          <w:color w:val="auto"/>
          <w:sz w:val="24"/>
          <w:szCs w:val="24"/>
        </w:rPr>
      </w:pPr>
      <w:r>
        <w:rPr>
          <w:rFonts w:ascii="黑体" w:hAnsi="黑体" w:eastAsia="黑体" w:cs="黑体"/>
          <w:color w:val="auto"/>
          <w:spacing w:val="1"/>
          <w:sz w:val="24"/>
          <w:szCs w:val="24"/>
        </w:rPr>
        <w:t>为满分。其他供应商的价格分统一按照下列公式计算：</w:t>
      </w:r>
    </w:p>
    <w:p w14:paraId="4F3FD942">
      <w:pPr>
        <w:spacing w:before="177" w:line="222" w:lineRule="auto"/>
        <w:ind w:left="488"/>
        <w:outlineLvl w:val="1"/>
        <w:rPr>
          <w:rFonts w:ascii="黑体" w:hAnsi="黑体" w:eastAsia="黑体" w:cs="黑体"/>
          <w:color w:val="auto"/>
          <w:sz w:val="24"/>
          <w:szCs w:val="24"/>
        </w:rPr>
      </w:pPr>
      <w:bookmarkStart w:id="12" w:name="_Toc10447"/>
      <w:r>
        <w:rPr>
          <w:rFonts w:ascii="黑体" w:hAnsi="黑体" w:eastAsia="黑体" w:cs="黑体"/>
          <w:color w:val="auto"/>
          <w:spacing w:val="3"/>
          <w:sz w:val="24"/>
          <w:szCs w:val="24"/>
          <w14:textOutline w14:w="4358" w14:cap="sq" w14:cmpd="sng">
            <w14:solidFill>
              <w14:srgbClr w14:val="000000"/>
            </w14:solidFill>
            <w14:prstDash w14:val="solid"/>
            <w14:bevel/>
          </w14:textOutline>
        </w:rPr>
        <w:t>磋商报价得分</w:t>
      </w:r>
      <w:r>
        <w:rPr>
          <w:rFonts w:ascii="黑体" w:hAnsi="黑体" w:eastAsia="黑体" w:cs="黑体"/>
          <w:color w:val="auto"/>
          <w:spacing w:val="-26"/>
          <w:sz w:val="24"/>
          <w:szCs w:val="24"/>
          <w14:textOutline w14:w="4358" w14:cap="sq" w14:cmpd="sng">
            <w14:solidFill>
              <w14:srgbClr w14:val="000000"/>
            </w14:solidFill>
            <w14:prstDash w14:val="solid"/>
            <w14:bevel/>
          </w14:textOutline>
        </w:rPr>
        <w:t>＝（</w:t>
      </w:r>
      <w:r>
        <w:rPr>
          <w:rFonts w:ascii="黑体" w:hAnsi="黑体" w:eastAsia="黑体" w:cs="黑体"/>
          <w:color w:val="auto"/>
          <w:spacing w:val="3"/>
          <w:sz w:val="24"/>
          <w:szCs w:val="24"/>
          <w14:textOutline w14:w="4358" w14:cap="sq" w14:cmpd="sng">
            <w14:solidFill>
              <w14:srgbClr w14:val="000000"/>
            </w14:solidFill>
            <w14:prstDash w14:val="solid"/>
            <w14:bevel/>
          </w14:textOutline>
        </w:rPr>
        <w:t>磋商基准价／最终磋商报价）×分值。</w:t>
      </w:r>
      <w:bookmarkEnd w:id="12"/>
    </w:p>
    <w:p w14:paraId="1B29D57B">
      <w:pPr>
        <w:spacing w:line="222" w:lineRule="auto"/>
        <w:rPr>
          <w:rFonts w:ascii="黑体" w:hAnsi="黑体" w:eastAsia="黑体" w:cs="黑体"/>
          <w:color w:val="auto"/>
          <w:sz w:val="24"/>
          <w:szCs w:val="24"/>
        </w:rPr>
        <w:sectPr>
          <w:footerReference r:id="rId19" w:type="default"/>
          <w:pgSz w:w="11906" w:h="16839"/>
          <w:pgMar w:top="1431" w:right="1561" w:bottom="1012" w:left="1423" w:header="0" w:footer="850" w:gutter="0"/>
          <w:pgNumType w:fmt="decimal"/>
          <w:cols w:space="720" w:num="1"/>
        </w:sectPr>
      </w:pPr>
    </w:p>
    <w:p w14:paraId="003676BC">
      <w:pPr>
        <w:spacing w:before="48" w:line="223" w:lineRule="auto"/>
        <w:ind w:left="110"/>
        <w:rPr>
          <w:rFonts w:ascii="黑体" w:hAnsi="黑体" w:eastAsia="黑体" w:cs="黑体"/>
          <w:color w:val="auto"/>
          <w:sz w:val="24"/>
          <w:szCs w:val="24"/>
        </w:rPr>
      </w:pPr>
      <w:r>
        <w:rPr>
          <w:rFonts w:ascii="黑体" w:hAnsi="黑体" w:eastAsia="黑体" w:cs="黑体"/>
          <w:color w:val="auto"/>
          <w:spacing w:val="-4"/>
          <w:sz w:val="24"/>
          <w:szCs w:val="24"/>
          <w14:textOutline w14:w="4358" w14:cap="sq" w14:cmpd="sng">
            <w14:solidFill>
              <w14:srgbClr w14:val="000000"/>
            </w14:solidFill>
            <w14:prstDash w14:val="solid"/>
            <w14:bevel/>
          </w14:textOutline>
        </w:rPr>
        <w:t>附表一：</w:t>
      </w:r>
    </w:p>
    <w:p w14:paraId="0CDC8B5C">
      <w:pPr>
        <w:spacing w:before="175" w:line="222" w:lineRule="auto"/>
        <w:ind w:left="3911"/>
        <w:outlineLvl w:val="1"/>
        <w:rPr>
          <w:rFonts w:ascii="黑体" w:hAnsi="黑体" w:eastAsia="黑体" w:cs="黑体"/>
          <w:color w:val="auto"/>
          <w:sz w:val="24"/>
          <w:szCs w:val="24"/>
          <w:highlight w:val="none"/>
        </w:rPr>
      </w:pPr>
      <w:bookmarkStart w:id="13" w:name="_Toc29962"/>
      <w:r>
        <w:rPr>
          <w:rFonts w:ascii="黑体" w:hAnsi="黑体" w:eastAsia="黑体" w:cs="黑体"/>
          <w:color w:val="auto"/>
          <w:spacing w:val="-1"/>
          <w:sz w:val="24"/>
          <w:szCs w:val="24"/>
          <w:highlight w:val="none"/>
          <w14:textOutline w14:w="4358" w14:cap="sq" w14:cmpd="sng">
            <w14:solidFill>
              <w14:srgbClr w14:val="000000"/>
            </w14:solidFill>
            <w14:prstDash w14:val="solid"/>
            <w14:bevel/>
          </w14:textOutline>
        </w:rPr>
        <w:t>资格性审查表</w:t>
      </w:r>
      <w:bookmarkEnd w:id="13"/>
    </w:p>
    <w:p w14:paraId="13C084C9">
      <w:pPr>
        <w:spacing w:line="144" w:lineRule="exact"/>
        <w:rPr>
          <w:color w:val="auto"/>
        </w:rPr>
      </w:pPr>
    </w:p>
    <w:tbl>
      <w:tblPr>
        <w:tblStyle w:val="19"/>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8238"/>
      </w:tblGrid>
      <w:tr w14:paraId="2FCCA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05" w:type="dxa"/>
            <w:vAlign w:val="top"/>
          </w:tcPr>
          <w:p w14:paraId="65D14EEB">
            <w:pPr>
              <w:pStyle w:val="20"/>
              <w:spacing w:before="52" w:line="223" w:lineRule="auto"/>
              <w:ind w:left="267"/>
              <w:rPr>
                <w:color w:val="auto"/>
              </w:rPr>
            </w:pPr>
            <w:r>
              <w:rPr>
                <w:color w:val="auto"/>
                <w:spacing w:val="-4"/>
              </w:rPr>
              <w:t>序号</w:t>
            </w:r>
          </w:p>
        </w:tc>
        <w:tc>
          <w:tcPr>
            <w:tcW w:w="8238" w:type="dxa"/>
            <w:vAlign w:val="top"/>
          </w:tcPr>
          <w:p w14:paraId="20EF366F">
            <w:pPr>
              <w:pStyle w:val="20"/>
              <w:spacing w:before="51" w:line="222" w:lineRule="auto"/>
              <w:ind w:left="3639"/>
              <w:rPr>
                <w:color w:val="auto"/>
              </w:rPr>
            </w:pPr>
            <w:r>
              <w:rPr>
                <w:color w:val="auto"/>
                <w:spacing w:val="-1"/>
              </w:rPr>
              <w:t>评审内容</w:t>
            </w:r>
          </w:p>
        </w:tc>
      </w:tr>
      <w:tr w14:paraId="44F7F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0" w:hRule="atLeast"/>
        </w:trPr>
        <w:tc>
          <w:tcPr>
            <w:tcW w:w="1005" w:type="dxa"/>
            <w:vAlign w:val="top"/>
          </w:tcPr>
          <w:p w14:paraId="290666FE">
            <w:pPr>
              <w:pStyle w:val="20"/>
              <w:spacing w:before="161" w:line="184" w:lineRule="auto"/>
              <w:ind w:left="461"/>
              <w:jc w:val="both"/>
              <w:rPr>
                <w:color w:val="auto"/>
              </w:rPr>
            </w:pPr>
          </w:p>
          <w:p w14:paraId="2BF29115">
            <w:pPr>
              <w:pStyle w:val="20"/>
              <w:spacing w:before="161" w:line="184" w:lineRule="auto"/>
              <w:ind w:left="461"/>
              <w:jc w:val="both"/>
              <w:rPr>
                <w:color w:val="auto"/>
              </w:rPr>
            </w:pPr>
          </w:p>
          <w:p w14:paraId="65B8E155">
            <w:pPr>
              <w:pStyle w:val="20"/>
              <w:spacing w:before="161" w:line="184" w:lineRule="auto"/>
              <w:ind w:left="461"/>
              <w:jc w:val="both"/>
              <w:rPr>
                <w:color w:val="auto"/>
              </w:rPr>
            </w:pPr>
          </w:p>
          <w:p w14:paraId="2DFCEEBC">
            <w:pPr>
              <w:pStyle w:val="20"/>
              <w:spacing w:before="161" w:line="184" w:lineRule="auto"/>
              <w:ind w:left="461"/>
              <w:jc w:val="both"/>
              <w:rPr>
                <w:color w:val="auto"/>
              </w:rPr>
            </w:pPr>
          </w:p>
          <w:p w14:paraId="079C9B26">
            <w:pPr>
              <w:pStyle w:val="20"/>
              <w:spacing w:before="161" w:line="184" w:lineRule="auto"/>
              <w:ind w:left="461"/>
              <w:jc w:val="both"/>
              <w:rPr>
                <w:color w:val="auto"/>
              </w:rPr>
            </w:pPr>
          </w:p>
          <w:p w14:paraId="2B81A402">
            <w:pPr>
              <w:pStyle w:val="20"/>
              <w:spacing w:before="161" w:line="184" w:lineRule="auto"/>
              <w:ind w:left="461"/>
              <w:jc w:val="both"/>
              <w:rPr>
                <w:color w:val="auto"/>
              </w:rPr>
            </w:pPr>
            <w:r>
              <w:rPr>
                <w:color w:val="auto"/>
              </w:rPr>
              <w:t>1</w:t>
            </w:r>
          </w:p>
          <w:p w14:paraId="099EF32D">
            <w:pPr>
              <w:pStyle w:val="20"/>
              <w:spacing w:before="171" w:line="185" w:lineRule="auto"/>
              <w:ind w:left="447"/>
              <w:rPr>
                <w:color w:val="auto"/>
              </w:rPr>
            </w:pPr>
          </w:p>
        </w:tc>
        <w:tc>
          <w:tcPr>
            <w:tcW w:w="8238" w:type="dxa"/>
            <w:vAlign w:val="top"/>
          </w:tcPr>
          <w:p w14:paraId="43A1A6ED">
            <w:pPr>
              <w:pStyle w:val="20"/>
              <w:spacing w:before="44" w:line="240" w:lineRule="auto"/>
              <w:ind w:left="120" w:right="37" w:hanging="10"/>
              <w:rPr>
                <w:rFonts w:hint="eastAsia"/>
                <w:color w:val="auto"/>
                <w:lang w:eastAsia="zh-CN"/>
              </w:rPr>
            </w:pPr>
            <w:r>
              <w:rPr>
                <w:rFonts w:hint="eastAsia"/>
                <w:color w:val="auto"/>
                <w:lang w:eastAsia="zh-CN"/>
              </w:rPr>
              <w:tab/>
            </w:r>
            <w:r>
              <w:rPr>
                <w:rFonts w:hint="eastAsia"/>
                <w:color w:val="auto"/>
                <w:lang w:eastAsia="zh-CN"/>
              </w:rPr>
              <w:t>满足《中华人民共和国政府采购法》第二十二条规定；</w:t>
            </w:r>
          </w:p>
          <w:p w14:paraId="39169D4B">
            <w:pPr>
              <w:pStyle w:val="20"/>
              <w:spacing w:before="44" w:line="240" w:lineRule="auto"/>
              <w:ind w:left="120" w:right="37" w:hanging="10"/>
              <w:rPr>
                <w:rFonts w:hint="eastAsia"/>
                <w:color w:val="auto"/>
                <w:lang w:eastAsia="zh-CN"/>
              </w:rPr>
            </w:pPr>
            <w:r>
              <w:rPr>
                <w:rFonts w:hint="eastAsia"/>
                <w:color w:val="auto"/>
                <w:lang w:eastAsia="zh-CN"/>
              </w:rPr>
              <w:t>（1）具有独立承担民事责任的能力；（提供合法有效的营业执照复印件/扫描件，并加盖单位公章）；</w:t>
            </w:r>
          </w:p>
          <w:p w14:paraId="1B04083F">
            <w:pPr>
              <w:pStyle w:val="20"/>
              <w:spacing w:before="44" w:line="240" w:lineRule="auto"/>
              <w:ind w:left="120" w:right="37" w:hanging="10"/>
              <w:rPr>
                <w:rFonts w:hint="eastAsia"/>
                <w:color w:val="auto"/>
                <w:lang w:eastAsia="zh-CN"/>
              </w:rPr>
            </w:pPr>
            <w:r>
              <w:rPr>
                <w:rFonts w:hint="eastAsia"/>
                <w:color w:val="auto"/>
                <w:lang w:eastAsia="zh-CN"/>
              </w:rPr>
              <w:t>（2）具有良好的商业信誉和健全的财务会计制度；（提供上年度经审计的年度财务审计报告，新成立不满一年的单位需提供基本开户银行出具的资信证明)</w:t>
            </w:r>
          </w:p>
          <w:p w14:paraId="736A0DD2">
            <w:pPr>
              <w:pStyle w:val="20"/>
              <w:spacing w:before="44" w:line="240" w:lineRule="auto"/>
              <w:ind w:left="120" w:right="37" w:hanging="10"/>
              <w:rPr>
                <w:rFonts w:hint="eastAsia"/>
                <w:color w:val="auto"/>
                <w:lang w:eastAsia="zh-CN"/>
              </w:rPr>
            </w:pPr>
            <w:r>
              <w:rPr>
                <w:rFonts w:hint="eastAsia"/>
                <w:color w:val="auto"/>
                <w:lang w:eastAsia="zh-CN"/>
              </w:rPr>
              <w:t>（3）具有履行合同所必需的设备和专业技术能力；</w:t>
            </w:r>
          </w:p>
          <w:p w14:paraId="153FA119">
            <w:pPr>
              <w:pStyle w:val="20"/>
              <w:spacing w:before="44" w:line="240" w:lineRule="auto"/>
              <w:ind w:left="120" w:right="37" w:hanging="10"/>
              <w:rPr>
                <w:rFonts w:hint="eastAsia"/>
                <w:color w:val="auto"/>
                <w:lang w:eastAsia="zh-CN"/>
              </w:rPr>
            </w:pPr>
            <w:r>
              <w:rPr>
                <w:rFonts w:hint="eastAsia"/>
                <w:color w:val="auto"/>
                <w:lang w:eastAsia="zh-CN"/>
              </w:rPr>
              <w:t>（4）有依法缴纳税收和社会保障资金的良好记录（提供本企业近半年（6个月）完税证明及缴纳社保记录）；</w:t>
            </w:r>
          </w:p>
          <w:p w14:paraId="0AE9EAB5">
            <w:pPr>
              <w:pStyle w:val="20"/>
              <w:spacing w:before="44" w:line="240" w:lineRule="auto"/>
              <w:ind w:left="120" w:right="37" w:hanging="10"/>
              <w:rPr>
                <w:rFonts w:hint="eastAsia"/>
                <w:color w:val="auto"/>
                <w:lang w:eastAsia="zh-CN"/>
              </w:rPr>
            </w:pPr>
            <w:r>
              <w:rPr>
                <w:rFonts w:hint="eastAsia"/>
                <w:color w:val="auto"/>
                <w:lang w:eastAsia="zh-CN"/>
              </w:rPr>
              <w:t>（5）参加政府采购活动前三年内，‌在经营活动中没有重大违法记录；‌</w:t>
            </w:r>
          </w:p>
          <w:p w14:paraId="41E58A16">
            <w:pPr>
              <w:pStyle w:val="20"/>
              <w:spacing w:before="44" w:line="240" w:lineRule="auto"/>
              <w:ind w:left="120" w:right="37" w:hanging="10"/>
              <w:rPr>
                <w:rFonts w:hint="eastAsia"/>
                <w:color w:val="auto"/>
                <w:lang w:eastAsia="zh-CN"/>
              </w:rPr>
            </w:pPr>
            <w:r>
              <w:rPr>
                <w:rFonts w:hint="eastAsia"/>
                <w:color w:val="auto"/>
                <w:lang w:eastAsia="zh-CN"/>
              </w:rPr>
              <w:t>（6）法律、行政法规规定的其他条件。</w:t>
            </w:r>
          </w:p>
          <w:p w14:paraId="54FC34B9">
            <w:pPr>
              <w:pStyle w:val="20"/>
              <w:spacing w:before="44" w:line="240" w:lineRule="auto"/>
              <w:ind w:left="120" w:right="37" w:hanging="10"/>
              <w:rPr>
                <w:color w:val="auto"/>
                <w:highlight w:val="red"/>
              </w:rPr>
            </w:pPr>
            <w:r>
              <w:rPr>
                <w:rFonts w:hint="eastAsia"/>
                <w:color w:val="auto"/>
                <w:lang w:eastAsia="zh-CN"/>
              </w:rPr>
              <w:t>（提供承诺函，加盖单位公</w:t>
            </w:r>
            <w:r>
              <w:rPr>
                <w:rFonts w:hint="eastAsia"/>
                <w:color w:val="auto"/>
                <w:lang w:val="en-US" w:eastAsia="zh-CN"/>
              </w:rPr>
              <w:t>章）</w:t>
            </w:r>
          </w:p>
        </w:tc>
      </w:tr>
      <w:tr w14:paraId="5AF25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05" w:type="dxa"/>
            <w:vAlign w:val="top"/>
          </w:tcPr>
          <w:p w14:paraId="0B74801C">
            <w:pPr>
              <w:pStyle w:val="20"/>
              <w:spacing w:before="170" w:line="185" w:lineRule="auto"/>
              <w:ind w:left="449"/>
              <w:rPr>
                <w:rFonts w:hint="eastAsia" w:eastAsia="黑体"/>
                <w:color w:val="auto"/>
                <w:lang w:eastAsia="zh-CN"/>
              </w:rPr>
            </w:pPr>
            <w:r>
              <w:rPr>
                <w:rFonts w:hint="eastAsia"/>
                <w:color w:val="auto"/>
                <w:lang w:val="en-US" w:eastAsia="zh-CN"/>
              </w:rPr>
              <w:t>2</w:t>
            </w:r>
          </w:p>
        </w:tc>
        <w:tc>
          <w:tcPr>
            <w:tcW w:w="8238" w:type="dxa"/>
            <w:vAlign w:val="top"/>
          </w:tcPr>
          <w:p w14:paraId="38DA61C4">
            <w:pPr>
              <w:spacing w:before="164" w:line="338" w:lineRule="auto"/>
              <w:rPr>
                <w:rFonts w:hint="eastAsia" w:eastAsia="黑体"/>
                <w:color w:val="auto"/>
                <w:highlight w:val="yellow"/>
                <w:lang w:eastAsia="zh-CN"/>
              </w:rPr>
            </w:pPr>
            <w:r>
              <w:rPr>
                <w:rFonts w:hint="eastAsia" w:ascii="黑体" w:hAnsi="黑体" w:eastAsia="黑体" w:cs="黑体"/>
                <w:color w:val="auto"/>
                <w:spacing w:val="3"/>
                <w:sz w:val="24"/>
                <w:szCs w:val="24"/>
              </w:rPr>
              <w:t>资质条件：</w:t>
            </w:r>
            <w:r>
              <w:rPr>
                <w:rFonts w:hint="eastAsia" w:ascii="黑体" w:hAnsi="黑体" w:eastAsia="黑体" w:cs="黑体"/>
                <w:color w:val="auto"/>
                <w:spacing w:val="3"/>
                <w:sz w:val="24"/>
                <w:szCs w:val="24"/>
                <w:lang w:eastAsia="zh-CN"/>
              </w:rPr>
              <w:t>公路工程施工总承包叁级及以上资质，持有有效的安全生产许可证</w:t>
            </w:r>
            <w:r>
              <w:rPr>
                <w:rFonts w:hint="eastAsia" w:ascii="黑体" w:hAnsi="黑体" w:eastAsia="黑体" w:cs="黑体"/>
                <w:color w:val="auto"/>
                <w:spacing w:val="3"/>
                <w:sz w:val="24"/>
                <w:szCs w:val="24"/>
              </w:rPr>
              <w:t>；</w:t>
            </w:r>
            <w:r>
              <w:rPr>
                <w:rFonts w:hint="eastAsia" w:ascii="黑体" w:hAnsi="黑体" w:eastAsia="黑体" w:cs="黑体"/>
                <w:color w:val="auto"/>
                <w:spacing w:val="3"/>
                <w:sz w:val="24"/>
                <w:szCs w:val="24"/>
                <w:lang w:eastAsia="zh-CN"/>
              </w:rPr>
              <w:t>（</w:t>
            </w:r>
            <w:r>
              <w:rPr>
                <w:rFonts w:hint="eastAsia" w:ascii="黑体" w:hAnsi="黑体" w:eastAsia="黑体" w:cs="黑体"/>
                <w:color w:val="auto"/>
                <w:spacing w:val="3"/>
                <w:sz w:val="24"/>
                <w:szCs w:val="24"/>
                <w:lang w:val="en-US" w:eastAsia="zh-CN"/>
              </w:rPr>
              <w:t>如供应商</w:t>
            </w:r>
            <w:r>
              <w:rPr>
                <w:rFonts w:ascii="黑体" w:hAnsi="黑体" w:eastAsia="黑体" w:cs="黑体"/>
                <w:color w:val="auto"/>
                <w:spacing w:val="3"/>
                <w:sz w:val="24"/>
                <w:szCs w:val="24"/>
              </w:rPr>
              <w:t>具备公路工程施工总承包一级及以上资质的投标人应进入交通运输部“全国公路建设市场信用信息管理系统”中的公路工程施工资质企业名录，且投标人名称和资质与该名录中的相应企业名称和资质完全一致。</w:t>
            </w:r>
            <w:r>
              <w:rPr>
                <w:rFonts w:hint="eastAsia" w:ascii="黑体" w:hAnsi="黑体" w:eastAsia="黑体" w:cs="黑体"/>
                <w:color w:val="auto"/>
                <w:spacing w:val="3"/>
                <w:sz w:val="24"/>
                <w:szCs w:val="24"/>
                <w:lang w:val="en-US" w:eastAsia="zh-CN"/>
              </w:rPr>
              <w:t>如供应商</w:t>
            </w:r>
            <w:r>
              <w:rPr>
                <w:rFonts w:ascii="黑体" w:hAnsi="黑体" w:eastAsia="黑体" w:cs="黑体"/>
                <w:color w:val="auto"/>
                <w:spacing w:val="3"/>
                <w:sz w:val="24"/>
                <w:szCs w:val="24"/>
              </w:rPr>
              <w:t>具备公路工程施工总承包二级及以下资质的投标人须已被列入“新疆维吾尔自治区公路建设市场信用信息管理系统”，且投标人名称和资质与系统中相应企业名称和资质完全一致；</w:t>
            </w:r>
            <w:r>
              <w:rPr>
                <w:rFonts w:hint="eastAsia" w:ascii="黑体" w:hAnsi="黑体" w:eastAsia="黑体" w:cs="黑体"/>
                <w:color w:val="auto"/>
                <w:spacing w:val="3"/>
                <w:sz w:val="24"/>
                <w:szCs w:val="24"/>
                <w:lang w:eastAsia="zh-CN"/>
              </w:rPr>
              <w:t>）</w:t>
            </w:r>
          </w:p>
        </w:tc>
      </w:tr>
      <w:tr w14:paraId="4A2C1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05" w:type="dxa"/>
            <w:vAlign w:val="top"/>
          </w:tcPr>
          <w:p w14:paraId="3B877B6D">
            <w:pPr>
              <w:spacing w:line="242" w:lineRule="auto"/>
              <w:rPr>
                <w:rFonts w:ascii="Arial"/>
                <w:color w:val="auto"/>
                <w:sz w:val="21"/>
              </w:rPr>
            </w:pPr>
          </w:p>
          <w:p w14:paraId="3FE2D0A7">
            <w:pPr>
              <w:pStyle w:val="20"/>
              <w:spacing w:before="78" w:line="184" w:lineRule="auto"/>
              <w:ind w:left="443"/>
              <w:rPr>
                <w:rFonts w:hint="eastAsia" w:eastAsia="黑体"/>
                <w:color w:val="auto"/>
                <w:lang w:eastAsia="zh-CN"/>
              </w:rPr>
            </w:pPr>
            <w:r>
              <w:rPr>
                <w:rFonts w:hint="eastAsia"/>
                <w:color w:val="auto"/>
                <w:lang w:val="en-US" w:eastAsia="zh-CN"/>
              </w:rPr>
              <w:t>3</w:t>
            </w:r>
          </w:p>
        </w:tc>
        <w:tc>
          <w:tcPr>
            <w:tcW w:w="8238" w:type="dxa"/>
            <w:vAlign w:val="top"/>
          </w:tcPr>
          <w:p w14:paraId="35780407">
            <w:pPr>
              <w:spacing w:before="164" w:line="338" w:lineRule="auto"/>
              <w:ind w:left="0" w:leftChars="0" w:firstLine="425" w:firstLineChars="173"/>
              <w:rPr>
                <w:color w:val="auto"/>
                <w:highlight w:val="yellow"/>
              </w:rPr>
            </w:pPr>
            <w:r>
              <w:rPr>
                <w:rFonts w:ascii="黑体" w:hAnsi="黑体" w:eastAsia="黑体" w:cs="黑体"/>
                <w:color w:val="auto"/>
                <w:spacing w:val="3"/>
                <w:sz w:val="24"/>
                <w:szCs w:val="24"/>
              </w:rPr>
              <w:t>项目负责人资格：</w:t>
            </w:r>
            <w:r>
              <w:rPr>
                <w:rFonts w:hint="eastAsia" w:ascii="黑体" w:hAnsi="黑体" w:eastAsia="黑体" w:cs="黑体"/>
                <w:color w:val="auto"/>
                <w:spacing w:val="3"/>
                <w:sz w:val="24"/>
                <w:szCs w:val="24"/>
                <w:lang w:val="en-US" w:eastAsia="zh-CN"/>
              </w:rPr>
              <w:t>具有公路工程专业二级及以上注册建造师证书，注册单位必须与投标人名称一致；持有有效的交通运输主管部门颁发的安全生产考核合格证书(B类)；且未担任其他建设工程项目的项目经理。需提供项目经理无在建的承诺书。</w:t>
            </w:r>
          </w:p>
        </w:tc>
      </w:tr>
      <w:tr w14:paraId="35612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005" w:type="dxa"/>
            <w:vAlign w:val="top"/>
          </w:tcPr>
          <w:p w14:paraId="1344C5A0">
            <w:pPr>
              <w:spacing w:line="402" w:lineRule="auto"/>
              <w:rPr>
                <w:rFonts w:ascii="Arial"/>
                <w:color w:val="auto"/>
                <w:sz w:val="21"/>
              </w:rPr>
            </w:pPr>
          </w:p>
          <w:p w14:paraId="0D4D21A1">
            <w:pPr>
              <w:pStyle w:val="20"/>
              <w:spacing w:before="78" w:line="182" w:lineRule="auto"/>
              <w:ind w:left="444"/>
              <w:rPr>
                <w:rFonts w:hint="eastAsia" w:eastAsia="黑体"/>
                <w:color w:val="auto"/>
                <w:lang w:eastAsia="zh-CN"/>
              </w:rPr>
            </w:pPr>
            <w:r>
              <w:rPr>
                <w:rFonts w:hint="eastAsia"/>
                <w:color w:val="auto"/>
                <w:lang w:val="en-US" w:eastAsia="zh-CN"/>
              </w:rPr>
              <w:t>4</w:t>
            </w:r>
          </w:p>
        </w:tc>
        <w:tc>
          <w:tcPr>
            <w:tcW w:w="8238" w:type="dxa"/>
            <w:vAlign w:val="top"/>
          </w:tcPr>
          <w:p w14:paraId="4F33E64F">
            <w:pPr>
              <w:pStyle w:val="20"/>
              <w:spacing w:before="37" w:line="231" w:lineRule="auto"/>
              <w:ind w:left="111" w:right="35"/>
              <w:jc w:val="both"/>
              <w:rPr>
                <w:color w:val="auto"/>
              </w:rPr>
            </w:pPr>
            <w:r>
              <w:rPr>
                <w:color w:val="auto"/>
                <w:spacing w:val="5"/>
              </w:rPr>
              <w:t>凡拟参加本次磋商项目的供应商须具有良好的信誉，未在“信用中</w:t>
            </w:r>
            <w:r>
              <w:rPr>
                <w:color w:val="auto"/>
                <w:spacing w:val="4"/>
              </w:rPr>
              <w:t>国”网站</w:t>
            </w:r>
            <w:r>
              <w:rPr>
                <w:color w:val="auto"/>
                <w:spacing w:val="6"/>
              </w:rPr>
              <w:t>（</w:t>
            </w:r>
            <w:r>
              <w:rPr>
                <w:color w:val="auto"/>
              </w:rPr>
              <w:t>www</w:t>
            </w:r>
            <w:r>
              <w:rPr>
                <w:color w:val="auto"/>
                <w:spacing w:val="6"/>
              </w:rPr>
              <w:t>.</w:t>
            </w:r>
            <w:r>
              <w:rPr>
                <w:color w:val="auto"/>
              </w:rPr>
              <w:t>creditchina</w:t>
            </w:r>
            <w:r>
              <w:rPr>
                <w:color w:val="auto"/>
                <w:spacing w:val="6"/>
              </w:rPr>
              <w:t>.</w:t>
            </w:r>
            <w:r>
              <w:rPr>
                <w:color w:val="auto"/>
              </w:rPr>
              <w:t>gov</w:t>
            </w:r>
            <w:r>
              <w:rPr>
                <w:color w:val="auto"/>
                <w:spacing w:val="6"/>
              </w:rPr>
              <w:t>.</w:t>
            </w:r>
            <w:r>
              <w:rPr>
                <w:color w:val="auto"/>
              </w:rPr>
              <w:t>cn</w:t>
            </w:r>
            <w:r>
              <w:rPr>
                <w:color w:val="auto"/>
                <w:spacing w:val="6"/>
              </w:rPr>
              <w:t>）被列入失信被执行人、重大税收违法案件当事</w:t>
            </w:r>
            <w:r>
              <w:rPr>
                <w:color w:val="auto"/>
                <w:spacing w:val="1"/>
              </w:rPr>
              <w:t>人名单、中国政府采购网（</w:t>
            </w:r>
            <w:r>
              <w:rPr>
                <w:color w:val="auto"/>
              </w:rPr>
              <w:t>www</w:t>
            </w:r>
            <w:r>
              <w:rPr>
                <w:color w:val="auto"/>
                <w:spacing w:val="1"/>
              </w:rPr>
              <w:t>.</w:t>
            </w:r>
            <w:r>
              <w:rPr>
                <w:color w:val="auto"/>
              </w:rPr>
              <w:t>ccgp</w:t>
            </w:r>
            <w:r>
              <w:rPr>
                <w:color w:val="auto"/>
                <w:spacing w:val="1"/>
              </w:rPr>
              <w:t>.</w:t>
            </w:r>
            <w:r>
              <w:rPr>
                <w:color w:val="auto"/>
              </w:rPr>
              <w:t>gov</w:t>
            </w:r>
            <w:r>
              <w:rPr>
                <w:color w:val="auto"/>
                <w:spacing w:val="1"/>
              </w:rPr>
              <w:t>.</w:t>
            </w:r>
            <w:r>
              <w:rPr>
                <w:color w:val="auto"/>
              </w:rPr>
              <w:t>cn</w:t>
            </w:r>
            <w:r>
              <w:rPr>
                <w:color w:val="auto"/>
                <w:spacing w:val="1"/>
              </w:rPr>
              <w:t>）被列入政府采购严重违法失信行为记录名单（尚在处罚期内的）。</w:t>
            </w:r>
          </w:p>
        </w:tc>
      </w:tr>
      <w:tr w14:paraId="5C1B8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05" w:type="dxa"/>
            <w:vAlign w:val="top"/>
          </w:tcPr>
          <w:p w14:paraId="07065188">
            <w:pPr>
              <w:pStyle w:val="20"/>
              <w:spacing w:before="174" w:line="184" w:lineRule="auto"/>
              <w:ind w:left="448"/>
              <w:rPr>
                <w:rFonts w:hint="eastAsia" w:eastAsia="黑体"/>
                <w:color w:val="auto"/>
                <w:lang w:eastAsia="zh-CN"/>
              </w:rPr>
            </w:pPr>
            <w:r>
              <w:rPr>
                <w:rFonts w:hint="eastAsia"/>
                <w:color w:val="auto"/>
                <w:lang w:val="en-US" w:eastAsia="zh-CN"/>
              </w:rPr>
              <w:t>5</w:t>
            </w:r>
          </w:p>
        </w:tc>
        <w:tc>
          <w:tcPr>
            <w:tcW w:w="8238" w:type="dxa"/>
            <w:vAlign w:val="top"/>
          </w:tcPr>
          <w:p w14:paraId="49633258">
            <w:pPr>
              <w:pStyle w:val="20"/>
              <w:spacing w:before="154" w:line="222" w:lineRule="auto"/>
              <w:ind w:left="110"/>
              <w:rPr>
                <w:rFonts w:hint="default" w:eastAsia="黑体"/>
                <w:color w:val="auto"/>
                <w:lang w:val="en-US" w:eastAsia="zh-CN"/>
              </w:rPr>
            </w:pPr>
            <w:r>
              <w:rPr>
                <w:rFonts w:hint="eastAsia"/>
                <w:color w:val="auto"/>
                <w:spacing w:val="1"/>
                <w:lang w:val="en-US" w:eastAsia="zh-CN"/>
              </w:rPr>
              <w:t>中小企业声明函</w:t>
            </w:r>
          </w:p>
        </w:tc>
      </w:tr>
      <w:tr w14:paraId="7807A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05" w:type="dxa"/>
            <w:vAlign w:val="top"/>
          </w:tcPr>
          <w:p w14:paraId="715B7393">
            <w:pPr>
              <w:pStyle w:val="20"/>
              <w:spacing w:before="68" w:line="226" w:lineRule="auto"/>
              <w:ind w:left="266"/>
              <w:rPr>
                <w:color w:val="auto"/>
              </w:rPr>
            </w:pPr>
            <w:r>
              <w:rPr>
                <w:color w:val="auto"/>
                <w:spacing w:val="-4"/>
              </w:rPr>
              <w:t>结论</w:t>
            </w:r>
          </w:p>
        </w:tc>
        <w:tc>
          <w:tcPr>
            <w:tcW w:w="8238" w:type="dxa"/>
            <w:vAlign w:val="top"/>
          </w:tcPr>
          <w:p w14:paraId="7441C9EA">
            <w:pPr>
              <w:pStyle w:val="20"/>
              <w:spacing w:before="82" w:line="222" w:lineRule="auto"/>
              <w:ind w:left="116"/>
              <w:rPr>
                <w:color w:val="auto"/>
              </w:rPr>
            </w:pPr>
            <w:r>
              <w:rPr>
                <w:color w:val="auto"/>
                <w:spacing w:val="-2"/>
              </w:rPr>
              <w:t>是否符合</w:t>
            </w:r>
          </w:p>
        </w:tc>
      </w:tr>
    </w:tbl>
    <w:p w14:paraId="5343F07C">
      <w:pPr>
        <w:spacing w:before="129" w:line="221" w:lineRule="auto"/>
        <w:ind w:left="95"/>
        <w:rPr>
          <w:rFonts w:ascii="黑体" w:hAnsi="黑体" w:eastAsia="黑体" w:cs="黑体"/>
          <w:color w:val="auto"/>
          <w:sz w:val="20"/>
          <w:szCs w:val="20"/>
        </w:rPr>
      </w:pPr>
      <w:r>
        <w:rPr>
          <w:rFonts w:ascii="黑体" w:hAnsi="黑体" w:eastAsia="黑体" w:cs="黑体"/>
          <w:color w:val="auto"/>
          <w:spacing w:val="13"/>
          <w:sz w:val="20"/>
          <w:szCs w:val="20"/>
          <w14:textOutline w14:w="3795" w14:cap="sq" w14:cmpd="sng">
            <w14:solidFill>
              <w14:srgbClr w14:val="000000"/>
            </w14:solidFill>
            <w14:prstDash w14:val="solid"/>
            <w14:bevel/>
          </w14:textOutline>
        </w:rPr>
        <w:t>备注：如有一项未通过，评标委员将认定整个响应文件未响应竞争性磋商</w:t>
      </w:r>
      <w:r>
        <w:rPr>
          <w:rFonts w:ascii="黑体" w:hAnsi="黑体" w:eastAsia="黑体" w:cs="黑体"/>
          <w:color w:val="auto"/>
          <w:spacing w:val="12"/>
          <w:sz w:val="20"/>
          <w:szCs w:val="20"/>
          <w14:textOutline w14:w="3795" w14:cap="sq" w14:cmpd="sng">
            <w14:solidFill>
              <w14:srgbClr w14:val="000000"/>
            </w14:solidFill>
            <w14:prstDash w14:val="solid"/>
            <w14:bevel/>
          </w14:textOutline>
        </w:rPr>
        <w:t>文件而予以废标处理。</w:t>
      </w:r>
    </w:p>
    <w:p w14:paraId="797F6AD7">
      <w:pPr>
        <w:spacing w:before="78" w:line="223" w:lineRule="auto"/>
        <w:ind w:left="110"/>
        <w:outlineLvl w:val="1"/>
        <w:rPr>
          <w:rFonts w:ascii="黑体" w:hAnsi="黑体" w:eastAsia="黑体" w:cs="黑体"/>
          <w:color w:val="auto"/>
          <w:sz w:val="24"/>
          <w:szCs w:val="24"/>
        </w:rPr>
      </w:pPr>
      <w:bookmarkStart w:id="14" w:name="_Toc18056"/>
      <w:r>
        <w:rPr>
          <w:rFonts w:ascii="黑体" w:hAnsi="黑体" w:eastAsia="黑体" w:cs="黑体"/>
          <w:color w:val="auto"/>
          <w:spacing w:val="-4"/>
          <w:sz w:val="24"/>
          <w:szCs w:val="24"/>
          <w14:textOutline w14:w="4358" w14:cap="sq" w14:cmpd="sng">
            <w14:solidFill>
              <w14:srgbClr w14:val="000000"/>
            </w14:solidFill>
            <w14:prstDash w14:val="solid"/>
            <w14:bevel/>
          </w14:textOutline>
        </w:rPr>
        <w:t>附表二：</w:t>
      </w:r>
      <w:bookmarkEnd w:id="14"/>
    </w:p>
    <w:p w14:paraId="0F829A43">
      <w:pPr>
        <w:spacing w:before="177" w:line="222" w:lineRule="auto"/>
        <w:ind w:left="3902"/>
        <w:outlineLvl w:val="1"/>
        <w:rPr>
          <w:rFonts w:ascii="黑体" w:hAnsi="黑体" w:eastAsia="黑体" w:cs="黑体"/>
          <w:color w:val="auto"/>
          <w:spacing w:val="1"/>
          <w:sz w:val="24"/>
          <w:szCs w:val="24"/>
          <w14:textOutline w14:w="4358" w14:cap="sq" w14:cmpd="sng">
            <w14:solidFill>
              <w14:srgbClr w14:val="000000"/>
            </w14:solidFill>
            <w14:prstDash w14:val="solid"/>
            <w14:bevel/>
          </w14:textOutline>
        </w:rPr>
      </w:pPr>
      <w:bookmarkStart w:id="15" w:name="_Toc17839"/>
    </w:p>
    <w:p w14:paraId="676E9ADB">
      <w:pPr>
        <w:spacing w:before="177" w:line="222" w:lineRule="auto"/>
        <w:ind w:left="3902"/>
        <w:outlineLvl w:val="1"/>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符合性审查表</w:t>
      </w:r>
      <w:bookmarkEnd w:id="15"/>
    </w:p>
    <w:p w14:paraId="30CE5DB0">
      <w:pPr>
        <w:spacing w:line="142" w:lineRule="exact"/>
        <w:rPr>
          <w:color w:val="auto"/>
        </w:rPr>
      </w:pPr>
    </w:p>
    <w:tbl>
      <w:tblPr>
        <w:tblStyle w:val="19"/>
        <w:tblW w:w="9083"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6"/>
        <w:gridCol w:w="7907"/>
      </w:tblGrid>
      <w:tr w14:paraId="5F033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76" w:type="dxa"/>
            <w:vAlign w:val="top"/>
          </w:tcPr>
          <w:p w14:paraId="30D9E6D3">
            <w:pPr>
              <w:pStyle w:val="20"/>
              <w:spacing w:before="56" w:line="223" w:lineRule="auto"/>
              <w:ind w:left="350"/>
              <w:rPr>
                <w:color w:val="auto"/>
              </w:rPr>
            </w:pPr>
            <w:r>
              <w:rPr>
                <w:color w:val="auto"/>
                <w:spacing w:val="-4"/>
                <w14:textOutline w14:w="4358" w14:cap="sq" w14:cmpd="sng">
                  <w14:solidFill>
                    <w14:srgbClr w14:val="000000"/>
                  </w14:solidFill>
                  <w14:prstDash w14:val="solid"/>
                  <w14:bevel/>
                </w14:textOutline>
              </w:rPr>
              <w:t>序号</w:t>
            </w:r>
          </w:p>
        </w:tc>
        <w:tc>
          <w:tcPr>
            <w:tcW w:w="7907" w:type="dxa"/>
            <w:vAlign w:val="top"/>
          </w:tcPr>
          <w:p w14:paraId="1BD3EBA9">
            <w:pPr>
              <w:pStyle w:val="20"/>
              <w:spacing w:before="56" w:line="222" w:lineRule="auto"/>
              <w:ind w:left="3469"/>
              <w:rPr>
                <w:color w:val="auto"/>
              </w:rPr>
            </w:pPr>
            <w:r>
              <w:rPr>
                <w:color w:val="auto"/>
                <w14:textOutline w14:w="4358" w14:cap="sq" w14:cmpd="sng">
                  <w14:solidFill>
                    <w14:srgbClr w14:val="000000"/>
                  </w14:solidFill>
                  <w14:prstDash w14:val="solid"/>
                  <w14:bevel/>
                </w14:textOutline>
              </w:rPr>
              <w:t>评审内容</w:t>
            </w:r>
          </w:p>
        </w:tc>
      </w:tr>
      <w:tr w14:paraId="2B987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176" w:type="dxa"/>
            <w:vAlign w:val="top"/>
          </w:tcPr>
          <w:p w14:paraId="0F9E3197">
            <w:pPr>
              <w:pStyle w:val="20"/>
              <w:spacing w:before="89" w:line="184" w:lineRule="auto"/>
              <w:ind w:left="545"/>
              <w:rPr>
                <w:color w:val="auto"/>
              </w:rPr>
            </w:pPr>
            <w:r>
              <w:rPr>
                <w:color w:val="auto"/>
              </w:rPr>
              <w:t>1</w:t>
            </w:r>
          </w:p>
        </w:tc>
        <w:tc>
          <w:tcPr>
            <w:tcW w:w="7907" w:type="dxa"/>
            <w:vAlign w:val="top"/>
          </w:tcPr>
          <w:p w14:paraId="14265FE5">
            <w:pPr>
              <w:pStyle w:val="20"/>
              <w:spacing w:before="51" w:line="222" w:lineRule="auto"/>
              <w:ind w:left="111"/>
              <w:rPr>
                <w:color w:val="auto"/>
              </w:rPr>
            </w:pPr>
            <w:bookmarkStart w:id="16" w:name="OLE_LINK16"/>
            <w:r>
              <w:rPr>
                <w:color w:val="auto"/>
                <w:spacing w:val="1"/>
              </w:rPr>
              <w:t>投标报价没有超过最高限价</w:t>
            </w:r>
            <w:bookmarkEnd w:id="16"/>
          </w:p>
        </w:tc>
      </w:tr>
      <w:tr w14:paraId="6C468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76" w:type="dxa"/>
            <w:vAlign w:val="top"/>
          </w:tcPr>
          <w:p w14:paraId="24BE47E1">
            <w:pPr>
              <w:pStyle w:val="20"/>
              <w:spacing w:before="88" w:line="185" w:lineRule="auto"/>
              <w:ind w:left="531"/>
              <w:rPr>
                <w:color w:val="auto"/>
              </w:rPr>
            </w:pPr>
            <w:r>
              <w:rPr>
                <w:color w:val="auto"/>
              </w:rPr>
              <w:t>2</w:t>
            </w:r>
          </w:p>
        </w:tc>
        <w:tc>
          <w:tcPr>
            <w:tcW w:w="7907" w:type="dxa"/>
            <w:vAlign w:val="top"/>
          </w:tcPr>
          <w:p w14:paraId="2208C436">
            <w:pPr>
              <w:pStyle w:val="20"/>
              <w:spacing w:before="69" w:line="221" w:lineRule="auto"/>
              <w:ind w:left="117"/>
              <w:rPr>
                <w:color w:val="auto"/>
              </w:rPr>
            </w:pPr>
            <w:bookmarkStart w:id="17" w:name="OLE_LINK17"/>
            <w:r>
              <w:rPr>
                <w:color w:val="auto"/>
                <w:spacing w:val="2"/>
              </w:rPr>
              <w:t>是否按规定提交法定代表人证明书或法人授</w:t>
            </w:r>
            <w:r>
              <w:rPr>
                <w:color w:val="auto"/>
                <w:spacing w:val="1"/>
              </w:rPr>
              <w:t>权委托书</w:t>
            </w:r>
            <w:bookmarkEnd w:id="17"/>
          </w:p>
        </w:tc>
      </w:tr>
      <w:tr w14:paraId="693A8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76" w:type="dxa"/>
            <w:vAlign w:val="top"/>
          </w:tcPr>
          <w:p w14:paraId="04B0F9B3">
            <w:pPr>
              <w:pStyle w:val="20"/>
              <w:spacing w:before="90" w:line="185" w:lineRule="auto"/>
              <w:ind w:left="532"/>
              <w:rPr>
                <w:color w:val="auto"/>
              </w:rPr>
            </w:pPr>
            <w:r>
              <w:rPr>
                <w:color w:val="auto"/>
              </w:rPr>
              <w:t>3</w:t>
            </w:r>
          </w:p>
        </w:tc>
        <w:tc>
          <w:tcPr>
            <w:tcW w:w="7907" w:type="dxa"/>
            <w:vAlign w:val="top"/>
          </w:tcPr>
          <w:p w14:paraId="39FA5D06">
            <w:pPr>
              <w:pStyle w:val="20"/>
              <w:spacing w:before="68" w:line="222" w:lineRule="auto"/>
              <w:ind w:left="117"/>
              <w:rPr>
                <w:color w:val="auto"/>
              </w:rPr>
            </w:pPr>
            <w:bookmarkStart w:id="18" w:name="OLE_LINK18"/>
            <w:r>
              <w:rPr>
                <w:color w:val="auto"/>
                <w:spacing w:val="1"/>
              </w:rPr>
              <w:t>是否符合磋商文件的签署盖章要求</w:t>
            </w:r>
            <w:bookmarkEnd w:id="18"/>
          </w:p>
        </w:tc>
      </w:tr>
      <w:tr w14:paraId="1CEF1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76" w:type="dxa"/>
            <w:vAlign w:val="top"/>
          </w:tcPr>
          <w:p w14:paraId="2D1E4C7F">
            <w:pPr>
              <w:pStyle w:val="20"/>
              <w:spacing w:before="92" w:line="184" w:lineRule="auto"/>
              <w:ind w:left="526"/>
              <w:rPr>
                <w:color w:val="auto"/>
              </w:rPr>
            </w:pPr>
            <w:r>
              <w:rPr>
                <w:color w:val="auto"/>
              </w:rPr>
              <w:t>4</w:t>
            </w:r>
          </w:p>
        </w:tc>
        <w:tc>
          <w:tcPr>
            <w:tcW w:w="7907" w:type="dxa"/>
            <w:vAlign w:val="top"/>
          </w:tcPr>
          <w:p w14:paraId="0C7C9A19">
            <w:pPr>
              <w:pStyle w:val="20"/>
              <w:spacing w:before="55" w:line="222" w:lineRule="auto"/>
              <w:ind w:left="117"/>
              <w:rPr>
                <w:color w:val="auto"/>
              </w:rPr>
            </w:pPr>
            <w:bookmarkStart w:id="19" w:name="OLE_LINK19"/>
            <w:r>
              <w:rPr>
                <w:color w:val="auto"/>
                <w:spacing w:val="1"/>
              </w:rPr>
              <w:t>是否按要求交纳投标保证金</w:t>
            </w:r>
            <w:bookmarkEnd w:id="19"/>
          </w:p>
        </w:tc>
      </w:tr>
      <w:tr w14:paraId="06FAC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76" w:type="dxa"/>
            <w:vAlign w:val="top"/>
          </w:tcPr>
          <w:p w14:paraId="008CAC10">
            <w:pPr>
              <w:pStyle w:val="20"/>
              <w:spacing w:before="94" w:line="182" w:lineRule="auto"/>
              <w:ind w:left="527"/>
              <w:rPr>
                <w:color w:val="auto"/>
              </w:rPr>
            </w:pPr>
            <w:r>
              <w:rPr>
                <w:color w:val="auto"/>
              </w:rPr>
              <w:t>5</w:t>
            </w:r>
          </w:p>
        </w:tc>
        <w:tc>
          <w:tcPr>
            <w:tcW w:w="7907" w:type="dxa"/>
            <w:vAlign w:val="top"/>
          </w:tcPr>
          <w:p w14:paraId="499A8BFB">
            <w:pPr>
              <w:pStyle w:val="20"/>
              <w:spacing w:before="54" w:line="221" w:lineRule="auto"/>
              <w:ind w:left="122"/>
              <w:rPr>
                <w:color w:val="auto"/>
              </w:rPr>
            </w:pPr>
            <w:bookmarkStart w:id="20" w:name="OLE_LINK20"/>
            <w:r>
              <w:rPr>
                <w:color w:val="auto"/>
              </w:rPr>
              <w:t>响应文件有效期是否为</w:t>
            </w:r>
            <w:r>
              <w:rPr>
                <w:rFonts w:hint="eastAsia"/>
                <w:color w:val="auto"/>
                <w:lang w:val="en-US" w:eastAsia="zh-CN"/>
              </w:rPr>
              <w:t>45</w:t>
            </w:r>
            <w:r>
              <w:rPr>
                <w:color w:val="auto"/>
              </w:rPr>
              <w:t>天</w:t>
            </w:r>
            <w:bookmarkEnd w:id="20"/>
          </w:p>
        </w:tc>
      </w:tr>
      <w:tr w14:paraId="14FC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176" w:type="dxa"/>
            <w:vAlign w:val="top"/>
          </w:tcPr>
          <w:p w14:paraId="36822985">
            <w:pPr>
              <w:pStyle w:val="20"/>
              <w:spacing w:before="91" w:line="184" w:lineRule="auto"/>
              <w:ind w:left="531"/>
              <w:rPr>
                <w:color w:val="auto"/>
              </w:rPr>
            </w:pPr>
            <w:r>
              <w:rPr>
                <w:color w:val="auto"/>
              </w:rPr>
              <w:t>6</w:t>
            </w:r>
          </w:p>
        </w:tc>
        <w:tc>
          <w:tcPr>
            <w:tcW w:w="7907" w:type="dxa"/>
            <w:vAlign w:val="top"/>
          </w:tcPr>
          <w:p w14:paraId="430B2747">
            <w:pPr>
              <w:pStyle w:val="20"/>
              <w:spacing w:before="54" w:line="222" w:lineRule="auto"/>
              <w:ind w:left="117"/>
              <w:rPr>
                <w:color w:val="auto"/>
              </w:rPr>
            </w:pPr>
            <w:bookmarkStart w:id="21" w:name="OLE_LINK21"/>
            <w:r>
              <w:rPr>
                <w:color w:val="auto"/>
                <w:spacing w:val="1"/>
              </w:rPr>
              <w:t>是否满足项目的工期要求</w:t>
            </w:r>
            <w:bookmarkEnd w:id="21"/>
          </w:p>
        </w:tc>
      </w:tr>
      <w:tr w14:paraId="6A85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76" w:type="dxa"/>
            <w:vAlign w:val="top"/>
          </w:tcPr>
          <w:p w14:paraId="745398A5">
            <w:pPr>
              <w:pStyle w:val="20"/>
              <w:spacing w:before="94" w:line="182" w:lineRule="auto"/>
              <w:ind w:left="533"/>
              <w:rPr>
                <w:color w:val="auto"/>
              </w:rPr>
            </w:pPr>
            <w:r>
              <w:rPr>
                <w:color w:val="auto"/>
              </w:rPr>
              <w:t>7</w:t>
            </w:r>
          </w:p>
        </w:tc>
        <w:tc>
          <w:tcPr>
            <w:tcW w:w="7907" w:type="dxa"/>
            <w:vAlign w:val="top"/>
          </w:tcPr>
          <w:p w14:paraId="39206C44">
            <w:pPr>
              <w:pStyle w:val="20"/>
              <w:spacing w:before="55" w:line="213" w:lineRule="auto"/>
              <w:ind w:left="122"/>
              <w:rPr>
                <w:color w:val="auto"/>
              </w:rPr>
            </w:pPr>
            <w:bookmarkStart w:id="22" w:name="OLE_LINK22"/>
            <w:r>
              <w:rPr>
                <w:color w:val="auto"/>
                <w:spacing w:val="1"/>
              </w:rPr>
              <w:t>响应文件是否满足工程量清单的要求，且没有重大偏离</w:t>
            </w:r>
            <w:bookmarkEnd w:id="22"/>
          </w:p>
        </w:tc>
      </w:tr>
      <w:tr w14:paraId="522A9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76" w:type="dxa"/>
            <w:vAlign w:val="top"/>
          </w:tcPr>
          <w:p w14:paraId="589EF4FF">
            <w:pPr>
              <w:pStyle w:val="20"/>
              <w:spacing w:before="91" w:line="184" w:lineRule="auto"/>
              <w:ind w:left="530"/>
              <w:rPr>
                <w:color w:val="auto"/>
              </w:rPr>
            </w:pPr>
            <w:r>
              <w:rPr>
                <w:color w:val="auto"/>
              </w:rPr>
              <w:t>8</w:t>
            </w:r>
          </w:p>
        </w:tc>
        <w:tc>
          <w:tcPr>
            <w:tcW w:w="7907" w:type="dxa"/>
            <w:vAlign w:val="top"/>
          </w:tcPr>
          <w:p w14:paraId="53D45920">
            <w:pPr>
              <w:pStyle w:val="20"/>
              <w:spacing w:before="54" w:line="222" w:lineRule="auto"/>
              <w:ind w:left="118"/>
              <w:rPr>
                <w:color w:val="auto"/>
              </w:rPr>
            </w:pPr>
            <w:r>
              <w:rPr>
                <w:color w:val="auto"/>
                <w:spacing w:val="1"/>
              </w:rPr>
              <w:t>没有其它未实质性响应磋商文件的要求</w:t>
            </w:r>
          </w:p>
        </w:tc>
      </w:tr>
      <w:tr w14:paraId="629AA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76" w:type="dxa"/>
            <w:vAlign w:val="top"/>
          </w:tcPr>
          <w:p w14:paraId="79DA1546">
            <w:pPr>
              <w:pStyle w:val="20"/>
              <w:spacing w:before="62" w:line="226" w:lineRule="auto"/>
              <w:ind w:left="351"/>
              <w:rPr>
                <w:color w:val="auto"/>
              </w:rPr>
            </w:pPr>
            <w:r>
              <w:rPr>
                <w:color w:val="auto"/>
                <w:spacing w:val="-4"/>
              </w:rPr>
              <w:t>结论</w:t>
            </w:r>
          </w:p>
        </w:tc>
        <w:tc>
          <w:tcPr>
            <w:tcW w:w="7907" w:type="dxa"/>
            <w:vAlign w:val="top"/>
          </w:tcPr>
          <w:p w14:paraId="54FF4DD6">
            <w:pPr>
              <w:pStyle w:val="20"/>
              <w:spacing w:before="62" w:line="222" w:lineRule="auto"/>
              <w:ind w:left="117"/>
              <w:rPr>
                <w:color w:val="auto"/>
              </w:rPr>
            </w:pPr>
            <w:r>
              <w:rPr>
                <w:color w:val="auto"/>
                <w:spacing w:val="-2"/>
              </w:rPr>
              <w:t>是否符合</w:t>
            </w:r>
          </w:p>
        </w:tc>
      </w:tr>
    </w:tbl>
    <w:p w14:paraId="092B26A8">
      <w:pPr>
        <w:spacing w:before="130" w:line="221" w:lineRule="auto"/>
        <w:ind w:left="95"/>
        <w:rPr>
          <w:rFonts w:ascii="黑体" w:hAnsi="黑体" w:eastAsia="黑体" w:cs="黑体"/>
          <w:color w:val="auto"/>
          <w:sz w:val="20"/>
          <w:szCs w:val="20"/>
        </w:rPr>
      </w:pPr>
      <w:r>
        <w:rPr>
          <w:rFonts w:ascii="黑体" w:hAnsi="黑体" w:eastAsia="黑体" w:cs="黑体"/>
          <w:color w:val="auto"/>
          <w:spacing w:val="10"/>
          <w:sz w:val="20"/>
          <w:szCs w:val="20"/>
          <w14:textOutline w14:w="3795" w14:cap="sq" w14:cmpd="sng">
            <w14:solidFill>
              <w14:srgbClr w14:val="000000"/>
            </w14:solidFill>
            <w14:prstDash w14:val="solid"/>
            <w14:bevel/>
          </w14:textOutline>
        </w:rPr>
        <w:t>备注：如有一项未通过，评标委员会将认定整个响应</w:t>
      </w:r>
      <w:r>
        <w:rPr>
          <w:rFonts w:ascii="黑体" w:hAnsi="黑体" w:eastAsia="黑体" w:cs="黑体"/>
          <w:color w:val="auto"/>
          <w:spacing w:val="9"/>
          <w:sz w:val="20"/>
          <w:szCs w:val="20"/>
          <w14:textOutline w14:w="3795" w14:cap="sq" w14:cmpd="sng">
            <w14:solidFill>
              <w14:srgbClr w14:val="000000"/>
            </w14:solidFill>
            <w14:prstDash w14:val="solid"/>
            <w14:bevel/>
          </w14:textOutline>
        </w:rPr>
        <w:t>文件未响应竞争性磋商文件而予以废标处理。</w:t>
      </w:r>
    </w:p>
    <w:p w14:paraId="5A3C477C">
      <w:pPr>
        <w:spacing w:line="221" w:lineRule="auto"/>
        <w:rPr>
          <w:rFonts w:ascii="黑体" w:hAnsi="黑体" w:eastAsia="黑体" w:cs="黑体"/>
          <w:color w:val="auto"/>
          <w:sz w:val="20"/>
          <w:szCs w:val="20"/>
        </w:rPr>
        <w:sectPr>
          <w:footerReference r:id="rId20" w:type="default"/>
          <w:pgSz w:w="11906" w:h="16839"/>
          <w:pgMar w:top="1404" w:right="1329" w:bottom="1012" w:left="1328" w:header="0" w:footer="850" w:gutter="0"/>
          <w:pgNumType w:fmt="decimal"/>
          <w:cols w:space="720" w:num="1"/>
        </w:sectPr>
      </w:pPr>
    </w:p>
    <w:p w14:paraId="2BAACC87">
      <w:pPr>
        <w:spacing w:before="53" w:line="223" w:lineRule="auto"/>
        <w:ind w:left="240"/>
        <w:rPr>
          <w:rFonts w:ascii="黑体" w:hAnsi="黑体" w:eastAsia="黑体" w:cs="黑体"/>
          <w:color w:val="auto"/>
          <w:sz w:val="24"/>
          <w:szCs w:val="24"/>
        </w:rPr>
      </w:pPr>
      <w:r>
        <w:rPr>
          <w:rFonts w:ascii="黑体" w:hAnsi="黑体" w:eastAsia="黑体" w:cs="黑体"/>
          <w:color w:val="auto"/>
          <w:spacing w:val="-4"/>
          <w:sz w:val="24"/>
          <w:szCs w:val="24"/>
          <w14:textOutline w14:w="4358" w14:cap="sq" w14:cmpd="sng">
            <w14:solidFill>
              <w14:srgbClr w14:val="000000"/>
            </w14:solidFill>
            <w14:prstDash w14:val="solid"/>
            <w14:bevel/>
          </w14:textOutline>
        </w:rPr>
        <w:t>附表三：</w:t>
      </w:r>
    </w:p>
    <w:p w14:paraId="576485FB">
      <w:pPr>
        <w:spacing w:before="83" w:line="222" w:lineRule="auto"/>
        <w:ind w:left="4083"/>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技术评审表</w:t>
      </w:r>
    </w:p>
    <w:p w14:paraId="6CE5F1A3">
      <w:pPr>
        <w:spacing w:line="19" w:lineRule="exact"/>
        <w:rPr>
          <w:color w:val="auto"/>
        </w:rPr>
      </w:pPr>
    </w:p>
    <w:tbl>
      <w:tblPr>
        <w:tblStyle w:val="19"/>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449"/>
        <w:gridCol w:w="6546"/>
        <w:gridCol w:w="802"/>
      </w:tblGrid>
      <w:tr w14:paraId="36F34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07" w:type="dxa"/>
            <w:vAlign w:val="top"/>
          </w:tcPr>
          <w:p w14:paraId="5F6EFD00">
            <w:pPr>
              <w:pStyle w:val="20"/>
              <w:spacing w:before="241" w:line="224" w:lineRule="auto"/>
              <w:ind w:left="137"/>
              <w:rPr>
                <w:color w:val="auto"/>
                <w:sz w:val="22"/>
                <w:szCs w:val="22"/>
              </w:rPr>
            </w:pPr>
            <w:r>
              <w:rPr>
                <w:color w:val="auto"/>
                <w:spacing w:val="-3"/>
                <w:sz w:val="22"/>
                <w:szCs w:val="22"/>
                <w14:textOutline w14:w="4013" w14:cap="sq" w14:cmpd="sng">
                  <w14:solidFill>
                    <w14:srgbClr w14:val="000000"/>
                  </w14:solidFill>
                  <w14:prstDash w14:val="solid"/>
                  <w14:bevel/>
                </w14:textOutline>
              </w:rPr>
              <w:t>序号</w:t>
            </w:r>
          </w:p>
        </w:tc>
        <w:tc>
          <w:tcPr>
            <w:tcW w:w="7995" w:type="dxa"/>
            <w:gridSpan w:val="2"/>
            <w:vAlign w:val="top"/>
          </w:tcPr>
          <w:p w14:paraId="4C014DD1">
            <w:pPr>
              <w:pStyle w:val="20"/>
              <w:spacing w:before="242" w:line="222" w:lineRule="auto"/>
              <w:ind w:left="3555"/>
              <w:rPr>
                <w:color w:val="auto"/>
                <w:sz w:val="22"/>
                <w:szCs w:val="22"/>
              </w:rPr>
            </w:pPr>
            <w:r>
              <w:rPr>
                <w:color w:val="auto"/>
                <w:sz w:val="22"/>
                <w:szCs w:val="22"/>
                <w14:textOutline w14:w="4013" w14:cap="sq" w14:cmpd="sng">
                  <w14:solidFill>
                    <w14:srgbClr w14:val="000000"/>
                  </w14:solidFill>
                  <w14:prstDash w14:val="solid"/>
                  <w14:bevel/>
                </w14:textOutline>
              </w:rPr>
              <w:t>评审内容</w:t>
            </w:r>
          </w:p>
        </w:tc>
        <w:tc>
          <w:tcPr>
            <w:tcW w:w="802" w:type="dxa"/>
            <w:vAlign w:val="top"/>
          </w:tcPr>
          <w:p w14:paraId="23308C37">
            <w:pPr>
              <w:pStyle w:val="20"/>
              <w:spacing w:before="241" w:line="223" w:lineRule="auto"/>
              <w:ind w:left="188"/>
              <w:rPr>
                <w:color w:val="auto"/>
                <w:sz w:val="22"/>
                <w:szCs w:val="22"/>
              </w:rPr>
            </w:pPr>
            <w:r>
              <w:rPr>
                <w:color w:val="auto"/>
                <w:spacing w:val="-5"/>
                <w:sz w:val="22"/>
                <w:szCs w:val="22"/>
                <w14:textOutline w14:w="4013" w14:cap="sq" w14:cmpd="sng">
                  <w14:solidFill>
                    <w14:srgbClr w14:val="000000"/>
                  </w14:solidFill>
                  <w14:prstDash w14:val="solid"/>
                  <w14:bevel/>
                </w14:textOutline>
              </w:rPr>
              <w:t>分值</w:t>
            </w:r>
          </w:p>
        </w:tc>
      </w:tr>
      <w:tr w14:paraId="3A0A0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2" w:hRule="atLeast"/>
        </w:trPr>
        <w:tc>
          <w:tcPr>
            <w:tcW w:w="707" w:type="dxa"/>
            <w:vAlign w:val="top"/>
          </w:tcPr>
          <w:p w14:paraId="29BC27DC">
            <w:pPr>
              <w:spacing w:line="249" w:lineRule="auto"/>
              <w:rPr>
                <w:rFonts w:ascii="Arial"/>
                <w:color w:val="auto"/>
                <w:sz w:val="21"/>
              </w:rPr>
            </w:pPr>
          </w:p>
          <w:p w14:paraId="590A7742">
            <w:pPr>
              <w:spacing w:line="249" w:lineRule="auto"/>
              <w:rPr>
                <w:rFonts w:ascii="Arial"/>
                <w:color w:val="auto"/>
                <w:sz w:val="21"/>
              </w:rPr>
            </w:pPr>
          </w:p>
          <w:p w14:paraId="58650FFA">
            <w:pPr>
              <w:spacing w:line="249" w:lineRule="auto"/>
              <w:rPr>
                <w:rFonts w:ascii="Arial"/>
                <w:color w:val="auto"/>
                <w:sz w:val="21"/>
              </w:rPr>
            </w:pPr>
          </w:p>
          <w:p w14:paraId="5AB64EA1">
            <w:pPr>
              <w:spacing w:line="250" w:lineRule="auto"/>
              <w:rPr>
                <w:rFonts w:ascii="Arial"/>
                <w:color w:val="auto"/>
                <w:sz w:val="21"/>
              </w:rPr>
            </w:pPr>
          </w:p>
          <w:p w14:paraId="36BB6B09">
            <w:pPr>
              <w:spacing w:line="250" w:lineRule="auto"/>
              <w:rPr>
                <w:rFonts w:ascii="Arial"/>
                <w:color w:val="auto"/>
                <w:sz w:val="21"/>
              </w:rPr>
            </w:pPr>
          </w:p>
          <w:p w14:paraId="47557747">
            <w:pPr>
              <w:spacing w:line="250" w:lineRule="auto"/>
              <w:rPr>
                <w:rFonts w:ascii="Arial"/>
                <w:color w:val="auto"/>
                <w:sz w:val="21"/>
              </w:rPr>
            </w:pPr>
          </w:p>
          <w:p w14:paraId="0DB866AE">
            <w:pPr>
              <w:pStyle w:val="20"/>
              <w:spacing w:before="72" w:line="184" w:lineRule="auto"/>
              <w:ind w:left="316"/>
              <w:rPr>
                <w:color w:val="auto"/>
                <w:sz w:val="22"/>
                <w:szCs w:val="22"/>
              </w:rPr>
            </w:pPr>
            <w:r>
              <w:rPr>
                <w:color w:val="auto"/>
                <w:sz w:val="22"/>
                <w:szCs w:val="22"/>
              </w:rPr>
              <w:t>1</w:t>
            </w:r>
          </w:p>
        </w:tc>
        <w:tc>
          <w:tcPr>
            <w:tcW w:w="1449" w:type="dxa"/>
            <w:vAlign w:val="top"/>
          </w:tcPr>
          <w:p w14:paraId="0EFF1310">
            <w:pPr>
              <w:spacing w:line="281" w:lineRule="auto"/>
              <w:rPr>
                <w:rFonts w:ascii="Arial"/>
                <w:color w:val="auto"/>
                <w:sz w:val="21"/>
              </w:rPr>
            </w:pPr>
          </w:p>
          <w:p w14:paraId="6686E6E1">
            <w:pPr>
              <w:spacing w:line="281" w:lineRule="auto"/>
              <w:rPr>
                <w:rFonts w:ascii="Arial"/>
                <w:color w:val="auto"/>
                <w:sz w:val="21"/>
              </w:rPr>
            </w:pPr>
          </w:p>
          <w:p w14:paraId="47EF54E1">
            <w:pPr>
              <w:spacing w:line="281" w:lineRule="auto"/>
              <w:rPr>
                <w:rFonts w:ascii="Arial"/>
                <w:color w:val="auto"/>
                <w:sz w:val="21"/>
              </w:rPr>
            </w:pPr>
          </w:p>
          <w:p w14:paraId="5056CD45">
            <w:pPr>
              <w:spacing w:line="281" w:lineRule="auto"/>
              <w:rPr>
                <w:rFonts w:ascii="Arial"/>
                <w:color w:val="auto"/>
                <w:sz w:val="21"/>
              </w:rPr>
            </w:pPr>
          </w:p>
          <w:p w14:paraId="796EDAE8">
            <w:pPr>
              <w:spacing w:line="282" w:lineRule="auto"/>
              <w:rPr>
                <w:rFonts w:ascii="Arial"/>
                <w:color w:val="auto"/>
                <w:sz w:val="21"/>
              </w:rPr>
            </w:pPr>
          </w:p>
          <w:p w14:paraId="56145157">
            <w:pPr>
              <w:pStyle w:val="20"/>
              <w:spacing w:before="71" w:line="401" w:lineRule="exact"/>
              <w:ind w:left="110"/>
              <w:rPr>
                <w:color w:val="auto"/>
                <w:sz w:val="22"/>
                <w:szCs w:val="22"/>
              </w:rPr>
            </w:pPr>
            <w:r>
              <w:rPr>
                <w:color w:val="auto"/>
                <w:spacing w:val="26"/>
                <w:position w:val="13"/>
                <w:sz w:val="22"/>
                <w:szCs w:val="22"/>
              </w:rPr>
              <w:t>施工方案技</w:t>
            </w:r>
          </w:p>
          <w:p w14:paraId="20109262">
            <w:pPr>
              <w:pStyle w:val="20"/>
              <w:spacing w:before="1" w:line="223" w:lineRule="auto"/>
              <w:ind w:left="111"/>
              <w:rPr>
                <w:color w:val="auto"/>
                <w:sz w:val="22"/>
                <w:szCs w:val="22"/>
              </w:rPr>
            </w:pPr>
            <w:r>
              <w:rPr>
                <w:color w:val="auto"/>
                <w:spacing w:val="-1"/>
                <w:sz w:val="22"/>
                <w:szCs w:val="22"/>
              </w:rPr>
              <w:t>术措施</w:t>
            </w:r>
          </w:p>
        </w:tc>
        <w:tc>
          <w:tcPr>
            <w:tcW w:w="6546" w:type="dxa"/>
            <w:vAlign w:val="top"/>
          </w:tcPr>
          <w:p w14:paraId="2E03D8AA">
            <w:pPr>
              <w:pStyle w:val="20"/>
              <w:spacing w:before="30" w:line="234" w:lineRule="auto"/>
              <w:ind w:left="110" w:right="103"/>
              <w:jc w:val="both"/>
              <w:rPr>
                <w:color w:val="auto"/>
                <w:sz w:val="22"/>
                <w:szCs w:val="22"/>
              </w:rPr>
            </w:pPr>
            <w:bookmarkStart w:id="23" w:name="OLE_LINK27"/>
            <w:r>
              <w:rPr>
                <w:color w:val="auto"/>
                <w:spacing w:val="2"/>
                <w:sz w:val="22"/>
                <w:szCs w:val="22"/>
              </w:rPr>
              <w:t>施工方案与技术措施（20分）基本要求：施工方案满</w:t>
            </w:r>
            <w:r>
              <w:rPr>
                <w:color w:val="auto"/>
                <w:spacing w:val="1"/>
                <w:sz w:val="22"/>
                <w:szCs w:val="22"/>
              </w:rPr>
              <w:t>足本工程进</w:t>
            </w:r>
            <w:r>
              <w:rPr>
                <w:color w:val="auto"/>
                <w:spacing w:val="6"/>
                <w:sz w:val="22"/>
                <w:szCs w:val="22"/>
              </w:rPr>
              <w:t>度及管理需要，技术措施满足本项目的实际特点，满</w:t>
            </w:r>
            <w:r>
              <w:rPr>
                <w:color w:val="auto"/>
                <w:spacing w:val="5"/>
                <w:sz w:val="22"/>
                <w:szCs w:val="22"/>
              </w:rPr>
              <w:t>足现行国家</w:t>
            </w:r>
            <w:r>
              <w:rPr>
                <w:color w:val="auto"/>
                <w:spacing w:val="2"/>
                <w:sz w:val="22"/>
                <w:szCs w:val="22"/>
              </w:rPr>
              <w:t>施工质量验收规范。磋商小组根据以下评分标准进行评审：</w:t>
            </w:r>
          </w:p>
          <w:p w14:paraId="3A3A0DAB">
            <w:pPr>
              <w:pStyle w:val="20"/>
              <w:spacing w:before="18" w:line="222" w:lineRule="auto"/>
              <w:ind w:left="103"/>
              <w:rPr>
                <w:color w:val="auto"/>
                <w:sz w:val="22"/>
                <w:szCs w:val="22"/>
              </w:rPr>
            </w:pPr>
            <w:r>
              <w:rPr>
                <w:color w:val="auto"/>
                <w:spacing w:val="2"/>
                <w:sz w:val="22"/>
                <w:szCs w:val="22"/>
              </w:rPr>
              <w:t>《施工方案与技术措施》要求包括但不限于以下要素：</w:t>
            </w:r>
          </w:p>
          <w:p w14:paraId="57B65001">
            <w:pPr>
              <w:pStyle w:val="20"/>
              <w:spacing w:before="20" w:line="227" w:lineRule="auto"/>
              <w:ind w:left="112" w:right="914"/>
              <w:jc w:val="both"/>
              <w:rPr>
                <w:color w:val="auto"/>
                <w:sz w:val="22"/>
                <w:szCs w:val="22"/>
              </w:rPr>
            </w:pPr>
            <w:r>
              <w:rPr>
                <w:color w:val="auto"/>
                <w:sz w:val="22"/>
                <w:szCs w:val="22"/>
              </w:rPr>
              <w:t>①供应商制定有针对各个分部分项工程完整的施工方法；②供应商制定有针对各个分部分项工程完整的施工工艺；</w:t>
            </w:r>
          </w:p>
          <w:p w14:paraId="2305606E">
            <w:pPr>
              <w:pStyle w:val="20"/>
              <w:spacing w:before="30" w:line="227" w:lineRule="auto"/>
              <w:ind w:left="115" w:right="25" w:hanging="3"/>
              <w:rPr>
                <w:color w:val="auto"/>
                <w:sz w:val="22"/>
                <w:szCs w:val="22"/>
              </w:rPr>
            </w:pPr>
            <w:r>
              <w:rPr>
                <w:color w:val="auto"/>
                <w:spacing w:val="1"/>
                <w:sz w:val="22"/>
                <w:szCs w:val="22"/>
              </w:rPr>
              <w:t>③供应商制定有针对本项目的施工安排，有针对</w:t>
            </w:r>
            <w:r>
              <w:rPr>
                <w:color w:val="auto"/>
                <w:sz w:val="22"/>
                <w:szCs w:val="22"/>
              </w:rPr>
              <w:t>性的对施工用电、用水、交通进行部署；</w:t>
            </w:r>
          </w:p>
          <w:p w14:paraId="48C3F1CC">
            <w:pPr>
              <w:pStyle w:val="20"/>
              <w:spacing w:before="31" w:line="230" w:lineRule="auto"/>
              <w:ind w:left="112" w:right="1138"/>
              <w:rPr>
                <w:color w:val="auto"/>
                <w:sz w:val="22"/>
                <w:szCs w:val="22"/>
              </w:rPr>
            </w:pPr>
            <w:r>
              <w:rPr>
                <w:color w:val="auto"/>
                <w:sz w:val="22"/>
                <w:szCs w:val="22"/>
              </w:rPr>
              <w:t>④供应商制定有针对本项目的施工前的准备工作计划；</w:t>
            </w:r>
            <w:r>
              <w:rPr>
                <w:color w:val="auto"/>
                <w:spacing w:val="2"/>
                <w:sz w:val="22"/>
                <w:szCs w:val="22"/>
              </w:rPr>
              <w:t>⑤供应商制定有针对本项目的施工平面布置。</w:t>
            </w:r>
          </w:p>
          <w:p w14:paraId="36BE92FC">
            <w:pPr>
              <w:pStyle w:val="20"/>
              <w:spacing w:before="22" w:line="214" w:lineRule="auto"/>
              <w:ind w:left="112"/>
              <w:rPr>
                <w:color w:val="auto"/>
                <w:sz w:val="22"/>
                <w:szCs w:val="22"/>
              </w:rPr>
            </w:pPr>
            <w:r>
              <w:rPr>
                <w:color w:val="auto"/>
                <w:spacing w:val="2"/>
                <w:sz w:val="22"/>
                <w:szCs w:val="22"/>
              </w:rPr>
              <w:t>完全满足上述要求的得基本分20分，在基本分的基础上</w:t>
            </w:r>
          </w:p>
          <w:p w14:paraId="3BA0C475">
            <w:pPr>
              <w:pStyle w:val="20"/>
              <w:spacing w:before="31" w:line="214" w:lineRule="auto"/>
              <w:ind w:left="115"/>
              <w:rPr>
                <w:color w:val="auto"/>
                <w:sz w:val="22"/>
                <w:szCs w:val="22"/>
              </w:rPr>
            </w:pPr>
            <w:r>
              <w:rPr>
                <w:color w:val="auto"/>
                <w:spacing w:val="1"/>
                <w:sz w:val="22"/>
                <w:szCs w:val="22"/>
              </w:rPr>
              <w:t>其中上述要素要求有一项不足扣2分，缺失的扣4分，扣完为</w:t>
            </w:r>
          </w:p>
          <w:p w14:paraId="10E0ACE3">
            <w:pPr>
              <w:pStyle w:val="20"/>
              <w:spacing w:before="28" w:line="208" w:lineRule="auto"/>
              <w:ind w:left="115"/>
              <w:rPr>
                <w:color w:val="auto"/>
                <w:sz w:val="22"/>
                <w:szCs w:val="22"/>
              </w:rPr>
            </w:pPr>
            <w:r>
              <w:rPr>
                <w:color w:val="auto"/>
                <w:spacing w:val="-6"/>
                <w:sz w:val="22"/>
                <w:szCs w:val="22"/>
              </w:rPr>
              <w:t>止。</w:t>
            </w:r>
            <w:bookmarkEnd w:id="23"/>
          </w:p>
        </w:tc>
        <w:tc>
          <w:tcPr>
            <w:tcW w:w="802" w:type="dxa"/>
            <w:vAlign w:val="top"/>
          </w:tcPr>
          <w:p w14:paraId="05F7F29A">
            <w:pPr>
              <w:spacing w:line="272" w:lineRule="auto"/>
              <w:rPr>
                <w:rFonts w:ascii="Arial"/>
                <w:color w:val="auto"/>
                <w:sz w:val="21"/>
              </w:rPr>
            </w:pPr>
          </w:p>
          <w:p w14:paraId="1EAE6E87">
            <w:pPr>
              <w:spacing w:line="272" w:lineRule="auto"/>
              <w:rPr>
                <w:rFonts w:ascii="Arial"/>
                <w:color w:val="auto"/>
                <w:sz w:val="21"/>
              </w:rPr>
            </w:pPr>
          </w:p>
          <w:p w14:paraId="4DC72C12">
            <w:pPr>
              <w:spacing w:line="272" w:lineRule="auto"/>
              <w:rPr>
                <w:rFonts w:ascii="Arial"/>
                <w:color w:val="auto"/>
                <w:sz w:val="21"/>
              </w:rPr>
            </w:pPr>
          </w:p>
          <w:p w14:paraId="1F213DDC">
            <w:pPr>
              <w:spacing w:line="272" w:lineRule="auto"/>
              <w:rPr>
                <w:rFonts w:ascii="Arial"/>
                <w:color w:val="auto"/>
                <w:sz w:val="21"/>
              </w:rPr>
            </w:pPr>
          </w:p>
          <w:p w14:paraId="35ABA7CA">
            <w:pPr>
              <w:spacing w:line="272" w:lineRule="auto"/>
              <w:rPr>
                <w:rFonts w:ascii="Arial"/>
                <w:color w:val="auto"/>
                <w:sz w:val="21"/>
              </w:rPr>
            </w:pPr>
          </w:p>
          <w:p w14:paraId="2EE40CF0">
            <w:pPr>
              <w:spacing w:line="272" w:lineRule="auto"/>
              <w:rPr>
                <w:rFonts w:ascii="Arial"/>
                <w:color w:val="auto"/>
                <w:sz w:val="21"/>
              </w:rPr>
            </w:pPr>
          </w:p>
          <w:p w14:paraId="214C1191">
            <w:pPr>
              <w:pStyle w:val="20"/>
              <w:spacing w:before="72" w:line="223" w:lineRule="auto"/>
              <w:ind w:left="155"/>
              <w:rPr>
                <w:color w:val="auto"/>
                <w:sz w:val="22"/>
                <w:szCs w:val="22"/>
              </w:rPr>
            </w:pPr>
            <w:r>
              <w:rPr>
                <w:color w:val="auto"/>
                <w:spacing w:val="-2"/>
                <w:sz w:val="22"/>
                <w:szCs w:val="22"/>
              </w:rPr>
              <w:t>20分</w:t>
            </w:r>
          </w:p>
        </w:tc>
      </w:tr>
      <w:tr w14:paraId="59974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707" w:type="dxa"/>
            <w:vAlign w:val="top"/>
          </w:tcPr>
          <w:p w14:paraId="7D317960">
            <w:pPr>
              <w:spacing w:line="254" w:lineRule="auto"/>
              <w:rPr>
                <w:rFonts w:ascii="Arial"/>
                <w:color w:val="auto"/>
                <w:sz w:val="21"/>
              </w:rPr>
            </w:pPr>
          </w:p>
          <w:p w14:paraId="086C703F">
            <w:pPr>
              <w:spacing w:line="254" w:lineRule="auto"/>
              <w:rPr>
                <w:rFonts w:ascii="Arial"/>
                <w:color w:val="auto"/>
                <w:sz w:val="21"/>
              </w:rPr>
            </w:pPr>
          </w:p>
          <w:p w14:paraId="6BEB192B">
            <w:pPr>
              <w:spacing w:line="254" w:lineRule="auto"/>
              <w:rPr>
                <w:rFonts w:ascii="Arial"/>
                <w:color w:val="auto"/>
                <w:sz w:val="21"/>
              </w:rPr>
            </w:pPr>
          </w:p>
          <w:p w14:paraId="3217CE23">
            <w:pPr>
              <w:spacing w:line="254" w:lineRule="auto"/>
              <w:rPr>
                <w:rFonts w:ascii="Arial"/>
                <w:color w:val="auto"/>
                <w:sz w:val="21"/>
              </w:rPr>
            </w:pPr>
          </w:p>
          <w:p w14:paraId="70975C16">
            <w:pPr>
              <w:spacing w:line="254" w:lineRule="auto"/>
              <w:rPr>
                <w:rFonts w:ascii="Arial"/>
                <w:color w:val="auto"/>
                <w:sz w:val="21"/>
              </w:rPr>
            </w:pPr>
          </w:p>
          <w:p w14:paraId="33EE1729">
            <w:pPr>
              <w:spacing w:line="254" w:lineRule="auto"/>
              <w:rPr>
                <w:rFonts w:ascii="Arial"/>
                <w:color w:val="auto"/>
                <w:sz w:val="21"/>
              </w:rPr>
            </w:pPr>
          </w:p>
          <w:p w14:paraId="0CEEFCA5">
            <w:pPr>
              <w:pStyle w:val="20"/>
              <w:spacing w:before="72" w:line="186" w:lineRule="auto"/>
              <w:ind w:left="303"/>
              <w:rPr>
                <w:color w:val="auto"/>
                <w:sz w:val="22"/>
                <w:szCs w:val="22"/>
              </w:rPr>
            </w:pPr>
            <w:r>
              <w:rPr>
                <w:color w:val="auto"/>
                <w:sz w:val="22"/>
                <w:szCs w:val="22"/>
              </w:rPr>
              <w:t>2</w:t>
            </w:r>
          </w:p>
        </w:tc>
        <w:tc>
          <w:tcPr>
            <w:tcW w:w="1449" w:type="dxa"/>
            <w:vAlign w:val="top"/>
          </w:tcPr>
          <w:p w14:paraId="48C9AE90">
            <w:pPr>
              <w:spacing w:line="253" w:lineRule="auto"/>
              <w:rPr>
                <w:rFonts w:ascii="Arial"/>
                <w:color w:val="auto"/>
                <w:sz w:val="21"/>
              </w:rPr>
            </w:pPr>
          </w:p>
          <w:p w14:paraId="4A647446">
            <w:pPr>
              <w:spacing w:line="253" w:lineRule="auto"/>
              <w:rPr>
                <w:rFonts w:ascii="Arial"/>
                <w:color w:val="auto"/>
                <w:sz w:val="21"/>
              </w:rPr>
            </w:pPr>
          </w:p>
          <w:p w14:paraId="3DE7306F">
            <w:pPr>
              <w:spacing w:line="253" w:lineRule="auto"/>
              <w:rPr>
                <w:rFonts w:ascii="Arial"/>
                <w:color w:val="auto"/>
                <w:sz w:val="21"/>
              </w:rPr>
            </w:pPr>
          </w:p>
          <w:p w14:paraId="123F27B0">
            <w:pPr>
              <w:spacing w:line="253" w:lineRule="auto"/>
              <w:rPr>
                <w:rFonts w:ascii="Arial"/>
                <w:color w:val="auto"/>
                <w:sz w:val="21"/>
              </w:rPr>
            </w:pPr>
          </w:p>
          <w:p w14:paraId="088C6DEF">
            <w:pPr>
              <w:spacing w:line="254" w:lineRule="auto"/>
              <w:rPr>
                <w:rFonts w:ascii="Arial"/>
                <w:color w:val="auto"/>
                <w:sz w:val="21"/>
              </w:rPr>
            </w:pPr>
          </w:p>
          <w:p w14:paraId="3F2AC64C">
            <w:pPr>
              <w:pStyle w:val="20"/>
              <w:spacing w:before="71" w:line="401" w:lineRule="exact"/>
              <w:ind w:left="113"/>
              <w:rPr>
                <w:color w:val="auto"/>
                <w:sz w:val="22"/>
                <w:szCs w:val="22"/>
              </w:rPr>
            </w:pPr>
            <w:r>
              <w:rPr>
                <w:color w:val="auto"/>
                <w:spacing w:val="25"/>
                <w:position w:val="13"/>
                <w:sz w:val="22"/>
                <w:szCs w:val="22"/>
              </w:rPr>
              <w:t>质量管理体</w:t>
            </w:r>
          </w:p>
          <w:p w14:paraId="71866898">
            <w:pPr>
              <w:pStyle w:val="20"/>
              <w:spacing w:before="1" w:line="223" w:lineRule="auto"/>
              <w:ind w:left="116"/>
              <w:rPr>
                <w:color w:val="auto"/>
                <w:sz w:val="22"/>
                <w:szCs w:val="22"/>
              </w:rPr>
            </w:pPr>
            <w:r>
              <w:rPr>
                <w:color w:val="auto"/>
                <w:spacing w:val="-2"/>
                <w:sz w:val="22"/>
                <w:szCs w:val="22"/>
              </w:rPr>
              <w:t>系与措施</w:t>
            </w:r>
          </w:p>
        </w:tc>
        <w:tc>
          <w:tcPr>
            <w:tcW w:w="6546" w:type="dxa"/>
            <w:vAlign w:val="top"/>
          </w:tcPr>
          <w:p w14:paraId="12D67443">
            <w:pPr>
              <w:pStyle w:val="20"/>
              <w:spacing w:before="34" w:line="233" w:lineRule="auto"/>
              <w:ind w:left="110" w:right="105" w:firstLine="3"/>
              <w:jc w:val="both"/>
              <w:rPr>
                <w:color w:val="auto"/>
                <w:sz w:val="22"/>
                <w:szCs w:val="22"/>
              </w:rPr>
            </w:pPr>
            <w:bookmarkStart w:id="24" w:name="OLE_LINK28"/>
            <w:r>
              <w:rPr>
                <w:color w:val="auto"/>
                <w:spacing w:val="2"/>
                <w:sz w:val="22"/>
                <w:szCs w:val="22"/>
              </w:rPr>
              <w:t>质量管理体系与措施（10分）基本要求：</w:t>
            </w:r>
            <w:r>
              <w:rPr>
                <w:color w:val="auto"/>
                <w:spacing w:val="1"/>
                <w:sz w:val="22"/>
                <w:szCs w:val="22"/>
              </w:rPr>
              <w:t>质量管理体系健全，措</w:t>
            </w:r>
            <w:r>
              <w:rPr>
                <w:color w:val="auto"/>
                <w:spacing w:val="6"/>
                <w:sz w:val="22"/>
                <w:szCs w:val="22"/>
              </w:rPr>
              <w:t>施对实现质量目标有针对性。磋商小组根据以下评分</w:t>
            </w:r>
            <w:r>
              <w:rPr>
                <w:color w:val="auto"/>
                <w:spacing w:val="5"/>
                <w:sz w:val="22"/>
                <w:szCs w:val="22"/>
              </w:rPr>
              <w:t>标准进行评</w:t>
            </w:r>
            <w:r>
              <w:rPr>
                <w:color w:val="auto"/>
                <w:spacing w:val="2"/>
                <w:sz w:val="22"/>
                <w:szCs w:val="22"/>
              </w:rPr>
              <w:t>审：《质量管理体系与措施》包括但不限于以下要素：</w:t>
            </w:r>
          </w:p>
          <w:p w14:paraId="5844E9B5">
            <w:pPr>
              <w:pStyle w:val="20"/>
              <w:spacing w:before="20" w:line="227" w:lineRule="auto"/>
              <w:ind w:left="112" w:right="468"/>
              <w:rPr>
                <w:color w:val="auto"/>
                <w:sz w:val="22"/>
                <w:szCs w:val="22"/>
              </w:rPr>
            </w:pPr>
            <w:r>
              <w:rPr>
                <w:color w:val="auto"/>
                <w:sz w:val="22"/>
                <w:szCs w:val="22"/>
              </w:rPr>
              <w:t>①供应商制定有针对本项目的确保工程质量的技术组织措施；</w:t>
            </w:r>
            <w:r>
              <w:rPr>
                <w:color w:val="auto"/>
                <w:spacing w:val="2"/>
                <w:sz w:val="22"/>
                <w:szCs w:val="22"/>
              </w:rPr>
              <w:t>②供应商制定有针对本项目的质量保证体系；</w:t>
            </w:r>
          </w:p>
          <w:p w14:paraId="4DDBE334">
            <w:pPr>
              <w:pStyle w:val="20"/>
              <w:spacing w:before="30" w:line="227" w:lineRule="auto"/>
              <w:ind w:left="110" w:right="105" w:firstLine="1"/>
              <w:rPr>
                <w:color w:val="auto"/>
                <w:sz w:val="22"/>
                <w:szCs w:val="22"/>
              </w:rPr>
            </w:pPr>
            <w:r>
              <w:rPr>
                <w:color w:val="auto"/>
                <w:spacing w:val="6"/>
                <w:sz w:val="22"/>
                <w:szCs w:val="22"/>
              </w:rPr>
              <w:t>③供应商制定有针对本项目的针对质量目标及质</w:t>
            </w:r>
            <w:r>
              <w:rPr>
                <w:color w:val="auto"/>
                <w:spacing w:val="5"/>
                <w:sz w:val="22"/>
                <w:szCs w:val="22"/>
              </w:rPr>
              <w:t>量控制的保证措</w:t>
            </w:r>
            <w:r>
              <w:rPr>
                <w:color w:val="auto"/>
                <w:spacing w:val="-3"/>
                <w:sz w:val="22"/>
                <w:szCs w:val="22"/>
              </w:rPr>
              <w:t>施；</w:t>
            </w:r>
          </w:p>
          <w:p w14:paraId="0E51BEFD">
            <w:pPr>
              <w:pStyle w:val="20"/>
              <w:spacing w:before="30" w:line="238" w:lineRule="auto"/>
              <w:ind w:left="112"/>
              <w:rPr>
                <w:color w:val="auto"/>
                <w:sz w:val="22"/>
                <w:szCs w:val="22"/>
              </w:rPr>
            </w:pPr>
            <w:r>
              <w:rPr>
                <w:color w:val="auto"/>
                <w:spacing w:val="2"/>
                <w:sz w:val="22"/>
                <w:szCs w:val="22"/>
              </w:rPr>
              <w:t>④供应商制定有针对本项目的质量管理制度；</w:t>
            </w:r>
          </w:p>
          <w:p w14:paraId="42584B01">
            <w:pPr>
              <w:pStyle w:val="20"/>
              <w:spacing w:before="1" w:line="220" w:lineRule="auto"/>
              <w:ind w:left="112"/>
              <w:rPr>
                <w:color w:val="auto"/>
                <w:sz w:val="22"/>
                <w:szCs w:val="22"/>
              </w:rPr>
            </w:pPr>
            <w:r>
              <w:rPr>
                <w:color w:val="auto"/>
                <w:spacing w:val="2"/>
                <w:sz w:val="22"/>
                <w:szCs w:val="22"/>
              </w:rPr>
              <w:t>⑤供应商制定有针对本项目的质量检查制度。</w:t>
            </w:r>
          </w:p>
          <w:p w14:paraId="517DDBDE">
            <w:pPr>
              <w:pStyle w:val="20"/>
              <w:spacing w:before="22" w:line="214" w:lineRule="auto"/>
              <w:ind w:left="112"/>
              <w:rPr>
                <w:color w:val="auto"/>
                <w:sz w:val="22"/>
                <w:szCs w:val="22"/>
              </w:rPr>
            </w:pPr>
            <w:r>
              <w:rPr>
                <w:color w:val="auto"/>
                <w:spacing w:val="2"/>
                <w:sz w:val="22"/>
                <w:szCs w:val="22"/>
              </w:rPr>
              <w:t>完全满足上述要求的得基本分10分，在基本分的基础上</w:t>
            </w:r>
          </w:p>
          <w:p w14:paraId="1C450F93">
            <w:pPr>
              <w:pStyle w:val="20"/>
              <w:spacing w:before="31" w:line="214" w:lineRule="auto"/>
              <w:ind w:left="115"/>
              <w:rPr>
                <w:color w:val="auto"/>
                <w:sz w:val="22"/>
                <w:szCs w:val="22"/>
              </w:rPr>
            </w:pPr>
            <w:r>
              <w:rPr>
                <w:color w:val="auto"/>
                <w:spacing w:val="2"/>
                <w:sz w:val="22"/>
                <w:szCs w:val="22"/>
              </w:rPr>
              <w:t>其中上述要素要求有一项不足扣1分，缺失的扣2分，扣完为</w:t>
            </w:r>
            <w:r>
              <w:rPr>
                <w:color w:val="auto"/>
                <w:spacing w:val="-6"/>
                <w:sz w:val="22"/>
                <w:szCs w:val="22"/>
              </w:rPr>
              <w:t>止。</w:t>
            </w:r>
            <w:bookmarkEnd w:id="24"/>
          </w:p>
        </w:tc>
        <w:tc>
          <w:tcPr>
            <w:tcW w:w="802" w:type="dxa"/>
            <w:vAlign w:val="top"/>
          </w:tcPr>
          <w:p w14:paraId="0D50BFFC">
            <w:pPr>
              <w:spacing w:line="248" w:lineRule="auto"/>
              <w:rPr>
                <w:rFonts w:ascii="Arial"/>
                <w:color w:val="auto"/>
                <w:sz w:val="21"/>
              </w:rPr>
            </w:pPr>
          </w:p>
          <w:p w14:paraId="1F5288EA">
            <w:pPr>
              <w:spacing w:line="248" w:lineRule="auto"/>
              <w:rPr>
                <w:rFonts w:ascii="Arial"/>
                <w:color w:val="auto"/>
                <w:sz w:val="21"/>
              </w:rPr>
            </w:pPr>
          </w:p>
          <w:p w14:paraId="35DC7AB2">
            <w:pPr>
              <w:spacing w:line="249" w:lineRule="auto"/>
              <w:rPr>
                <w:rFonts w:ascii="Arial"/>
                <w:color w:val="auto"/>
                <w:sz w:val="21"/>
              </w:rPr>
            </w:pPr>
          </w:p>
          <w:p w14:paraId="191265F6">
            <w:pPr>
              <w:spacing w:line="249" w:lineRule="auto"/>
              <w:rPr>
                <w:rFonts w:ascii="Arial"/>
                <w:color w:val="auto"/>
                <w:sz w:val="21"/>
              </w:rPr>
            </w:pPr>
          </w:p>
          <w:p w14:paraId="6C232F41">
            <w:pPr>
              <w:spacing w:line="249" w:lineRule="auto"/>
              <w:rPr>
                <w:rFonts w:ascii="Arial"/>
                <w:color w:val="auto"/>
                <w:sz w:val="21"/>
              </w:rPr>
            </w:pPr>
          </w:p>
          <w:p w14:paraId="544A892F">
            <w:pPr>
              <w:spacing w:line="249" w:lineRule="auto"/>
              <w:rPr>
                <w:rFonts w:ascii="Arial"/>
                <w:color w:val="auto"/>
                <w:sz w:val="21"/>
              </w:rPr>
            </w:pPr>
          </w:p>
          <w:p w14:paraId="31A40B31">
            <w:pPr>
              <w:pStyle w:val="20"/>
              <w:spacing w:before="72" w:line="223" w:lineRule="auto"/>
              <w:ind w:left="168"/>
              <w:rPr>
                <w:color w:val="auto"/>
                <w:sz w:val="22"/>
                <w:szCs w:val="22"/>
              </w:rPr>
            </w:pPr>
            <w:r>
              <w:rPr>
                <w:color w:val="auto"/>
                <w:spacing w:val="-7"/>
                <w:sz w:val="22"/>
                <w:szCs w:val="22"/>
              </w:rPr>
              <w:t>10分</w:t>
            </w:r>
          </w:p>
        </w:tc>
      </w:tr>
      <w:tr w14:paraId="6BD62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9" w:hRule="atLeast"/>
        </w:trPr>
        <w:tc>
          <w:tcPr>
            <w:tcW w:w="707" w:type="dxa"/>
            <w:vAlign w:val="top"/>
          </w:tcPr>
          <w:p w14:paraId="3B5723EB">
            <w:pPr>
              <w:spacing w:line="254" w:lineRule="auto"/>
              <w:rPr>
                <w:rFonts w:ascii="Arial"/>
                <w:color w:val="auto"/>
                <w:sz w:val="21"/>
              </w:rPr>
            </w:pPr>
          </w:p>
          <w:p w14:paraId="0F868264">
            <w:pPr>
              <w:spacing w:line="254" w:lineRule="auto"/>
              <w:rPr>
                <w:rFonts w:ascii="Arial"/>
                <w:color w:val="auto"/>
                <w:sz w:val="21"/>
              </w:rPr>
            </w:pPr>
          </w:p>
          <w:p w14:paraId="4CE5F5B3">
            <w:pPr>
              <w:spacing w:line="254" w:lineRule="auto"/>
              <w:rPr>
                <w:rFonts w:ascii="Arial"/>
                <w:color w:val="auto"/>
                <w:sz w:val="21"/>
              </w:rPr>
            </w:pPr>
          </w:p>
          <w:p w14:paraId="50C3E38F">
            <w:pPr>
              <w:spacing w:line="254" w:lineRule="auto"/>
              <w:rPr>
                <w:rFonts w:ascii="Arial"/>
                <w:color w:val="auto"/>
                <w:sz w:val="21"/>
              </w:rPr>
            </w:pPr>
          </w:p>
          <w:p w14:paraId="67BB61E9">
            <w:pPr>
              <w:spacing w:line="254" w:lineRule="auto"/>
              <w:rPr>
                <w:rFonts w:ascii="Arial"/>
                <w:color w:val="auto"/>
                <w:sz w:val="21"/>
              </w:rPr>
            </w:pPr>
          </w:p>
          <w:p w14:paraId="4726D551">
            <w:pPr>
              <w:spacing w:line="255" w:lineRule="auto"/>
              <w:rPr>
                <w:rFonts w:ascii="Arial"/>
                <w:color w:val="auto"/>
                <w:sz w:val="21"/>
              </w:rPr>
            </w:pPr>
          </w:p>
          <w:p w14:paraId="2A583200">
            <w:pPr>
              <w:pStyle w:val="20"/>
              <w:spacing w:before="72" w:line="186" w:lineRule="auto"/>
              <w:ind w:left="305"/>
              <w:rPr>
                <w:color w:val="auto"/>
                <w:sz w:val="22"/>
                <w:szCs w:val="22"/>
              </w:rPr>
            </w:pPr>
            <w:r>
              <w:rPr>
                <w:color w:val="auto"/>
                <w:sz w:val="22"/>
                <w:szCs w:val="22"/>
              </w:rPr>
              <w:t>3</w:t>
            </w:r>
          </w:p>
        </w:tc>
        <w:tc>
          <w:tcPr>
            <w:tcW w:w="1449" w:type="dxa"/>
            <w:vAlign w:val="top"/>
          </w:tcPr>
          <w:p w14:paraId="4A63DF1A">
            <w:pPr>
              <w:spacing w:line="271" w:lineRule="auto"/>
              <w:rPr>
                <w:rFonts w:ascii="Arial"/>
                <w:color w:val="auto"/>
                <w:sz w:val="21"/>
              </w:rPr>
            </w:pPr>
          </w:p>
          <w:p w14:paraId="6690E1CE">
            <w:pPr>
              <w:spacing w:line="271" w:lineRule="auto"/>
              <w:rPr>
                <w:rFonts w:ascii="Arial"/>
                <w:color w:val="auto"/>
                <w:sz w:val="21"/>
              </w:rPr>
            </w:pPr>
          </w:p>
          <w:p w14:paraId="7C7A830C">
            <w:pPr>
              <w:spacing w:line="272" w:lineRule="auto"/>
              <w:rPr>
                <w:rFonts w:ascii="Arial"/>
                <w:color w:val="auto"/>
                <w:sz w:val="21"/>
              </w:rPr>
            </w:pPr>
          </w:p>
          <w:p w14:paraId="0C1C3C06">
            <w:pPr>
              <w:spacing w:line="272" w:lineRule="auto"/>
              <w:rPr>
                <w:rFonts w:ascii="Arial"/>
                <w:color w:val="auto"/>
                <w:sz w:val="21"/>
              </w:rPr>
            </w:pPr>
          </w:p>
          <w:p w14:paraId="44FA3AAF">
            <w:pPr>
              <w:spacing w:line="272" w:lineRule="auto"/>
              <w:rPr>
                <w:rFonts w:ascii="Arial"/>
                <w:color w:val="auto"/>
                <w:sz w:val="21"/>
              </w:rPr>
            </w:pPr>
          </w:p>
          <w:p w14:paraId="30C72C7F">
            <w:pPr>
              <w:pStyle w:val="20"/>
              <w:spacing w:before="71" w:line="439" w:lineRule="exact"/>
              <w:ind w:left="120"/>
              <w:rPr>
                <w:color w:val="auto"/>
                <w:sz w:val="22"/>
                <w:szCs w:val="22"/>
              </w:rPr>
            </w:pPr>
            <w:r>
              <w:rPr>
                <w:color w:val="auto"/>
                <w:spacing w:val="-2"/>
                <w:position w:val="16"/>
                <w:sz w:val="22"/>
                <w:szCs w:val="22"/>
              </w:rPr>
              <w:t>安全管理体</w:t>
            </w:r>
          </w:p>
          <w:p w14:paraId="4AA99D06">
            <w:pPr>
              <w:pStyle w:val="20"/>
              <w:spacing w:before="1" w:line="223" w:lineRule="auto"/>
              <w:ind w:left="116"/>
              <w:rPr>
                <w:color w:val="auto"/>
                <w:sz w:val="22"/>
                <w:szCs w:val="22"/>
              </w:rPr>
            </w:pPr>
            <w:r>
              <w:rPr>
                <w:color w:val="auto"/>
                <w:spacing w:val="-2"/>
                <w:sz w:val="22"/>
                <w:szCs w:val="22"/>
              </w:rPr>
              <w:t>系与措施</w:t>
            </w:r>
          </w:p>
        </w:tc>
        <w:tc>
          <w:tcPr>
            <w:tcW w:w="6546" w:type="dxa"/>
            <w:vAlign w:val="top"/>
          </w:tcPr>
          <w:p w14:paraId="2EBABA3B">
            <w:pPr>
              <w:pStyle w:val="20"/>
              <w:spacing w:before="34" w:line="235" w:lineRule="auto"/>
              <w:ind w:left="112" w:right="105" w:firstLine="8"/>
              <w:jc w:val="both"/>
              <w:rPr>
                <w:color w:val="auto"/>
                <w:sz w:val="22"/>
                <w:szCs w:val="22"/>
              </w:rPr>
            </w:pPr>
            <w:bookmarkStart w:id="25" w:name="OLE_LINK29"/>
            <w:r>
              <w:rPr>
                <w:color w:val="auto"/>
                <w:spacing w:val="1"/>
                <w:sz w:val="22"/>
                <w:szCs w:val="22"/>
              </w:rPr>
              <w:t>安全管理体系与措施（10分）基本要求：安全管理体系、安全教</w:t>
            </w:r>
            <w:r>
              <w:rPr>
                <w:color w:val="auto"/>
                <w:spacing w:val="6"/>
                <w:sz w:val="22"/>
                <w:szCs w:val="22"/>
              </w:rPr>
              <w:t>育及培训计划健全、安全防护符合国家及地方安</w:t>
            </w:r>
            <w:r>
              <w:rPr>
                <w:color w:val="auto"/>
                <w:spacing w:val="5"/>
                <w:sz w:val="22"/>
                <w:szCs w:val="22"/>
              </w:rPr>
              <w:t>全管理规定。磋</w:t>
            </w:r>
            <w:r>
              <w:rPr>
                <w:color w:val="auto"/>
                <w:spacing w:val="6"/>
                <w:sz w:val="22"/>
                <w:szCs w:val="22"/>
              </w:rPr>
              <w:t>商小组根据以下评分标准进行评审：《安全管理</w:t>
            </w:r>
            <w:r>
              <w:rPr>
                <w:color w:val="auto"/>
                <w:spacing w:val="5"/>
                <w:sz w:val="22"/>
                <w:szCs w:val="22"/>
              </w:rPr>
              <w:t>体系与措施》包</w:t>
            </w:r>
            <w:r>
              <w:rPr>
                <w:color w:val="auto"/>
                <w:spacing w:val="1"/>
                <w:sz w:val="22"/>
                <w:szCs w:val="22"/>
              </w:rPr>
              <w:t>括但不限于以下要素：</w:t>
            </w:r>
          </w:p>
          <w:p w14:paraId="77A65293">
            <w:pPr>
              <w:pStyle w:val="20"/>
              <w:spacing w:before="21" w:line="214" w:lineRule="auto"/>
              <w:ind w:left="112"/>
              <w:rPr>
                <w:color w:val="auto"/>
                <w:sz w:val="22"/>
                <w:szCs w:val="22"/>
              </w:rPr>
            </w:pPr>
            <w:r>
              <w:rPr>
                <w:color w:val="auto"/>
                <w:spacing w:val="2"/>
                <w:sz w:val="22"/>
                <w:szCs w:val="22"/>
              </w:rPr>
              <w:t>①供应商制定有针对本项目的安全管理体系；</w:t>
            </w:r>
          </w:p>
          <w:p w14:paraId="6B799028">
            <w:pPr>
              <w:pStyle w:val="20"/>
              <w:spacing w:before="30" w:line="238" w:lineRule="auto"/>
              <w:ind w:left="112"/>
              <w:rPr>
                <w:color w:val="auto"/>
                <w:sz w:val="22"/>
                <w:szCs w:val="22"/>
              </w:rPr>
            </w:pPr>
            <w:r>
              <w:rPr>
                <w:color w:val="auto"/>
                <w:spacing w:val="2"/>
                <w:sz w:val="22"/>
                <w:szCs w:val="22"/>
              </w:rPr>
              <w:t>②供应商制定有针对本项目的安全教育及培训计划；</w:t>
            </w:r>
          </w:p>
          <w:p w14:paraId="06F46238">
            <w:pPr>
              <w:pStyle w:val="20"/>
              <w:spacing w:line="213" w:lineRule="auto"/>
              <w:ind w:left="112"/>
              <w:rPr>
                <w:color w:val="auto"/>
                <w:sz w:val="22"/>
                <w:szCs w:val="22"/>
              </w:rPr>
            </w:pPr>
            <w:r>
              <w:rPr>
                <w:color w:val="auto"/>
                <w:spacing w:val="2"/>
                <w:sz w:val="22"/>
                <w:szCs w:val="22"/>
              </w:rPr>
              <w:t>③供应商制定有针对本项目的安全技术措施；</w:t>
            </w:r>
          </w:p>
          <w:p w14:paraId="704F5E20">
            <w:pPr>
              <w:pStyle w:val="20"/>
              <w:spacing w:before="33" w:line="214" w:lineRule="auto"/>
              <w:ind w:left="112"/>
              <w:rPr>
                <w:color w:val="auto"/>
                <w:sz w:val="22"/>
                <w:szCs w:val="22"/>
              </w:rPr>
            </w:pPr>
            <w:r>
              <w:rPr>
                <w:color w:val="auto"/>
                <w:spacing w:val="2"/>
                <w:sz w:val="22"/>
                <w:szCs w:val="22"/>
              </w:rPr>
              <w:t>④供应商制定有针对本项目的安全应急预案；</w:t>
            </w:r>
          </w:p>
          <w:p w14:paraId="06FD5EA5">
            <w:pPr>
              <w:pStyle w:val="20"/>
              <w:spacing w:before="28" w:line="227" w:lineRule="auto"/>
              <w:ind w:left="115" w:right="105" w:hanging="3"/>
              <w:rPr>
                <w:color w:val="auto"/>
                <w:sz w:val="22"/>
                <w:szCs w:val="22"/>
              </w:rPr>
            </w:pPr>
            <w:r>
              <w:rPr>
                <w:color w:val="auto"/>
                <w:spacing w:val="6"/>
                <w:sz w:val="22"/>
                <w:szCs w:val="22"/>
              </w:rPr>
              <w:t>⑤供应商制定有针对本项目的安全目标控制保障</w:t>
            </w:r>
            <w:r>
              <w:rPr>
                <w:color w:val="auto"/>
                <w:spacing w:val="5"/>
                <w:sz w:val="22"/>
                <w:szCs w:val="22"/>
              </w:rPr>
              <w:t>措施。完全满足</w:t>
            </w:r>
            <w:r>
              <w:rPr>
                <w:color w:val="auto"/>
                <w:spacing w:val="1"/>
                <w:sz w:val="22"/>
                <w:szCs w:val="22"/>
              </w:rPr>
              <w:t>上述要求的得基本分10分，在基本分的基础上</w:t>
            </w:r>
          </w:p>
          <w:p w14:paraId="19FBD628">
            <w:pPr>
              <w:pStyle w:val="20"/>
              <w:spacing w:before="30" w:line="223" w:lineRule="auto"/>
              <w:ind w:left="111" w:right="923" w:firstLine="3"/>
              <w:rPr>
                <w:color w:val="auto"/>
                <w:sz w:val="22"/>
                <w:szCs w:val="22"/>
              </w:rPr>
            </w:pPr>
            <w:r>
              <w:rPr>
                <w:color w:val="auto"/>
                <w:spacing w:val="-1"/>
                <w:sz w:val="22"/>
                <w:szCs w:val="22"/>
              </w:rPr>
              <w:t>其中上述要素要求有一项不足扣1分，缺失的扣2分，</w:t>
            </w:r>
            <w:r>
              <w:rPr>
                <w:color w:val="auto"/>
                <w:sz w:val="22"/>
                <w:szCs w:val="22"/>
              </w:rPr>
              <w:t>扣完为止。</w:t>
            </w:r>
            <w:bookmarkEnd w:id="25"/>
          </w:p>
        </w:tc>
        <w:tc>
          <w:tcPr>
            <w:tcW w:w="802" w:type="dxa"/>
            <w:vAlign w:val="top"/>
          </w:tcPr>
          <w:p w14:paraId="28395B9E">
            <w:pPr>
              <w:spacing w:line="253" w:lineRule="auto"/>
              <w:rPr>
                <w:rFonts w:ascii="Arial"/>
                <w:color w:val="auto"/>
                <w:sz w:val="21"/>
              </w:rPr>
            </w:pPr>
          </w:p>
          <w:p w14:paraId="7D9BF7B1">
            <w:pPr>
              <w:spacing w:line="253" w:lineRule="auto"/>
              <w:rPr>
                <w:rFonts w:ascii="Arial"/>
                <w:color w:val="auto"/>
                <w:sz w:val="21"/>
              </w:rPr>
            </w:pPr>
          </w:p>
          <w:p w14:paraId="1702DB2A">
            <w:pPr>
              <w:spacing w:line="254" w:lineRule="auto"/>
              <w:rPr>
                <w:rFonts w:ascii="Arial"/>
                <w:color w:val="auto"/>
                <w:sz w:val="21"/>
              </w:rPr>
            </w:pPr>
          </w:p>
          <w:p w14:paraId="096CD649">
            <w:pPr>
              <w:spacing w:line="254" w:lineRule="auto"/>
              <w:rPr>
                <w:rFonts w:ascii="Arial"/>
                <w:color w:val="auto"/>
                <w:sz w:val="21"/>
              </w:rPr>
            </w:pPr>
          </w:p>
          <w:p w14:paraId="072F449D">
            <w:pPr>
              <w:spacing w:line="254" w:lineRule="auto"/>
              <w:rPr>
                <w:rFonts w:ascii="Arial"/>
                <w:color w:val="auto"/>
                <w:sz w:val="21"/>
              </w:rPr>
            </w:pPr>
          </w:p>
          <w:p w14:paraId="7603F564">
            <w:pPr>
              <w:spacing w:line="254" w:lineRule="auto"/>
              <w:rPr>
                <w:rFonts w:ascii="Arial"/>
                <w:color w:val="auto"/>
                <w:sz w:val="21"/>
              </w:rPr>
            </w:pPr>
          </w:p>
          <w:p w14:paraId="7F3E353F">
            <w:pPr>
              <w:pStyle w:val="20"/>
              <w:spacing w:before="72" w:line="223" w:lineRule="auto"/>
              <w:ind w:left="168"/>
              <w:rPr>
                <w:color w:val="auto"/>
                <w:sz w:val="22"/>
                <w:szCs w:val="22"/>
              </w:rPr>
            </w:pPr>
            <w:r>
              <w:rPr>
                <w:color w:val="auto"/>
                <w:spacing w:val="-7"/>
                <w:sz w:val="22"/>
                <w:szCs w:val="22"/>
              </w:rPr>
              <w:t>10分</w:t>
            </w:r>
          </w:p>
        </w:tc>
      </w:tr>
    </w:tbl>
    <w:p w14:paraId="55C2B983">
      <w:pPr>
        <w:pStyle w:val="5"/>
        <w:rPr>
          <w:color w:val="auto"/>
        </w:rPr>
      </w:pPr>
    </w:p>
    <w:p w14:paraId="2CCDA7EE">
      <w:pPr>
        <w:rPr>
          <w:color w:val="auto"/>
        </w:rPr>
        <w:sectPr>
          <w:footerReference r:id="rId21" w:type="default"/>
          <w:pgSz w:w="11906" w:h="16839"/>
          <w:pgMar w:top="1431" w:right="1198" w:bottom="1012" w:left="1198" w:header="0" w:footer="850" w:gutter="0"/>
          <w:pgNumType w:fmt="decimal"/>
          <w:cols w:space="720" w:num="1"/>
        </w:sectPr>
      </w:pPr>
    </w:p>
    <w:tbl>
      <w:tblPr>
        <w:tblStyle w:val="19"/>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449"/>
        <w:gridCol w:w="6546"/>
        <w:gridCol w:w="802"/>
      </w:tblGrid>
      <w:tr w14:paraId="33459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707" w:type="dxa"/>
            <w:vAlign w:val="top"/>
          </w:tcPr>
          <w:p w14:paraId="0B563929">
            <w:pPr>
              <w:spacing w:line="247" w:lineRule="auto"/>
              <w:rPr>
                <w:rFonts w:ascii="Arial"/>
                <w:color w:val="auto"/>
                <w:sz w:val="21"/>
              </w:rPr>
            </w:pPr>
          </w:p>
          <w:p w14:paraId="630BB567">
            <w:pPr>
              <w:spacing w:line="247" w:lineRule="auto"/>
              <w:rPr>
                <w:rFonts w:ascii="Arial"/>
                <w:color w:val="auto"/>
                <w:sz w:val="21"/>
              </w:rPr>
            </w:pPr>
          </w:p>
          <w:p w14:paraId="79D0C563">
            <w:pPr>
              <w:spacing w:line="247" w:lineRule="auto"/>
              <w:rPr>
                <w:rFonts w:ascii="Arial"/>
                <w:color w:val="auto"/>
                <w:sz w:val="21"/>
              </w:rPr>
            </w:pPr>
          </w:p>
          <w:p w14:paraId="3F513D23">
            <w:pPr>
              <w:spacing w:line="247" w:lineRule="auto"/>
              <w:rPr>
                <w:rFonts w:ascii="Arial"/>
                <w:color w:val="auto"/>
                <w:sz w:val="21"/>
              </w:rPr>
            </w:pPr>
          </w:p>
          <w:p w14:paraId="0D4D492F">
            <w:pPr>
              <w:spacing w:line="247" w:lineRule="auto"/>
              <w:rPr>
                <w:rFonts w:ascii="Arial"/>
                <w:color w:val="auto"/>
                <w:sz w:val="21"/>
              </w:rPr>
            </w:pPr>
          </w:p>
          <w:p w14:paraId="376FF1B0">
            <w:pPr>
              <w:spacing w:line="247" w:lineRule="auto"/>
              <w:rPr>
                <w:rFonts w:ascii="Arial"/>
                <w:color w:val="auto"/>
                <w:sz w:val="21"/>
              </w:rPr>
            </w:pPr>
          </w:p>
          <w:p w14:paraId="024E991D">
            <w:pPr>
              <w:pStyle w:val="20"/>
              <w:spacing w:before="71" w:line="184" w:lineRule="auto"/>
              <w:ind w:left="299"/>
              <w:rPr>
                <w:color w:val="auto"/>
                <w:sz w:val="22"/>
                <w:szCs w:val="22"/>
              </w:rPr>
            </w:pPr>
            <w:r>
              <w:rPr>
                <w:color w:val="auto"/>
                <w:sz w:val="22"/>
                <w:szCs w:val="22"/>
              </w:rPr>
              <w:t>4</w:t>
            </w:r>
          </w:p>
        </w:tc>
        <w:tc>
          <w:tcPr>
            <w:tcW w:w="1449" w:type="dxa"/>
            <w:vAlign w:val="top"/>
          </w:tcPr>
          <w:p w14:paraId="0E8185A5">
            <w:pPr>
              <w:spacing w:line="276" w:lineRule="auto"/>
              <w:rPr>
                <w:rFonts w:ascii="Arial"/>
                <w:color w:val="auto"/>
                <w:sz w:val="21"/>
              </w:rPr>
            </w:pPr>
          </w:p>
          <w:p w14:paraId="2CFA1559">
            <w:pPr>
              <w:spacing w:line="277" w:lineRule="auto"/>
              <w:rPr>
                <w:rFonts w:ascii="Arial"/>
                <w:color w:val="auto"/>
                <w:sz w:val="21"/>
              </w:rPr>
            </w:pPr>
          </w:p>
          <w:p w14:paraId="6226E4A8">
            <w:pPr>
              <w:spacing w:line="277" w:lineRule="auto"/>
              <w:rPr>
                <w:rFonts w:ascii="Arial"/>
                <w:color w:val="auto"/>
                <w:sz w:val="21"/>
              </w:rPr>
            </w:pPr>
          </w:p>
          <w:p w14:paraId="3B90C4F1">
            <w:pPr>
              <w:spacing w:line="277" w:lineRule="auto"/>
              <w:rPr>
                <w:rFonts w:ascii="Arial"/>
                <w:color w:val="auto"/>
                <w:sz w:val="21"/>
              </w:rPr>
            </w:pPr>
          </w:p>
          <w:p w14:paraId="066A0809">
            <w:pPr>
              <w:pStyle w:val="20"/>
              <w:spacing w:before="71" w:line="222" w:lineRule="auto"/>
              <w:ind w:left="172"/>
              <w:rPr>
                <w:color w:val="auto"/>
                <w:sz w:val="22"/>
                <w:szCs w:val="22"/>
              </w:rPr>
            </w:pPr>
            <w:r>
              <w:rPr>
                <w:color w:val="auto"/>
                <w:sz w:val="22"/>
                <w:szCs w:val="22"/>
              </w:rPr>
              <w:t>环境保护管</w:t>
            </w:r>
          </w:p>
          <w:p w14:paraId="18E4B79A">
            <w:pPr>
              <w:pStyle w:val="20"/>
              <w:spacing w:before="77" w:line="224" w:lineRule="auto"/>
              <w:ind w:left="171"/>
              <w:rPr>
                <w:color w:val="auto"/>
                <w:sz w:val="22"/>
                <w:szCs w:val="22"/>
              </w:rPr>
            </w:pPr>
            <w:r>
              <w:rPr>
                <w:color w:val="auto"/>
                <w:sz w:val="22"/>
                <w:szCs w:val="22"/>
              </w:rPr>
              <w:t>理体系与措</w:t>
            </w:r>
          </w:p>
          <w:p w14:paraId="095BEEC3">
            <w:pPr>
              <w:pStyle w:val="20"/>
              <w:spacing w:before="73" w:line="227" w:lineRule="auto"/>
              <w:ind w:left="616"/>
              <w:rPr>
                <w:color w:val="auto"/>
                <w:sz w:val="22"/>
                <w:szCs w:val="22"/>
              </w:rPr>
            </w:pPr>
            <w:r>
              <w:rPr>
                <w:color w:val="auto"/>
                <w:sz w:val="22"/>
                <w:szCs w:val="22"/>
              </w:rPr>
              <w:t>施</w:t>
            </w:r>
          </w:p>
        </w:tc>
        <w:tc>
          <w:tcPr>
            <w:tcW w:w="6546" w:type="dxa"/>
            <w:vAlign w:val="top"/>
          </w:tcPr>
          <w:p w14:paraId="07A012A3">
            <w:pPr>
              <w:pStyle w:val="20"/>
              <w:spacing w:before="127" w:line="234" w:lineRule="auto"/>
              <w:ind w:left="111" w:right="105"/>
              <w:jc w:val="both"/>
              <w:rPr>
                <w:color w:val="auto"/>
                <w:sz w:val="22"/>
                <w:szCs w:val="22"/>
              </w:rPr>
            </w:pPr>
            <w:bookmarkStart w:id="26" w:name="OLE_LINK30"/>
            <w:r>
              <w:rPr>
                <w:color w:val="auto"/>
                <w:spacing w:val="2"/>
                <w:sz w:val="22"/>
                <w:szCs w:val="22"/>
              </w:rPr>
              <w:t>环境保护管理体系与措施（5分)基本要求：</w:t>
            </w:r>
            <w:r>
              <w:rPr>
                <w:color w:val="auto"/>
                <w:spacing w:val="1"/>
                <w:sz w:val="22"/>
                <w:szCs w:val="22"/>
              </w:rPr>
              <w:t>环境保护管理体系健</w:t>
            </w:r>
            <w:r>
              <w:rPr>
                <w:color w:val="auto"/>
                <w:spacing w:val="6"/>
                <w:sz w:val="22"/>
                <w:szCs w:val="22"/>
              </w:rPr>
              <w:t>全、污染物处理及排放符合国家及地方环境保护标</w:t>
            </w:r>
            <w:r>
              <w:rPr>
                <w:color w:val="auto"/>
                <w:spacing w:val="5"/>
                <w:sz w:val="22"/>
                <w:szCs w:val="22"/>
              </w:rPr>
              <w:t>准，技术及管</w:t>
            </w:r>
            <w:r>
              <w:rPr>
                <w:color w:val="auto"/>
                <w:spacing w:val="2"/>
                <w:sz w:val="22"/>
                <w:szCs w:val="22"/>
              </w:rPr>
              <w:t>理措施到位。磋商小组根据以下评分标准进行评审：</w:t>
            </w:r>
          </w:p>
          <w:p w14:paraId="3A529641">
            <w:pPr>
              <w:pStyle w:val="20"/>
              <w:spacing w:before="21" w:line="231" w:lineRule="auto"/>
              <w:ind w:left="112" w:right="1138" w:hanging="9"/>
              <w:jc w:val="both"/>
              <w:rPr>
                <w:color w:val="auto"/>
                <w:sz w:val="22"/>
                <w:szCs w:val="22"/>
              </w:rPr>
            </w:pPr>
            <w:r>
              <w:rPr>
                <w:color w:val="auto"/>
                <w:sz w:val="22"/>
                <w:szCs w:val="22"/>
              </w:rPr>
              <w:t>《环境保护管理体系与措施》包括但不限于以下要素：①供应商制定有针对本项目所在环境的环境保护措施；②供应商制定有针对本项目所在环境的卫生保护措施；</w:t>
            </w:r>
          </w:p>
          <w:p w14:paraId="4BA8B9DF">
            <w:pPr>
              <w:pStyle w:val="20"/>
              <w:spacing w:before="27" w:line="227" w:lineRule="auto"/>
              <w:ind w:left="112" w:right="247"/>
              <w:rPr>
                <w:color w:val="auto"/>
                <w:sz w:val="22"/>
                <w:szCs w:val="22"/>
              </w:rPr>
            </w:pPr>
            <w:r>
              <w:rPr>
                <w:color w:val="auto"/>
                <w:spacing w:val="1"/>
                <w:sz w:val="22"/>
                <w:szCs w:val="22"/>
              </w:rPr>
              <w:t>③供应商制定有针对本项目所在环境的污染</w:t>
            </w:r>
            <w:r>
              <w:rPr>
                <w:color w:val="auto"/>
                <w:sz w:val="22"/>
                <w:szCs w:val="22"/>
              </w:rPr>
              <w:t>物处理及排放措施；</w:t>
            </w:r>
            <w:r>
              <w:rPr>
                <w:color w:val="auto"/>
                <w:spacing w:val="2"/>
                <w:sz w:val="22"/>
                <w:szCs w:val="22"/>
              </w:rPr>
              <w:t>④供应商制定有针对本项目的环境保护管理体系；</w:t>
            </w:r>
          </w:p>
          <w:p w14:paraId="27CAB9F6">
            <w:pPr>
              <w:pStyle w:val="20"/>
              <w:spacing w:before="31" w:line="221" w:lineRule="auto"/>
              <w:ind w:left="112"/>
              <w:rPr>
                <w:color w:val="auto"/>
                <w:sz w:val="22"/>
                <w:szCs w:val="22"/>
              </w:rPr>
            </w:pPr>
            <w:r>
              <w:rPr>
                <w:color w:val="auto"/>
                <w:spacing w:val="2"/>
                <w:sz w:val="22"/>
                <w:szCs w:val="22"/>
              </w:rPr>
              <w:t>⑤供应商制定有针对本项目的现场文明施工措施。</w:t>
            </w:r>
          </w:p>
          <w:p w14:paraId="103DAD94">
            <w:pPr>
              <w:pStyle w:val="20"/>
              <w:spacing w:before="22" w:line="214" w:lineRule="auto"/>
              <w:ind w:left="112"/>
              <w:rPr>
                <w:color w:val="auto"/>
                <w:sz w:val="22"/>
                <w:szCs w:val="22"/>
              </w:rPr>
            </w:pPr>
            <w:r>
              <w:rPr>
                <w:color w:val="auto"/>
                <w:spacing w:val="2"/>
                <w:sz w:val="22"/>
                <w:szCs w:val="22"/>
              </w:rPr>
              <w:t>完全满足上述要求的得基本分5分，在基本分的基础上</w:t>
            </w:r>
          </w:p>
          <w:p w14:paraId="39468E5F">
            <w:pPr>
              <w:pStyle w:val="20"/>
              <w:spacing w:before="30" w:line="214" w:lineRule="auto"/>
              <w:ind w:left="115"/>
              <w:rPr>
                <w:color w:val="auto"/>
                <w:sz w:val="22"/>
                <w:szCs w:val="22"/>
              </w:rPr>
            </w:pPr>
            <w:r>
              <w:rPr>
                <w:color w:val="auto"/>
                <w:spacing w:val="2"/>
                <w:sz w:val="22"/>
                <w:szCs w:val="22"/>
              </w:rPr>
              <w:t>其中上述要素要求有一项不足或缺失的扣1分，扣完</w:t>
            </w:r>
            <w:r>
              <w:rPr>
                <w:color w:val="auto"/>
                <w:spacing w:val="1"/>
                <w:sz w:val="22"/>
                <w:szCs w:val="22"/>
              </w:rPr>
              <w:t>为止。</w:t>
            </w:r>
            <w:bookmarkEnd w:id="26"/>
          </w:p>
        </w:tc>
        <w:tc>
          <w:tcPr>
            <w:tcW w:w="802" w:type="dxa"/>
            <w:vAlign w:val="top"/>
          </w:tcPr>
          <w:p w14:paraId="402E3466">
            <w:pPr>
              <w:spacing w:line="241" w:lineRule="auto"/>
              <w:rPr>
                <w:rFonts w:ascii="Arial"/>
                <w:color w:val="auto"/>
                <w:sz w:val="21"/>
              </w:rPr>
            </w:pPr>
          </w:p>
          <w:p w14:paraId="3BECBCA6">
            <w:pPr>
              <w:spacing w:line="241" w:lineRule="auto"/>
              <w:rPr>
                <w:rFonts w:ascii="Arial"/>
                <w:color w:val="auto"/>
                <w:sz w:val="21"/>
              </w:rPr>
            </w:pPr>
          </w:p>
          <w:p w14:paraId="6F57034E">
            <w:pPr>
              <w:spacing w:line="241" w:lineRule="auto"/>
              <w:rPr>
                <w:rFonts w:ascii="Arial"/>
                <w:color w:val="auto"/>
                <w:sz w:val="21"/>
              </w:rPr>
            </w:pPr>
          </w:p>
          <w:p w14:paraId="491524B2">
            <w:pPr>
              <w:spacing w:line="241" w:lineRule="auto"/>
              <w:rPr>
                <w:rFonts w:ascii="Arial"/>
                <w:color w:val="auto"/>
                <w:sz w:val="21"/>
              </w:rPr>
            </w:pPr>
          </w:p>
          <w:p w14:paraId="7BD09A83">
            <w:pPr>
              <w:spacing w:line="242" w:lineRule="auto"/>
              <w:rPr>
                <w:rFonts w:ascii="Arial"/>
                <w:color w:val="auto"/>
                <w:sz w:val="21"/>
              </w:rPr>
            </w:pPr>
          </w:p>
          <w:p w14:paraId="1F537752">
            <w:pPr>
              <w:spacing w:line="242" w:lineRule="auto"/>
              <w:rPr>
                <w:rFonts w:ascii="Arial"/>
                <w:color w:val="auto"/>
                <w:sz w:val="21"/>
              </w:rPr>
            </w:pPr>
          </w:p>
          <w:p w14:paraId="35AB0E4C">
            <w:pPr>
              <w:pStyle w:val="20"/>
              <w:spacing w:before="71" w:line="223" w:lineRule="auto"/>
              <w:ind w:left="207"/>
              <w:rPr>
                <w:color w:val="auto"/>
                <w:sz w:val="22"/>
                <w:szCs w:val="22"/>
              </w:rPr>
            </w:pPr>
            <w:r>
              <w:rPr>
                <w:color w:val="auto"/>
                <w:spacing w:val="-2"/>
                <w:sz w:val="22"/>
                <w:szCs w:val="22"/>
              </w:rPr>
              <w:t>5分</w:t>
            </w:r>
          </w:p>
        </w:tc>
      </w:tr>
      <w:tr w14:paraId="7E035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1" w:hRule="atLeast"/>
        </w:trPr>
        <w:tc>
          <w:tcPr>
            <w:tcW w:w="707" w:type="dxa"/>
            <w:vAlign w:val="top"/>
          </w:tcPr>
          <w:p w14:paraId="750AE602">
            <w:pPr>
              <w:spacing w:line="255" w:lineRule="auto"/>
              <w:rPr>
                <w:rFonts w:ascii="Arial"/>
                <w:color w:val="auto"/>
                <w:sz w:val="21"/>
              </w:rPr>
            </w:pPr>
          </w:p>
          <w:p w14:paraId="4EB50891">
            <w:pPr>
              <w:spacing w:line="255" w:lineRule="auto"/>
              <w:rPr>
                <w:rFonts w:ascii="Arial"/>
                <w:color w:val="auto"/>
                <w:sz w:val="21"/>
              </w:rPr>
            </w:pPr>
          </w:p>
          <w:p w14:paraId="1BAAEB38">
            <w:pPr>
              <w:spacing w:line="255" w:lineRule="auto"/>
              <w:rPr>
                <w:rFonts w:ascii="Arial"/>
                <w:color w:val="auto"/>
                <w:sz w:val="21"/>
              </w:rPr>
            </w:pPr>
          </w:p>
          <w:p w14:paraId="657AEF51">
            <w:pPr>
              <w:spacing w:line="255" w:lineRule="auto"/>
              <w:rPr>
                <w:rFonts w:ascii="Arial"/>
                <w:color w:val="auto"/>
                <w:sz w:val="21"/>
              </w:rPr>
            </w:pPr>
          </w:p>
          <w:p w14:paraId="7486178E">
            <w:pPr>
              <w:spacing w:line="255" w:lineRule="auto"/>
              <w:rPr>
                <w:rFonts w:ascii="Arial"/>
                <w:color w:val="auto"/>
                <w:sz w:val="21"/>
              </w:rPr>
            </w:pPr>
          </w:p>
          <w:p w14:paraId="2D208461">
            <w:pPr>
              <w:spacing w:line="255" w:lineRule="auto"/>
              <w:rPr>
                <w:rFonts w:ascii="Arial"/>
                <w:color w:val="auto"/>
                <w:sz w:val="21"/>
              </w:rPr>
            </w:pPr>
          </w:p>
          <w:p w14:paraId="2D4DEA78">
            <w:pPr>
              <w:pStyle w:val="20"/>
              <w:spacing w:before="71" w:line="182" w:lineRule="auto"/>
              <w:ind w:left="300"/>
              <w:rPr>
                <w:color w:val="auto"/>
                <w:sz w:val="22"/>
                <w:szCs w:val="22"/>
              </w:rPr>
            </w:pPr>
            <w:r>
              <w:rPr>
                <w:color w:val="auto"/>
                <w:sz w:val="22"/>
                <w:szCs w:val="22"/>
              </w:rPr>
              <w:t>5</w:t>
            </w:r>
          </w:p>
        </w:tc>
        <w:tc>
          <w:tcPr>
            <w:tcW w:w="1449" w:type="dxa"/>
            <w:vAlign w:val="top"/>
          </w:tcPr>
          <w:p w14:paraId="36CA46D8">
            <w:pPr>
              <w:spacing w:line="264" w:lineRule="auto"/>
              <w:rPr>
                <w:rFonts w:ascii="Arial"/>
                <w:color w:val="auto"/>
                <w:sz w:val="21"/>
              </w:rPr>
            </w:pPr>
          </w:p>
          <w:p w14:paraId="7DF85FF9">
            <w:pPr>
              <w:spacing w:line="265" w:lineRule="auto"/>
              <w:rPr>
                <w:rFonts w:ascii="Arial"/>
                <w:color w:val="auto"/>
                <w:sz w:val="21"/>
              </w:rPr>
            </w:pPr>
          </w:p>
          <w:p w14:paraId="7B202751">
            <w:pPr>
              <w:spacing w:line="265" w:lineRule="auto"/>
              <w:rPr>
                <w:rFonts w:ascii="Arial"/>
                <w:color w:val="auto"/>
                <w:sz w:val="21"/>
              </w:rPr>
            </w:pPr>
          </w:p>
          <w:p w14:paraId="0A89D54B">
            <w:pPr>
              <w:spacing w:line="265" w:lineRule="auto"/>
              <w:rPr>
                <w:rFonts w:ascii="Arial"/>
                <w:color w:val="auto"/>
                <w:sz w:val="21"/>
              </w:rPr>
            </w:pPr>
          </w:p>
          <w:p w14:paraId="64BC4958">
            <w:pPr>
              <w:spacing w:line="265" w:lineRule="auto"/>
              <w:rPr>
                <w:rFonts w:ascii="Arial"/>
                <w:color w:val="auto"/>
                <w:sz w:val="21"/>
              </w:rPr>
            </w:pPr>
          </w:p>
          <w:p w14:paraId="14AEFBBC">
            <w:pPr>
              <w:pStyle w:val="20"/>
              <w:spacing w:before="71" w:line="256" w:lineRule="auto"/>
              <w:ind w:left="283" w:right="169" w:hanging="111"/>
              <w:rPr>
                <w:color w:val="auto"/>
                <w:sz w:val="22"/>
                <w:szCs w:val="22"/>
              </w:rPr>
            </w:pPr>
            <w:r>
              <w:rPr>
                <w:color w:val="auto"/>
                <w:sz w:val="22"/>
                <w:szCs w:val="22"/>
              </w:rPr>
              <w:t>工程进度计划与措施</w:t>
            </w:r>
          </w:p>
        </w:tc>
        <w:tc>
          <w:tcPr>
            <w:tcW w:w="6546" w:type="dxa"/>
            <w:vAlign w:val="top"/>
          </w:tcPr>
          <w:p w14:paraId="311D4CE2">
            <w:pPr>
              <w:pStyle w:val="20"/>
              <w:spacing w:before="34" w:line="235" w:lineRule="auto"/>
              <w:ind w:left="110" w:right="105" w:firstLine="2"/>
              <w:jc w:val="both"/>
              <w:rPr>
                <w:color w:val="auto"/>
                <w:sz w:val="22"/>
                <w:szCs w:val="22"/>
              </w:rPr>
            </w:pPr>
            <w:r>
              <w:rPr>
                <w:color w:val="auto"/>
                <w:spacing w:val="2"/>
                <w:sz w:val="22"/>
                <w:szCs w:val="22"/>
              </w:rPr>
              <w:t>工程进度计划与措施(10分)基本要求</w:t>
            </w:r>
            <w:r>
              <w:rPr>
                <w:color w:val="auto"/>
                <w:spacing w:val="1"/>
                <w:sz w:val="22"/>
                <w:szCs w:val="22"/>
              </w:rPr>
              <w:t>：工程进度计划符合采购文</w:t>
            </w:r>
            <w:r>
              <w:rPr>
                <w:color w:val="auto"/>
                <w:spacing w:val="2"/>
                <w:sz w:val="22"/>
                <w:szCs w:val="22"/>
              </w:rPr>
              <w:t>件要求，关键路径准确、清晰，逻辑关系正确，</w:t>
            </w:r>
            <w:r>
              <w:rPr>
                <w:color w:val="auto"/>
                <w:spacing w:val="1"/>
                <w:sz w:val="22"/>
                <w:szCs w:val="22"/>
              </w:rPr>
              <w:t>措施能有效保证</w:t>
            </w:r>
            <w:r>
              <w:rPr>
                <w:color w:val="auto"/>
                <w:spacing w:val="6"/>
                <w:sz w:val="22"/>
                <w:szCs w:val="22"/>
              </w:rPr>
              <w:t>计划的实施。磋商小组根据以下评分标准进行评审：</w:t>
            </w:r>
            <w:r>
              <w:rPr>
                <w:color w:val="auto"/>
                <w:spacing w:val="5"/>
                <w:sz w:val="22"/>
                <w:szCs w:val="22"/>
              </w:rPr>
              <w:t>《工程进度</w:t>
            </w:r>
            <w:r>
              <w:rPr>
                <w:color w:val="auto"/>
                <w:spacing w:val="1"/>
                <w:sz w:val="22"/>
                <w:szCs w:val="22"/>
              </w:rPr>
              <w:t>计划与措施》包括但不限于以下要素：</w:t>
            </w:r>
          </w:p>
          <w:p w14:paraId="5600799C">
            <w:pPr>
              <w:pStyle w:val="20"/>
              <w:spacing w:before="21" w:line="214" w:lineRule="auto"/>
              <w:ind w:left="112"/>
              <w:rPr>
                <w:color w:val="auto"/>
                <w:sz w:val="22"/>
                <w:szCs w:val="22"/>
              </w:rPr>
            </w:pPr>
            <w:r>
              <w:rPr>
                <w:color w:val="auto"/>
                <w:spacing w:val="2"/>
                <w:sz w:val="22"/>
                <w:szCs w:val="22"/>
              </w:rPr>
              <w:t>①供应商制定有针对本项目的工期进度计划；</w:t>
            </w:r>
          </w:p>
          <w:p w14:paraId="02339F6A">
            <w:pPr>
              <w:pStyle w:val="20"/>
              <w:spacing w:before="30" w:line="214" w:lineRule="auto"/>
              <w:ind w:left="112"/>
              <w:rPr>
                <w:color w:val="auto"/>
                <w:sz w:val="22"/>
                <w:szCs w:val="22"/>
              </w:rPr>
            </w:pPr>
            <w:r>
              <w:rPr>
                <w:color w:val="auto"/>
                <w:spacing w:val="2"/>
                <w:sz w:val="22"/>
                <w:szCs w:val="22"/>
              </w:rPr>
              <w:t>②供应商制定有针对本项目的施工进度网络</w:t>
            </w:r>
            <w:r>
              <w:rPr>
                <w:color w:val="auto"/>
                <w:spacing w:val="1"/>
                <w:sz w:val="22"/>
                <w:szCs w:val="22"/>
              </w:rPr>
              <w:t>图；</w:t>
            </w:r>
          </w:p>
          <w:p w14:paraId="160F0913">
            <w:pPr>
              <w:pStyle w:val="20"/>
              <w:spacing w:before="30"/>
              <w:ind w:left="112"/>
              <w:rPr>
                <w:color w:val="auto"/>
                <w:sz w:val="22"/>
                <w:szCs w:val="22"/>
              </w:rPr>
            </w:pPr>
            <w:r>
              <w:rPr>
                <w:color w:val="auto"/>
                <w:spacing w:val="2"/>
                <w:sz w:val="22"/>
                <w:szCs w:val="22"/>
              </w:rPr>
              <w:t>③供应商制定有针对本项目的工期进度保证措施；</w:t>
            </w:r>
          </w:p>
          <w:p w14:paraId="5113C338">
            <w:pPr>
              <w:pStyle w:val="20"/>
              <w:spacing w:line="213" w:lineRule="auto"/>
              <w:ind w:left="112"/>
              <w:rPr>
                <w:color w:val="auto"/>
                <w:sz w:val="22"/>
                <w:szCs w:val="22"/>
              </w:rPr>
            </w:pPr>
            <w:r>
              <w:rPr>
                <w:color w:val="auto"/>
                <w:spacing w:val="2"/>
                <w:sz w:val="22"/>
                <w:szCs w:val="22"/>
              </w:rPr>
              <w:t>④供应商制定有针对本项目的工期目标控制措施；</w:t>
            </w:r>
          </w:p>
          <w:p w14:paraId="73281485">
            <w:pPr>
              <w:pStyle w:val="20"/>
              <w:spacing w:before="28" w:line="221" w:lineRule="auto"/>
              <w:ind w:left="112"/>
              <w:rPr>
                <w:color w:val="auto"/>
                <w:sz w:val="22"/>
                <w:szCs w:val="22"/>
              </w:rPr>
            </w:pPr>
            <w:r>
              <w:rPr>
                <w:color w:val="auto"/>
                <w:spacing w:val="2"/>
                <w:sz w:val="22"/>
                <w:szCs w:val="22"/>
              </w:rPr>
              <w:t>⑤供应商制定有针对本项目的工期管理方案。</w:t>
            </w:r>
          </w:p>
          <w:p w14:paraId="7BBD2BC6">
            <w:pPr>
              <w:pStyle w:val="20"/>
              <w:spacing w:before="22" w:line="214" w:lineRule="auto"/>
              <w:ind w:left="112"/>
              <w:rPr>
                <w:color w:val="auto"/>
                <w:sz w:val="22"/>
                <w:szCs w:val="22"/>
              </w:rPr>
            </w:pPr>
            <w:r>
              <w:rPr>
                <w:color w:val="auto"/>
                <w:spacing w:val="2"/>
                <w:sz w:val="22"/>
                <w:szCs w:val="22"/>
              </w:rPr>
              <w:t>完全满足上述要求的得基本分10分，在基本分的基础上</w:t>
            </w:r>
          </w:p>
          <w:p w14:paraId="16FAA748">
            <w:pPr>
              <w:pStyle w:val="20"/>
              <w:spacing w:before="31" w:line="214" w:lineRule="auto"/>
              <w:ind w:left="115"/>
              <w:rPr>
                <w:color w:val="auto"/>
                <w:sz w:val="22"/>
                <w:szCs w:val="22"/>
              </w:rPr>
            </w:pPr>
            <w:r>
              <w:rPr>
                <w:color w:val="auto"/>
                <w:spacing w:val="1"/>
                <w:sz w:val="22"/>
                <w:szCs w:val="22"/>
              </w:rPr>
              <w:t>其中上述要素要求有一项不足扣1分，缺失的扣2分</w:t>
            </w:r>
            <w:r>
              <w:rPr>
                <w:color w:val="auto"/>
                <w:sz w:val="22"/>
                <w:szCs w:val="22"/>
              </w:rPr>
              <w:t>，扣完为</w:t>
            </w:r>
            <w:r>
              <w:rPr>
                <w:color w:val="auto"/>
                <w:spacing w:val="-6"/>
                <w:sz w:val="22"/>
                <w:szCs w:val="22"/>
              </w:rPr>
              <w:t>止。</w:t>
            </w:r>
          </w:p>
        </w:tc>
        <w:tc>
          <w:tcPr>
            <w:tcW w:w="802" w:type="dxa"/>
            <w:vAlign w:val="top"/>
          </w:tcPr>
          <w:p w14:paraId="11CAA032">
            <w:pPr>
              <w:spacing w:line="248" w:lineRule="auto"/>
              <w:rPr>
                <w:rFonts w:ascii="Arial"/>
                <w:color w:val="auto"/>
                <w:sz w:val="21"/>
              </w:rPr>
            </w:pPr>
          </w:p>
          <w:p w14:paraId="425E897E">
            <w:pPr>
              <w:spacing w:line="249" w:lineRule="auto"/>
              <w:rPr>
                <w:rFonts w:ascii="Arial"/>
                <w:color w:val="auto"/>
                <w:sz w:val="21"/>
              </w:rPr>
            </w:pPr>
          </w:p>
          <w:p w14:paraId="4AF9D805">
            <w:pPr>
              <w:spacing w:line="249" w:lineRule="auto"/>
              <w:rPr>
                <w:rFonts w:ascii="Arial"/>
                <w:color w:val="auto"/>
                <w:sz w:val="21"/>
              </w:rPr>
            </w:pPr>
          </w:p>
          <w:p w14:paraId="4C9202A0">
            <w:pPr>
              <w:spacing w:line="249" w:lineRule="auto"/>
              <w:rPr>
                <w:rFonts w:ascii="Arial"/>
                <w:color w:val="auto"/>
                <w:sz w:val="21"/>
              </w:rPr>
            </w:pPr>
          </w:p>
          <w:p w14:paraId="516463DF">
            <w:pPr>
              <w:spacing w:line="249" w:lineRule="auto"/>
              <w:rPr>
                <w:rFonts w:ascii="Arial"/>
                <w:color w:val="auto"/>
                <w:sz w:val="21"/>
              </w:rPr>
            </w:pPr>
          </w:p>
          <w:p w14:paraId="721C6E1A">
            <w:pPr>
              <w:spacing w:line="249" w:lineRule="auto"/>
              <w:rPr>
                <w:rFonts w:ascii="Arial"/>
                <w:color w:val="auto"/>
                <w:sz w:val="21"/>
              </w:rPr>
            </w:pPr>
          </w:p>
          <w:p w14:paraId="18A554BC">
            <w:pPr>
              <w:pStyle w:val="20"/>
              <w:spacing w:before="72" w:line="223" w:lineRule="auto"/>
              <w:ind w:left="168"/>
              <w:rPr>
                <w:color w:val="auto"/>
                <w:sz w:val="22"/>
                <w:szCs w:val="22"/>
              </w:rPr>
            </w:pPr>
            <w:r>
              <w:rPr>
                <w:color w:val="auto"/>
                <w:spacing w:val="-7"/>
                <w:sz w:val="22"/>
                <w:szCs w:val="22"/>
              </w:rPr>
              <w:t>10分</w:t>
            </w:r>
          </w:p>
        </w:tc>
      </w:tr>
    </w:tbl>
    <w:p w14:paraId="57B5E006">
      <w:pPr>
        <w:spacing w:before="67" w:line="223" w:lineRule="auto"/>
        <w:ind w:left="240"/>
        <w:rPr>
          <w:rFonts w:ascii="黑体" w:hAnsi="黑体" w:eastAsia="黑体" w:cs="黑体"/>
          <w:color w:val="auto"/>
          <w:sz w:val="24"/>
          <w:szCs w:val="24"/>
        </w:rPr>
      </w:pPr>
      <w:r>
        <w:rPr>
          <w:rFonts w:ascii="黑体" w:hAnsi="黑体" w:eastAsia="黑体" w:cs="黑体"/>
          <w:color w:val="auto"/>
          <w:spacing w:val="-4"/>
          <w:sz w:val="24"/>
          <w:szCs w:val="24"/>
          <w14:textOutline w14:w="4358" w14:cap="sq" w14:cmpd="sng">
            <w14:solidFill>
              <w14:srgbClr w14:val="000000"/>
            </w14:solidFill>
            <w14:prstDash w14:val="solid"/>
            <w14:bevel/>
          </w14:textOutline>
        </w:rPr>
        <w:t>附表四：</w:t>
      </w:r>
    </w:p>
    <w:p w14:paraId="0FF1B77A">
      <w:pPr>
        <w:spacing w:before="84" w:line="221" w:lineRule="auto"/>
        <w:ind w:left="4092"/>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商务评审表</w:t>
      </w:r>
    </w:p>
    <w:p w14:paraId="6098F38E">
      <w:pPr>
        <w:spacing w:line="20" w:lineRule="exact"/>
        <w:rPr>
          <w:color w:val="auto"/>
        </w:rPr>
      </w:pPr>
    </w:p>
    <w:tbl>
      <w:tblPr>
        <w:tblStyle w:val="19"/>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450"/>
        <w:gridCol w:w="6544"/>
        <w:gridCol w:w="802"/>
      </w:tblGrid>
      <w:tr w14:paraId="3FB2C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8" w:type="dxa"/>
            <w:vAlign w:val="top"/>
          </w:tcPr>
          <w:p w14:paraId="4ED08CF9">
            <w:pPr>
              <w:pStyle w:val="20"/>
              <w:spacing w:before="80" w:line="224" w:lineRule="auto"/>
              <w:ind w:left="137"/>
              <w:rPr>
                <w:color w:val="auto"/>
                <w:sz w:val="22"/>
                <w:szCs w:val="22"/>
              </w:rPr>
            </w:pPr>
            <w:r>
              <w:rPr>
                <w:color w:val="auto"/>
                <w:spacing w:val="-3"/>
                <w:sz w:val="22"/>
                <w:szCs w:val="22"/>
                <w14:textOutline w14:w="4013" w14:cap="sq" w14:cmpd="sng">
                  <w14:solidFill>
                    <w14:srgbClr w14:val="000000"/>
                  </w14:solidFill>
                  <w14:prstDash w14:val="solid"/>
                  <w14:bevel/>
                </w14:textOutline>
              </w:rPr>
              <w:t>序号</w:t>
            </w:r>
          </w:p>
        </w:tc>
        <w:tc>
          <w:tcPr>
            <w:tcW w:w="7994" w:type="dxa"/>
            <w:gridSpan w:val="2"/>
            <w:vAlign w:val="top"/>
          </w:tcPr>
          <w:p w14:paraId="10B9DCE1">
            <w:pPr>
              <w:pStyle w:val="20"/>
              <w:spacing w:before="81" w:line="222" w:lineRule="auto"/>
              <w:ind w:left="3556"/>
              <w:rPr>
                <w:color w:val="auto"/>
                <w:sz w:val="22"/>
                <w:szCs w:val="22"/>
              </w:rPr>
            </w:pPr>
            <w:r>
              <w:rPr>
                <w:color w:val="auto"/>
                <w:sz w:val="22"/>
                <w:szCs w:val="22"/>
                <w14:textOutline w14:w="4013" w14:cap="sq" w14:cmpd="sng">
                  <w14:solidFill>
                    <w14:srgbClr w14:val="000000"/>
                  </w14:solidFill>
                  <w14:prstDash w14:val="solid"/>
                  <w14:bevel/>
                </w14:textOutline>
              </w:rPr>
              <w:t>评审内容</w:t>
            </w:r>
          </w:p>
        </w:tc>
        <w:tc>
          <w:tcPr>
            <w:tcW w:w="802" w:type="dxa"/>
            <w:vAlign w:val="top"/>
          </w:tcPr>
          <w:p w14:paraId="22A6B12B">
            <w:pPr>
              <w:pStyle w:val="20"/>
              <w:spacing w:before="81" w:line="223" w:lineRule="auto"/>
              <w:ind w:left="188"/>
              <w:rPr>
                <w:color w:val="auto"/>
                <w:sz w:val="22"/>
                <w:szCs w:val="22"/>
              </w:rPr>
            </w:pPr>
            <w:r>
              <w:rPr>
                <w:color w:val="auto"/>
                <w:spacing w:val="-5"/>
                <w:sz w:val="22"/>
                <w:szCs w:val="22"/>
                <w14:textOutline w14:w="4013" w14:cap="sq" w14:cmpd="sng">
                  <w14:solidFill>
                    <w14:srgbClr w14:val="000000"/>
                  </w14:solidFill>
                  <w14:prstDash w14:val="solid"/>
                  <w14:bevel/>
                </w14:textOutline>
              </w:rPr>
              <w:t>分值</w:t>
            </w:r>
          </w:p>
        </w:tc>
      </w:tr>
      <w:tr w14:paraId="59A1B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08" w:type="dxa"/>
            <w:vAlign w:val="top"/>
          </w:tcPr>
          <w:p w14:paraId="14455D2C">
            <w:pPr>
              <w:spacing w:line="265" w:lineRule="auto"/>
              <w:rPr>
                <w:rFonts w:ascii="Arial"/>
                <w:color w:val="auto"/>
                <w:sz w:val="21"/>
              </w:rPr>
            </w:pPr>
          </w:p>
          <w:p w14:paraId="51200780">
            <w:pPr>
              <w:pStyle w:val="20"/>
              <w:spacing w:before="71" w:line="184" w:lineRule="auto"/>
              <w:ind w:left="316"/>
              <w:rPr>
                <w:color w:val="auto"/>
                <w:sz w:val="22"/>
                <w:szCs w:val="22"/>
              </w:rPr>
            </w:pPr>
            <w:r>
              <w:rPr>
                <w:color w:val="auto"/>
                <w:sz w:val="22"/>
                <w:szCs w:val="22"/>
              </w:rPr>
              <w:t>1</w:t>
            </w:r>
          </w:p>
        </w:tc>
        <w:tc>
          <w:tcPr>
            <w:tcW w:w="1450" w:type="dxa"/>
            <w:vAlign w:val="top"/>
          </w:tcPr>
          <w:p w14:paraId="14670ACB">
            <w:pPr>
              <w:spacing w:line="400" w:lineRule="auto"/>
              <w:rPr>
                <w:rFonts w:ascii="Arial"/>
                <w:color w:val="auto"/>
                <w:sz w:val="21"/>
              </w:rPr>
            </w:pPr>
          </w:p>
          <w:p w14:paraId="1EAF63D0">
            <w:pPr>
              <w:pStyle w:val="20"/>
              <w:spacing w:before="72" w:line="222" w:lineRule="auto"/>
              <w:ind w:left="282"/>
              <w:rPr>
                <w:rFonts w:hint="default" w:eastAsia="黑体"/>
                <w:color w:val="auto"/>
                <w:sz w:val="22"/>
                <w:szCs w:val="22"/>
                <w:lang w:val="en-US" w:eastAsia="zh-CN"/>
              </w:rPr>
            </w:pPr>
            <w:r>
              <w:rPr>
                <w:rFonts w:hint="eastAsia"/>
                <w:color w:val="auto"/>
                <w:sz w:val="22"/>
                <w:szCs w:val="22"/>
                <w:lang w:val="en-US" w:eastAsia="zh-CN"/>
              </w:rPr>
              <w:t>企业业绩</w:t>
            </w:r>
          </w:p>
        </w:tc>
        <w:tc>
          <w:tcPr>
            <w:tcW w:w="6544" w:type="dxa"/>
            <w:vAlign w:val="top"/>
          </w:tcPr>
          <w:p w14:paraId="4874CA9A">
            <w:pPr>
              <w:pStyle w:val="20"/>
              <w:spacing w:before="130" w:line="214" w:lineRule="auto"/>
              <w:ind w:left="112"/>
              <w:rPr>
                <w:color w:val="auto"/>
                <w:sz w:val="22"/>
                <w:szCs w:val="22"/>
              </w:rPr>
            </w:pPr>
            <w:bookmarkStart w:id="27" w:name="OLE_LINK23"/>
            <w:r>
              <w:rPr>
                <w:color w:val="auto"/>
                <w:spacing w:val="1"/>
                <w:sz w:val="22"/>
                <w:szCs w:val="22"/>
                <w:highlight w:val="none"/>
              </w:rPr>
              <w:t>供应商近</w:t>
            </w:r>
            <w:r>
              <w:rPr>
                <w:rFonts w:hint="eastAsia"/>
                <w:color w:val="auto"/>
                <w:spacing w:val="1"/>
                <w:sz w:val="22"/>
                <w:szCs w:val="22"/>
                <w:highlight w:val="none"/>
                <w:lang w:val="en-US" w:eastAsia="zh-CN"/>
              </w:rPr>
              <w:t>三</w:t>
            </w:r>
            <w:r>
              <w:rPr>
                <w:color w:val="auto"/>
                <w:spacing w:val="1"/>
                <w:sz w:val="22"/>
                <w:szCs w:val="22"/>
                <w:highlight w:val="none"/>
              </w:rPr>
              <w:t>年</w:t>
            </w:r>
            <w:r>
              <w:rPr>
                <w:rFonts w:hint="eastAsia"/>
                <w:color w:val="auto"/>
                <w:spacing w:val="1"/>
                <w:sz w:val="22"/>
                <w:szCs w:val="22"/>
                <w:highlight w:val="none"/>
                <w:lang w:val="en-US" w:eastAsia="zh-CN"/>
              </w:rPr>
              <w:t>同类业绩表</w:t>
            </w:r>
            <w:r>
              <w:rPr>
                <w:color w:val="auto"/>
                <w:spacing w:val="1"/>
                <w:sz w:val="22"/>
                <w:szCs w:val="22"/>
                <w:highlight w:val="none"/>
              </w:rPr>
              <w:t>（</w:t>
            </w:r>
            <w:r>
              <w:rPr>
                <w:color w:val="auto"/>
                <w:spacing w:val="1"/>
                <w:sz w:val="22"/>
                <w:szCs w:val="22"/>
              </w:rPr>
              <w:t>从投标截止日往前推算</w:t>
            </w:r>
            <w:r>
              <w:rPr>
                <w:rFonts w:hint="eastAsia"/>
                <w:color w:val="auto"/>
                <w:spacing w:val="1"/>
                <w:sz w:val="22"/>
                <w:szCs w:val="22"/>
                <w:lang w:val="en-US" w:eastAsia="zh-CN"/>
              </w:rPr>
              <w:t>即2022年1月1日至今</w:t>
            </w:r>
            <w:r>
              <w:rPr>
                <w:color w:val="auto"/>
                <w:spacing w:val="1"/>
                <w:sz w:val="22"/>
                <w:szCs w:val="22"/>
              </w:rPr>
              <w:t>，以合同签订日期为准）</w:t>
            </w:r>
          </w:p>
          <w:p w14:paraId="0296B75D">
            <w:pPr>
              <w:pStyle w:val="20"/>
              <w:spacing w:before="85" w:line="255" w:lineRule="auto"/>
              <w:ind w:left="113" w:right="105" w:firstLine="4"/>
              <w:rPr>
                <w:color w:val="auto"/>
                <w:sz w:val="22"/>
                <w:szCs w:val="22"/>
              </w:rPr>
            </w:pPr>
            <w:r>
              <w:rPr>
                <w:color w:val="auto"/>
                <w:spacing w:val="1"/>
                <w:sz w:val="22"/>
                <w:szCs w:val="22"/>
                <w:highlight w:val="none"/>
              </w:rPr>
              <w:t>具有一个已完成类似项目业绩的得</w:t>
            </w:r>
            <w:r>
              <w:rPr>
                <w:rFonts w:hint="eastAsia"/>
                <w:color w:val="auto"/>
                <w:spacing w:val="1"/>
                <w:sz w:val="22"/>
                <w:szCs w:val="22"/>
                <w:highlight w:val="none"/>
                <w:lang w:val="en-US" w:eastAsia="zh-CN"/>
              </w:rPr>
              <w:t>2</w:t>
            </w:r>
            <w:r>
              <w:rPr>
                <w:color w:val="auto"/>
                <w:spacing w:val="1"/>
                <w:sz w:val="22"/>
                <w:szCs w:val="22"/>
                <w:highlight w:val="none"/>
              </w:rPr>
              <w:t>分，最</w:t>
            </w:r>
            <w:r>
              <w:rPr>
                <w:color w:val="auto"/>
                <w:sz w:val="22"/>
                <w:szCs w:val="22"/>
                <w:highlight w:val="none"/>
              </w:rPr>
              <w:t>多得</w:t>
            </w:r>
            <w:r>
              <w:rPr>
                <w:rFonts w:hint="eastAsia"/>
                <w:color w:val="auto"/>
                <w:sz w:val="22"/>
                <w:szCs w:val="22"/>
                <w:highlight w:val="none"/>
                <w:lang w:val="en-US" w:eastAsia="zh-CN"/>
              </w:rPr>
              <w:t>6</w:t>
            </w:r>
            <w:r>
              <w:rPr>
                <w:color w:val="auto"/>
                <w:sz w:val="22"/>
                <w:szCs w:val="22"/>
                <w:highlight w:val="none"/>
              </w:rPr>
              <w:t>分。（提供施</w:t>
            </w:r>
            <w:r>
              <w:rPr>
                <w:color w:val="auto"/>
                <w:spacing w:val="1"/>
                <w:sz w:val="22"/>
                <w:szCs w:val="22"/>
                <w:highlight w:val="none"/>
              </w:rPr>
              <w:t>工合同</w:t>
            </w:r>
            <w:r>
              <w:rPr>
                <w:rFonts w:hint="eastAsia"/>
                <w:color w:val="auto"/>
                <w:spacing w:val="1"/>
                <w:sz w:val="22"/>
                <w:szCs w:val="22"/>
                <w:highlight w:val="none"/>
                <w:lang w:eastAsia="zh-CN"/>
              </w:rPr>
              <w:t>、</w:t>
            </w:r>
            <w:r>
              <w:rPr>
                <w:rFonts w:hint="eastAsia"/>
                <w:color w:val="auto"/>
                <w:spacing w:val="1"/>
                <w:sz w:val="22"/>
                <w:szCs w:val="22"/>
                <w:highlight w:val="none"/>
                <w:lang w:val="en-US" w:eastAsia="zh-CN"/>
              </w:rPr>
              <w:t>中标通知书</w:t>
            </w:r>
            <w:r>
              <w:rPr>
                <w:color w:val="auto"/>
                <w:spacing w:val="1"/>
                <w:sz w:val="22"/>
                <w:szCs w:val="22"/>
                <w:highlight w:val="none"/>
              </w:rPr>
              <w:t>和竣工验收报告</w:t>
            </w:r>
            <w:r>
              <w:rPr>
                <w:color w:val="auto"/>
                <w:spacing w:val="1"/>
                <w:sz w:val="22"/>
                <w:szCs w:val="22"/>
              </w:rPr>
              <w:t>）</w:t>
            </w:r>
            <w:bookmarkEnd w:id="27"/>
          </w:p>
        </w:tc>
        <w:tc>
          <w:tcPr>
            <w:tcW w:w="802" w:type="dxa"/>
            <w:vAlign w:val="top"/>
          </w:tcPr>
          <w:p w14:paraId="0E20E49A">
            <w:pPr>
              <w:spacing w:line="400" w:lineRule="auto"/>
              <w:rPr>
                <w:rFonts w:ascii="Arial"/>
                <w:color w:val="auto"/>
                <w:sz w:val="21"/>
              </w:rPr>
            </w:pPr>
          </w:p>
          <w:p w14:paraId="143B717B">
            <w:pPr>
              <w:pStyle w:val="20"/>
              <w:spacing w:before="72" w:line="223" w:lineRule="auto"/>
              <w:ind w:left="211"/>
              <w:rPr>
                <w:color w:val="auto"/>
                <w:sz w:val="22"/>
                <w:szCs w:val="22"/>
              </w:rPr>
            </w:pPr>
            <w:r>
              <w:rPr>
                <w:rFonts w:hint="eastAsia"/>
                <w:color w:val="auto"/>
                <w:spacing w:val="-4"/>
                <w:sz w:val="22"/>
                <w:szCs w:val="22"/>
                <w:lang w:val="en-US" w:eastAsia="zh-CN"/>
              </w:rPr>
              <w:t>6</w:t>
            </w:r>
            <w:r>
              <w:rPr>
                <w:color w:val="auto"/>
                <w:spacing w:val="-4"/>
                <w:sz w:val="22"/>
                <w:szCs w:val="22"/>
              </w:rPr>
              <w:t>分</w:t>
            </w:r>
          </w:p>
        </w:tc>
      </w:tr>
      <w:tr w14:paraId="631B8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708" w:type="dxa"/>
            <w:vAlign w:val="top"/>
          </w:tcPr>
          <w:p w14:paraId="7EC45190">
            <w:pPr>
              <w:spacing w:line="280" w:lineRule="auto"/>
              <w:rPr>
                <w:rFonts w:ascii="Arial"/>
                <w:color w:val="auto"/>
                <w:sz w:val="21"/>
              </w:rPr>
            </w:pPr>
          </w:p>
          <w:p w14:paraId="28E4F473">
            <w:pPr>
              <w:spacing w:line="281" w:lineRule="auto"/>
              <w:rPr>
                <w:rFonts w:ascii="Arial"/>
                <w:color w:val="auto"/>
                <w:sz w:val="21"/>
              </w:rPr>
            </w:pPr>
          </w:p>
          <w:p w14:paraId="125A44EC">
            <w:pPr>
              <w:spacing w:line="281" w:lineRule="auto"/>
              <w:rPr>
                <w:rFonts w:ascii="Arial"/>
                <w:color w:val="auto"/>
                <w:sz w:val="21"/>
              </w:rPr>
            </w:pPr>
          </w:p>
          <w:p w14:paraId="0808D355">
            <w:pPr>
              <w:pStyle w:val="20"/>
              <w:spacing w:before="72" w:line="186" w:lineRule="auto"/>
              <w:ind w:left="303"/>
              <w:rPr>
                <w:color w:val="auto"/>
                <w:sz w:val="22"/>
                <w:szCs w:val="22"/>
              </w:rPr>
            </w:pPr>
            <w:r>
              <w:rPr>
                <w:color w:val="auto"/>
                <w:sz w:val="22"/>
                <w:szCs w:val="22"/>
              </w:rPr>
              <w:t>2</w:t>
            </w:r>
          </w:p>
        </w:tc>
        <w:tc>
          <w:tcPr>
            <w:tcW w:w="1450" w:type="dxa"/>
            <w:vAlign w:val="top"/>
          </w:tcPr>
          <w:p w14:paraId="7234B49A">
            <w:pPr>
              <w:spacing w:line="270" w:lineRule="auto"/>
              <w:rPr>
                <w:rFonts w:ascii="Arial"/>
                <w:color w:val="auto"/>
                <w:sz w:val="21"/>
              </w:rPr>
            </w:pPr>
          </w:p>
          <w:p w14:paraId="515110C6">
            <w:pPr>
              <w:spacing w:line="270" w:lineRule="auto"/>
              <w:rPr>
                <w:rFonts w:ascii="Arial"/>
                <w:color w:val="auto"/>
                <w:sz w:val="21"/>
              </w:rPr>
            </w:pPr>
          </w:p>
          <w:p w14:paraId="611FEDD2">
            <w:pPr>
              <w:spacing w:line="270" w:lineRule="auto"/>
              <w:rPr>
                <w:rFonts w:ascii="Arial"/>
                <w:color w:val="auto"/>
                <w:sz w:val="21"/>
              </w:rPr>
            </w:pPr>
          </w:p>
          <w:p w14:paraId="30FD0E7C">
            <w:pPr>
              <w:pStyle w:val="20"/>
              <w:spacing w:before="71" w:line="222" w:lineRule="auto"/>
              <w:ind w:left="287"/>
              <w:rPr>
                <w:color w:val="auto"/>
                <w:sz w:val="22"/>
                <w:szCs w:val="22"/>
              </w:rPr>
            </w:pPr>
            <w:r>
              <w:rPr>
                <w:color w:val="auto"/>
                <w:spacing w:val="-1"/>
                <w:sz w:val="22"/>
                <w:szCs w:val="22"/>
              </w:rPr>
              <w:t>人员配备</w:t>
            </w:r>
          </w:p>
        </w:tc>
        <w:tc>
          <w:tcPr>
            <w:tcW w:w="6544" w:type="dxa"/>
            <w:vAlign w:val="top"/>
          </w:tcPr>
          <w:p w14:paraId="4FEB9ED2">
            <w:pPr>
              <w:pStyle w:val="20"/>
              <w:spacing w:before="87" w:line="255" w:lineRule="auto"/>
              <w:ind w:left="115" w:right="204"/>
              <w:rPr>
                <w:rFonts w:hint="eastAsia"/>
                <w:color w:val="auto"/>
                <w:spacing w:val="1"/>
                <w:sz w:val="22"/>
                <w:szCs w:val="22"/>
                <w:highlight w:val="none"/>
              </w:rPr>
            </w:pPr>
            <w:bookmarkStart w:id="28" w:name="OLE_LINK24"/>
            <w:r>
              <w:rPr>
                <w:rFonts w:hint="eastAsia"/>
                <w:color w:val="auto"/>
                <w:spacing w:val="1"/>
                <w:sz w:val="22"/>
                <w:szCs w:val="22"/>
                <w:highlight w:val="none"/>
              </w:rPr>
              <w:t>针对本项目拟派项目班子成员，（包括项目经理、技术负责人、施工员、安全员、质量员、资料员、材料员、预算员岗位），人员配备齐全合理，满足需要得4分；</w:t>
            </w:r>
          </w:p>
          <w:p w14:paraId="7CBE8A08">
            <w:pPr>
              <w:pStyle w:val="20"/>
              <w:spacing w:before="87" w:line="255" w:lineRule="auto"/>
              <w:ind w:left="115" w:right="204"/>
              <w:rPr>
                <w:rFonts w:hint="eastAsia" w:eastAsia="黑体"/>
                <w:color w:val="auto"/>
                <w:sz w:val="22"/>
                <w:szCs w:val="22"/>
                <w:highlight w:val="none"/>
                <w:lang w:eastAsia="zh-CN"/>
              </w:rPr>
            </w:pPr>
            <w:r>
              <w:rPr>
                <w:rFonts w:hint="eastAsia"/>
                <w:color w:val="auto"/>
                <w:spacing w:val="1"/>
                <w:sz w:val="22"/>
                <w:szCs w:val="22"/>
                <w:highlight w:val="none"/>
              </w:rPr>
              <w:t>缺一人扣0.5分。</w:t>
            </w:r>
            <w:r>
              <w:rPr>
                <w:color w:val="auto"/>
                <w:spacing w:val="1"/>
                <w:sz w:val="22"/>
                <w:szCs w:val="22"/>
                <w:highlight w:val="none"/>
              </w:rPr>
              <w:t>注：提供的人员必须提供近3个月本单位的缴纳社保证明</w:t>
            </w:r>
            <w:r>
              <w:rPr>
                <w:rFonts w:hint="eastAsia"/>
                <w:color w:val="auto"/>
                <w:spacing w:val="1"/>
                <w:sz w:val="22"/>
                <w:szCs w:val="22"/>
                <w:highlight w:val="none"/>
                <w:lang w:eastAsia="zh-CN"/>
              </w:rPr>
              <w:t>、</w:t>
            </w:r>
            <w:r>
              <w:rPr>
                <w:rFonts w:hint="eastAsia"/>
                <w:color w:val="auto"/>
                <w:spacing w:val="1"/>
                <w:sz w:val="22"/>
                <w:szCs w:val="22"/>
                <w:highlight w:val="none"/>
                <w:lang w:val="en-US" w:eastAsia="zh-CN"/>
              </w:rPr>
              <w:t>相关岗位证书</w:t>
            </w:r>
            <w:r>
              <w:rPr>
                <w:color w:val="auto"/>
                <w:spacing w:val="1"/>
                <w:sz w:val="22"/>
                <w:szCs w:val="22"/>
                <w:highlight w:val="none"/>
              </w:rPr>
              <w:t>否则</w:t>
            </w:r>
            <w:r>
              <w:rPr>
                <w:color w:val="auto"/>
                <w:spacing w:val="3"/>
                <w:sz w:val="22"/>
                <w:szCs w:val="22"/>
                <w:highlight w:val="none"/>
              </w:rPr>
              <w:t>不计分</w:t>
            </w:r>
            <w:bookmarkEnd w:id="28"/>
            <w:r>
              <w:rPr>
                <w:rFonts w:hint="eastAsia"/>
                <w:color w:val="auto"/>
                <w:spacing w:val="3"/>
                <w:sz w:val="22"/>
                <w:szCs w:val="22"/>
                <w:highlight w:val="none"/>
                <w:lang w:eastAsia="zh-CN"/>
              </w:rPr>
              <w:t>。</w:t>
            </w:r>
          </w:p>
        </w:tc>
        <w:tc>
          <w:tcPr>
            <w:tcW w:w="802" w:type="dxa"/>
            <w:vAlign w:val="top"/>
          </w:tcPr>
          <w:p w14:paraId="7940E90F">
            <w:pPr>
              <w:spacing w:line="270" w:lineRule="auto"/>
              <w:rPr>
                <w:rFonts w:ascii="Arial"/>
                <w:color w:val="auto"/>
                <w:sz w:val="21"/>
              </w:rPr>
            </w:pPr>
          </w:p>
          <w:p w14:paraId="70C59CD2">
            <w:pPr>
              <w:spacing w:line="270" w:lineRule="auto"/>
              <w:rPr>
                <w:rFonts w:ascii="Arial"/>
                <w:color w:val="auto"/>
                <w:sz w:val="21"/>
              </w:rPr>
            </w:pPr>
          </w:p>
          <w:p w14:paraId="7DE1D591">
            <w:pPr>
              <w:spacing w:line="270" w:lineRule="auto"/>
              <w:rPr>
                <w:rFonts w:ascii="Arial"/>
                <w:color w:val="auto"/>
                <w:sz w:val="21"/>
              </w:rPr>
            </w:pPr>
          </w:p>
          <w:p w14:paraId="00EB6DE3">
            <w:pPr>
              <w:pStyle w:val="20"/>
              <w:spacing w:before="72" w:line="223" w:lineRule="auto"/>
              <w:ind w:left="211"/>
              <w:rPr>
                <w:color w:val="auto"/>
                <w:sz w:val="22"/>
                <w:szCs w:val="22"/>
              </w:rPr>
            </w:pPr>
            <w:r>
              <w:rPr>
                <w:rFonts w:hint="eastAsia"/>
                <w:color w:val="auto"/>
                <w:spacing w:val="-4"/>
                <w:sz w:val="22"/>
                <w:szCs w:val="22"/>
                <w:lang w:val="en-US" w:eastAsia="zh-CN"/>
              </w:rPr>
              <w:t>4</w:t>
            </w:r>
            <w:r>
              <w:rPr>
                <w:color w:val="auto"/>
                <w:spacing w:val="-4"/>
                <w:sz w:val="22"/>
                <w:szCs w:val="22"/>
              </w:rPr>
              <w:t>分</w:t>
            </w:r>
          </w:p>
        </w:tc>
      </w:tr>
      <w:tr w14:paraId="0989F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08" w:type="dxa"/>
            <w:vAlign w:val="top"/>
          </w:tcPr>
          <w:p w14:paraId="69AAA9C5">
            <w:pPr>
              <w:pStyle w:val="20"/>
              <w:spacing w:before="72" w:line="186" w:lineRule="auto"/>
              <w:ind w:left="303"/>
              <w:rPr>
                <w:rFonts w:hint="eastAsia" w:ascii="黑体" w:hAnsi="黑体" w:eastAsia="黑体" w:cs="黑体"/>
                <w:snapToGrid w:val="0"/>
                <w:color w:val="auto"/>
                <w:kern w:val="0"/>
                <w:sz w:val="22"/>
                <w:szCs w:val="22"/>
                <w:lang w:val="en-US" w:eastAsia="zh-CN" w:bidi="ar-SA"/>
              </w:rPr>
            </w:pPr>
          </w:p>
          <w:p w14:paraId="65963105">
            <w:pPr>
              <w:pStyle w:val="20"/>
              <w:spacing w:before="72" w:line="186" w:lineRule="auto"/>
              <w:ind w:left="303"/>
              <w:rPr>
                <w:rFonts w:hint="default" w:ascii="黑体" w:hAnsi="黑体" w:eastAsia="黑体" w:cs="黑体"/>
                <w:snapToGrid w:val="0"/>
                <w:color w:val="auto"/>
                <w:kern w:val="0"/>
                <w:sz w:val="22"/>
                <w:szCs w:val="22"/>
                <w:lang w:val="en-US" w:eastAsia="zh-CN" w:bidi="ar-SA"/>
              </w:rPr>
            </w:pPr>
            <w:r>
              <w:rPr>
                <w:rFonts w:hint="eastAsia" w:cs="黑体"/>
                <w:snapToGrid w:val="0"/>
                <w:color w:val="auto"/>
                <w:kern w:val="0"/>
                <w:sz w:val="22"/>
                <w:szCs w:val="22"/>
                <w:lang w:val="en-US" w:eastAsia="zh-CN" w:bidi="ar-SA"/>
              </w:rPr>
              <w:t>3</w:t>
            </w:r>
          </w:p>
          <w:p w14:paraId="0DD6713F">
            <w:pPr>
              <w:pStyle w:val="20"/>
              <w:spacing w:before="72" w:line="186" w:lineRule="auto"/>
              <w:ind w:left="303"/>
              <w:rPr>
                <w:rFonts w:hint="eastAsia" w:ascii="Arial" w:eastAsia="宋体"/>
                <w:color w:val="auto"/>
                <w:sz w:val="21"/>
                <w:lang w:val="en-US" w:eastAsia="zh-CN"/>
              </w:rPr>
            </w:pPr>
          </w:p>
        </w:tc>
        <w:tc>
          <w:tcPr>
            <w:tcW w:w="1450" w:type="dxa"/>
            <w:vAlign w:val="top"/>
          </w:tcPr>
          <w:p w14:paraId="38D7E09C">
            <w:pPr>
              <w:spacing w:line="303" w:lineRule="auto"/>
              <w:rPr>
                <w:rFonts w:ascii="Arial"/>
                <w:color w:val="auto"/>
                <w:sz w:val="21"/>
              </w:rPr>
            </w:pPr>
          </w:p>
          <w:p w14:paraId="73419131">
            <w:pPr>
              <w:pStyle w:val="20"/>
              <w:spacing w:before="72" w:line="255" w:lineRule="auto"/>
              <w:ind w:left="393" w:right="168" w:hanging="211"/>
              <w:rPr>
                <w:rFonts w:hint="default" w:eastAsia="黑体"/>
                <w:color w:val="auto"/>
                <w:sz w:val="22"/>
                <w:szCs w:val="22"/>
                <w:lang w:val="en-US" w:eastAsia="zh-CN"/>
              </w:rPr>
            </w:pPr>
            <w:r>
              <w:rPr>
                <w:rFonts w:hint="eastAsia"/>
                <w:color w:val="auto"/>
                <w:spacing w:val="-2"/>
                <w:sz w:val="22"/>
                <w:szCs w:val="22"/>
                <w:lang w:val="en-US" w:eastAsia="zh-CN"/>
              </w:rPr>
              <w:t>项目团队</w:t>
            </w:r>
          </w:p>
        </w:tc>
        <w:tc>
          <w:tcPr>
            <w:tcW w:w="6544" w:type="dxa"/>
            <w:vAlign w:val="top"/>
          </w:tcPr>
          <w:p w14:paraId="41F610EE">
            <w:pPr>
              <w:pStyle w:val="20"/>
              <w:spacing w:before="34" w:line="271" w:lineRule="auto"/>
              <w:ind w:right="204"/>
              <w:jc w:val="both"/>
              <w:rPr>
                <w:rFonts w:hint="eastAsia"/>
                <w:color w:val="auto"/>
                <w:sz w:val="22"/>
                <w:szCs w:val="22"/>
                <w:highlight w:val="none"/>
              </w:rPr>
            </w:pPr>
            <w:bookmarkStart w:id="29" w:name="OLE_LINK25"/>
            <w:r>
              <w:rPr>
                <w:rFonts w:hint="eastAsia"/>
                <w:color w:val="auto"/>
                <w:sz w:val="22"/>
                <w:szCs w:val="22"/>
                <w:highlight w:val="none"/>
              </w:rPr>
              <w:t>项目团队中每增加一名工程师职称证书以上(含中级)或建造师资格证书的:得1分，最高得</w:t>
            </w:r>
            <w:r>
              <w:rPr>
                <w:rFonts w:hint="eastAsia"/>
                <w:color w:val="auto"/>
                <w:sz w:val="22"/>
                <w:szCs w:val="22"/>
                <w:highlight w:val="none"/>
                <w:lang w:val="en-US" w:eastAsia="zh-CN"/>
              </w:rPr>
              <w:t>2</w:t>
            </w:r>
            <w:r>
              <w:rPr>
                <w:rFonts w:hint="eastAsia"/>
                <w:color w:val="auto"/>
                <w:sz w:val="22"/>
                <w:szCs w:val="22"/>
                <w:highlight w:val="none"/>
              </w:rPr>
              <w:t>分</w:t>
            </w:r>
          </w:p>
          <w:p w14:paraId="47843CEE">
            <w:pPr>
              <w:pStyle w:val="20"/>
              <w:spacing w:before="34" w:line="271" w:lineRule="auto"/>
              <w:ind w:left="111" w:right="204"/>
              <w:jc w:val="both"/>
              <w:rPr>
                <w:color w:val="auto"/>
                <w:sz w:val="22"/>
                <w:szCs w:val="22"/>
                <w:highlight w:val="none"/>
              </w:rPr>
            </w:pPr>
            <w:r>
              <w:rPr>
                <w:rFonts w:hint="eastAsia"/>
                <w:color w:val="auto"/>
                <w:sz w:val="22"/>
                <w:szCs w:val="22"/>
                <w:highlight w:val="none"/>
              </w:rPr>
              <w:t>注:须提供近</w:t>
            </w:r>
            <w:r>
              <w:rPr>
                <w:rFonts w:hint="eastAsia"/>
                <w:color w:val="auto"/>
                <w:sz w:val="22"/>
                <w:szCs w:val="22"/>
                <w:highlight w:val="none"/>
                <w:lang w:val="en-US" w:eastAsia="zh-CN"/>
              </w:rPr>
              <w:t>3</w:t>
            </w:r>
            <w:r>
              <w:rPr>
                <w:rFonts w:hint="eastAsia"/>
                <w:color w:val="auto"/>
                <w:sz w:val="22"/>
                <w:szCs w:val="22"/>
                <w:highlight w:val="none"/>
              </w:rPr>
              <w:t>个月社保证明</w:t>
            </w:r>
            <w:r>
              <w:rPr>
                <w:rFonts w:hint="eastAsia"/>
                <w:color w:val="auto"/>
                <w:sz w:val="22"/>
                <w:szCs w:val="22"/>
                <w:highlight w:val="none"/>
                <w:lang w:eastAsia="zh-CN"/>
              </w:rPr>
              <w:t>、</w:t>
            </w:r>
            <w:r>
              <w:rPr>
                <w:rFonts w:hint="eastAsia"/>
                <w:color w:val="auto"/>
                <w:sz w:val="22"/>
                <w:szCs w:val="22"/>
                <w:highlight w:val="none"/>
                <w:lang w:val="en-US" w:eastAsia="zh-CN"/>
              </w:rPr>
              <w:t>职称证书或资格证书</w:t>
            </w:r>
            <w:r>
              <w:rPr>
                <w:rFonts w:hint="eastAsia"/>
                <w:color w:val="auto"/>
                <w:sz w:val="22"/>
                <w:szCs w:val="22"/>
                <w:highlight w:val="none"/>
              </w:rPr>
              <w:t>。</w:t>
            </w:r>
            <w:bookmarkEnd w:id="29"/>
          </w:p>
        </w:tc>
        <w:tc>
          <w:tcPr>
            <w:tcW w:w="802" w:type="dxa"/>
            <w:vAlign w:val="top"/>
          </w:tcPr>
          <w:p w14:paraId="50B07FCE">
            <w:pPr>
              <w:pStyle w:val="20"/>
              <w:spacing w:before="71" w:line="223" w:lineRule="auto"/>
              <w:ind w:left="212"/>
              <w:rPr>
                <w:rFonts w:hint="eastAsia"/>
                <w:color w:val="auto"/>
                <w:spacing w:val="-5"/>
                <w:sz w:val="22"/>
                <w:szCs w:val="22"/>
                <w:lang w:val="en-US" w:eastAsia="zh-CN"/>
              </w:rPr>
            </w:pPr>
          </w:p>
          <w:p w14:paraId="6D985809">
            <w:pPr>
              <w:pStyle w:val="20"/>
              <w:spacing w:before="71" w:line="223" w:lineRule="auto"/>
              <w:ind w:left="212"/>
              <w:rPr>
                <w:color w:val="auto"/>
                <w:sz w:val="22"/>
                <w:szCs w:val="22"/>
              </w:rPr>
            </w:pPr>
            <w:r>
              <w:rPr>
                <w:rFonts w:hint="eastAsia"/>
                <w:color w:val="auto"/>
                <w:spacing w:val="-5"/>
                <w:sz w:val="22"/>
                <w:szCs w:val="22"/>
                <w:lang w:val="en-US" w:eastAsia="zh-CN"/>
              </w:rPr>
              <w:t>2</w:t>
            </w:r>
            <w:r>
              <w:rPr>
                <w:color w:val="auto"/>
                <w:spacing w:val="-5"/>
                <w:sz w:val="22"/>
                <w:szCs w:val="22"/>
              </w:rPr>
              <w:t>分</w:t>
            </w:r>
          </w:p>
        </w:tc>
      </w:tr>
      <w:tr w14:paraId="74DBC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708" w:type="dxa"/>
            <w:vAlign w:val="top"/>
          </w:tcPr>
          <w:p w14:paraId="3EB052C5">
            <w:pPr>
              <w:pStyle w:val="20"/>
              <w:spacing w:before="72" w:line="186" w:lineRule="auto"/>
              <w:ind w:left="303"/>
              <w:rPr>
                <w:rFonts w:hint="eastAsia" w:eastAsia="宋体"/>
                <w:color w:val="auto"/>
                <w:sz w:val="21"/>
                <w:lang w:val="en-US" w:eastAsia="zh-CN"/>
              </w:rPr>
            </w:pPr>
          </w:p>
          <w:p w14:paraId="4AE3DF4E">
            <w:pPr>
              <w:pStyle w:val="20"/>
              <w:spacing w:before="72" w:line="186" w:lineRule="auto"/>
              <w:ind w:left="303"/>
              <w:rPr>
                <w:rFonts w:hint="eastAsia" w:eastAsia="宋体"/>
                <w:color w:val="auto"/>
                <w:sz w:val="21"/>
                <w:lang w:val="en-US" w:eastAsia="zh-CN"/>
              </w:rPr>
            </w:pPr>
          </w:p>
          <w:p w14:paraId="71554931">
            <w:pPr>
              <w:pStyle w:val="20"/>
              <w:spacing w:before="72" w:line="186" w:lineRule="auto"/>
              <w:ind w:left="303"/>
              <w:rPr>
                <w:rFonts w:hint="eastAsia" w:ascii="Arial" w:eastAsia="宋体"/>
                <w:color w:val="auto"/>
                <w:sz w:val="21"/>
                <w:lang w:val="en-US" w:eastAsia="zh-CN"/>
              </w:rPr>
            </w:pPr>
            <w:r>
              <w:rPr>
                <w:rFonts w:hint="eastAsia" w:eastAsia="宋体"/>
                <w:color w:val="auto"/>
                <w:sz w:val="21"/>
                <w:lang w:val="en-US" w:eastAsia="zh-CN"/>
              </w:rPr>
              <w:t>4</w:t>
            </w:r>
          </w:p>
        </w:tc>
        <w:tc>
          <w:tcPr>
            <w:tcW w:w="1450" w:type="dxa"/>
            <w:vAlign w:val="top"/>
          </w:tcPr>
          <w:p w14:paraId="095B36D5">
            <w:pPr>
              <w:pStyle w:val="20"/>
              <w:spacing w:before="72" w:line="255" w:lineRule="auto"/>
              <w:ind w:left="393" w:right="168" w:hanging="211"/>
              <w:rPr>
                <w:rFonts w:hint="eastAsia"/>
                <w:color w:val="auto"/>
                <w:spacing w:val="-2"/>
                <w:sz w:val="22"/>
                <w:szCs w:val="22"/>
              </w:rPr>
            </w:pPr>
          </w:p>
          <w:p w14:paraId="635A4F4A">
            <w:pPr>
              <w:pStyle w:val="20"/>
              <w:spacing w:before="34" w:line="271" w:lineRule="auto"/>
              <w:ind w:right="204" w:firstLine="220" w:firstLineChars="100"/>
              <w:jc w:val="both"/>
              <w:rPr>
                <w:rFonts w:hint="eastAsia"/>
                <w:color w:val="auto"/>
                <w:sz w:val="22"/>
                <w:szCs w:val="22"/>
                <w:highlight w:val="none"/>
                <w:lang w:val="en-US" w:eastAsia="zh-CN"/>
              </w:rPr>
            </w:pPr>
            <w:r>
              <w:rPr>
                <w:rFonts w:hint="eastAsia"/>
                <w:color w:val="auto"/>
                <w:sz w:val="22"/>
                <w:szCs w:val="22"/>
                <w:highlight w:val="none"/>
                <w:lang w:val="en-US" w:eastAsia="zh-CN"/>
              </w:rPr>
              <w:t>认证体系</w:t>
            </w:r>
          </w:p>
          <w:p w14:paraId="150F4443">
            <w:pPr>
              <w:pStyle w:val="20"/>
              <w:spacing w:before="72" w:line="255" w:lineRule="auto"/>
              <w:ind w:left="393" w:right="168" w:hanging="211"/>
              <w:rPr>
                <w:color w:val="auto"/>
                <w:spacing w:val="-2"/>
                <w:sz w:val="22"/>
                <w:szCs w:val="22"/>
              </w:rPr>
            </w:pPr>
          </w:p>
        </w:tc>
        <w:tc>
          <w:tcPr>
            <w:tcW w:w="6544" w:type="dxa"/>
            <w:vAlign w:val="top"/>
          </w:tcPr>
          <w:p w14:paraId="2E7073E4">
            <w:pPr>
              <w:pStyle w:val="20"/>
              <w:spacing w:before="34" w:line="271" w:lineRule="auto"/>
              <w:ind w:right="204"/>
              <w:jc w:val="both"/>
              <w:rPr>
                <w:rFonts w:hint="eastAsia"/>
                <w:color w:val="auto"/>
                <w:sz w:val="22"/>
                <w:szCs w:val="22"/>
              </w:rPr>
            </w:pPr>
            <w:r>
              <w:rPr>
                <w:rFonts w:hint="eastAsia"/>
                <w:color w:val="auto"/>
                <w:sz w:val="22"/>
                <w:szCs w:val="22"/>
              </w:rPr>
              <w:t xml:space="preserve">①已经取得质量管理体系认证且运行情况良好的得 </w:t>
            </w:r>
            <w:r>
              <w:rPr>
                <w:rFonts w:hint="eastAsia"/>
                <w:color w:val="auto"/>
                <w:sz w:val="22"/>
                <w:szCs w:val="22"/>
                <w:lang w:val="en-US" w:eastAsia="zh-CN"/>
              </w:rPr>
              <w:t>1</w:t>
            </w:r>
            <w:r>
              <w:rPr>
                <w:rFonts w:hint="eastAsia"/>
                <w:color w:val="auto"/>
                <w:sz w:val="22"/>
                <w:szCs w:val="22"/>
              </w:rPr>
              <w:t>分，没有不得分。</w:t>
            </w:r>
          </w:p>
          <w:p w14:paraId="1D07ABFF">
            <w:pPr>
              <w:pStyle w:val="20"/>
              <w:spacing w:before="34" w:line="271" w:lineRule="auto"/>
              <w:ind w:right="204"/>
              <w:jc w:val="both"/>
              <w:rPr>
                <w:rFonts w:hint="eastAsia"/>
                <w:color w:val="auto"/>
                <w:sz w:val="22"/>
                <w:szCs w:val="22"/>
              </w:rPr>
            </w:pPr>
            <w:r>
              <w:rPr>
                <w:rFonts w:hint="eastAsia"/>
                <w:color w:val="auto"/>
                <w:sz w:val="22"/>
                <w:szCs w:val="22"/>
              </w:rPr>
              <w:t>②已经取得环境管理体系认证且运行情况良好的得</w:t>
            </w:r>
            <w:r>
              <w:rPr>
                <w:rFonts w:hint="eastAsia"/>
                <w:color w:val="auto"/>
                <w:sz w:val="22"/>
                <w:szCs w:val="22"/>
                <w:lang w:val="en-US" w:eastAsia="zh-CN"/>
              </w:rPr>
              <w:t>1</w:t>
            </w:r>
            <w:r>
              <w:rPr>
                <w:rFonts w:hint="eastAsia"/>
                <w:color w:val="auto"/>
                <w:sz w:val="22"/>
                <w:szCs w:val="22"/>
              </w:rPr>
              <w:t>分，没有不得分。</w:t>
            </w:r>
          </w:p>
          <w:p w14:paraId="41BA149B">
            <w:pPr>
              <w:pStyle w:val="20"/>
              <w:spacing w:before="34" w:line="271" w:lineRule="auto"/>
              <w:ind w:right="204"/>
              <w:jc w:val="both"/>
              <w:rPr>
                <w:rFonts w:hint="eastAsia" w:eastAsia="黑体"/>
                <w:color w:val="auto"/>
                <w:spacing w:val="2"/>
                <w:sz w:val="22"/>
                <w:szCs w:val="22"/>
                <w:lang w:val="en-US" w:eastAsia="zh-CN"/>
              </w:rPr>
            </w:pPr>
            <w:r>
              <w:rPr>
                <w:rFonts w:hint="eastAsia"/>
                <w:color w:val="auto"/>
                <w:sz w:val="22"/>
                <w:szCs w:val="22"/>
              </w:rPr>
              <w:t>③已经取得职业安全健康管理体系认证目运行情况良好的得</w:t>
            </w:r>
            <w:r>
              <w:rPr>
                <w:rFonts w:hint="eastAsia"/>
                <w:color w:val="auto"/>
                <w:sz w:val="22"/>
                <w:szCs w:val="22"/>
                <w:lang w:val="en-US" w:eastAsia="zh-CN"/>
              </w:rPr>
              <w:t>1</w:t>
            </w:r>
            <w:r>
              <w:rPr>
                <w:rFonts w:hint="eastAsia"/>
                <w:color w:val="auto"/>
                <w:sz w:val="22"/>
                <w:szCs w:val="22"/>
              </w:rPr>
              <w:t>分</w:t>
            </w:r>
            <w:r>
              <w:rPr>
                <w:rFonts w:hint="eastAsia"/>
                <w:color w:val="auto"/>
                <w:sz w:val="22"/>
                <w:szCs w:val="22"/>
                <w:lang w:eastAsia="zh-CN"/>
              </w:rPr>
              <w:t>，</w:t>
            </w:r>
            <w:r>
              <w:rPr>
                <w:rFonts w:hint="eastAsia"/>
                <w:color w:val="auto"/>
                <w:sz w:val="22"/>
                <w:szCs w:val="22"/>
              </w:rPr>
              <w:t>没有不得分。</w:t>
            </w:r>
          </w:p>
        </w:tc>
        <w:tc>
          <w:tcPr>
            <w:tcW w:w="802" w:type="dxa"/>
            <w:vAlign w:val="top"/>
          </w:tcPr>
          <w:p w14:paraId="62D0AC43">
            <w:pPr>
              <w:pStyle w:val="20"/>
              <w:spacing w:before="71" w:line="223" w:lineRule="auto"/>
              <w:ind w:left="212"/>
              <w:rPr>
                <w:rFonts w:hint="eastAsia"/>
                <w:color w:val="auto"/>
                <w:spacing w:val="-5"/>
                <w:sz w:val="22"/>
                <w:szCs w:val="22"/>
                <w:lang w:val="en-US" w:eastAsia="zh-CN"/>
              </w:rPr>
            </w:pPr>
          </w:p>
          <w:p w14:paraId="2B5AFED5">
            <w:pPr>
              <w:pStyle w:val="20"/>
              <w:spacing w:before="71" w:line="223" w:lineRule="auto"/>
              <w:ind w:left="212"/>
              <w:rPr>
                <w:rFonts w:hint="default"/>
                <w:color w:val="auto"/>
                <w:spacing w:val="-5"/>
                <w:sz w:val="22"/>
                <w:szCs w:val="22"/>
                <w:lang w:val="en-US" w:eastAsia="zh-CN"/>
              </w:rPr>
            </w:pPr>
            <w:r>
              <w:rPr>
                <w:rFonts w:hint="eastAsia"/>
                <w:color w:val="auto"/>
                <w:spacing w:val="-5"/>
                <w:sz w:val="22"/>
                <w:szCs w:val="22"/>
                <w:lang w:val="en-US" w:eastAsia="zh-CN"/>
              </w:rPr>
              <w:t>3分</w:t>
            </w:r>
          </w:p>
        </w:tc>
      </w:tr>
      <w:tr w14:paraId="028A9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158" w:type="dxa"/>
            <w:gridSpan w:val="2"/>
            <w:vAlign w:val="top"/>
          </w:tcPr>
          <w:p w14:paraId="60BC3B79">
            <w:pPr>
              <w:pStyle w:val="20"/>
              <w:spacing w:before="36" w:line="225" w:lineRule="auto"/>
              <w:ind w:left="870"/>
              <w:rPr>
                <w:color w:val="auto"/>
                <w:sz w:val="22"/>
                <w:szCs w:val="22"/>
              </w:rPr>
            </w:pPr>
            <w:r>
              <w:rPr>
                <w:color w:val="auto"/>
                <w:spacing w:val="-7"/>
                <w:sz w:val="22"/>
                <w:szCs w:val="22"/>
              </w:rPr>
              <w:t>小计</w:t>
            </w:r>
          </w:p>
        </w:tc>
        <w:tc>
          <w:tcPr>
            <w:tcW w:w="6544" w:type="dxa"/>
            <w:vAlign w:val="top"/>
          </w:tcPr>
          <w:p w14:paraId="20BDE67C">
            <w:pPr>
              <w:rPr>
                <w:rFonts w:ascii="Arial"/>
                <w:color w:val="auto"/>
                <w:sz w:val="21"/>
              </w:rPr>
            </w:pPr>
          </w:p>
        </w:tc>
        <w:tc>
          <w:tcPr>
            <w:tcW w:w="802" w:type="dxa"/>
            <w:vAlign w:val="top"/>
          </w:tcPr>
          <w:p w14:paraId="6AAB69A4">
            <w:pPr>
              <w:pStyle w:val="20"/>
              <w:spacing w:before="36" w:line="223" w:lineRule="auto"/>
              <w:ind w:left="168"/>
              <w:rPr>
                <w:color w:val="auto"/>
                <w:sz w:val="22"/>
                <w:szCs w:val="22"/>
              </w:rPr>
            </w:pPr>
            <w:r>
              <w:rPr>
                <w:color w:val="auto"/>
                <w:spacing w:val="-7"/>
                <w:sz w:val="22"/>
                <w:szCs w:val="22"/>
              </w:rPr>
              <w:t>15分</w:t>
            </w:r>
          </w:p>
        </w:tc>
      </w:tr>
      <w:tr w14:paraId="47E9C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08" w:type="dxa"/>
            <w:vAlign w:val="top"/>
          </w:tcPr>
          <w:p w14:paraId="1A29A319">
            <w:pPr>
              <w:pStyle w:val="20"/>
              <w:spacing w:before="294" w:line="184" w:lineRule="auto"/>
              <w:ind w:left="316"/>
              <w:rPr>
                <w:color w:val="auto"/>
                <w:sz w:val="22"/>
                <w:szCs w:val="22"/>
              </w:rPr>
            </w:pPr>
            <w:r>
              <w:rPr>
                <w:color w:val="auto"/>
                <w:sz w:val="22"/>
                <w:szCs w:val="22"/>
              </w:rPr>
              <w:t>1</w:t>
            </w:r>
          </w:p>
        </w:tc>
        <w:tc>
          <w:tcPr>
            <w:tcW w:w="1450" w:type="dxa"/>
            <w:vAlign w:val="top"/>
          </w:tcPr>
          <w:p w14:paraId="508C9E93">
            <w:pPr>
              <w:pStyle w:val="20"/>
              <w:spacing w:before="289" w:line="222" w:lineRule="auto"/>
              <w:ind w:left="111"/>
              <w:rPr>
                <w:color w:val="auto"/>
                <w:sz w:val="22"/>
                <w:szCs w:val="22"/>
              </w:rPr>
            </w:pPr>
            <w:r>
              <w:rPr>
                <w:color w:val="auto"/>
                <w:sz w:val="22"/>
                <w:szCs w:val="22"/>
              </w:rPr>
              <w:t>报价得分</w:t>
            </w:r>
          </w:p>
        </w:tc>
        <w:tc>
          <w:tcPr>
            <w:tcW w:w="6544" w:type="dxa"/>
            <w:vAlign w:val="top"/>
          </w:tcPr>
          <w:p w14:paraId="73D6EE8D">
            <w:pPr>
              <w:pStyle w:val="20"/>
              <w:spacing w:before="147" w:line="222" w:lineRule="auto"/>
              <w:ind w:left="112"/>
              <w:rPr>
                <w:color w:val="auto"/>
                <w:sz w:val="22"/>
                <w:szCs w:val="22"/>
              </w:rPr>
            </w:pPr>
            <w:r>
              <w:rPr>
                <w:color w:val="auto"/>
                <w:sz w:val="22"/>
                <w:szCs w:val="22"/>
              </w:rPr>
              <w:t>磋商报价得分＝(磋商基准价/最后磋商报价)×价格分值</w:t>
            </w:r>
          </w:p>
          <w:p w14:paraId="44E82222">
            <w:pPr>
              <w:pStyle w:val="20"/>
              <w:spacing w:before="18" w:line="222" w:lineRule="auto"/>
              <w:ind w:left="112"/>
              <w:rPr>
                <w:color w:val="auto"/>
                <w:sz w:val="22"/>
                <w:szCs w:val="22"/>
              </w:rPr>
            </w:pPr>
            <w:r>
              <w:rPr>
                <w:color w:val="auto"/>
                <w:spacing w:val="2"/>
                <w:sz w:val="22"/>
                <w:szCs w:val="22"/>
              </w:rPr>
              <w:t>磋商基准价为满足磋商文件要求且最后报价最低的供应商的价格</w:t>
            </w:r>
          </w:p>
        </w:tc>
        <w:tc>
          <w:tcPr>
            <w:tcW w:w="802" w:type="dxa"/>
            <w:vAlign w:val="top"/>
          </w:tcPr>
          <w:p w14:paraId="5CA9B16E">
            <w:pPr>
              <w:pStyle w:val="20"/>
              <w:spacing w:before="259" w:line="223" w:lineRule="auto"/>
              <w:ind w:left="157"/>
              <w:rPr>
                <w:color w:val="auto"/>
                <w:sz w:val="22"/>
                <w:szCs w:val="22"/>
              </w:rPr>
            </w:pPr>
            <w:r>
              <w:rPr>
                <w:color w:val="auto"/>
                <w:spacing w:val="-3"/>
                <w:sz w:val="22"/>
                <w:szCs w:val="22"/>
              </w:rPr>
              <w:t>30分</w:t>
            </w:r>
          </w:p>
        </w:tc>
      </w:tr>
    </w:tbl>
    <w:p w14:paraId="7A54BD83">
      <w:pPr>
        <w:pStyle w:val="5"/>
        <w:rPr>
          <w:color w:val="auto"/>
        </w:rPr>
      </w:pPr>
    </w:p>
    <w:p w14:paraId="71028B7C">
      <w:pPr>
        <w:pStyle w:val="5"/>
        <w:spacing w:line="292" w:lineRule="auto"/>
        <w:rPr>
          <w:rFonts w:ascii="黑体" w:hAnsi="黑体" w:eastAsia="黑体" w:cs="黑体"/>
          <w:color w:val="auto"/>
          <w:sz w:val="24"/>
          <w:szCs w:val="24"/>
        </w:rPr>
      </w:pPr>
      <w:r>
        <w:rPr>
          <w:rFonts w:hint="eastAsia" w:eastAsia="宋体"/>
          <w:color w:val="auto"/>
          <w:lang w:val="en-US" w:eastAsia="zh-CN"/>
        </w:rPr>
        <w:t xml:space="preserve">         </w:t>
      </w:r>
      <w:r>
        <w:rPr>
          <w:rFonts w:ascii="黑体" w:hAnsi="黑体" w:eastAsia="黑体" w:cs="黑体"/>
          <w:color w:val="auto"/>
          <w:spacing w:val="8"/>
          <w:sz w:val="24"/>
          <w:szCs w:val="24"/>
        </w:rPr>
        <w:t>25.6供应商在评标过程中，所进行的力图影响评标</w:t>
      </w:r>
      <w:r>
        <w:rPr>
          <w:rFonts w:ascii="黑体" w:hAnsi="黑体" w:eastAsia="黑体" w:cs="黑体"/>
          <w:color w:val="auto"/>
          <w:spacing w:val="7"/>
          <w:sz w:val="24"/>
          <w:szCs w:val="24"/>
        </w:rPr>
        <w:t>结果的不符合招标规则的活</w:t>
      </w:r>
    </w:p>
    <w:p w14:paraId="23E1EFA4">
      <w:pPr>
        <w:spacing w:before="191" w:line="213" w:lineRule="auto"/>
        <w:ind w:left="9"/>
        <w:rPr>
          <w:rFonts w:ascii="黑体" w:hAnsi="黑体" w:eastAsia="黑体" w:cs="黑体"/>
          <w:color w:val="auto"/>
          <w:sz w:val="24"/>
          <w:szCs w:val="24"/>
        </w:rPr>
      </w:pPr>
      <w:r>
        <w:rPr>
          <w:rFonts w:ascii="黑体" w:hAnsi="黑体" w:eastAsia="黑体" w:cs="黑体"/>
          <w:color w:val="auto"/>
          <w:spacing w:val="4"/>
          <w:sz w:val="24"/>
          <w:szCs w:val="24"/>
        </w:rPr>
        <w:t>动，可能导致其被取消中标资格。</w:t>
      </w:r>
    </w:p>
    <w:p w14:paraId="680D33F7">
      <w:pPr>
        <w:spacing w:before="190" w:line="222" w:lineRule="auto"/>
        <w:ind w:left="498"/>
        <w:rPr>
          <w:rFonts w:ascii="黑体" w:hAnsi="黑体" w:eastAsia="黑体" w:cs="黑体"/>
          <w:color w:val="auto"/>
          <w:sz w:val="24"/>
          <w:szCs w:val="24"/>
        </w:rPr>
      </w:pPr>
      <w:r>
        <w:rPr>
          <w:rFonts w:ascii="黑体" w:hAnsi="黑体" w:eastAsia="黑体" w:cs="黑体"/>
          <w:color w:val="auto"/>
          <w:spacing w:val="4"/>
          <w:sz w:val="24"/>
          <w:szCs w:val="24"/>
        </w:rPr>
        <w:t>25.7与竞争性磋商文件有重大偏离的响应文件将被拒绝。</w:t>
      </w:r>
    </w:p>
    <w:p w14:paraId="0F550DFA">
      <w:pPr>
        <w:spacing w:before="179" w:line="222" w:lineRule="auto"/>
        <w:ind w:left="6"/>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26中标供应商的确认</w:t>
      </w:r>
    </w:p>
    <w:p w14:paraId="02159FC6">
      <w:pPr>
        <w:spacing w:before="179" w:line="360" w:lineRule="auto"/>
        <w:ind w:left="27" w:right="44" w:firstLine="428"/>
        <w:jc w:val="both"/>
        <w:rPr>
          <w:rFonts w:ascii="黑体" w:hAnsi="黑体" w:eastAsia="黑体" w:cs="黑体"/>
          <w:color w:val="auto"/>
          <w:sz w:val="24"/>
          <w:szCs w:val="24"/>
        </w:rPr>
      </w:pPr>
      <w:r>
        <w:rPr>
          <w:rFonts w:ascii="黑体" w:hAnsi="黑体" w:eastAsia="黑体" w:cs="黑体"/>
          <w:color w:val="auto"/>
          <w:spacing w:val="-15"/>
          <w:sz w:val="24"/>
          <w:szCs w:val="24"/>
        </w:rPr>
        <w:t>26.1评标委员会推荐得分最高的为第一中标候选人。采购人应当接受评标委员会推荐的</w:t>
      </w:r>
      <w:r>
        <w:rPr>
          <w:rFonts w:ascii="黑体" w:hAnsi="黑体" w:eastAsia="黑体" w:cs="黑体"/>
          <w:color w:val="auto"/>
          <w:spacing w:val="-19"/>
          <w:sz w:val="24"/>
          <w:szCs w:val="24"/>
        </w:rPr>
        <w:t>中标候选人，不得在评标委员会推荐的中标候选人之外确定中标人。评标委员会无义务向</w:t>
      </w:r>
      <w:r>
        <w:rPr>
          <w:rFonts w:ascii="黑体" w:hAnsi="黑体" w:eastAsia="黑体" w:cs="黑体"/>
          <w:color w:val="auto"/>
          <w:spacing w:val="-20"/>
          <w:sz w:val="24"/>
          <w:szCs w:val="24"/>
        </w:rPr>
        <w:t>供应</w:t>
      </w:r>
    </w:p>
    <w:p w14:paraId="6E8D8616">
      <w:pPr>
        <w:spacing w:before="1" w:line="221" w:lineRule="auto"/>
        <w:ind w:left="16"/>
        <w:rPr>
          <w:rFonts w:ascii="黑体" w:hAnsi="黑体" w:eastAsia="黑体" w:cs="黑体"/>
          <w:color w:val="auto"/>
          <w:sz w:val="24"/>
          <w:szCs w:val="24"/>
        </w:rPr>
      </w:pPr>
      <w:r>
        <w:rPr>
          <w:rFonts w:ascii="黑体" w:hAnsi="黑体" w:eastAsia="黑体" w:cs="黑体"/>
          <w:color w:val="auto"/>
          <w:spacing w:val="-16"/>
          <w:sz w:val="24"/>
          <w:szCs w:val="24"/>
        </w:rPr>
        <w:t>商进行任何有关评标的解释工作。</w:t>
      </w:r>
    </w:p>
    <w:p w14:paraId="64DE0A36">
      <w:pPr>
        <w:spacing w:before="180" w:line="360" w:lineRule="auto"/>
        <w:ind w:left="12" w:right="66" w:firstLine="486"/>
        <w:jc w:val="both"/>
        <w:rPr>
          <w:rFonts w:ascii="黑体" w:hAnsi="黑体" w:eastAsia="黑体" w:cs="黑体"/>
          <w:color w:val="auto"/>
          <w:sz w:val="24"/>
          <w:szCs w:val="24"/>
        </w:rPr>
      </w:pPr>
      <w:r>
        <w:rPr>
          <w:rFonts w:ascii="黑体" w:hAnsi="黑体" w:eastAsia="黑体" w:cs="黑体"/>
          <w:color w:val="auto"/>
          <w:spacing w:val="8"/>
          <w:sz w:val="24"/>
          <w:szCs w:val="24"/>
        </w:rPr>
        <w:t>26.2采购人应当确定排名第一的中标候选人为中标</w:t>
      </w:r>
      <w:r>
        <w:rPr>
          <w:rFonts w:ascii="黑体" w:hAnsi="黑体" w:eastAsia="黑体" w:cs="黑体"/>
          <w:color w:val="auto"/>
          <w:spacing w:val="7"/>
          <w:sz w:val="24"/>
          <w:szCs w:val="24"/>
        </w:rPr>
        <w:t>供应商。排名第一的中标候</w:t>
      </w:r>
      <w:r>
        <w:rPr>
          <w:rFonts w:ascii="黑体" w:hAnsi="黑体" w:eastAsia="黑体" w:cs="黑体"/>
          <w:color w:val="auto"/>
          <w:spacing w:val="5"/>
          <w:sz w:val="24"/>
          <w:szCs w:val="24"/>
        </w:rPr>
        <w:t>选人放弃中标、因不可抗力提出不能履行合同，或者竞</w:t>
      </w:r>
      <w:r>
        <w:rPr>
          <w:rFonts w:ascii="黑体" w:hAnsi="黑体" w:eastAsia="黑体" w:cs="黑体"/>
          <w:color w:val="auto"/>
          <w:spacing w:val="4"/>
          <w:sz w:val="24"/>
          <w:szCs w:val="24"/>
        </w:rPr>
        <w:t>争性磋商文件规定应当提交履</w:t>
      </w:r>
      <w:r>
        <w:rPr>
          <w:rFonts w:ascii="黑体" w:hAnsi="黑体" w:eastAsia="黑体" w:cs="黑体"/>
          <w:color w:val="auto"/>
          <w:spacing w:val="5"/>
          <w:sz w:val="24"/>
          <w:szCs w:val="24"/>
        </w:rPr>
        <w:t>约保证金而在规定的期限内未能提交的，采购人可以确</w:t>
      </w:r>
      <w:r>
        <w:rPr>
          <w:rFonts w:ascii="黑体" w:hAnsi="黑体" w:eastAsia="黑体" w:cs="黑体"/>
          <w:color w:val="auto"/>
          <w:spacing w:val="4"/>
          <w:sz w:val="24"/>
          <w:szCs w:val="24"/>
        </w:rPr>
        <w:t>定排名第二的中标候选人为中</w:t>
      </w:r>
    </w:p>
    <w:p w14:paraId="0B038EA7">
      <w:pPr>
        <w:spacing w:before="1" w:line="221" w:lineRule="auto"/>
        <w:ind w:left="3"/>
        <w:rPr>
          <w:rFonts w:ascii="黑体" w:hAnsi="黑体" w:eastAsia="黑体" w:cs="黑体"/>
          <w:color w:val="auto"/>
          <w:sz w:val="24"/>
          <w:szCs w:val="24"/>
        </w:rPr>
      </w:pPr>
      <w:r>
        <w:rPr>
          <w:rFonts w:ascii="黑体" w:hAnsi="黑体" w:eastAsia="黑体" w:cs="黑体"/>
          <w:color w:val="auto"/>
          <w:spacing w:val="2"/>
          <w:sz w:val="24"/>
          <w:szCs w:val="24"/>
        </w:rPr>
        <w:t>标供应商。</w:t>
      </w:r>
    </w:p>
    <w:p w14:paraId="07E6E095">
      <w:pPr>
        <w:spacing w:before="180" w:line="468" w:lineRule="exact"/>
        <w:ind w:right="68"/>
        <w:jc w:val="right"/>
        <w:rPr>
          <w:rFonts w:ascii="黑体" w:hAnsi="黑体" w:eastAsia="黑体" w:cs="黑体"/>
          <w:color w:val="auto"/>
          <w:sz w:val="24"/>
          <w:szCs w:val="24"/>
        </w:rPr>
      </w:pPr>
      <w:r>
        <w:rPr>
          <w:rFonts w:ascii="黑体" w:hAnsi="黑体" w:eastAsia="黑体" w:cs="黑体"/>
          <w:color w:val="auto"/>
          <w:spacing w:val="8"/>
          <w:position w:val="17"/>
          <w:sz w:val="24"/>
          <w:szCs w:val="24"/>
        </w:rPr>
        <w:t>26.3在确定中标供应商前，采购人不得与投标供应</w:t>
      </w:r>
      <w:r>
        <w:rPr>
          <w:rFonts w:ascii="黑体" w:hAnsi="黑体" w:eastAsia="黑体" w:cs="黑体"/>
          <w:color w:val="auto"/>
          <w:spacing w:val="7"/>
          <w:position w:val="17"/>
          <w:sz w:val="24"/>
          <w:szCs w:val="24"/>
        </w:rPr>
        <w:t>商就投标价格、投标方案等</w:t>
      </w:r>
    </w:p>
    <w:p w14:paraId="5815ED30">
      <w:pPr>
        <w:spacing w:line="221" w:lineRule="auto"/>
        <w:ind w:left="14"/>
        <w:rPr>
          <w:rFonts w:ascii="黑体" w:hAnsi="黑体" w:eastAsia="黑体" w:cs="黑体"/>
          <w:color w:val="auto"/>
          <w:sz w:val="24"/>
          <w:szCs w:val="24"/>
        </w:rPr>
      </w:pPr>
      <w:r>
        <w:rPr>
          <w:rFonts w:ascii="黑体" w:hAnsi="黑体" w:eastAsia="黑体" w:cs="黑体"/>
          <w:color w:val="auto"/>
          <w:spacing w:val="2"/>
          <w:sz w:val="24"/>
          <w:szCs w:val="24"/>
        </w:rPr>
        <w:t>实质性内容进行磋商。</w:t>
      </w:r>
    </w:p>
    <w:p w14:paraId="3E28B58A">
      <w:pPr>
        <w:spacing w:before="181" w:line="222" w:lineRule="auto"/>
        <w:ind w:left="6"/>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27中标通知</w:t>
      </w:r>
    </w:p>
    <w:p w14:paraId="070DF0E9">
      <w:pPr>
        <w:spacing w:before="179" w:line="468" w:lineRule="exact"/>
        <w:ind w:right="55"/>
        <w:jc w:val="right"/>
        <w:rPr>
          <w:rFonts w:ascii="黑体" w:hAnsi="黑体" w:eastAsia="黑体" w:cs="黑体"/>
          <w:color w:val="auto"/>
          <w:sz w:val="24"/>
          <w:szCs w:val="24"/>
        </w:rPr>
      </w:pPr>
      <w:r>
        <w:rPr>
          <w:rFonts w:ascii="黑体" w:hAnsi="黑体" w:eastAsia="黑体" w:cs="黑体"/>
          <w:color w:val="auto"/>
          <w:spacing w:val="7"/>
          <w:position w:val="17"/>
          <w:sz w:val="24"/>
          <w:szCs w:val="24"/>
        </w:rPr>
        <w:t>27.1采购人或者采购代理机构应当自中标供应商确定之日起2个工作日内，发</w:t>
      </w:r>
    </w:p>
    <w:p w14:paraId="4B356945">
      <w:pPr>
        <w:spacing w:before="1" w:line="212" w:lineRule="auto"/>
        <w:ind w:left="24"/>
        <w:rPr>
          <w:rFonts w:ascii="黑体" w:hAnsi="黑体" w:eastAsia="黑体" w:cs="黑体"/>
          <w:color w:val="auto"/>
          <w:sz w:val="24"/>
          <w:szCs w:val="24"/>
        </w:rPr>
      </w:pPr>
      <w:r>
        <w:rPr>
          <w:rFonts w:ascii="黑体" w:hAnsi="黑体" w:eastAsia="黑体" w:cs="黑体"/>
          <w:color w:val="auto"/>
          <w:spacing w:val="5"/>
          <w:sz w:val="24"/>
          <w:szCs w:val="24"/>
        </w:rPr>
        <w:t>出中标通知书，并在</w:t>
      </w:r>
      <w:r>
        <w:rPr>
          <w:rFonts w:hint="eastAsia" w:ascii="黑体" w:hAnsi="黑体" w:eastAsia="黑体" w:cs="黑体"/>
          <w:color w:val="auto"/>
          <w:spacing w:val="5"/>
          <w:sz w:val="24"/>
          <w:szCs w:val="24"/>
          <w:lang w:val="en-US" w:eastAsia="zh-CN"/>
        </w:rPr>
        <w:t>新疆政府采购网</w:t>
      </w:r>
      <w:r>
        <w:rPr>
          <w:rFonts w:ascii="黑体" w:hAnsi="黑体" w:eastAsia="黑体" w:cs="黑体"/>
          <w:color w:val="auto"/>
          <w:spacing w:val="5"/>
          <w:sz w:val="24"/>
          <w:szCs w:val="24"/>
        </w:rPr>
        <w:t>上公告</w:t>
      </w:r>
      <w:r>
        <w:rPr>
          <w:rFonts w:ascii="黑体" w:hAnsi="黑体" w:eastAsia="黑体" w:cs="黑体"/>
          <w:color w:val="auto"/>
          <w:spacing w:val="4"/>
          <w:sz w:val="24"/>
          <w:szCs w:val="24"/>
        </w:rPr>
        <w:t>中标结果。</w:t>
      </w:r>
    </w:p>
    <w:p w14:paraId="5FD6D221">
      <w:pPr>
        <w:spacing w:before="191" w:line="468" w:lineRule="exact"/>
        <w:ind w:left="498"/>
        <w:rPr>
          <w:rFonts w:ascii="黑体" w:hAnsi="黑体" w:eastAsia="黑体" w:cs="黑体"/>
          <w:color w:val="auto"/>
          <w:sz w:val="24"/>
          <w:szCs w:val="24"/>
        </w:rPr>
      </w:pPr>
      <w:r>
        <w:rPr>
          <w:rFonts w:ascii="黑体" w:hAnsi="黑体" w:eastAsia="黑体" w:cs="黑体"/>
          <w:color w:val="auto"/>
          <w:spacing w:val="7"/>
          <w:position w:val="17"/>
          <w:sz w:val="24"/>
          <w:szCs w:val="24"/>
        </w:rPr>
        <w:t>27.2中标通知书对采购人和中标供应商均具有法</w:t>
      </w:r>
      <w:r>
        <w:rPr>
          <w:rFonts w:ascii="黑体" w:hAnsi="黑体" w:eastAsia="黑体" w:cs="黑体"/>
          <w:color w:val="auto"/>
          <w:spacing w:val="6"/>
          <w:position w:val="17"/>
          <w:sz w:val="24"/>
          <w:szCs w:val="24"/>
        </w:rPr>
        <w:t>律效力。中标通知书发出后，</w:t>
      </w:r>
    </w:p>
    <w:p w14:paraId="33FABC1C">
      <w:pPr>
        <w:spacing w:before="1" w:line="212" w:lineRule="auto"/>
        <w:ind w:left="6"/>
        <w:rPr>
          <w:rFonts w:ascii="黑体" w:hAnsi="黑体" w:eastAsia="黑体" w:cs="黑体"/>
          <w:color w:val="auto"/>
          <w:sz w:val="24"/>
          <w:szCs w:val="24"/>
        </w:rPr>
      </w:pPr>
      <w:r>
        <w:rPr>
          <w:rFonts w:ascii="黑体" w:hAnsi="黑体" w:eastAsia="黑体" w:cs="黑体"/>
          <w:color w:val="auto"/>
          <w:spacing w:val="5"/>
          <w:sz w:val="24"/>
          <w:szCs w:val="24"/>
        </w:rPr>
        <w:t>采购人改变中标结果的，或者中标供应商放弃中标项目的，应当依法承担法律责任。</w:t>
      </w:r>
    </w:p>
    <w:p w14:paraId="33427819">
      <w:pPr>
        <w:spacing w:before="191" w:line="222" w:lineRule="auto"/>
        <w:ind w:left="6"/>
        <w:rPr>
          <w:rFonts w:ascii="黑体" w:hAnsi="黑体" w:eastAsia="黑体" w:cs="黑体"/>
          <w:color w:val="auto"/>
          <w:sz w:val="24"/>
          <w:szCs w:val="24"/>
        </w:rPr>
      </w:pPr>
      <w:r>
        <w:rPr>
          <w:rFonts w:ascii="黑体" w:hAnsi="黑体" w:eastAsia="黑体" w:cs="黑体"/>
          <w:color w:val="auto"/>
          <w:spacing w:val="4"/>
          <w:sz w:val="24"/>
          <w:szCs w:val="24"/>
          <w14:textOutline w14:w="4358" w14:cap="sq" w14:cmpd="sng">
            <w14:solidFill>
              <w14:srgbClr w14:val="000000"/>
            </w14:solidFill>
            <w14:prstDash w14:val="solid"/>
            <w14:bevel/>
          </w14:textOutline>
        </w:rPr>
        <w:t>28拒绝投标的权力</w:t>
      </w:r>
    </w:p>
    <w:p w14:paraId="6E61033F">
      <w:pPr>
        <w:spacing w:before="180" w:line="468" w:lineRule="exact"/>
        <w:ind w:right="27"/>
        <w:jc w:val="right"/>
        <w:rPr>
          <w:rFonts w:ascii="黑体" w:hAnsi="黑体" w:eastAsia="黑体" w:cs="黑体"/>
          <w:color w:val="auto"/>
          <w:sz w:val="24"/>
          <w:szCs w:val="24"/>
        </w:rPr>
      </w:pPr>
      <w:r>
        <w:rPr>
          <w:rFonts w:ascii="黑体" w:hAnsi="黑体" w:eastAsia="黑体" w:cs="黑体"/>
          <w:color w:val="auto"/>
          <w:spacing w:val="-18"/>
          <w:position w:val="17"/>
          <w:sz w:val="24"/>
          <w:szCs w:val="24"/>
        </w:rPr>
        <w:t>采购人有权在定标前拒绝任何有不正当行为或扰乱正常采购工作的</w:t>
      </w:r>
      <w:r>
        <w:rPr>
          <w:rFonts w:ascii="黑体" w:hAnsi="黑体" w:eastAsia="黑体" w:cs="黑体"/>
          <w:color w:val="auto"/>
          <w:spacing w:val="-19"/>
          <w:position w:val="17"/>
          <w:sz w:val="24"/>
          <w:szCs w:val="24"/>
        </w:rPr>
        <w:t>供应商，由此对供应商</w:t>
      </w:r>
    </w:p>
    <w:p w14:paraId="447F4FF1">
      <w:pPr>
        <w:spacing w:before="1" w:line="212" w:lineRule="auto"/>
        <w:ind w:left="6"/>
        <w:rPr>
          <w:rFonts w:ascii="黑体" w:hAnsi="黑体" w:eastAsia="黑体" w:cs="黑体"/>
          <w:color w:val="auto"/>
          <w:sz w:val="24"/>
          <w:szCs w:val="24"/>
        </w:rPr>
      </w:pPr>
      <w:r>
        <w:rPr>
          <w:rFonts w:ascii="黑体" w:hAnsi="黑体" w:eastAsia="黑体" w:cs="黑体"/>
          <w:color w:val="auto"/>
          <w:spacing w:val="-15"/>
          <w:sz w:val="24"/>
          <w:szCs w:val="24"/>
        </w:rPr>
        <w:t>造成的损失不负任何责任，同时对此也不做任何解</w:t>
      </w:r>
      <w:r>
        <w:rPr>
          <w:rFonts w:ascii="黑体" w:hAnsi="黑体" w:eastAsia="黑体" w:cs="黑体"/>
          <w:color w:val="auto"/>
          <w:spacing w:val="-16"/>
          <w:sz w:val="24"/>
          <w:szCs w:val="24"/>
        </w:rPr>
        <w:t>释。</w:t>
      </w:r>
    </w:p>
    <w:p w14:paraId="35E0FC79">
      <w:pPr>
        <w:pStyle w:val="5"/>
        <w:spacing w:line="258" w:lineRule="auto"/>
        <w:rPr>
          <w:color w:val="auto"/>
        </w:rPr>
      </w:pPr>
    </w:p>
    <w:p w14:paraId="55D5BDFC">
      <w:pPr>
        <w:pStyle w:val="5"/>
        <w:spacing w:line="258" w:lineRule="auto"/>
        <w:rPr>
          <w:color w:val="auto"/>
        </w:rPr>
      </w:pPr>
    </w:p>
    <w:p w14:paraId="22560F6D">
      <w:pPr>
        <w:pStyle w:val="5"/>
        <w:spacing w:line="259" w:lineRule="auto"/>
        <w:rPr>
          <w:color w:val="auto"/>
        </w:rPr>
      </w:pPr>
    </w:p>
    <w:p w14:paraId="5A96954B">
      <w:pPr>
        <w:pStyle w:val="5"/>
        <w:spacing w:line="259" w:lineRule="auto"/>
        <w:rPr>
          <w:color w:val="auto"/>
        </w:rPr>
      </w:pPr>
    </w:p>
    <w:p w14:paraId="799D6D88">
      <w:pPr>
        <w:spacing w:before="92" w:line="223" w:lineRule="auto"/>
        <w:rPr>
          <w:rFonts w:ascii="黑体" w:hAnsi="黑体" w:eastAsia="黑体" w:cs="黑体"/>
          <w:color w:val="auto"/>
          <w:spacing w:val="3"/>
          <w:sz w:val="28"/>
          <w:szCs w:val="28"/>
          <w14:textOutline w14:w="5103" w14:cap="sq" w14:cmpd="sng">
            <w14:solidFill>
              <w14:srgbClr w14:val="000000"/>
            </w14:solidFill>
            <w14:prstDash w14:val="solid"/>
            <w14:bevel/>
          </w14:textOutline>
        </w:rPr>
      </w:pPr>
    </w:p>
    <w:p w14:paraId="6281983E">
      <w:pPr>
        <w:spacing w:before="92" w:line="223" w:lineRule="auto"/>
        <w:ind w:left="3613"/>
        <w:rPr>
          <w:rFonts w:ascii="黑体" w:hAnsi="黑体" w:eastAsia="黑体" w:cs="黑体"/>
          <w:color w:val="auto"/>
          <w:sz w:val="28"/>
          <w:szCs w:val="28"/>
        </w:rPr>
      </w:pPr>
      <w:r>
        <w:rPr>
          <w:rFonts w:ascii="黑体" w:hAnsi="黑体" w:eastAsia="黑体" w:cs="黑体"/>
          <w:color w:val="auto"/>
          <w:spacing w:val="3"/>
          <w:sz w:val="28"/>
          <w:szCs w:val="28"/>
          <w14:textOutline w14:w="5103" w14:cap="sq" w14:cmpd="sng">
            <w14:solidFill>
              <w14:srgbClr w14:val="000000"/>
            </w14:solidFill>
            <w14:prstDash w14:val="solid"/>
            <w14:bevel/>
          </w14:textOutline>
        </w:rPr>
        <w:t>七、授予合同</w:t>
      </w:r>
    </w:p>
    <w:p w14:paraId="4C0F4E13">
      <w:pPr>
        <w:spacing w:before="229" w:line="221" w:lineRule="auto"/>
        <w:ind w:left="6"/>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29签订商务合同</w:t>
      </w:r>
    </w:p>
    <w:p w14:paraId="1241CA37">
      <w:pPr>
        <w:spacing w:before="181" w:line="468" w:lineRule="exact"/>
        <w:ind w:right="66"/>
        <w:jc w:val="right"/>
        <w:rPr>
          <w:rFonts w:ascii="黑体" w:hAnsi="黑体" w:eastAsia="黑体" w:cs="黑体"/>
          <w:color w:val="auto"/>
          <w:sz w:val="24"/>
          <w:szCs w:val="24"/>
        </w:rPr>
      </w:pPr>
      <w:r>
        <w:rPr>
          <w:rFonts w:ascii="黑体" w:hAnsi="黑体" w:eastAsia="黑体" w:cs="黑体"/>
          <w:color w:val="auto"/>
          <w:spacing w:val="2"/>
          <w:position w:val="17"/>
          <w:sz w:val="24"/>
          <w:szCs w:val="24"/>
        </w:rPr>
        <w:t>29.1采购人与中标供应商应当在中标通知书发出之日起30日内，按照竞争性磋</w:t>
      </w:r>
    </w:p>
    <w:p w14:paraId="50425807">
      <w:pPr>
        <w:spacing w:before="1" w:line="221" w:lineRule="auto"/>
        <w:ind w:left="16"/>
        <w:rPr>
          <w:rFonts w:ascii="黑体" w:hAnsi="黑体" w:eastAsia="黑体" w:cs="黑体"/>
          <w:color w:val="auto"/>
          <w:sz w:val="24"/>
          <w:szCs w:val="24"/>
        </w:rPr>
      </w:pPr>
      <w:r>
        <w:rPr>
          <w:rFonts w:ascii="黑体" w:hAnsi="黑体" w:eastAsia="黑体" w:cs="黑体"/>
          <w:color w:val="auto"/>
          <w:spacing w:val="4"/>
          <w:sz w:val="24"/>
          <w:szCs w:val="24"/>
        </w:rPr>
        <w:t>商文件确定的事项签订政府采购合同。</w:t>
      </w:r>
    </w:p>
    <w:p w14:paraId="03C49159">
      <w:pPr>
        <w:spacing w:before="180" w:line="360" w:lineRule="auto"/>
        <w:ind w:left="8" w:firstLine="490"/>
        <w:rPr>
          <w:rFonts w:ascii="黑体" w:hAnsi="黑体" w:eastAsia="黑体" w:cs="黑体"/>
          <w:color w:val="auto"/>
          <w:spacing w:val="4"/>
          <w:sz w:val="24"/>
          <w:szCs w:val="24"/>
        </w:rPr>
      </w:pPr>
      <w:r>
        <w:rPr>
          <w:rFonts w:ascii="黑体" w:hAnsi="黑体" w:eastAsia="黑体" w:cs="黑体"/>
          <w:color w:val="auto"/>
          <w:spacing w:val="7"/>
          <w:sz w:val="24"/>
          <w:szCs w:val="24"/>
        </w:rPr>
        <w:t>29.2中标合同不得转让。经采购人同意，中标供应商可以依法采</w:t>
      </w:r>
      <w:r>
        <w:rPr>
          <w:rFonts w:ascii="黑体" w:hAnsi="黑体" w:eastAsia="黑体" w:cs="黑体"/>
          <w:color w:val="auto"/>
          <w:spacing w:val="6"/>
          <w:sz w:val="24"/>
          <w:szCs w:val="24"/>
        </w:rPr>
        <w:t>取分包方式履</w:t>
      </w:r>
      <w:r>
        <w:rPr>
          <w:rFonts w:ascii="黑体" w:hAnsi="黑体" w:eastAsia="黑体" w:cs="黑体"/>
          <w:color w:val="auto"/>
          <w:sz w:val="24"/>
          <w:szCs w:val="24"/>
        </w:rPr>
        <w:t>行合同。政府采购合同分包履行的，中标供应商就采购项目和分包项目向采购人负责，</w:t>
      </w:r>
      <w:r>
        <w:rPr>
          <w:rFonts w:ascii="黑体" w:hAnsi="黑体" w:eastAsia="黑体" w:cs="黑体"/>
          <w:color w:val="auto"/>
          <w:spacing w:val="4"/>
          <w:sz w:val="24"/>
          <w:szCs w:val="24"/>
        </w:rPr>
        <w:t>分包供应商就分包项目承担责任。</w:t>
      </w:r>
    </w:p>
    <w:p w14:paraId="459406C3">
      <w:pPr>
        <w:spacing w:before="78" w:line="360" w:lineRule="auto"/>
        <w:ind w:left="19" w:right="21" w:firstLine="474"/>
        <w:rPr>
          <w:rFonts w:ascii="黑体" w:hAnsi="黑体" w:eastAsia="黑体" w:cs="黑体"/>
          <w:color w:val="auto"/>
          <w:sz w:val="24"/>
          <w:szCs w:val="24"/>
        </w:rPr>
      </w:pPr>
      <w:r>
        <w:rPr>
          <w:rFonts w:ascii="黑体" w:hAnsi="黑体" w:eastAsia="黑体" w:cs="黑体"/>
          <w:color w:val="auto"/>
          <w:spacing w:val="8"/>
          <w:sz w:val="24"/>
          <w:szCs w:val="24"/>
        </w:rPr>
        <w:t>29.3竞争性磋商文件要求中标或者成交供应商提交</w:t>
      </w:r>
      <w:r>
        <w:rPr>
          <w:rFonts w:ascii="黑体" w:hAnsi="黑体" w:eastAsia="黑体" w:cs="黑体"/>
          <w:color w:val="auto"/>
          <w:spacing w:val="7"/>
          <w:sz w:val="24"/>
          <w:szCs w:val="24"/>
        </w:rPr>
        <w:t>履约保证金的，供应商应当</w:t>
      </w:r>
      <w:r>
        <w:rPr>
          <w:rFonts w:ascii="黑体" w:hAnsi="黑体" w:eastAsia="黑体" w:cs="黑体"/>
          <w:color w:val="auto"/>
          <w:spacing w:val="4"/>
          <w:sz w:val="24"/>
          <w:szCs w:val="24"/>
        </w:rPr>
        <w:t>以支票、汇票、本票或者金融机构、担保机构出具的保函等非现金形式提交。履约保</w:t>
      </w:r>
      <w:r>
        <w:rPr>
          <w:rFonts w:ascii="黑体" w:hAnsi="黑体" w:eastAsia="黑体" w:cs="黑体"/>
          <w:color w:val="auto"/>
          <w:spacing w:val="3"/>
          <w:sz w:val="24"/>
          <w:szCs w:val="24"/>
        </w:rPr>
        <w:t>证金的数额不得超过政府采购合同金额的10%。</w:t>
      </w:r>
    </w:p>
    <w:p w14:paraId="1322DA20">
      <w:pPr>
        <w:spacing w:before="179" w:line="468" w:lineRule="exact"/>
        <w:ind w:right="24"/>
        <w:jc w:val="right"/>
        <w:rPr>
          <w:rFonts w:ascii="黑体" w:hAnsi="黑体" w:eastAsia="黑体" w:cs="黑体"/>
          <w:color w:val="auto"/>
          <w:sz w:val="24"/>
          <w:szCs w:val="24"/>
        </w:rPr>
      </w:pPr>
      <w:r>
        <w:rPr>
          <w:rFonts w:ascii="黑体" w:hAnsi="黑体" w:eastAsia="黑体" w:cs="黑体"/>
          <w:color w:val="auto"/>
          <w:spacing w:val="7"/>
          <w:position w:val="17"/>
          <w:sz w:val="24"/>
          <w:szCs w:val="24"/>
        </w:rPr>
        <w:t>29.4中标供应商拒绝与采购人签订合同的，采购人可以按照评审</w:t>
      </w:r>
      <w:r>
        <w:rPr>
          <w:rFonts w:ascii="黑体" w:hAnsi="黑体" w:eastAsia="黑体" w:cs="黑体"/>
          <w:color w:val="auto"/>
          <w:spacing w:val="6"/>
          <w:position w:val="17"/>
          <w:sz w:val="24"/>
          <w:szCs w:val="24"/>
        </w:rPr>
        <w:t>报告推荐的中</w:t>
      </w:r>
    </w:p>
    <w:p w14:paraId="05D620C9">
      <w:pPr>
        <w:spacing w:before="1" w:line="212" w:lineRule="auto"/>
        <w:rPr>
          <w:rFonts w:ascii="黑体" w:hAnsi="黑体" w:eastAsia="黑体" w:cs="黑体"/>
          <w:color w:val="auto"/>
          <w:sz w:val="24"/>
          <w:szCs w:val="24"/>
        </w:rPr>
      </w:pPr>
      <w:r>
        <w:rPr>
          <w:rFonts w:ascii="黑体" w:hAnsi="黑体" w:eastAsia="黑体" w:cs="黑体"/>
          <w:color w:val="auto"/>
          <w:spacing w:val="5"/>
          <w:sz w:val="24"/>
          <w:szCs w:val="24"/>
        </w:rPr>
        <w:t>标候选人名单排序，确定下一候选人为中标供应商，也可以重新开展政府采购活动。</w:t>
      </w:r>
    </w:p>
    <w:p w14:paraId="6E631FE0">
      <w:pPr>
        <w:spacing w:before="191" w:line="221" w:lineRule="auto"/>
        <w:ind w:left="494"/>
        <w:rPr>
          <w:rFonts w:ascii="黑体" w:hAnsi="黑体" w:eastAsia="黑体" w:cs="黑体"/>
          <w:color w:val="auto"/>
          <w:sz w:val="24"/>
          <w:szCs w:val="24"/>
        </w:rPr>
      </w:pPr>
      <w:r>
        <w:rPr>
          <w:rFonts w:ascii="黑体" w:hAnsi="黑体" w:eastAsia="黑体" w:cs="黑体"/>
          <w:color w:val="auto"/>
          <w:spacing w:val="5"/>
          <w:sz w:val="24"/>
          <w:szCs w:val="24"/>
        </w:rPr>
        <w:t>29.5政府采购合同的双方当事人不得擅自变更、中止或者终</w:t>
      </w:r>
      <w:r>
        <w:rPr>
          <w:rFonts w:ascii="黑体" w:hAnsi="黑体" w:eastAsia="黑体" w:cs="黑体"/>
          <w:color w:val="auto"/>
          <w:spacing w:val="4"/>
          <w:sz w:val="24"/>
          <w:szCs w:val="24"/>
        </w:rPr>
        <w:t>止合同。</w:t>
      </w:r>
    </w:p>
    <w:p w14:paraId="6B7CDDAE">
      <w:pPr>
        <w:spacing w:before="181" w:line="360" w:lineRule="auto"/>
        <w:ind w:left="8" w:right="21" w:firstLine="486"/>
        <w:rPr>
          <w:rFonts w:ascii="黑体" w:hAnsi="黑体" w:eastAsia="黑体" w:cs="黑体"/>
          <w:color w:val="auto"/>
          <w:sz w:val="24"/>
          <w:szCs w:val="24"/>
        </w:rPr>
      </w:pPr>
      <w:r>
        <w:rPr>
          <w:rFonts w:ascii="黑体" w:hAnsi="黑体" w:eastAsia="黑体" w:cs="黑体"/>
          <w:color w:val="auto"/>
          <w:spacing w:val="12"/>
          <w:sz w:val="24"/>
          <w:szCs w:val="24"/>
        </w:rPr>
        <w:t>政府采购合同继续履行将损害国家利益和社会公共利益的，双方当事人应</w:t>
      </w:r>
      <w:r>
        <w:rPr>
          <w:rFonts w:ascii="黑体" w:hAnsi="黑体" w:eastAsia="黑体" w:cs="黑体"/>
          <w:color w:val="auto"/>
          <w:spacing w:val="11"/>
          <w:sz w:val="24"/>
          <w:szCs w:val="24"/>
        </w:rPr>
        <w:t>当变</w:t>
      </w:r>
      <w:r>
        <w:rPr>
          <w:rFonts w:ascii="黑体" w:hAnsi="黑体" w:eastAsia="黑体" w:cs="黑体"/>
          <w:color w:val="auto"/>
          <w:spacing w:val="5"/>
          <w:sz w:val="24"/>
          <w:szCs w:val="24"/>
        </w:rPr>
        <w:t>更、中止或者终止合同。有过错的一方应当承担赔偿责</w:t>
      </w:r>
      <w:r>
        <w:rPr>
          <w:rFonts w:ascii="黑体" w:hAnsi="黑体" w:eastAsia="黑体" w:cs="黑体"/>
          <w:color w:val="auto"/>
          <w:spacing w:val="4"/>
          <w:sz w:val="24"/>
          <w:szCs w:val="24"/>
        </w:rPr>
        <w:t>任，双方都有过错的，各自承</w:t>
      </w:r>
    </w:p>
    <w:p w14:paraId="39673A7E">
      <w:pPr>
        <w:spacing w:before="1" w:line="220" w:lineRule="auto"/>
        <w:ind w:left="3"/>
        <w:rPr>
          <w:rFonts w:ascii="黑体" w:hAnsi="黑体" w:eastAsia="黑体" w:cs="黑体"/>
          <w:color w:val="auto"/>
          <w:sz w:val="24"/>
          <w:szCs w:val="24"/>
        </w:rPr>
      </w:pPr>
      <w:r>
        <w:rPr>
          <w:rFonts w:ascii="黑体" w:hAnsi="黑体" w:eastAsia="黑体" w:cs="黑体"/>
          <w:color w:val="auto"/>
          <w:spacing w:val="2"/>
          <w:sz w:val="24"/>
          <w:szCs w:val="24"/>
        </w:rPr>
        <w:t>担相应的责任。</w:t>
      </w:r>
    </w:p>
    <w:p w14:paraId="016F3552">
      <w:pPr>
        <w:spacing w:before="181" w:line="221" w:lineRule="auto"/>
        <w:ind w:left="4"/>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30商务合同的组成</w:t>
      </w:r>
    </w:p>
    <w:p w14:paraId="73B4890B">
      <w:pPr>
        <w:spacing w:before="181" w:line="221" w:lineRule="auto"/>
        <w:ind w:left="496"/>
        <w:rPr>
          <w:rFonts w:ascii="黑体" w:hAnsi="黑体" w:eastAsia="黑体" w:cs="黑体"/>
          <w:color w:val="auto"/>
          <w:sz w:val="24"/>
          <w:szCs w:val="24"/>
        </w:rPr>
      </w:pPr>
      <w:r>
        <w:rPr>
          <w:rFonts w:ascii="黑体" w:hAnsi="黑体" w:eastAsia="黑体" w:cs="黑体"/>
          <w:color w:val="auto"/>
          <w:spacing w:val="4"/>
          <w:sz w:val="24"/>
          <w:szCs w:val="24"/>
        </w:rPr>
        <w:t>30.1下列文件均为商务合同不可分割的组成部分：</w:t>
      </w:r>
    </w:p>
    <w:p w14:paraId="72C96A1B">
      <w:pPr>
        <w:spacing w:before="181" w:line="213" w:lineRule="auto"/>
        <w:ind w:left="496"/>
        <w:rPr>
          <w:rFonts w:ascii="黑体" w:hAnsi="黑体" w:eastAsia="黑体" w:cs="黑体"/>
          <w:color w:val="auto"/>
          <w:sz w:val="24"/>
          <w:szCs w:val="24"/>
        </w:rPr>
      </w:pPr>
      <w:r>
        <w:rPr>
          <w:rFonts w:ascii="黑体" w:hAnsi="黑体" w:eastAsia="黑体" w:cs="黑体"/>
          <w:color w:val="auto"/>
          <w:spacing w:val="-1"/>
          <w:sz w:val="24"/>
          <w:szCs w:val="24"/>
        </w:rPr>
        <w:t>30.1.1中标通知书；</w:t>
      </w:r>
    </w:p>
    <w:p w14:paraId="18BCE03E">
      <w:pPr>
        <w:spacing w:before="191" w:line="213" w:lineRule="auto"/>
        <w:ind w:left="496"/>
        <w:rPr>
          <w:rFonts w:ascii="黑体" w:hAnsi="黑体" w:eastAsia="黑体" w:cs="黑体"/>
          <w:color w:val="auto"/>
          <w:sz w:val="24"/>
          <w:szCs w:val="24"/>
        </w:rPr>
      </w:pPr>
      <w:r>
        <w:rPr>
          <w:rFonts w:ascii="黑体" w:hAnsi="黑体" w:eastAsia="黑体" w:cs="黑体"/>
          <w:color w:val="auto"/>
          <w:spacing w:val="1"/>
          <w:sz w:val="24"/>
          <w:szCs w:val="24"/>
        </w:rPr>
        <w:t>30.1.2中标供应商的响应文件；</w:t>
      </w:r>
    </w:p>
    <w:p w14:paraId="3C731BDF">
      <w:pPr>
        <w:spacing w:before="191" w:line="213" w:lineRule="auto"/>
        <w:ind w:left="496"/>
        <w:rPr>
          <w:rFonts w:ascii="黑体" w:hAnsi="黑体" w:eastAsia="黑体" w:cs="黑体"/>
          <w:color w:val="auto"/>
          <w:sz w:val="24"/>
          <w:szCs w:val="24"/>
        </w:rPr>
      </w:pPr>
      <w:r>
        <w:rPr>
          <w:rFonts w:ascii="黑体" w:hAnsi="黑体" w:eastAsia="黑体" w:cs="黑体"/>
          <w:color w:val="auto"/>
          <w:spacing w:val="4"/>
          <w:sz w:val="24"/>
          <w:szCs w:val="24"/>
        </w:rPr>
        <w:t>30.1.3供应商澄清、说明或补正文件；</w:t>
      </w:r>
    </w:p>
    <w:p w14:paraId="1EBF2F57">
      <w:pPr>
        <w:spacing w:before="190" w:line="222" w:lineRule="auto"/>
        <w:ind w:left="496"/>
        <w:rPr>
          <w:rFonts w:ascii="黑体" w:hAnsi="黑体" w:eastAsia="黑体" w:cs="黑体"/>
          <w:color w:val="auto"/>
          <w:sz w:val="24"/>
          <w:szCs w:val="24"/>
        </w:rPr>
      </w:pPr>
      <w:r>
        <w:rPr>
          <w:rFonts w:ascii="黑体" w:hAnsi="黑体" w:eastAsia="黑体" w:cs="黑体"/>
          <w:color w:val="auto"/>
          <w:spacing w:val="3"/>
          <w:sz w:val="24"/>
          <w:szCs w:val="24"/>
        </w:rPr>
        <w:t>30.1.4竞争性磋商文件。</w:t>
      </w:r>
    </w:p>
    <w:p w14:paraId="4F3EA8D5">
      <w:pPr>
        <w:spacing w:before="236" w:line="222" w:lineRule="auto"/>
        <w:ind w:left="1815"/>
        <w:rPr>
          <w:rFonts w:ascii="黑体" w:hAnsi="黑体" w:eastAsia="黑体" w:cs="黑体"/>
          <w:color w:val="auto"/>
          <w:sz w:val="28"/>
          <w:szCs w:val="28"/>
        </w:rPr>
      </w:pPr>
      <w:r>
        <w:rPr>
          <w:rFonts w:ascii="黑体" w:hAnsi="黑体" w:eastAsia="黑体" w:cs="黑体"/>
          <w:color w:val="auto"/>
          <w:spacing w:val="6"/>
          <w:sz w:val="28"/>
          <w:szCs w:val="28"/>
          <w14:textOutline w14:w="5103" w14:cap="sq" w14:cmpd="sng">
            <w14:solidFill>
              <w14:srgbClr w14:val="000000"/>
            </w14:solidFill>
            <w14:prstDash w14:val="solid"/>
            <w14:bevel/>
          </w14:textOutline>
        </w:rPr>
        <w:t>八、采购人更改货物、工程或者服务的权利</w:t>
      </w:r>
    </w:p>
    <w:p w14:paraId="60D0F589">
      <w:pPr>
        <w:spacing w:before="308" w:line="480" w:lineRule="auto"/>
        <w:ind w:left="11" w:firstLine="442"/>
        <w:jc w:val="both"/>
        <w:rPr>
          <w:rFonts w:ascii="黑体" w:hAnsi="黑体" w:eastAsia="黑体" w:cs="黑体"/>
          <w:color w:val="auto"/>
          <w:sz w:val="24"/>
          <w:szCs w:val="24"/>
        </w:rPr>
      </w:pPr>
      <w:r>
        <w:rPr>
          <w:rFonts w:ascii="黑体" w:hAnsi="黑体" w:eastAsia="黑体" w:cs="黑体"/>
          <w:color w:val="auto"/>
          <w:spacing w:val="-19"/>
          <w:sz w:val="24"/>
          <w:szCs w:val="24"/>
        </w:rPr>
        <w:t>31</w:t>
      </w:r>
      <w:r>
        <w:rPr>
          <w:rFonts w:ascii="黑体" w:hAnsi="黑体" w:eastAsia="黑体" w:cs="黑体"/>
          <w:color w:val="auto"/>
          <w:spacing w:val="-18"/>
          <w:sz w:val="24"/>
          <w:szCs w:val="24"/>
        </w:rPr>
        <w:t>政府采购合同履行中，采购人需追加与合同标的相同的货物、工程或者服务的，在</w:t>
      </w:r>
      <w:r>
        <w:rPr>
          <w:rFonts w:ascii="黑体" w:hAnsi="黑体" w:eastAsia="黑体" w:cs="黑体"/>
          <w:color w:val="auto"/>
          <w:spacing w:val="-16"/>
          <w:sz w:val="24"/>
          <w:szCs w:val="24"/>
        </w:rPr>
        <w:t>不</w:t>
      </w:r>
      <w:r>
        <w:rPr>
          <w:rFonts w:ascii="黑体" w:hAnsi="黑体" w:eastAsia="黑体" w:cs="黑体"/>
          <w:color w:val="auto"/>
          <w:spacing w:val="-20"/>
          <w:sz w:val="24"/>
          <w:szCs w:val="24"/>
        </w:rPr>
        <w:t>改变</w:t>
      </w:r>
      <w:r>
        <w:rPr>
          <w:rFonts w:ascii="黑体" w:hAnsi="黑体" w:eastAsia="黑体" w:cs="黑体"/>
          <w:color w:val="auto"/>
          <w:spacing w:val="-19"/>
          <w:sz w:val="24"/>
          <w:szCs w:val="24"/>
        </w:rPr>
        <w:t>合同其他条款的前提下，可以与供应商协商签订补充合同，但所有补充合同的采购金额</w:t>
      </w:r>
      <w:r>
        <w:rPr>
          <w:rFonts w:ascii="黑体" w:hAnsi="黑体" w:eastAsia="黑体" w:cs="黑体"/>
          <w:color w:val="auto"/>
          <w:spacing w:val="-17"/>
          <w:sz w:val="24"/>
          <w:szCs w:val="24"/>
        </w:rPr>
        <w:t>不</w:t>
      </w:r>
    </w:p>
    <w:p w14:paraId="0EDDECED">
      <w:pPr>
        <w:spacing w:before="1" w:line="221" w:lineRule="auto"/>
        <w:ind w:left="5"/>
        <w:rPr>
          <w:rFonts w:ascii="黑体" w:hAnsi="黑体" w:eastAsia="黑体" w:cs="黑体"/>
          <w:color w:val="auto"/>
          <w:sz w:val="24"/>
          <w:szCs w:val="24"/>
        </w:rPr>
      </w:pPr>
      <w:r>
        <w:rPr>
          <w:rFonts w:ascii="黑体" w:hAnsi="黑体" w:eastAsia="黑体" w:cs="黑体"/>
          <w:color w:val="auto"/>
          <w:spacing w:val="-15"/>
          <w:sz w:val="24"/>
          <w:szCs w:val="24"/>
        </w:rPr>
        <w:t>得超过原合同采购金额的百分之十。</w:t>
      </w:r>
    </w:p>
    <w:p w14:paraId="2EE401D7">
      <w:pPr>
        <w:spacing w:before="316" w:line="222" w:lineRule="auto"/>
        <w:ind w:left="3689"/>
        <w:outlineLvl w:val="0"/>
        <w:rPr>
          <w:rFonts w:ascii="黑体" w:hAnsi="黑体" w:eastAsia="黑体" w:cs="黑体"/>
          <w:color w:val="auto"/>
          <w:sz w:val="28"/>
          <w:szCs w:val="28"/>
        </w:rPr>
      </w:pPr>
      <w:bookmarkStart w:id="30" w:name="_Toc27336"/>
      <w:r>
        <w:rPr>
          <w:rFonts w:ascii="黑体" w:hAnsi="黑体" w:eastAsia="黑体" w:cs="黑体"/>
          <w:color w:val="auto"/>
          <w:spacing w:val="3"/>
          <w:sz w:val="28"/>
          <w:szCs w:val="28"/>
          <w14:textOutline w14:w="5103" w14:cap="sq" w14:cmpd="sng">
            <w14:solidFill>
              <w14:srgbClr w14:val="000000"/>
            </w14:solidFill>
            <w14:prstDash w14:val="solid"/>
            <w14:bevel/>
          </w14:textOutline>
        </w:rPr>
        <w:t>九、其他事项</w:t>
      </w:r>
      <w:bookmarkEnd w:id="30"/>
    </w:p>
    <w:p w14:paraId="26245C49">
      <w:pPr>
        <w:spacing w:before="230" w:line="221" w:lineRule="auto"/>
        <w:ind w:left="496"/>
        <w:rPr>
          <w:rFonts w:ascii="黑体" w:hAnsi="黑体" w:eastAsia="黑体" w:cs="黑体"/>
          <w:color w:val="auto"/>
          <w:sz w:val="24"/>
          <w:szCs w:val="24"/>
        </w:rPr>
      </w:pPr>
      <w:r>
        <w:rPr>
          <w:rFonts w:ascii="黑体" w:hAnsi="黑体" w:eastAsia="黑体" w:cs="黑体"/>
          <w:color w:val="auto"/>
          <w:spacing w:val="3"/>
          <w:sz w:val="24"/>
          <w:szCs w:val="24"/>
        </w:rPr>
        <w:t>32采购代理服务费</w:t>
      </w:r>
    </w:p>
    <w:p w14:paraId="6DDEEEA8">
      <w:pPr>
        <w:spacing w:before="181" w:line="468" w:lineRule="exact"/>
        <w:ind w:right="21"/>
        <w:jc w:val="right"/>
        <w:rPr>
          <w:rFonts w:ascii="黑体" w:hAnsi="黑体" w:eastAsia="黑体" w:cs="黑体"/>
          <w:color w:val="auto"/>
          <w:sz w:val="24"/>
          <w:szCs w:val="24"/>
        </w:rPr>
      </w:pPr>
      <w:r>
        <w:rPr>
          <w:rFonts w:ascii="黑体" w:hAnsi="黑体" w:eastAsia="黑体" w:cs="黑体"/>
          <w:color w:val="auto"/>
          <w:spacing w:val="8"/>
          <w:position w:val="17"/>
          <w:sz w:val="24"/>
          <w:szCs w:val="24"/>
        </w:rPr>
        <w:t>32.1</w:t>
      </w:r>
      <w:r>
        <w:rPr>
          <w:rFonts w:ascii="黑体" w:hAnsi="黑体" w:eastAsia="黑体" w:cs="黑体"/>
          <w:color w:val="auto"/>
          <w:spacing w:val="8"/>
          <w:position w:val="17"/>
          <w:sz w:val="24"/>
          <w:szCs w:val="24"/>
          <w14:textOutline w14:w="4358" w14:cap="sq" w14:cmpd="sng">
            <w14:solidFill>
              <w14:srgbClr w14:val="000000"/>
            </w14:solidFill>
            <w14:prstDash w14:val="solid"/>
            <w14:bevel/>
          </w14:textOutline>
        </w:rPr>
        <w:t>收取标准按发改价格〔2015〕299号(国家发展改革委关于进一步放</w:t>
      </w:r>
      <w:r>
        <w:rPr>
          <w:rFonts w:ascii="黑体" w:hAnsi="黑体" w:eastAsia="黑体" w:cs="黑体"/>
          <w:color w:val="auto"/>
          <w:spacing w:val="7"/>
          <w:position w:val="17"/>
          <w:sz w:val="24"/>
          <w:szCs w:val="24"/>
          <w14:textOutline w14:w="4358" w14:cap="sq" w14:cmpd="sng">
            <w14:solidFill>
              <w14:srgbClr w14:val="000000"/>
            </w14:solidFill>
            <w14:prstDash w14:val="solid"/>
            <w14:bevel/>
          </w14:textOutline>
        </w:rPr>
        <w:t>开建</w:t>
      </w:r>
    </w:p>
    <w:p w14:paraId="06C00F8B">
      <w:pPr>
        <w:spacing w:before="1" w:line="219" w:lineRule="auto"/>
        <w:ind w:left="5"/>
        <w:rPr>
          <w:rFonts w:ascii="黑体" w:hAnsi="黑体" w:eastAsia="黑体" w:cs="黑体"/>
          <w:color w:val="auto"/>
          <w:sz w:val="24"/>
          <w:szCs w:val="24"/>
        </w:rPr>
      </w:pPr>
      <w:r>
        <w:rPr>
          <w:rFonts w:ascii="黑体" w:hAnsi="黑体" w:eastAsia="黑体" w:cs="黑体"/>
          <w:color w:val="auto"/>
          <w:spacing w:val="5"/>
          <w:sz w:val="24"/>
          <w:szCs w:val="24"/>
          <w14:textOutline w14:w="4358" w14:cap="sq" w14:cmpd="sng">
            <w14:solidFill>
              <w14:srgbClr w14:val="000000"/>
            </w14:solidFill>
            <w14:prstDash w14:val="solid"/>
            <w14:bevel/>
          </w14:textOutline>
        </w:rPr>
        <w:t>设项目专业服务价格的通知)执行,由成交供应商支付。</w:t>
      </w:r>
    </w:p>
    <w:p w14:paraId="3197D1D0">
      <w:pPr>
        <w:spacing w:before="182" w:line="221" w:lineRule="auto"/>
        <w:ind w:left="453"/>
        <w:rPr>
          <w:rFonts w:ascii="黑体" w:hAnsi="黑体" w:eastAsia="黑体" w:cs="黑体"/>
          <w:color w:val="auto"/>
          <w:sz w:val="24"/>
          <w:szCs w:val="24"/>
        </w:rPr>
      </w:pPr>
      <w:r>
        <w:rPr>
          <w:rFonts w:ascii="黑体" w:hAnsi="黑体" w:eastAsia="黑体" w:cs="黑体"/>
          <w:color w:val="auto"/>
          <w:spacing w:val="-14"/>
          <w:sz w:val="24"/>
          <w:szCs w:val="24"/>
        </w:rPr>
        <w:t>32.2采购代理服务费的计算基数是</w:t>
      </w:r>
      <w:r>
        <w:rPr>
          <w:rFonts w:ascii="黑体" w:hAnsi="黑体" w:eastAsia="黑体" w:cs="黑体"/>
          <w:color w:val="auto"/>
          <w:spacing w:val="-14"/>
          <w:sz w:val="24"/>
          <w:szCs w:val="24"/>
          <w:u w:val="single" w:color="000000"/>
          <w14:textOutline w14:w="4358" w14:cap="sq" w14:cmpd="sng">
            <w14:solidFill>
              <w14:srgbClr w14:val="000000"/>
            </w14:solidFill>
            <w14:prstDash w14:val="solid"/>
            <w14:bevel/>
          </w14:textOutline>
        </w:rPr>
        <w:t>中标通知书中载明的中</w:t>
      </w:r>
      <w:r>
        <w:rPr>
          <w:rFonts w:ascii="黑体" w:hAnsi="黑体" w:eastAsia="黑体" w:cs="黑体"/>
          <w:color w:val="auto"/>
          <w:spacing w:val="-15"/>
          <w:sz w:val="24"/>
          <w:szCs w:val="24"/>
          <w:u w:val="single" w:color="000000"/>
          <w14:textOutline w14:w="4358" w14:cap="sq" w14:cmpd="sng">
            <w14:solidFill>
              <w14:srgbClr w14:val="000000"/>
            </w14:solidFill>
            <w14:prstDash w14:val="solid"/>
            <w14:bevel/>
          </w14:textOutline>
        </w:rPr>
        <w:t>标总金额</w:t>
      </w:r>
      <w:r>
        <w:rPr>
          <w:rFonts w:ascii="黑体" w:hAnsi="黑体" w:eastAsia="黑体" w:cs="黑体"/>
          <w:color w:val="auto"/>
          <w:spacing w:val="-15"/>
          <w:sz w:val="24"/>
          <w:szCs w:val="24"/>
        </w:rPr>
        <w:t>。</w:t>
      </w:r>
    </w:p>
    <w:p w14:paraId="1659098D">
      <w:pPr>
        <w:spacing w:before="181" w:line="468" w:lineRule="exact"/>
        <w:ind w:right="21"/>
        <w:jc w:val="right"/>
        <w:rPr>
          <w:rFonts w:ascii="黑体" w:hAnsi="黑体" w:eastAsia="黑体" w:cs="黑体"/>
          <w:color w:val="auto"/>
          <w:sz w:val="24"/>
          <w:szCs w:val="24"/>
        </w:rPr>
      </w:pPr>
      <w:r>
        <w:rPr>
          <w:rFonts w:ascii="黑体" w:hAnsi="黑体" w:eastAsia="黑体" w:cs="黑体"/>
          <w:color w:val="auto"/>
          <w:spacing w:val="4"/>
          <w:position w:val="16"/>
          <w:sz w:val="24"/>
          <w:szCs w:val="24"/>
        </w:rPr>
        <w:t>33本竞争性磋商文件是根据《中华人民共和国政府采购法》、《中华人民共和</w:t>
      </w:r>
    </w:p>
    <w:p w14:paraId="50B7D42E">
      <w:pPr>
        <w:spacing w:before="2" w:line="212" w:lineRule="auto"/>
        <w:ind w:left="18"/>
        <w:rPr>
          <w:rFonts w:ascii="黑体" w:hAnsi="黑体" w:eastAsia="黑体" w:cs="黑体"/>
          <w:color w:val="auto"/>
          <w:sz w:val="24"/>
          <w:szCs w:val="24"/>
        </w:rPr>
      </w:pPr>
      <w:r>
        <w:rPr>
          <w:rFonts w:ascii="黑体" w:hAnsi="黑体" w:eastAsia="黑体" w:cs="黑体"/>
          <w:color w:val="auto"/>
          <w:spacing w:val="5"/>
          <w:sz w:val="24"/>
          <w:szCs w:val="24"/>
        </w:rPr>
        <w:t>国政府采购法实施条例》的规定编制，解释</w:t>
      </w:r>
      <w:r>
        <w:rPr>
          <w:rFonts w:ascii="黑体" w:hAnsi="黑体" w:eastAsia="黑体" w:cs="黑体"/>
          <w:color w:val="auto"/>
          <w:spacing w:val="4"/>
          <w:sz w:val="24"/>
          <w:szCs w:val="24"/>
        </w:rPr>
        <w:t>权属采购代理机构。</w:t>
      </w:r>
    </w:p>
    <w:p w14:paraId="6F47DDFE">
      <w:pPr>
        <w:spacing w:before="191" w:line="468" w:lineRule="exact"/>
        <w:ind w:right="12"/>
        <w:jc w:val="right"/>
        <w:rPr>
          <w:rFonts w:ascii="黑体" w:hAnsi="黑体" w:eastAsia="黑体" w:cs="黑体"/>
          <w:color w:val="auto"/>
          <w:sz w:val="24"/>
          <w:szCs w:val="24"/>
        </w:rPr>
      </w:pPr>
      <w:r>
        <w:rPr>
          <w:rFonts w:ascii="黑体" w:hAnsi="黑体" w:eastAsia="黑体" w:cs="黑体"/>
          <w:color w:val="auto"/>
          <w:spacing w:val="5"/>
          <w:position w:val="17"/>
          <w:sz w:val="24"/>
          <w:szCs w:val="24"/>
        </w:rPr>
        <w:t>34参与本次采购的供应商应当有商务、技术人员对评</w:t>
      </w:r>
      <w:r>
        <w:rPr>
          <w:rFonts w:ascii="黑体" w:hAnsi="黑体" w:eastAsia="黑体" w:cs="黑体"/>
          <w:color w:val="auto"/>
          <w:spacing w:val="4"/>
          <w:position w:val="17"/>
          <w:sz w:val="24"/>
          <w:szCs w:val="24"/>
        </w:rPr>
        <w:t>标委员会提出的商务、技</w:t>
      </w:r>
    </w:p>
    <w:p w14:paraId="4A619253">
      <w:pPr>
        <w:spacing w:before="1" w:line="220" w:lineRule="auto"/>
        <w:ind w:left="3"/>
        <w:rPr>
          <w:rFonts w:ascii="黑体" w:hAnsi="黑体" w:eastAsia="黑体" w:cs="黑体"/>
          <w:color w:val="auto"/>
          <w:sz w:val="24"/>
          <w:szCs w:val="24"/>
        </w:rPr>
      </w:pPr>
      <w:r>
        <w:rPr>
          <w:rFonts w:ascii="黑体" w:hAnsi="黑体" w:eastAsia="黑体" w:cs="黑体"/>
          <w:color w:val="auto"/>
          <w:spacing w:val="3"/>
          <w:sz w:val="24"/>
          <w:szCs w:val="24"/>
        </w:rPr>
        <w:t>术问题进行答疑。</w:t>
      </w:r>
    </w:p>
    <w:p w14:paraId="1062DFBD">
      <w:pPr>
        <w:spacing w:line="220" w:lineRule="auto"/>
        <w:rPr>
          <w:rFonts w:ascii="黑体" w:hAnsi="黑体" w:eastAsia="黑体" w:cs="黑体"/>
          <w:color w:val="auto"/>
          <w:sz w:val="24"/>
          <w:szCs w:val="24"/>
        </w:rPr>
        <w:sectPr>
          <w:headerReference r:id="rId22" w:type="default"/>
          <w:footerReference r:id="rId23" w:type="default"/>
          <w:pgSz w:w="11906" w:h="16839"/>
          <w:pgMar w:top="1440" w:right="1080" w:bottom="1440" w:left="1080" w:header="0" w:footer="850" w:gutter="0"/>
          <w:pgNumType w:fmt="decimal"/>
          <w:cols w:space="720" w:num="1"/>
        </w:sectPr>
      </w:pPr>
    </w:p>
    <w:p w14:paraId="68C9CF82">
      <w:pPr>
        <w:spacing w:before="101" w:line="227" w:lineRule="auto"/>
        <w:ind w:left="3278"/>
        <w:outlineLvl w:val="0"/>
        <w:rPr>
          <w:rFonts w:ascii="黑体" w:hAnsi="黑体" w:eastAsia="黑体" w:cs="黑体"/>
          <w:color w:val="auto"/>
          <w:sz w:val="31"/>
          <w:szCs w:val="31"/>
        </w:rPr>
      </w:pPr>
      <w:bookmarkStart w:id="31" w:name="_Toc23427"/>
      <w:r>
        <w:rPr>
          <w:rFonts w:ascii="黑体" w:hAnsi="黑体" w:eastAsia="黑体" w:cs="黑体"/>
          <w:color w:val="auto"/>
          <w:spacing w:val="13"/>
          <w:sz w:val="31"/>
          <w:szCs w:val="31"/>
          <w14:textOutline w14:w="5793" w14:cap="sq" w14:cmpd="sng">
            <w14:solidFill>
              <w14:srgbClr w14:val="000000"/>
            </w14:solidFill>
            <w14:prstDash w14:val="solid"/>
            <w14:bevel/>
          </w14:textOutline>
        </w:rPr>
        <w:t>第三章采购需求</w:t>
      </w:r>
      <w:bookmarkEnd w:id="31"/>
    </w:p>
    <w:p w14:paraId="2407F8BD">
      <w:pPr>
        <w:pStyle w:val="5"/>
        <w:spacing w:line="264" w:lineRule="auto"/>
        <w:rPr>
          <w:color w:val="auto"/>
        </w:rPr>
      </w:pPr>
    </w:p>
    <w:p w14:paraId="12966F22">
      <w:pPr>
        <w:pStyle w:val="5"/>
        <w:spacing w:line="264" w:lineRule="auto"/>
        <w:rPr>
          <w:color w:val="auto"/>
        </w:rPr>
      </w:pPr>
    </w:p>
    <w:p w14:paraId="15F27806">
      <w:pPr>
        <w:pStyle w:val="5"/>
        <w:spacing w:line="265" w:lineRule="auto"/>
        <w:rPr>
          <w:color w:val="auto"/>
        </w:rPr>
      </w:pPr>
    </w:p>
    <w:p w14:paraId="541FFDE1">
      <w:pPr>
        <w:spacing w:before="101" w:line="198" w:lineRule="auto"/>
        <w:ind w:left="3007"/>
        <w:outlineLvl w:val="0"/>
        <w:rPr>
          <w:rFonts w:ascii="黑体" w:hAnsi="黑体" w:eastAsia="黑体" w:cs="黑体"/>
          <w:color w:val="auto"/>
          <w:sz w:val="28"/>
          <w:szCs w:val="28"/>
        </w:rPr>
      </w:pPr>
      <w:bookmarkStart w:id="32" w:name="_Toc21042"/>
      <w:r>
        <w:rPr>
          <w:rFonts w:ascii="黑体" w:hAnsi="黑体" w:eastAsia="黑体" w:cs="黑体"/>
          <w:color w:val="auto"/>
          <w:spacing w:val="6"/>
          <w:sz w:val="28"/>
          <w:szCs w:val="28"/>
          <w14:textOutline w14:w="5103" w14:cap="sq" w14:cmpd="sng">
            <w14:solidFill>
              <w14:srgbClr w14:val="000000"/>
            </w14:solidFill>
            <w14:prstDash w14:val="solid"/>
            <w14:bevel/>
          </w14:textOutline>
        </w:rPr>
        <w:t>详见工程量清单</w:t>
      </w:r>
      <w:r>
        <w:rPr>
          <w:rFonts w:ascii="黑体" w:hAnsi="黑体" w:eastAsia="黑体" w:cs="黑体"/>
          <w:color w:val="auto"/>
          <w:spacing w:val="6"/>
          <w:sz w:val="31"/>
          <w:szCs w:val="31"/>
          <w14:textOutline w14:w="5793" w14:cap="sq" w14:cmpd="sng">
            <w14:solidFill>
              <w14:srgbClr w14:val="000000"/>
            </w14:solidFill>
            <w14:prstDash w14:val="solid"/>
            <w14:bevel/>
          </w14:textOutline>
        </w:rPr>
        <w:t>，</w:t>
      </w:r>
      <w:r>
        <w:rPr>
          <w:rFonts w:ascii="黑体" w:hAnsi="黑体" w:eastAsia="黑体" w:cs="黑体"/>
          <w:color w:val="auto"/>
          <w:spacing w:val="6"/>
          <w:sz w:val="28"/>
          <w:szCs w:val="28"/>
          <w14:textOutline w14:w="5103" w14:cap="sq" w14:cmpd="sng">
            <w14:solidFill>
              <w14:srgbClr w14:val="000000"/>
            </w14:solidFill>
            <w14:prstDash w14:val="solid"/>
            <w14:bevel/>
          </w14:textOutline>
        </w:rPr>
        <w:t>另附</w:t>
      </w:r>
      <w:bookmarkEnd w:id="32"/>
    </w:p>
    <w:p w14:paraId="382961C9">
      <w:pPr>
        <w:spacing w:line="198" w:lineRule="auto"/>
        <w:rPr>
          <w:rFonts w:ascii="黑体" w:hAnsi="黑体" w:eastAsia="黑体" w:cs="黑体"/>
          <w:color w:val="auto"/>
          <w:sz w:val="28"/>
          <w:szCs w:val="28"/>
        </w:rPr>
        <w:sectPr>
          <w:footerReference r:id="rId24" w:type="default"/>
          <w:pgSz w:w="11906" w:h="16839"/>
          <w:pgMar w:top="1440" w:right="1080" w:bottom="1440" w:left="1080" w:header="0" w:footer="850" w:gutter="0"/>
          <w:pgNumType w:fmt="decimal"/>
          <w:cols w:space="720" w:num="1"/>
        </w:sectPr>
      </w:pPr>
    </w:p>
    <w:p w14:paraId="571AD05E">
      <w:pPr>
        <w:pStyle w:val="5"/>
        <w:spacing w:line="265" w:lineRule="auto"/>
        <w:rPr>
          <w:color w:val="auto"/>
        </w:rPr>
      </w:pPr>
    </w:p>
    <w:p w14:paraId="45A2095A">
      <w:pPr>
        <w:pStyle w:val="5"/>
        <w:spacing w:line="266" w:lineRule="auto"/>
        <w:rPr>
          <w:color w:val="auto"/>
        </w:rPr>
      </w:pPr>
    </w:p>
    <w:p w14:paraId="4F1FA142">
      <w:pPr>
        <w:pStyle w:val="5"/>
        <w:spacing w:line="266" w:lineRule="auto"/>
        <w:rPr>
          <w:color w:val="auto"/>
        </w:rPr>
      </w:pPr>
    </w:p>
    <w:p w14:paraId="4C134AE4">
      <w:pPr>
        <w:pStyle w:val="5"/>
        <w:spacing w:line="266" w:lineRule="auto"/>
        <w:rPr>
          <w:color w:val="auto"/>
        </w:rPr>
      </w:pPr>
    </w:p>
    <w:p w14:paraId="35244B05">
      <w:pPr>
        <w:spacing w:before="140" w:line="223" w:lineRule="auto"/>
        <w:ind w:left="2068"/>
        <w:outlineLvl w:val="0"/>
        <w:rPr>
          <w:rFonts w:hint="eastAsia" w:ascii="黑体" w:hAnsi="黑体" w:eastAsia="黑体" w:cs="黑体"/>
          <w:color w:val="auto"/>
          <w:sz w:val="43"/>
          <w:szCs w:val="43"/>
        </w:rPr>
      </w:pPr>
      <w:bookmarkStart w:id="33" w:name="_Toc6325"/>
      <w:r>
        <w:rPr>
          <w:rFonts w:hint="eastAsia" w:ascii="黑体" w:hAnsi="黑体" w:eastAsia="黑体" w:cs="黑体"/>
          <w:color w:val="auto"/>
          <w:spacing w:val="12"/>
          <w:sz w:val="43"/>
          <w:szCs w:val="43"/>
          <w14:textOutline w14:w="7972" w14:cap="sq" w14:cmpd="sng">
            <w14:solidFill>
              <w14:srgbClr w14:val="000000"/>
            </w14:solidFill>
            <w14:prstDash w14:val="solid"/>
            <w14:bevel/>
          </w14:textOutline>
        </w:rPr>
        <w:t>第</w:t>
      </w:r>
      <w:r>
        <w:rPr>
          <w:rFonts w:hint="eastAsia" w:ascii="黑体" w:hAnsi="黑体" w:eastAsia="黑体" w:cs="黑体"/>
          <w:color w:val="auto"/>
          <w:spacing w:val="9"/>
          <w:sz w:val="43"/>
          <w:szCs w:val="43"/>
          <w14:textOutline w14:w="7972" w14:cap="sq" w14:cmpd="sng">
            <w14:solidFill>
              <w14:srgbClr w14:val="000000"/>
            </w14:solidFill>
            <w14:prstDash w14:val="solid"/>
            <w14:bevel/>
          </w14:textOutline>
        </w:rPr>
        <w:t>四章</w:t>
      </w:r>
      <w:r>
        <w:rPr>
          <w:rFonts w:hint="eastAsia" w:ascii="黑体" w:hAnsi="黑体" w:eastAsia="黑体" w:cs="黑体"/>
          <w:color w:val="auto"/>
          <w:spacing w:val="9"/>
          <w:sz w:val="43"/>
          <w:szCs w:val="43"/>
        </w:rPr>
        <w:t xml:space="preserve"> </w:t>
      </w:r>
      <w:r>
        <w:rPr>
          <w:rFonts w:hint="eastAsia" w:ascii="黑体" w:hAnsi="黑体" w:eastAsia="黑体" w:cs="黑体"/>
          <w:color w:val="auto"/>
          <w:spacing w:val="9"/>
          <w:sz w:val="43"/>
          <w:szCs w:val="43"/>
          <w14:textOutline w14:w="7972" w14:cap="sq" w14:cmpd="sng">
            <w14:solidFill>
              <w14:srgbClr w14:val="000000"/>
            </w14:solidFill>
            <w14:prstDash w14:val="solid"/>
            <w14:bevel/>
          </w14:textOutline>
        </w:rPr>
        <w:t>合同条款及格式</w:t>
      </w:r>
      <w:bookmarkEnd w:id="33"/>
    </w:p>
    <w:p w14:paraId="213FD512">
      <w:pPr>
        <w:spacing w:before="329" w:line="227" w:lineRule="auto"/>
        <w:ind w:left="3097"/>
        <w:outlineLvl w:val="1"/>
        <w:rPr>
          <w:rFonts w:hint="eastAsia" w:ascii="黑体" w:hAnsi="黑体" w:eastAsia="黑体" w:cs="黑体"/>
          <w:color w:val="auto"/>
          <w:sz w:val="31"/>
          <w:szCs w:val="31"/>
          <w:highlight w:val="none"/>
        </w:rPr>
      </w:pPr>
      <w:bookmarkStart w:id="34" w:name="_Toc30183"/>
      <w:r>
        <w:rPr>
          <w:rFonts w:hint="eastAsia" w:ascii="黑体" w:hAnsi="黑体" w:eastAsia="黑体" w:cs="黑体"/>
          <w:color w:val="auto"/>
          <w:spacing w:val="8"/>
          <w:sz w:val="31"/>
          <w:szCs w:val="31"/>
          <w:highlight w:val="none"/>
          <w14:textOutline w14:w="5793" w14:cap="sq" w14:cmpd="sng">
            <w14:solidFill>
              <w14:srgbClr w14:val="000000"/>
            </w14:solidFill>
            <w14:prstDash w14:val="solid"/>
            <w14:bevel/>
          </w14:textOutline>
        </w:rPr>
        <w:t>第一节</w:t>
      </w:r>
      <w:r>
        <w:rPr>
          <w:rFonts w:hint="eastAsia" w:ascii="黑体" w:hAnsi="黑体" w:eastAsia="黑体" w:cs="黑体"/>
          <w:color w:val="auto"/>
          <w:spacing w:val="8"/>
          <w:sz w:val="31"/>
          <w:szCs w:val="31"/>
          <w:highlight w:val="none"/>
        </w:rPr>
        <w:t xml:space="preserve">  </w:t>
      </w:r>
      <w:r>
        <w:rPr>
          <w:rFonts w:hint="eastAsia" w:ascii="黑体" w:hAnsi="黑体" w:eastAsia="黑体" w:cs="黑体"/>
          <w:color w:val="auto"/>
          <w:spacing w:val="8"/>
          <w:sz w:val="31"/>
          <w:szCs w:val="31"/>
          <w:highlight w:val="none"/>
          <w14:textOutline w14:w="5793" w14:cap="sq" w14:cmpd="sng">
            <w14:solidFill>
              <w14:srgbClr w14:val="000000"/>
            </w14:solidFill>
            <w14:prstDash w14:val="solid"/>
            <w14:bevel/>
          </w14:textOutline>
        </w:rPr>
        <w:t>合同条款</w:t>
      </w:r>
      <w:bookmarkEnd w:id="34"/>
    </w:p>
    <w:p w14:paraId="0F7A8421">
      <w:pPr>
        <w:spacing w:line="345" w:lineRule="auto"/>
        <w:jc w:val="center"/>
        <w:rPr>
          <w:rFonts w:hint="eastAsia" w:ascii="黑体" w:hAnsi="黑体" w:eastAsia="黑体" w:cs="黑体"/>
          <w:color w:val="auto"/>
          <w:sz w:val="21"/>
          <w:lang w:eastAsia="zh-CN"/>
        </w:rPr>
      </w:pP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以实际签订为准</w:t>
      </w:r>
      <w:r>
        <w:rPr>
          <w:rFonts w:hint="eastAsia" w:ascii="黑体" w:hAnsi="黑体" w:eastAsia="黑体" w:cs="黑体"/>
          <w:color w:val="auto"/>
          <w:sz w:val="21"/>
          <w:lang w:eastAsia="zh-CN"/>
        </w:rPr>
        <w:t>）</w:t>
      </w:r>
    </w:p>
    <w:p w14:paraId="646DA9C9">
      <w:pPr>
        <w:pStyle w:val="21"/>
        <w:jc w:val="center"/>
        <w:rPr>
          <w:rFonts w:hint="eastAsia" w:ascii="黑体" w:hAnsi="黑体" w:eastAsia="黑体" w:cs="黑体"/>
          <w:bCs/>
          <w:color w:val="auto"/>
          <w:sz w:val="32"/>
          <w:szCs w:val="32"/>
          <w:highlight w:val="none"/>
        </w:rPr>
      </w:pPr>
    </w:p>
    <w:p w14:paraId="3FA08600">
      <w:pPr>
        <w:pStyle w:val="21"/>
        <w:jc w:val="center"/>
        <w:rPr>
          <w:rFonts w:hint="eastAsia" w:ascii="黑体" w:hAnsi="黑体" w:eastAsia="黑体" w:cs="黑体"/>
          <w:b/>
          <w:color w:val="auto"/>
          <w:sz w:val="52"/>
          <w:szCs w:val="52"/>
          <w:highlight w:val="none"/>
        </w:rPr>
      </w:pPr>
      <w:r>
        <w:rPr>
          <w:rFonts w:hint="eastAsia" w:ascii="黑体" w:hAnsi="黑体" w:eastAsia="黑体" w:cs="黑体"/>
          <w:bCs/>
          <w:color w:val="auto"/>
          <w:sz w:val="32"/>
          <w:szCs w:val="32"/>
          <w:highlight w:val="none"/>
        </w:rPr>
        <w:t>（GF—2017—0201）</w:t>
      </w:r>
    </w:p>
    <w:p w14:paraId="0C452B7A">
      <w:pPr>
        <w:pStyle w:val="21"/>
        <w:jc w:val="center"/>
        <w:rPr>
          <w:rFonts w:hint="eastAsia" w:ascii="黑体" w:hAnsi="黑体" w:eastAsia="黑体" w:cs="黑体"/>
          <w:b/>
          <w:color w:val="auto"/>
          <w:sz w:val="52"/>
          <w:szCs w:val="52"/>
          <w:highlight w:val="none"/>
        </w:rPr>
      </w:pPr>
    </w:p>
    <w:p w14:paraId="5CB94A33">
      <w:pPr>
        <w:pStyle w:val="21"/>
        <w:jc w:val="center"/>
        <w:rPr>
          <w:rFonts w:hint="eastAsia" w:ascii="黑体" w:hAnsi="黑体" w:eastAsia="黑体" w:cs="黑体"/>
          <w:b/>
          <w:color w:val="auto"/>
          <w:sz w:val="52"/>
          <w:szCs w:val="52"/>
          <w:highlight w:val="none"/>
        </w:rPr>
      </w:pPr>
    </w:p>
    <w:p w14:paraId="46BCEAAD">
      <w:pPr>
        <w:pStyle w:val="21"/>
        <w:jc w:val="center"/>
        <w:rPr>
          <w:rFonts w:hint="eastAsia" w:ascii="黑体" w:hAnsi="黑体" w:eastAsia="黑体" w:cs="黑体"/>
          <w:b/>
          <w:color w:val="auto"/>
          <w:sz w:val="52"/>
          <w:szCs w:val="52"/>
          <w:highlight w:val="none"/>
        </w:rPr>
      </w:pPr>
    </w:p>
    <w:p w14:paraId="4FBAF479">
      <w:pPr>
        <w:pStyle w:val="21"/>
        <w:jc w:val="center"/>
        <w:rPr>
          <w:rFonts w:hint="eastAsia" w:ascii="黑体" w:hAnsi="黑体" w:eastAsia="黑体" w:cs="黑体"/>
          <w:b/>
          <w:color w:val="auto"/>
          <w:sz w:val="72"/>
          <w:szCs w:val="52"/>
          <w:highlight w:val="none"/>
          <w:lang w:eastAsia="zh-CN"/>
        </w:rPr>
      </w:pPr>
      <w:r>
        <w:rPr>
          <w:rFonts w:hint="eastAsia" w:ascii="黑体" w:hAnsi="黑体" w:eastAsia="黑体" w:cs="黑体"/>
          <w:b/>
          <w:color w:val="auto"/>
          <w:sz w:val="72"/>
          <w:szCs w:val="52"/>
          <w:highlight w:val="none"/>
        </w:rPr>
        <w:t>建设工程施工合同</w:t>
      </w:r>
    </w:p>
    <w:p w14:paraId="0B5C311B">
      <w:pPr>
        <w:pStyle w:val="21"/>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（示范文本）</w:t>
      </w:r>
    </w:p>
    <w:p w14:paraId="5576133C">
      <w:pPr>
        <w:pStyle w:val="21"/>
        <w:jc w:val="center"/>
        <w:rPr>
          <w:rFonts w:hint="eastAsia" w:ascii="黑体" w:hAnsi="黑体" w:eastAsia="黑体" w:cs="黑体"/>
          <w:b/>
          <w:color w:val="auto"/>
          <w:sz w:val="52"/>
          <w:szCs w:val="52"/>
          <w:highlight w:val="none"/>
        </w:rPr>
      </w:pPr>
    </w:p>
    <w:p w14:paraId="743C40F4">
      <w:pPr>
        <w:pStyle w:val="21"/>
        <w:jc w:val="center"/>
        <w:rPr>
          <w:rFonts w:hint="eastAsia" w:ascii="黑体" w:hAnsi="黑体" w:eastAsia="黑体" w:cs="黑体"/>
          <w:b/>
          <w:color w:val="auto"/>
          <w:sz w:val="72"/>
          <w:szCs w:val="72"/>
          <w:highlight w:val="none"/>
        </w:rPr>
      </w:pPr>
    </w:p>
    <w:p w14:paraId="59704676">
      <w:pPr>
        <w:pStyle w:val="21"/>
        <w:jc w:val="center"/>
        <w:rPr>
          <w:rFonts w:hint="eastAsia" w:ascii="黑体" w:hAnsi="黑体" w:eastAsia="黑体" w:cs="黑体"/>
          <w:b/>
          <w:color w:val="auto"/>
          <w:sz w:val="52"/>
          <w:szCs w:val="52"/>
          <w:highlight w:val="none"/>
        </w:rPr>
      </w:pPr>
    </w:p>
    <w:p w14:paraId="7EF52521">
      <w:pPr>
        <w:pStyle w:val="21"/>
        <w:jc w:val="center"/>
        <w:rPr>
          <w:rFonts w:hint="eastAsia" w:ascii="黑体" w:hAnsi="黑体" w:eastAsia="黑体" w:cs="黑体"/>
          <w:b/>
          <w:color w:val="auto"/>
          <w:sz w:val="52"/>
          <w:szCs w:val="52"/>
          <w:highlight w:val="none"/>
        </w:rPr>
      </w:pPr>
    </w:p>
    <w:p w14:paraId="03547C1E">
      <w:pPr>
        <w:pStyle w:val="21"/>
        <w:jc w:val="both"/>
        <w:rPr>
          <w:rFonts w:hint="eastAsia" w:ascii="黑体" w:hAnsi="黑体" w:eastAsia="黑体" w:cs="黑体"/>
          <w:b/>
          <w:color w:val="auto"/>
          <w:sz w:val="52"/>
          <w:szCs w:val="52"/>
          <w:highlight w:val="none"/>
        </w:rPr>
      </w:pPr>
    </w:p>
    <w:p w14:paraId="5FD1D428">
      <w:pPr>
        <w:pStyle w:val="21"/>
        <w:jc w:val="both"/>
        <w:rPr>
          <w:rFonts w:hint="eastAsia" w:ascii="黑体" w:hAnsi="黑体" w:eastAsia="黑体" w:cs="黑体"/>
          <w:b/>
          <w:color w:val="auto"/>
          <w:sz w:val="52"/>
          <w:szCs w:val="52"/>
          <w:highlight w:val="none"/>
        </w:rPr>
      </w:pPr>
    </w:p>
    <w:p w14:paraId="2A386D40">
      <w:pPr>
        <w:pStyle w:val="21"/>
        <w:jc w:val="center"/>
        <w:rPr>
          <w:rFonts w:hint="eastAsia" w:ascii="黑体" w:hAnsi="黑体" w:eastAsia="黑体" w:cs="黑体"/>
          <w:b/>
          <w:color w:val="auto"/>
          <w:sz w:val="52"/>
          <w:szCs w:val="52"/>
          <w:highlight w:val="none"/>
        </w:rPr>
      </w:pPr>
    </w:p>
    <w:p w14:paraId="69337B6B">
      <w:pPr>
        <w:pStyle w:val="21"/>
        <w:rPr>
          <w:rFonts w:hint="eastAsia" w:ascii="黑体" w:hAnsi="黑体" w:eastAsia="黑体" w:cs="黑体"/>
          <w:b/>
          <w:color w:val="auto"/>
          <w:sz w:val="28"/>
          <w:szCs w:val="28"/>
          <w:highlight w:val="none"/>
        </w:rPr>
      </w:pPr>
    </w:p>
    <w:p w14:paraId="7C934A7F">
      <w:pPr>
        <w:pStyle w:val="21"/>
        <w:rPr>
          <w:rFonts w:hint="eastAsia" w:ascii="黑体" w:hAnsi="黑体" w:eastAsia="黑体" w:cs="黑体"/>
          <w:b/>
          <w:color w:val="auto"/>
          <w:sz w:val="28"/>
          <w:szCs w:val="28"/>
          <w:highlight w:val="none"/>
        </w:rPr>
      </w:pPr>
    </w:p>
    <w:p w14:paraId="2F2A34B6">
      <w:pPr>
        <w:pStyle w:val="21"/>
        <w:ind w:right="2719" w:rightChars="1295" w:firstLine="2738" w:firstLineChars="1304"/>
        <w:jc w:val="distribute"/>
        <w:rPr>
          <w:rFonts w:hint="eastAsia" w:ascii="黑体" w:hAnsi="黑体" w:eastAsia="黑体" w:cs="黑体"/>
          <w:b/>
          <w:color w:val="auto"/>
          <w:sz w:val="32"/>
          <w:szCs w:val="28"/>
          <w:highlight w:val="none"/>
        </w:rPr>
      </w:pPr>
      <w:r>
        <w:rPr>
          <w:rFonts w:hint="eastAsia" w:ascii="黑体" w:hAnsi="黑体" w:eastAsia="黑体" w:cs="黑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4794250</wp:posOffset>
                </wp:positionH>
                <wp:positionV relativeFrom="paragraph">
                  <wp:posOffset>75565</wp:posOffset>
                </wp:positionV>
                <wp:extent cx="716280" cy="450215"/>
                <wp:effectExtent l="4445" t="5080" r="22225" b="20955"/>
                <wp:wrapNone/>
                <wp:docPr id="5" name="文本框 5"/>
                <wp:cNvGraphicFramePr/>
                <a:graphic xmlns:a="http://schemas.openxmlformats.org/drawingml/2006/main">
                  <a:graphicData uri="http://schemas.microsoft.com/office/word/2010/wordprocessingShape">
                    <wps:wsp>
                      <wps:cNvSpPr txBox="1"/>
                      <wps:spPr>
                        <a:xfrm>
                          <a:off x="0" y="0"/>
                          <a:ext cx="716280" cy="450215"/>
                        </a:xfrm>
                        <a:prstGeom prst="rect">
                          <a:avLst/>
                        </a:prstGeom>
                        <a:noFill/>
                        <a:ln w="9525" cap="flat" cmpd="sng">
                          <a:solidFill>
                            <a:srgbClr val="FFFFFF"/>
                          </a:solidFill>
                          <a:prstDash val="solid"/>
                          <a:miter/>
                          <a:headEnd type="none" w="med" len="med"/>
                          <a:tailEnd type="none" w="med" len="med"/>
                        </a:ln>
                      </wps:spPr>
                      <wps:txbx>
                        <w:txbxContent>
                          <w:p w14:paraId="7B54E45A">
                            <w:pPr>
                              <w:pStyle w:val="21"/>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77.5pt;margin-top:5.95pt;height:35.45pt;width:56.4pt;z-index:251660288;mso-width-relative:page;mso-height-relative:page;" filled="f" stroked="t" coordsize="21600,21600" o:gfxdata="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tx2Y2AAAAAkBAAAPAAAAAAAAAAEAIAAAACIAAABk&#10;cnMvZG93bnJldi54bWxQSwECFAAUAAAACACHTuJAZxYgtQYCAAAMBAAADgAAAAAAAAABACAAAAAn&#10;AQAAZHJzL2Uyb0RvYy54bWxQSwUGAAAAAAYABgBZAQAAnwUAAAAA&#10;">
                <v:fill on="f" focussize="0,0"/>
                <v:stroke color="#FFFFFF" joinstyle="miter"/>
                <v:imagedata o:title=""/>
                <o:lock v:ext="edit" aspectratio="f"/>
                <v:textbox>
                  <w:txbxContent>
                    <w:p w14:paraId="7B54E45A">
                      <w:pPr>
                        <w:pStyle w:val="21"/>
                        <w:rPr>
                          <w:rFonts w:hint="eastAsia"/>
                          <w:b/>
                          <w:bCs/>
                          <w:sz w:val="32"/>
                        </w:rPr>
                      </w:pPr>
                      <w:r>
                        <w:rPr>
                          <w:rFonts w:hint="eastAsia"/>
                          <w:b/>
                          <w:bCs/>
                          <w:sz w:val="32"/>
                        </w:rPr>
                        <w:t>制定</w:t>
                      </w:r>
                    </w:p>
                  </w:txbxContent>
                </v:textbox>
              </v:shape>
            </w:pict>
          </mc:Fallback>
        </mc:AlternateContent>
      </w:r>
      <w:r>
        <w:rPr>
          <w:rFonts w:hint="eastAsia" w:ascii="黑体" w:hAnsi="黑体" w:eastAsia="黑体" w:cs="黑体"/>
          <w:b/>
          <w:color w:val="auto"/>
          <w:sz w:val="32"/>
          <w:szCs w:val="28"/>
          <w:highlight w:val="none"/>
        </w:rPr>
        <w:t>住房城乡建设部</w:t>
      </w:r>
    </w:p>
    <w:p w14:paraId="545B4248">
      <w:pPr>
        <w:pStyle w:val="21"/>
        <w:ind w:right="2719" w:rightChars="1295" w:firstLine="2750" w:firstLineChars="856"/>
        <w:jc w:val="distribute"/>
        <w:rPr>
          <w:rFonts w:hint="eastAsia" w:ascii="黑体" w:hAnsi="黑体" w:eastAsia="黑体" w:cs="黑体"/>
          <w:color w:val="auto"/>
          <w:highlight w:val="none"/>
          <w:lang w:val="zh-CN"/>
        </w:rPr>
      </w:pPr>
      <w:r>
        <w:rPr>
          <w:rFonts w:hint="eastAsia" w:ascii="黑体" w:hAnsi="黑体" w:eastAsia="黑体" w:cs="黑体"/>
          <w:b/>
          <w:color w:val="auto"/>
          <w:sz w:val="32"/>
          <w:szCs w:val="28"/>
          <w:highlight w:val="none"/>
        </w:rPr>
        <w:t>国家工商行政管理总局</w:t>
      </w:r>
      <w:bookmarkStart w:id="35" w:name="_Toc256000013"/>
      <w:bookmarkStart w:id="36" w:name="_Toc296890982"/>
      <w:bookmarkStart w:id="37" w:name="_Toc296503025"/>
      <w:bookmarkStart w:id="38" w:name="_Toc152045767"/>
      <w:bookmarkStart w:id="39" w:name="_Toc179632785"/>
      <w:bookmarkStart w:id="40" w:name="_Toc144974826"/>
      <w:bookmarkStart w:id="41" w:name="_Toc152042546"/>
    </w:p>
    <w:p w14:paraId="3B46DD9B">
      <w:pPr>
        <w:pStyle w:val="22"/>
        <w:spacing w:before="0" w:after="0" w:line="240" w:lineRule="auto"/>
        <w:jc w:val="center"/>
        <w:outlineLvl w:val="0"/>
        <w:rPr>
          <w:rFonts w:hint="eastAsia" w:ascii="黑体" w:hAnsi="黑体" w:eastAsia="黑体" w:cs="黑体"/>
          <w:color w:val="auto"/>
          <w:highlight w:val="none"/>
          <w:lang w:val="zh-CN"/>
        </w:rPr>
      </w:pPr>
      <w:bookmarkStart w:id="42" w:name="_Toc31437"/>
      <w:r>
        <w:rPr>
          <w:rFonts w:hint="eastAsia" w:ascii="黑体" w:hAnsi="黑体" w:eastAsia="黑体" w:cs="黑体"/>
          <w:color w:val="auto"/>
          <w:highlight w:val="none"/>
          <w:lang w:val="zh-CN"/>
        </w:rPr>
        <w:t>说  明</w:t>
      </w:r>
      <w:bookmarkEnd w:id="35"/>
      <w:bookmarkEnd w:id="42"/>
    </w:p>
    <w:p w14:paraId="47E7142F">
      <w:pPr>
        <w:pStyle w:val="21"/>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黑体" w:hAnsi="黑体" w:eastAsia="黑体" w:cs="黑体"/>
          <w:bCs/>
          <w:color w:val="auto"/>
          <w:sz w:val="24"/>
          <w:szCs w:val="24"/>
          <w:highlight w:val="none"/>
        </w:rPr>
      </w:pPr>
      <w:r>
        <w:rPr>
          <w:rFonts w:hint="eastAsia" w:ascii="黑体" w:hAnsi="黑体" w:eastAsia="黑体" w:cs="黑体"/>
          <w:color w:val="auto"/>
          <w:sz w:val="30"/>
          <w:szCs w:val="30"/>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bookmarkStart w:id="43" w:name="_Toc256000014"/>
    </w:p>
    <w:bookmarkEnd w:id="43"/>
    <w:p w14:paraId="13A64824">
      <w:pPr>
        <w:pStyle w:val="21"/>
        <w:keepNext/>
        <w:keepLines/>
        <w:pageBreakBefore/>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bookmarkStart w:id="44" w:name="_Toc19095"/>
      <w:r>
        <w:rPr>
          <w:rFonts w:hint="eastAsia" w:ascii="黑体" w:hAnsi="黑体" w:eastAsia="黑体" w:cs="黑体"/>
          <w:bCs/>
          <w:color w:val="auto"/>
          <w:sz w:val="24"/>
          <w:szCs w:val="24"/>
          <w:highlight w:val="none"/>
        </w:rPr>
        <w:t>一、《示范文本》的组成</w:t>
      </w:r>
      <w:bookmarkEnd w:id="44"/>
    </w:p>
    <w:p w14:paraId="198C1167">
      <w:pPr>
        <w:pStyle w:val="21"/>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《示范文本》由合同协议书、通用合同条款和专用合同条款三部分组成。</w:t>
      </w:r>
    </w:p>
    <w:p w14:paraId="7459975C">
      <w:pPr>
        <w:pStyle w:val="21"/>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bookmarkStart w:id="45" w:name="_Toc256000015"/>
      <w:bookmarkStart w:id="46" w:name="_Toc25592"/>
      <w:r>
        <w:rPr>
          <w:rFonts w:hint="eastAsia" w:ascii="黑体" w:hAnsi="黑体" w:eastAsia="黑体" w:cs="黑体"/>
          <w:color w:val="auto"/>
          <w:sz w:val="24"/>
          <w:szCs w:val="24"/>
          <w:highlight w:val="none"/>
        </w:rPr>
        <w:t>（一）合同协议书</w:t>
      </w:r>
      <w:bookmarkEnd w:id="45"/>
      <w:bookmarkEnd w:id="46"/>
    </w:p>
    <w:p w14:paraId="7F867181">
      <w:pPr>
        <w:pStyle w:val="21"/>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59EDC67">
      <w:pPr>
        <w:pStyle w:val="21"/>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bookmarkStart w:id="47" w:name="_Toc256000016"/>
      <w:bookmarkStart w:id="48" w:name="_Toc20745"/>
      <w:r>
        <w:rPr>
          <w:rFonts w:hint="eastAsia" w:ascii="黑体" w:hAnsi="黑体" w:eastAsia="黑体" w:cs="黑体"/>
          <w:color w:val="auto"/>
          <w:sz w:val="24"/>
          <w:szCs w:val="24"/>
          <w:highlight w:val="none"/>
        </w:rPr>
        <w:t>（二）通用合同条款</w:t>
      </w:r>
      <w:bookmarkEnd w:id="47"/>
      <w:bookmarkEnd w:id="48"/>
    </w:p>
    <w:p w14:paraId="5186D2CB">
      <w:pPr>
        <w:pStyle w:val="21"/>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14:paraId="6CEAAA3A">
      <w:pPr>
        <w:pStyle w:val="21"/>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69418D3">
      <w:pPr>
        <w:pStyle w:val="21"/>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bookmarkStart w:id="49" w:name="_Toc9190"/>
      <w:bookmarkStart w:id="50" w:name="_Toc256000017"/>
      <w:r>
        <w:rPr>
          <w:rFonts w:hint="eastAsia" w:ascii="黑体" w:hAnsi="黑体" w:eastAsia="黑体" w:cs="黑体"/>
          <w:color w:val="auto"/>
          <w:sz w:val="24"/>
          <w:szCs w:val="24"/>
          <w:highlight w:val="none"/>
        </w:rPr>
        <w:t>（三）专用合同条款</w:t>
      </w:r>
      <w:bookmarkEnd w:id="49"/>
      <w:bookmarkEnd w:id="50"/>
    </w:p>
    <w:p w14:paraId="46851BBA">
      <w:pPr>
        <w:pStyle w:val="21"/>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D6F5B7E">
      <w:pPr>
        <w:pStyle w:val="21"/>
        <w:widowControl w:val="0"/>
        <w:kinsoku/>
        <w:wordWrap/>
        <w:overflowPunct/>
        <w:topLinePunct w:val="0"/>
        <w:autoSpaceDE/>
        <w:autoSpaceDN/>
        <w:bidi w:val="0"/>
        <w:spacing w:line="360" w:lineRule="auto"/>
        <w:ind w:right="25" w:rightChars="12"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1.专用合同条款的编号应与相应的通用合同条款的编号一致；</w:t>
      </w:r>
    </w:p>
    <w:p w14:paraId="7427D520">
      <w:pPr>
        <w:pStyle w:val="21"/>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2.合同当事人可以通过对专用合同条款的修改，满足具体建设工程的特殊要求，避免直接修改通用合同条款；</w:t>
      </w:r>
    </w:p>
    <w:p w14:paraId="71293BD4">
      <w:pPr>
        <w:pStyle w:val="21"/>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bookmarkStart w:id="51" w:name="_Toc256000018"/>
    </w:p>
    <w:p w14:paraId="1B656D69">
      <w:pPr>
        <w:pStyle w:val="21"/>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b/>
          <w:color w:val="auto"/>
          <w:sz w:val="24"/>
          <w:szCs w:val="24"/>
          <w:highlight w:val="none"/>
        </w:rPr>
      </w:pPr>
      <w:r>
        <w:rPr>
          <w:rFonts w:hint="eastAsia" w:ascii="黑体" w:hAnsi="黑体" w:eastAsia="黑体" w:cs="黑体"/>
          <w:bCs/>
          <w:color w:val="auto"/>
          <w:sz w:val="24"/>
          <w:szCs w:val="24"/>
          <w:highlight w:val="none"/>
        </w:rPr>
        <w:t>二、《示范文本》的性质和适用范围</w:t>
      </w:r>
      <w:bookmarkEnd w:id="51"/>
    </w:p>
    <w:p w14:paraId="6374E8AA">
      <w:pPr>
        <w:pStyle w:val="21"/>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《示范文本》为非强制性使用文本。《示范文本》适用于房屋</w:t>
      </w:r>
      <w:r>
        <w:rPr>
          <w:rFonts w:hint="eastAsia" w:ascii="黑体" w:hAnsi="黑体" w:eastAsia="黑体" w:cs="黑体"/>
          <w:color w:val="auto"/>
          <w:sz w:val="24"/>
          <w:szCs w:val="24"/>
          <w:highlight w:val="none"/>
          <w:lang w:eastAsia="zh-CN"/>
        </w:rPr>
        <w:t>市政公用工程</w:t>
      </w:r>
      <w:r>
        <w:rPr>
          <w:rFonts w:hint="eastAsia" w:ascii="黑体" w:hAnsi="黑体" w:eastAsia="黑体" w:cs="黑体"/>
          <w:color w:val="auto"/>
          <w:sz w:val="24"/>
          <w:szCs w:val="24"/>
          <w:highlight w:val="none"/>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4F90255">
      <w:pPr>
        <w:pStyle w:val="21"/>
        <w:jc w:val="center"/>
        <w:outlineLvl w:val="1"/>
        <w:rPr>
          <w:rFonts w:hint="eastAsia" w:ascii="黑体" w:hAnsi="黑体" w:eastAsia="黑体" w:cs="黑体"/>
          <w:color w:val="auto"/>
          <w:sz w:val="24"/>
          <w:szCs w:val="24"/>
          <w:highlight w:val="none"/>
        </w:rPr>
      </w:pPr>
      <w:bookmarkStart w:id="52" w:name="_Toc256000019"/>
      <w:bookmarkStart w:id="53" w:name="_Toc351203480"/>
    </w:p>
    <w:p w14:paraId="37BD108A">
      <w:pPr>
        <w:pStyle w:val="21"/>
        <w:jc w:val="center"/>
        <w:outlineLvl w:val="1"/>
        <w:rPr>
          <w:rFonts w:hint="eastAsia" w:ascii="黑体" w:hAnsi="黑体" w:eastAsia="黑体" w:cs="黑体"/>
          <w:color w:val="auto"/>
          <w:sz w:val="24"/>
          <w:szCs w:val="24"/>
          <w:highlight w:val="none"/>
        </w:rPr>
      </w:pPr>
    </w:p>
    <w:p w14:paraId="096364BA">
      <w:pPr>
        <w:pStyle w:val="21"/>
        <w:jc w:val="center"/>
        <w:outlineLvl w:val="1"/>
        <w:rPr>
          <w:rFonts w:hint="eastAsia" w:ascii="黑体" w:hAnsi="黑体" w:eastAsia="黑体" w:cs="黑体"/>
          <w:color w:val="auto"/>
          <w:sz w:val="24"/>
          <w:szCs w:val="24"/>
          <w:highlight w:val="none"/>
        </w:rPr>
      </w:pPr>
    </w:p>
    <w:p w14:paraId="09E59BDD">
      <w:pPr>
        <w:pStyle w:val="21"/>
        <w:jc w:val="center"/>
        <w:outlineLvl w:val="1"/>
        <w:rPr>
          <w:rFonts w:hint="eastAsia" w:ascii="黑体" w:hAnsi="黑体" w:eastAsia="黑体" w:cs="黑体"/>
          <w:color w:val="auto"/>
          <w:sz w:val="24"/>
          <w:szCs w:val="24"/>
          <w:highlight w:val="none"/>
        </w:rPr>
      </w:pPr>
      <w:bookmarkStart w:id="54" w:name="_Toc19475"/>
      <w:r>
        <w:rPr>
          <w:rFonts w:hint="eastAsia" w:ascii="黑体" w:hAnsi="黑体" w:eastAsia="黑体" w:cs="黑体"/>
          <w:color w:val="auto"/>
          <w:sz w:val="24"/>
          <w:szCs w:val="24"/>
          <w:highlight w:val="none"/>
        </w:rPr>
        <w:t>第一部分 合同协议书</w:t>
      </w:r>
      <w:bookmarkEnd w:id="36"/>
      <w:bookmarkEnd w:id="37"/>
      <w:bookmarkEnd w:id="52"/>
      <w:bookmarkEnd w:id="53"/>
      <w:bookmarkEnd w:id="54"/>
    </w:p>
    <w:p w14:paraId="0EFFA23C">
      <w:pPr>
        <w:pStyle w:val="21"/>
        <w:spacing w:line="360" w:lineRule="auto"/>
        <w:rPr>
          <w:rFonts w:hint="eastAsia" w:ascii="黑体" w:hAnsi="黑体" w:eastAsia="黑体" w:cs="黑体"/>
          <w:b/>
          <w:color w:val="auto"/>
          <w:sz w:val="24"/>
          <w:szCs w:val="24"/>
          <w:highlight w:val="none"/>
          <w:u w:val="single"/>
        </w:rPr>
      </w:pPr>
      <w:r>
        <w:rPr>
          <w:rFonts w:hint="eastAsia" w:ascii="黑体" w:hAnsi="黑体" w:eastAsia="黑体" w:cs="黑体"/>
          <w:b/>
          <w:color w:val="auto"/>
          <w:sz w:val="24"/>
          <w:szCs w:val="24"/>
          <w:highlight w:val="none"/>
        </w:rPr>
        <w:t>发包人（全称）：</w:t>
      </w:r>
      <w:r>
        <w:rPr>
          <w:rFonts w:hint="eastAsia" w:ascii="黑体" w:hAnsi="黑体" w:eastAsia="黑体" w:cs="黑体"/>
          <w:b/>
          <w:color w:val="auto"/>
          <w:sz w:val="24"/>
          <w:szCs w:val="24"/>
          <w:highlight w:val="none"/>
          <w:u w:val="single"/>
        </w:rPr>
        <w:t>                       </w:t>
      </w:r>
    </w:p>
    <w:p w14:paraId="09533E89">
      <w:pPr>
        <w:pStyle w:val="21"/>
        <w:spacing w:line="360" w:lineRule="auto"/>
        <w:rPr>
          <w:rFonts w:hint="eastAsia" w:ascii="黑体" w:hAnsi="黑体" w:eastAsia="黑体" w:cs="黑体"/>
          <w:b/>
          <w:color w:val="auto"/>
          <w:sz w:val="24"/>
          <w:szCs w:val="24"/>
          <w:highlight w:val="none"/>
          <w:u w:val="single"/>
        </w:rPr>
      </w:pPr>
      <w:r>
        <w:rPr>
          <w:rFonts w:hint="eastAsia" w:ascii="黑体" w:hAnsi="黑体" w:eastAsia="黑体" w:cs="黑体"/>
          <w:b/>
          <w:color w:val="auto"/>
          <w:sz w:val="24"/>
          <w:szCs w:val="24"/>
          <w:highlight w:val="none"/>
        </w:rPr>
        <w:t>承包人（全称）：</w:t>
      </w:r>
      <w:r>
        <w:rPr>
          <w:rFonts w:hint="eastAsia" w:ascii="黑体" w:hAnsi="黑体" w:eastAsia="黑体" w:cs="黑体"/>
          <w:b/>
          <w:color w:val="auto"/>
          <w:sz w:val="24"/>
          <w:szCs w:val="24"/>
          <w:highlight w:val="none"/>
          <w:u w:val="single"/>
        </w:rPr>
        <w:t>                      </w:t>
      </w:r>
    </w:p>
    <w:p w14:paraId="63E2F88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根据《中华人民共和国合同法》、《中华人民共和国建筑法》及有关法律规定，遵循平等、自愿、公平和诚实信用的原则，双方就</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工程施工及有关事项协商一致，共同达成如下协议：</w:t>
      </w:r>
    </w:p>
    <w:p w14:paraId="4E03F90B">
      <w:pPr>
        <w:pStyle w:val="21"/>
        <w:outlineLvl w:val="2"/>
        <w:rPr>
          <w:rFonts w:hint="eastAsia" w:ascii="黑体" w:hAnsi="黑体" w:eastAsia="黑体" w:cs="黑体"/>
          <w:color w:val="auto"/>
          <w:sz w:val="24"/>
          <w:szCs w:val="24"/>
          <w:highlight w:val="none"/>
        </w:rPr>
      </w:pPr>
      <w:bookmarkStart w:id="55" w:name="_Toc351203481"/>
      <w:bookmarkStart w:id="56" w:name="_Toc256000020"/>
      <w:bookmarkStart w:id="57" w:name="_Toc25712"/>
      <w:r>
        <w:rPr>
          <w:rFonts w:hint="eastAsia" w:ascii="黑体" w:hAnsi="黑体" w:eastAsia="黑体" w:cs="黑体"/>
          <w:color w:val="auto"/>
          <w:sz w:val="24"/>
          <w:szCs w:val="24"/>
          <w:highlight w:val="none"/>
        </w:rPr>
        <w:t>一、工程概况</w:t>
      </w:r>
      <w:bookmarkEnd w:id="55"/>
      <w:bookmarkEnd w:id="56"/>
      <w:bookmarkEnd w:id="57"/>
    </w:p>
    <w:p w14:paraId="28681B0A">
      <w:pPr>
        <w:pStyle w:val="21"/>
        <w:spacing w:line="360" w:lineRule="auto"/>
        <w:ind w:firstLine="470" w:firstLineChars="196"/>
        <w:rPr>
          <w:rFonts w:hint="eastAsia" w:ascii="黑体" w:hAnsi="黑体" w:eastAsia="黑体" w:cs="黑体"/>
          <w:color w:val="auto"/>
          <w:sz w:val="24"/>
          <w:szCs w:val="24"/>
          <w:highlight w:val="none"/>
          <w:u w:val="single"/>
        </w:rPr>
      </w:pPr>
      <w:r>
        <w:rPr>
          <w:rFonts w:hint="eastAsia" w:ascii="黑体" w:hAnsi="黑体" w:eastAsia="黑体" w:cs="黑体"/>
          <w:bCs/>
          <w:color w:val="auto"/>
          <w:sz w:val="24"/>
          <w:szCs w:val="24"/>
          <w:highlight w:val="none"/>
        </w:rPr>
        <w:t>1.工程名称</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D5BCE4A">
      <w:pPr>
        <w:pStyle w:val="21"/>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2.工程地点：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716048E8">
      <w:pPr>
        <w:pStyle w:val="21"/>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3.工程立项批准文号：</w:t>
      </w:r>
      <w:r>
        <w:rPr>
          <w:rFonts w:hint="eastAsia" w:ascii="黑体" w:hAnsi="黑体" w:eastAsia="黑体" w:cs="黑体"/>
          <w:color w:val="auto"/>
          <w:sz w:val="24"/>
          <w:szCs w:val="24"/>
          <w:highlight w:val="none"/>
          <w:u w:val="single"/>
        </w:rPr>
        <w:t xml:space="preserve">       </w:t>
      </w:r>
      <w:r>
        <w:rPr>
          <w:rFonts w:hint="eastAsia" w:ascii="黑体" w:hAnsi="黑体" w:eastAsia="黑体" w:cs="黑体"/>
          <w:bCs/>
          <w:color w:val="auto"/>
          <w:sz w:val="24"/>
          <w:szCs w:val="24"/>
          <w:highlight w:val="none"/>
        </w:rPr>
        <w:t>。</w:t>
      </w:r>
    </w:p>
    <w:p w14:paraId="2B6DBEE2">
      <w:pPr>
        <w:pStyle w:val="21"/>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4.资金来源：</w:t>
      </w:r>
      <w:r>
        <w:rPr>
          <w:rFonts w:hint="eastAsia" w:ascii="黑体" w:hAnsi="黑体" w:eastAsia="黑体" w:cs="黑体"/>
          <w:color w:val="auto"/>
          <w:sz w:val="24"/>
          <w:szCs w:val="24"/>
          <w:highlight w:val="none"/>
          <w:u w:val="single"/>
        </w:rPr>
        <w:t xml:space="preserve">       </w:t>
      </w:r>
      <w:r>
        <w:rPr>
          <w:rFonts w:hint="eastAsia" w:ascii="黑体" w:hAnsi="黑体" w:eastAsia="黑体" w:cs="黑体"/>
          <w:bCs/>
          <w:color w:val="auto"/>
          <w:sz w:val="24"/>
          <w:szCs w:val="24"/>
          <w:highlight w:val="none"/>
        </w:rPr>
        <w:t>。</w:t>
      </w:r>
    </w:p>
    <w:p w14:paraId="3D8CA5F5">
      <w:pPr>
        <w:pStyle w:val="21"/>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5.工程内容：</w:t>
      </w:r>
      <w:r>
        <w:rPr>
          <w:rFonts w:hint="eastAsia" w:ascii="黑体" w:hAnsi="黑体" w:eastAsia="黑体" w:cs="黑体"/>
          <w:color w:val="auto"/>
          <w:sz w:val="24"/>
          <w:szCs w:val="24"/>
          <w:highlight w:val="none"/>
          <w:u w:val="single"/>
        </w:rPr>
        <w:t xml:space="preserve">       </w:t>
      </w:r>
      <w:r>
        <w:rPr>
          <w:rFonts w:hint="eastAsia" w:ascii="黑体" w:hAnsi="黑体" w:eastAsia="黑体" w:cs="黑体"/>
          <w:bCs/>
          <w:color w:val="auto"/>
          <w:sz w:val="24"/>
          <w:szCs w:val="24"/>
          <w:highlight w:val="none"/>
        </w:rPr>
        <w:t>。</w:t>
      </w:r>
    </w:p>
    <w:p w14:paraId="5D045782">
      <w:pPr>
        <w:pStyle w:val="21"/>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群体工程应附《承包人承揽工程项目一览表》（附件1）。</w:t>
      </w:r>
    </w:p>
    <w:p w14:paraId="37CC4E0B">
      <w:pPr>
        <w:pStyle w:val="21"/>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6.工程承包范围：</w:t>
      </w:r>
    </w:p>
    <w:p w14:paraId="5A7FF029">
      <w:pPr>
        <w:pStyle w:val="21"/>
        <w:spacing w:line="360" w:lineRule="auto"/>
        <w:ind w:firstLine="463" w:firstLineChars="193"/>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w:t>
      </w:r>
    </w:p>
    <w:p w14:paraId="4BF29696">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3EAF9D90">
      <w:pPr>
        <w:pStyle w:val="21"/>
        <w:outlineLvl w:val="2"/>
        <w:rPr>
          <w:rFonts w:hint="eastAsia" w:ascii="黑体" w:hAnsi="黑体" w:eastAsia="黑体" w:cs="黑体"/>
          <w:color w:val="auto"/>
          <w:sz w:val="24"/>
          <w:szCs w:val="24"/>
          <w:highlight w:val="none"/>
        </w:rPr>
      </w:pPr>
      <w:bookmarkStart w:id="58" w:name="_Toc351203482"/>
      <w:bookmarkStart w:id="59" w:name="_Toc256000021"/>
      <w:bookmarkStart w:id="60" w:name="_Toc20245"/>
      <w:r>
        <w:rPr>
          <w:rFonts w:hint="eastAsia" w:ascii="黑体" w:hAnsi="黑体" w:eastAsia="黑体" w:cs="黑体"/>
          <w:color w:val="auto"/>
          <w:sz w:val="24"/>
          <w:szCs w:val="24"/>
          <w:highlight w:val="none"/>
        </w:rPr>
        <w:t>二、合同工期</w:t>
      </w:r>
      <w:bookmarkEnd w:id="58"/>
      <w:bookmarkEnd w:id="59"/>
      <w:bookmarkEnd w:id="60"/>
    </w:p>
    <w:p w14:paraId="10C3A04B">
      <w:pPr>
        <w:pStyle w:val="21"/>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计划开工日期：</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日。</w:t>
      </w:r>
    </w:p>
    <w:p w14:paraId="616F2478">
      <w:pPr>
        <w:pStyle w:val="21"/>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计划竣工日期：</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日。</w:t>
      </w:r>
    </w:p>
    <w:p w14:paraId="33917A56">
      <w:pPr>
        <w:pStyle w:val="21"/>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工期总日历天数：</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天。工期总日历天数与根据前述计划开竣工日期计算的工期天数不一致的，以工期总日历天数为准。</w:t>
      </w:r>
    </w:p>
    <w:p w14:paraId="3262024F">
      <w:pPr>
        <w:pStyle w:val="21"/>
        <w:outlineLvl w:val="2"/>
        <w:rPr>
          <w:rFonts w:hint="eastAsia" w:ascii="黑体" w:hAnsi="黑体" w:eastAsia="黑体" w:cs="黑体"/>
          <w:color w:val="auto"/>
          <w:sz w:val="24"/>
          <w:szCs w:val="24"/>
          <w:highlight w:val="none"/>
        </w:rPr>
      </w:pPr>
      <w:bookmarkStart w:id="61" w:name="_Toc256000022"/>
      <w:bookmarkStart w:id="62" w:name="_Toc165"/>
      <w:bookmarkStart w:id="63" w:name="_Toc351203483"/>
      <w:r>
        <w:rPr>
          <w:rFonts w:hint="eastAsia" w:ascii="黑体" w:hAnsi="黑体" w:eastAsia="黑体" w:cs="黑体"/>
          <w:color w:val="auto"/>
          <w:sz w:val="24"/>
          <w:szCs w:val="24"/>
          <w:highlight w:val="none"/>
        </w:rPr>
        <w:t>三、质量标准</w:t>
      </w:r>
      <w:bookmarkEnd w:id="61"/>
      <w:bookmarkEnd w:id="62"/>
      <w:bookmarkEnd w:id="63"/>
    </w:p>
    <w:p w14:paraId="69ED905C">
      <w:pPr>
        <w:pStyle w:val="21"/>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工程质量符合</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标准。</w:t>
      </w:r>
    </w:p>
    <w:p w14:paraId="3A397C65">
      <w:pPr>
        <w:pStyle w:val="21"/>
        <w:outlineLvl w:val="2"/>
        <w:rPr>
          <w:rFonts w:hint="eastAsia" w:ascii="黑体" w:hAnsi="黑体" w:eastAsia="黑体" w:cs="黑体"/>
          <w:color w:val="auto"/>
          <w:sz w:val="24"/>
          <w:szCs w:val="24"/>
          <w:highlight w:val="none"/>
        </w:rPr>
      </w:pPr>
      <w:bookmarkStart w:id="64" w:name="_Toc351203484"/>
      <w:bookmarkStart w:id="65" w:name="_Toc256000023"/>
      <w:bookmarkStart w:id="66" w:name="_Toc12651"/>
      <w:r>
        <w:rPr>
          <w:rFonts w:hint="eastAsia" w:ascii="黑体" w:hAnsi="黑体" w:eastAsia="黑体" w:cs="黑体"/>
          <w:color w:val="auto"/>
          <w:sz w:val="24"/>
          <w:szCs w:val="24"/>
          <w:highlight w:val="none"/>
        </w:rPr>
        <w:t>四、签约合同价与合同价格形式</w:t>
      </w:r>
      <w:bookmarkEnd w:id="64"/>
      <w:bookmarkEnd w:id="65"/>
      <w:bookmarkEnd w:id="66"/>
      <w:r>
        <w:rPr>
          <w:rFonts w:hint="eastAsia" w:ascii="黑体" w:hAnsi="黑体" w:eastAsia="黑体" w:cs="黑体"/>
          <w:color w:val="auto"/>
          <w:sz w:val="24"/>
          <w:szCs w:val="24"/>
          <w:highlight w:val="none"/>
        </w:rPr>
        <w:tab/>
      </w:r>
    </w:p>
    <w:p w14:paraId="0A6ED3C2">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1.签约合同价为：</w:t>
      </w:r>
    </w:p>
    <w:p w14:paraId="36DD4A11">
      <w:pPr>
        <w:pStyle w:val="21"/>
        <w:spacing w:line="360" w:lineRule="auto"/>
        <w:ind w:firstLine="600" w:firstLineChars="2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676369C8">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其中：</w:t>
      </w:r>
    </w:p>
    <w:p w14:paraId="7E687F13">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（1）安全文明施工费：</w:t>
      </w:r>
    </w:p>
    <w:p w14:paraId="08FB9A61">
      <w:pPr>
        <w:pStyle w:val="21"/>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7C5934E3">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（2）材料和工程设备暂估价金额：</w:t>
      </w:r>
    </w:p>
    <w:p w14:paraId="4238A19B">
      <w:pPr>
        <w:pStyle w:val="21"/>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330E857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（3）专业工程暂估价金额：</w:t>
      </w:r>
    </w:p>
    <w:p w14:paraId="6938EB14">
      <w:pPr>
        <w:pStyle w:val="21"/>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033576C8">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（4）暂列金额：</w:t>
      </w:r>
    </w:p>
    <w:p w14:paraId="78AEEE03">
      <w:pPr>
        <w:pStyle w:val="21"/>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7E64177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2.合同价格形式：</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386BF831">
      <w:pPr>
        <w:pStyle w:val="21"/>
        <w:outlineLvl w:val="2"/>
        <w:rPr>
          <w:rFonts w:hint="eastAsia" w:ascii="黑体" w:hAnsi="黑体" w:eastAsia="黑体" w:cs="黑体"/>
          <w:color w:val="auto"/>
          <w:sz w:val="24"/>
          <w:szCs w:val="24"/>
          <w:highlight w:val="none"/>
        </w:rPr>
      </w:pPr>
      <w:bookmarkStart w:id="67" w:name="_Toc351203485"/>
      <w:bookmarkStart w:id="68" w:name="_Toc16614"/>
      <w:bookmarkStart w:id="69" w:name="_Toc256000024"/>
      <w:r>
        <w:rPr>
          <w:rFonts w:hint="eastAsia" w:ascii="黑体" w:hAnsi="黑体" w:eastAsia="黑体" w:cs="黑体"/>
          <w:color w:val="auto"/>
          <w:sz w:val="24"/>
          <w:szCs w:val="24"/>
          <w:highlight w:val="none"/>
        </w:rPr>
        <w:t>五、</w:t>
      </w:r>
      <w:bookmarkEnd w:id="67"/>
      <w:r>
        <w:rPr>
          <w:rFonts w:hint="eastAsia" w:ascii="黑体" w:hAnsi="黑体" w:eastAsia="黑体" w:cs="黑体"/>
          <w:color w:val="auto"/>
          <w:sz w:val="24"/>
          <w:szCs w:val="24"/>
          <w:highlight w:val="none"/>
        </w:rPr>
        <w:t>项目经理</w:t>
      </w:r>
      <w:bookmarkEnd w:id="68"/>
      <w:bookmarkEnd w:id="69"/>
    </w:p>
    <w:p w14:paraId="77556D0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承包人项目经理：</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70D1890">
      <w:pPr>
        <w:pStyle w:val="21"/>
        <w:outlineLvl w:val="2"/>
        <w:rPr>
          <w:rFonts w:hint="eastAsia" w:ascii="黑体" w:hAnsi="黑体" w:eastAsia="黑体" w:cs="黑体"/>
          <w:color w:val="auto"/>
          <w:sz w:val="24"/>
          <w:szCs w:val="24"/>
          <w:highlight w:val="none"/>
        </w:rPr>
      </w:pPr>
      <w:bookmarkStart w:id="70" w:name="_Toc5761"/>
      <w:bookmarkStart w:id="71" w:name="_Toc256000025"/>
      <w:bookmarkStart w:id="72" w:name="_Toc351203486"/>
      <w:r>
        <w:rPr>
          <w:rFonts w:hint="eastAsia" w:ascii="黑体" w:hAnsi="黑体" w:eastAsia="黑体" w:cs="黑体"/>
          <w:color w:val="auto"/>
          <w:sz w:val="24"/>
          <w:szCs w:val="24"/>
          <w:highlight w:val="none"/>
        </w:rPr>
        <w:t>六、合同文件构成</w:t>
      </w:r>
      <w:bookmarkEnd w:id="70"/>
      <w:bookmarkEnd w:id="71"/>
      <w:bookmarkEnd w:id="72"/>
    </w:p>
    <w:p w14:paraId="2AEBDAC8">
      <w:pPr>
        <w:pStyle w:val="21"/>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本协议书与下列文件一起构成合同文件：</w:t>
      </w:r>
    </w:p>
    <w:p w14:paraId="089549B6">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（1）中标通知书（如果有）；</w:t>
      </w:r>
    </w:p>
    <w:p w14:paraId="7C161776">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（2）投标函及其附录（如果有）； </w:t>
      </w:r>
    </w:p>
    <w:p w14:paraId="353C94E9">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（3）专用合同条款及其附件；</w:t>
      </w:r>
    </w:p>
    <w:p w14:paraId="7849D46F">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（4）通用合同条款；</w:t>
      </w:r>
    </w:p>
    <w:p w14:paraId="14337F33">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（5）技术标准和要求；</w:t>
      </w:r>
    </w:p>
    <w:p w14:paraId="28E9D1DE">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（6）图纸；</w:t>
      </w:r>
    </w:p>
    <w:p w14:paraId="31CD4AD0">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（7）已标价工程量清单或预算书；</w:t>
      </w:r>
    </w:p>
    <w:p w14:paraId="5BC97F1E">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（8）其他合同文件。</w:t>
      </w:r>
    </w:p>
    <w:p w14:paraId="68D59237">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在合同订立及履行过程中形成的与合同有关的文件均构成合同文件组成部分。</w:t>
      </w:r>
    </w:p>
    <w:p w14:paraId="589686D2">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24350542">
      <w:pPr>
        <w:pStyle w:val="21"/>
        <w:outlineLvl w:val="2"/>
        <w:rPr>
          <w:rFonts w:hint="eastAsia" w:ascii="黑体" w:hAnsi="黑体" w:eastAsia="黑体" w:cs="黑体"/>
          <w:color w:val="auto"/>
          <w:sz w:val="24"/>
          <w:szCs w:val="24"/>
          <w:highlight w:val="none"/>
        </w:rPr>
      </w:pPr>
      <w:bookmarkStart w:id="73" w:name="_Toc3385"/>
      <w:bookmarkStart w:id="74" w:name="_Toc351203487"/>
      <w:bookmarkStart w:id="75" w:name="_Toc256000026"/>
      <w:r>
        <w:rPr>
          <w:rFonts w:hint="eastAsia" w:ascii="黑体" w:hAnsi="黑体" w:eastAsia="黑体" w:cs="黑体"/>
          <w:color w:val="auto"/>
          <w:sz w:val="24"/>
          <w:szCs w:val="24"/>
          <w:highlight w:val="none"/>
        </w:rPr>
        <w:t>七、承诺</w:t>
      </w:r>
      <w:bookmarkEnd w:id="73"/>
      <w:bookmarkEnd w:id="74"/>
      <w:bookmarkEnd w:id="75"/>
    </w:p>
    <w:p w14:paraId="0431EA84">
      <w:pPr>
        <w:pStyle w:val="21"/>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1.发包人承诺按照法律规定履行项目审批手续、筹集工程建设资金并按照合同约定的期限和方式支付合同价款。</w:t>
      </w:r>
    </w:p>
    <w:p w14:paraId="053F995F">
      <w:pPr>
        <w:pStyle w:val="21"/>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CAA74F1">
      <w:pPr>
        <w:pStyle w:val="21"/>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3.发包人和承包人通过招投标形式签订合同的，双方理解并承诺不再就同一工程另行签订与合同实质性内容相背离的协议。</w:t>
      </w:r>
    </w:p>
    <w:p w14:paraId="3CA0CEEA">
      <w:pPr>
        <w:pStyle w:val="21"/>
        <w:outlineLvl w:val="2"/>
        <w:rPr>
          <w:rFonts w:hint="eastAsia" w:ascii="黑体" w:hAnsi="黑体" w:eastAsia="黑体" w:cs="黑体"/>
          <w:color w:val="auto"/>
          <w:sz w:val="24"/>
          <w:szCs w:val="24"/>
          <w:highlight w:val="none"/>
        </w:rPr>
      </w:pPr>
      <w:bookmarkStart w:id="76" w:name="_Toc351203488"/>
      <w:bookmarkStart w:id="77" w:name="_Toc256000027"/>
      <w:bookmarkStart w:id="78" w:name="_Toc30568"/>
      <w:r>
        <w:rPr>
          <w:rFonts w:hint="eastAsia" w:ascii="黑体" w:hAnsi="黑体" w:eastAsia="黑体" w:cs="黑体"/>
          <w:color w:val="auto"/>
          <w:sz w:val="24"/>
          <w:szCs w:val="24"/>
          <w:highlight w:val="none"/>
        </w:rPr>
        <w:t>八、词语含义</w:t>
      </w:r>
      <w:bookmarkEnd w:id="76"/>
      <w:bookmarkEnd w:id="77"/>
      <w:bookmarkEnd w:id="78"/>
    </w:p>
    <w:p w14:paraId="2E07479F">
      <w:pPr>
        <w:pStyle w:val="21"/>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本协议书中词语含义与第二部分通用合同条款中赋予的含义相同。</w:t>
      </w:r>
    </w:p>
    <w:p w14:paraId="4505260E">
      <w:pPr>
        <w:pStyle w:val="21"/>
        <w:outlineLvl w:val="2"/>
        <w:rPr>
          <w:rFonts w:hint="eastAsia" w:ascii="黑体" w:hAnsi="黑体" w:eastAsia="黑体" w:cs="黑体"/>
          <w:color w:val="auto"/>
          <w:sz w:val="24"/>
          <w:szCs w:val="24"/>
          <w:highlight w:val="none"/>
        </w:rPr>
      </w:pPr>
      <w:bookmarkStart w:id="79" w:name="_Toc28422"/>
      <w:bookmarkStart w:id="80" w:name="_Toc351203489"/>
      <w:bookmarkStart w:id="81" w:name="_Toc256000028"/>
      <w:r>
        <w:rPr>
          <w:rFonts w:hint="eastAsia" w:ascii="黑体" w:hAnsi="黑体" w:eastAsia="黑体" w:cs="黑体"/>
          <w:color w:val="auto"/>
          <w:sz w:val="24"/>
          <w:szCs w:val="24"/>
          <w:highlight w:val="none"/>
        </w:rPr>
        <w:t>九、签订时间</w:t>
      </w:r>
      <w:bookmarkEnd w:id="79"/>
      <w:bookmarkEnd w:id="80"/>
      <w:bookmarkEnd w:id="81"/>
    </w:p>
    <w:p w14:paraId="1D312B1F">
      <w:pPr>
        <w:pStyle w:val="21"/>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本合同于</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年</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月</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日签订。</w:t>
      </w:r>
    </w:p>
    <w:p w14:paraId="4C56F0C4">
      <w:pPr>
        <w:pStyle w:val="21"/>
        <w:outlineLvl w:val="2"/>
        <w:rPr>
          <w:rFonts w:hint="eastAsia" w:ascii="黑体" w:hAnsi="黑体" w:eastAsia="黑体" w:cs="黑体"/>
          <w:color w:val="auto"/>
          <w:sz w:val="24"/>
          <w:szCs w:val="24"/>
          <w:highlight w:val="none"/>
        </w:rPr>
      </w:pPr>
      <w:bookmarkStart w:id="82" w:name="_Toc16920"/>
      <w:bookmarkStart w:id="83" w:name="_Toc256000029"/>
      <w:bookmarkStart w:id="84" w:name="_Toc351203490"/>
      <w:r>
        <w:rPr>
          <w:rFonts w:hint="eastAsia" w:ascii="黑体" w:hAnsi="黑体" w:eastAsia="黑体" w:cs="黑体"/>
          <w:color w:val="auto"/>
          <w:sz w:val="24"/>
          <w:szCs w:val="24"/>
          <w:highlight w:val="none"/>
        </w:rPr>
        <w:t>十、签订地点</w:t>
      </w:r>
      <w:bookmarkEnd w:id="82"/>
      <w:bookmarkEnd w:id="83"/>
      <w:bookmarkEnd w:id="84"/>
    </w:p>
    <w:p w14:paraId="3DC0BF13">
      <w:pPr>
        <w:pStyle w:val="21"/>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本合同在</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签订。</w:t>
      </w:r>
    </w:p>
    <w:p w14:paraId="27A950C1">
      <w:pPr>
        <w:pStyle w:val="21"/>
        <w:outlineLvl w:val="2"/>
        <w:rPr>
          <w:rFonts w:hint="eastAsia" w:ascii="黑体" w:hAnsi="黑体" w:eastAsia="黑体" w:cs="黑体"/>
          <w:color w:val="auto"/>
          <w:sz w:val="24"/>
          <w:szCs w:val="24"/>
          <w:highlight w:val="none"/>
        </w:rPr>
      </w:pPr>
      <w:bookmarkStart w:id="85" w:name="_Toc256000030"/>
      <w:bookmarkStart w:id="86" w:name="_Toc17874"/>
      <w:bookmarkStart w:id="87" w:name="_Toc351203491"/>
      <w:r>
        <w:rPr>
          <w:rFonts w:hint="eastAsia" w:ascii="黑体" w:hAnsi="黑体" w:eastAsia="黑体" w:cs="黑体"/>
          <w:color w:val="auto"/>
          <w:sz w:val="24"/>
          <w:szCs w:val="24"/>
          <w:highlight w:val="none"/>
        </w:rPr>
        <w:t>十一、补充协议</w:t>
      </w:r>
      <w:bookmarkEnd w:id="85"/>
      <w:bookmarkEnd w:id="86"/>
      <w:bookmarkEnd w:id="87"/>
    </w:p>
    <w:p w14:paraId="2CE1B42B">
      <w:pPr>
        <w:pStyle w:val="21"/>
        <w:spacing w:line="360" w:lineRule="auto"/>
        <w:ind w:firstLine="480" w:firstLineChars="200"/>
        <w:rPr>
          <w:rFonts w:hint="eastAsia" w:ascii="黑体" w:hAnsi="黑体" w:eastAsia="黑体" w:cs="黑体"/>
          <w:b/>
          <w:bCs/>
          <w:color w:val="auto"/>
          <w:sz w:val="24"/>
          <w:szCs w:val="24"/>
          <w:highlight w:val="none"/>
        </w:rPr>
      </w:pPr>
      <w:r>
        <w:rPr>
          <w:rFonts w:hint="eastAsia" w:ascii="黑体" w:hAnsi="黑体" w:eastAsia="黑体" w:cs="黑体"/>
          <w:bCs/>
          <w:color w:val="auto"/>
          <w:sz w:val="24"/>
          <w:szCs w:val="24"/>
          <w:highlight w:val="none"/>
        </w:rPr>
        <w:t>合同未尽事宜，合同当事人另行签订补充协议，补充协议是合同的组成部分。</w:t>
      </w:r>
    </w:p>
    <w:p w14:paraId="5FD170BA">
      <w:pPr>
        <w:pStyle w:val="21"/>
        <w:outlineLvl w:val="2"/>
        <w:rPr>
          <w:rFonts w:hint="eastAsia" w:ascii="黑体" w:hAnsi="黑体" w:eastAsia="黑体" w:cs="黑体"/>
          <w:color w:val="auto"/>
          <w:sz w:val="24"/>
          <w:szCs w:val="24"/>
          <w:highlight w:val="none"/>
        </w:rPr>
      </w:pPr>
      <w:bookmarkStart w:id="88" w:name="_Toc256000031"/>
      <w:bookmarkStart w:id="89" w:name="_Toc351203492"/>
      <w:bookmarkStart w:id="90" w:name="_Toc965"/>
      <w:r>
        <w:rPr>
          <w:rFonts w:hint="eastAsia" w:ascii="黑体" w:hAnsi="黑体" w:eastAsia="黑体" w:cs="黑体"/>
          <w:color w:val="auto"/>
          <w:sz w:val="24"/>
          <w:szCs w:val="24"/>
          <w:highlight w:val="none"/>
        </w:rPr>
        <w:t>十二、合同生效</w:t>
      </w:r>
      <w:bookmarkEnd w:id="88"/>
      <w:bookmarkEnd w:id="89"/>
      <w:bookmarkEnd w:id="90"/>
    </w:p>
    <w:p w14:paraId="30A7C311">
      <w:pPr>
        <w:pStyle w:val="21"/>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本合同自</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生效。</w:t>
      </w:r>
    </w:p>
    <w:p w14:paraId="3E7CC2A1">
      <w:pPr>
        <w:pStyle w:val="21"/>
        <w:outlineLvl w:val="2"/>
        <w:rPr>
          <w:rFonts w:hint="eastAsia" w:ascii="黑体" w:hAnsi="黑体" w:eastAsia="黑体" w:cs="黑体"/>
          <w:color w:val="auto"/>
          <w:sz w:val="24"/>
          <w:szCs w:val="24"/>
          <w:highlight w:val="none"/>
        </w:rPr>
      </w:pPr>
      <w:bookmarkStart w:id="91" w:name="_Toc351203493"/>
      <w:bookmarkStart w:id="92" w:name="_Toc28341"/>
      <w:bookmarkStart w:id="93" w:name="_Toc256000032"/>
      <w:r>
        <w:rPr>
          <w:rFonts w:hint="eastAsia" w:ascii="黑体" w:hAnsi="黑体" w:eastAsia="黑体" w:cs="黑体"/>
          <w:color w:val="auto"/>
          <w:sz w:val="24"/>
          <w:szCs w:val="24"/>
          <w:highlight w:val="none"/>
        </w:rPr>
        <w:t>十三、合同份数</w:t>
      </w:r>
      <w:bookmarkEnd w:id="91"/>
      <w:bookmarkEnd w:id="92"/>
      <w:bookmarkEnd w:id="93"/>
    </w:p>
    <w:p w14:paraId="384B68FE">
      <w:pPr>
        <w:pStyle w:val="21"/>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本合同一式</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份，均具有同等法律效力，发包人执</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份，承包人执</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份。</w:t>
      </w:r>
    </w:p>
    <w:p w14:paraId="2D4E4B7D">
      <w:pPr>
        <w:pStyle w:val="21"/>
        <w:spacing w:line="360" w:lineRule="auto"/>
        <w:rPr>
          <w:rFonts w:hint="eastAsia" w:ascii="黑体" w:hAnsi="黑体" w:eastAsia="黑体" w:cs="黑体"/>
          <w:bCs/>
          <w:color w:val="auto"/>
          <w:sz w:val="24"/>
          <w:szCs w:val="24"/>
          <w:highlight w:val="none"/>
        </w:rPr>
      </w:pPr>
    </w:p>
    <w:p w14:paraId="00C0B615">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  (公章)             承包人：  (公章)</w:t>
      </w:r>
    </w:p>
    <w:p w14:paraId="7D3253CC">
      <w:pPr>
        <w:pStyle w:val="21"/>
        <w:spacing w:line="360"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xml:space="preserve">                                 </w:t>
      </w:r>
    </w:p>
    <w:p w14:paraId="1660D9AF">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法定代表人或其委托代理人：  法定代表人或其委托代理人：</w:t>
      </w:r>
    </w:p>
    <w:p w14:paraId="3866DF3E">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（签字）                    （签字）</w:t>
      </w:r>
    </w:p>
    <w:p w14:paraId="40775A26">
      <w:pPr>
        <w:pStyle w:val="21"/>
        <w:spacing w:line="360" w:lineRule="auto"/>
        <w:rPr>
          <w:rFonts w:hint="eastAsia" w:ascii="黑体" w:hAnsi="黑体" w:eastAsia="黑体" w:cs="黑体"/>
          <w:color w:val="auto"/>
          <w:sz w:val="24"/>
          <w:szCs w:val="24"/>
          <w:highlight w:val="none"/>
          <w:u w:val="single"/>
        </w:rPr>
      </w:pPr>
    </w:p>
    <w:p w14:paraId="6851DE5A">
      <w:pPr>
        <w:pStyle w:val="21"/>
        <w:tabs>
          <w:tab w:val="left" w:pos="4410"/>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组织机构代码：</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组织机构代码：</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w:t>
      </w:r>
    </w:p>
    <w:p w14:paraId="5A87241D">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  址：</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地  址：</w:t>
      </w:r>
      <w:r>
        <w:rPr>
          <w:rFonts w:hint="eastAsia" w:ascii="黑体" w:hAnsi="黑体" w:eastAsia="黑体" w:cs="黑体"/>
          <w:color w:val="auto"/>
          <w:sz w:val="24"/>
          <w:szCs w:val="24"/>
          <w:highlight w:val="none"/>
          <w:u w:val="single"/>
        </w:rPr>
        <w:t xml:space="preserve">        </w:t>
      </w:r>
    </w:p>
    <w:p w14:paraId="022AC530">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邮政编码：</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 xml:space="preserve">  邮政编码：</w:t>
      </w:r>
      <w:r>
        <w:rPr>
          <w:rFonts w:hint="eastAsia" w:ascii="黑体" w:hAnsi="黑体" w:eastAsia="黑体" w:cs="黑体"/>
          <w:color w:val="auto"/>
          <w:sz w:val="24"/>
          <w:szCs w:val="24"/>
          <w:highlight w:val="none"/>
          <w:u w:val="single"/>
        </w:rPr>
        <w:t xml:space="preserve">   </w:t>
      </w:r>
    </w:p>
    <w:p w14:paraId="22F3A065">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法定代表人：</w:t>
      </w:r>
      <w:r>
        <w:rPr>
          <w:rFonts w:hint="eastAsia" w:ascii="黑体" w:hAnsi="黑体" w:eastAsia="黑体" w:cs="黑体"/>
          <w:color w:val="auto"/>
          <w:sz w:val="24"/>
          <w:szCs w:val="24"/>
          <w:highlight w:val="none"/>
          <w:u w:val="single"/>
        </w:rPr>
        <w:t xml:space="preserve">             </w:t>
      </w:r>
    </w:p>
    <w:p w14:paraId="611DBDC1">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委托代理人：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委托代理人：</w:t>
      </w:r>
      <w:r>
        <w:rPr>
          <w:rFonts w:hint="eastAsia" w:ascii="黑体" w:hAnsi="黑体" w:eastAsia="黑体" w:cs="黑体"/>
          <w:color w:val="auto"/>
          <w:sz w:val="24"/>
          <w:szCs w:val="24"/>
          <w:highlight w:val="none"/>
          <w:u w:val="single"/>
        </w:rPr>
        <w:t xml:space="preserve">             </w:t>
      </w:r>
    </w:p>
    <w:p w14:paraId="00D262F6">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  话：</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电  话：</w:t>
      </w:r>
      <w:r>
        <w:rPr>
          <w:rFonts w:hint="eastAsia" w:ascii="黑体" w:hAnsi="黑体" w:eastAsia="黑体" w:cs="黑体"/>
          <w:color w:val="auto"/>
          <w:sz w:val="24"/>
          <w:szCs w:val="24"/>
          <w:highlight w:val="none"/>
          <w:u w:val="single"/>
        </w:rPr>
        <w:t xml:space="preserve">     </w:t>
      </w:r>
    </w:p>
    <w:p w14:paraId="7BD4C3D7">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传  真：</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传  真：</w:t>
      </w:r>
      <w:r>
        <w:rPr>
          <w:rFonts w:hint="eastAsia" w:ascii="黑体" w:hAnsi="黑体" w:eastAsia="黑体" w:cs="黑体"/>
          <w:color w:val="auto"/>
          <w:sz w:val="24"/>
          <w:szCs w:val="24"/>
          <w:highlight w:val="none"/>
          <w:u w:val="single"/>
        </w:rPr>
        <w:t xml:space="preserve">     </w:t>
      </w:r>
    </w:p>
    <w:p w14:paraId="19B64C6A">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电子信箱：</w:t>
      </w:r>
      <w:r>
        <w:rPr>
          <w:rFonts w:hint="eastAsia" w:ascii="黑体" w:hAnsi="黑体" w:eastAsia="黑体" w:cs="黑体"/>
          <w:color w:val="auto"/>
          <w:sz w:val="24"/>
          <w:szCs w:val="24"/>
          <w:highlight w:val="none"/>
          <w:u w:val="single"/>
        </w:rPr>
        <w:t xml:space="preserve">   </w:t>
      </w:r>
    </w:p>
    <w:p w14:paraId="223D6244">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开户银行：</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开户银行：</w:t>
      </w:r>
      <w:r>
        <w:rPr>
          <w:rFonts w:hint="eastAsia" w:ascii="黑体" w:hAnsi="黑体" w:eastAsia="黑体" w:cs="黑体"/>
          <w:color w:val="auto"/>
          <w:sz w:val="24"/>
          <w:szCs w:val="24"/>
          <w:highlight w:val="none"/>
          <w:u w:val="single"/>
        </w:rPr>
        <w:t xml:space="preserve">   </w:t>
      </w:r>
    </w:p>
    <w:p w14:paraId="1CD46770">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账  号：</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账  号：</w:t>
      </w:r>
      <w:r>
        <w:rPr>
          <w:rFonts w:hint="eastAsia" w:ascii="黑体" w:hAnsi="黑体" w:eastAsia="黑体" w:cs="黑体"/>
          <w:color w:val="auto"/>
          <w:sz w:val="24"/>
          <w:szCs w:val="24"/>
          <w:highlight w:val="none"/>
          <w:u w:val="single"/>
        </w:rPr>
        <w:t xml:space="preserve">     </w:t>
      </w:r>
    </w:p>
    <w:p w14:paraId="7045CFE3">
      <w:pPr>
        <w:pStyle w:val="21"/>
        <w:jc w:val="center"/>
        <w:outlineLvl w:val="1"/>
        <w:rPr>
          <w:rFonts w:hint="eastAsia" w:ascii="黑体" w:hAnsi="黑体" w:eastAsia="黑体" w:cs="黑体"/>
          <w:color w:val="auto"/>
          <w:sz w:val="24"/>
          <w:szCs w:val="24"/>
          <w:highlight w:val="none"/>
        </w:rPr>
      </w:pPr>
      <w:bookmarkStart w:id="94" w:name="_Toc256000033"/>
      <w:bookmarkStart w:id="95" w:name="_Toc351203494"/>
    </w:p>
    <w:p w14:paraId="267603D4">
      <w:pPr>
        <w:pStyle w:val="21"/>
        <w:jc w:val="center"/>
        <w:outlineLvl w:val="1"/>
        <w:rPr>
          <w:rFonts w:hint="eastAsia" w:ascii="黑体" w:hAnsi="黑体" w:eastAsia="黑体" w:cs="黑体"/>
          <w:color w:val="auto"/>
          <w:sz w:val="24"/>
          <w:szCs w:val="24"/>
          <w:highlight w:val="none"/>
        </w:rPr>
      </w:pPr>
    </w:p>
    <w:p w14:paraId="59D54910">
      <w:pPr>
        <w:pStyle w:val="21"/>
        <w:jc w:val="center"/>
        <w:outlineLvl w:val="1"/>
        <w:rPr>
          <w:rFonts w:hint="eastAsia" w:ascii="黑体" w:hAnsi="黑体" w:eastAsia="黑体" w:cs="黑体"/>
          <w:color w:val="auto"/>
          <w:sz w:val="24"/>
          <w:szCs w:val="24"/>
          <w:highlight w:val="none"/>
        </w:rPr>
      </w:pPr>
    </w:p>
    <w:p w14:paraId="444CC509">
      <w:pPr>
        <w:pStyle w:val="21"/>
        <w:jc w:val="center"/>
        <w:outlineLvl w:val="1"/>
        <w:rPr>
          <w:rFonts w:hint="eastAsia" w:ascii="黑体" w:hAnsi="黑体" w:eastAsia="黑体" w:cs="黑体"/>
          <w:color w:val="auto"/>
          <w:sz w:val="24"/>
          <w:szCs w:val="24"/>
          <w:highlight w:val="none"/>
        </w:rPr>
      </w:pPr>
    </w:p>
    <w:p w14:paraId="08E3C082">
      <w:pPr>
        <w:pStyle w:val="21"/>
        <w:jc w:val="center"/>
        <w:outlineLvl w:val="1"/>
        <w:rPr>
          <w:rFonts w:hint="eastAsia" w:ascii="黑体" w:hAnsi="黑体" w:eastAsia="黑体" w:cs="黑体"/>
          <w:color w:val="auto"/>
          <w:sz w:val="24"/>
          <w:szCs w:val="24"/>
          <w:highlight w:val="none"/>
        </w:rPr>
      </w:pPr>
    </w:p>
    <w:p w14:paraId="3D9391E6">
      <w:pPr>
        <w:pStyle w:val="21"/>
        <w:jc w:val="center"/>
        <w:outlineLvl w:val="1"/>
        <w:rPr>
          <w:rFonts w:hint="eastAsia" w:ascii="黑体" w:hAnsi="黑体" w:eastAsia="黑体" w:cs="黑体"/>
          <w:color w:val="auto"/>
          <w:sz w:val="24"/>
          <w:szCs w:val="24"/>
          <w:highlight w:val="none"/>
        </w:rPr>
      </w:pPr>
    </w:p>
    <w:p w14:paraId="7EA38891">
      <w:pPr>
        <w:pStyle w:val="21"/>
        <w:jc w:val="center"/>
        <w:outlineLvl w:val="1"/>
        <w:rPr>
          <w:rFonts w:hint="eastAsia" w:ascii="黑体" w:hAnsi="黑体" w:eastAsia="黑体" w:cs="黑体"/>
          <w:color w:val="auto"/>
          <w:sz w:val="24"/>
          <w:szCs w:val="24"/>
          <w:highlight w:val="none"/>
        </w:rPr>
      </w:pPr>
    </w:p>
    <w:p w14:paraId="1251B147">
      <w:pPr>
        <w:pStyle w:val="21"/>
        <w:jc w:val="center"/>
        <w:outlineLvl w:val="1"/>
        <w:rPr>
          <w:rFonts w:hint="eastAsia" w:ascii="黑体" w:hAnsi="黑体" w:eastAsia="黑体" w:cs="黑体"/>
          <w:color w:val="auto"/>
          <w:sz w:val="24"/>
          <w:szCs w:val="24"/>
          <w:highlight w:val="none"/>
        </w:rPr>
      </w:pPr>
    </w:p>
    <w:p w14:paraId="65E315FA">
      <w:pPr>
        <w:pStyle w:val="21"/>
        <w:jc w:val="center"/>
        <w:outlineLvl w:val="1"/>
        <w:rPr>
          <w:rFonts w:hint="eastAsia" w:ascii="黑体" w:hAnsi="黑体" w:eastAsia="黑体" w:cs="黑体"/>
          <w:color w:val="auto"/>
          <w:sz w:val="24"/>
          <w:szCs w:val="24"/>
          <w:highlight w:val="none"/>
        </w:rPr>
      </w:pPr>
    </w:p>
    <w:p w14:paraId="0A4F57BC">
      <w:pPr>
        <w:pStyle w:val="21"/>
        <w:jc w:val="center"/>
        <w:outlineLvl w:val="1"/>
        <w:rPr>
          <w:rFonts w:hint="eastAsia" w:ascii="黑体" w:hAnsi="黑体" w:eastAsia="黑体" w:cs="黑体"/>
          <w:color w:val="auto"/>
          <w:sz w:val="24"/>
          <w:szCs w:val="24"/>
          <w:highlight w:val="none"/>
        </w:rPr>
      </w:pPr>
    </w:p>
    <w:p w14:paraId="58FA4B07">
      <w:pPr>
        <w:pStyle w:val="21"/>
        <w:jc w:val="center"/>
        <w:outlineLvl w:val="1"/>
        <w:rPr>
          <w:rFonts w:hint="eastAsia" w:ascii="黑体" w:hAnsi="黑体" w:eastAsia="黑体" w:cs="黑体"/>
          <w:color w:val="auto"/>
          <w:sz w:val="24"/>
          <w:szCs w:val="24"/>
          <w:highlight w:val="none"/>
        </w:rPr>
      </w:pPr>
    </w:p>
    <w:p w14:paraId="69F7BB3E">
      <w:pPr>
        <w:pStyle w:val="21"/>
        <w:jc w:val="center"/>
        <w:outlineLvl w:val="1"/>
        <w:rPr>
          <w:rFonts w:hint="eastAsia" w:ascii="黑体" w:hAnsi="黑体" w:eastAsia="黑体" w:cs="黑体"/>
          <w:color w:val="auto"/>
          <w:sz w:val="24"/>
          <w:szCs w:val="24"/>
          <w:highlight w:val="none"/>
        </w:rPr>
      </w:pPr>
    </w:p>
    <w:p w14:paraId="1AE03E5E">
      <w:pPr>
        <w:pStyle w:val="21"/>
        <w:jc w:val="center"/>
        <w:outlineLvl w:val="1"/>
        <w:rPr>
          <w:rFonts w:hint="eastAsia" w:ascii="黑体" w:hAnsi="黑体" w:eastAsia="黑体" w:cs="黑体"/>
          <w:color w:val="auto"/>
          <w:sz w:val="24"/>
          <w:szCs w:val="24"/>
          <w:highlight w:val="none"/>
        </w:rPr>
      </w:pPr>
    </w:p>
    <w:p w14:paraId="579F8BE1">
      <w:pPr>
        <w:pStyle w:val="21"/>
        <w:jc w:val="center"/>
        <w:outlineLvl w:val="1"/>
        <w:rPr>
          <w:rFonts w:hint="eastAsia" w:ascii="黑体" w:hAnsi="黑体" w:eastAsia="黑体" w:cs="黑体"/>
          <w:color w:val="auto"/>
          <w:sz w:val="24"/>
          <w:szCs w:val="24"/>
          <w:highlight w:val="none"/>
          <w:lang w:eastAsia="zh-CN"/>
        </w:rPr>
      </w:pPr>
      <w:bookmarkStart w:id="96" w:name="_Toc32506"/>
      <w:r>
        <w:rPr>
          <w:rFonts w:hint="eastAsia" w:ascii="黑体" w:hAnsi="黑体" w:eastAsia="黑体" w:cs="黑体"/>
          <w:color w:val="auto"/>
          <w:sz w:val="24"/>
          <w:szCs w:val="24"/>
          <w:highlight w:val="none"/>
        </w:rPr>
        <w:t>第二部分 通用合同条款</w:t>
      </w:r>
      <w:bookmarkEnd w:id="94"/>
      <w:bookmarkEnd w:id="95"/>
      <w:bookmarkStart w:id="97" w:name="_Toc337558727"/>
      <w:r>
        <w:rPr>
          <w:rFonts w:hint="eastAsia" w:ascii="黑体" w:hAnsi="黑体" w:eastAsia="黑体" w:cs="黑体"/>
          <w:color w:val="auto"/>
          <w:sz w:val="24"/>
          <w:szCs w:val="24"/>
          <w:highlight w:val="none"/>
          <w:lang w:eastAsia="zh-CN"/>
        </w:rPr>
        <w:t>（略）</w:t>
      </w:r>
      <w:bookmarkEnd w:id="96"/>
    </w:p>
    <w:bookmarkEnd w:id="97"/>
    <w:p w14:paraId="426EC52B">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p>
    <w:bookmarkEnd w:id="38"/>
    <w:bookmarkEnd w:id="39"/>
    <w:bookmarkEnd w:id="40"/>
    <w:bookmarkEnd w:id="41"/>
    <w:p w14:paraId="63F19C75">
      <w:pPr>
        <w:pStyle w:val="3"/>
        <w:rPr>
          <w:rFonts w:hint="eastAsia" w:ascii="黑体" w:hAnsi="黑体" w:eastAsia="黑体" w:cs="黑体"/>
          <w:color w:val="auto"/>
          <w:sz w:val="24"/>
          <w:szCs w:val="24"/>
          <w:highlight w:val="none"/>
          <w:lang w:val="zh-CN"/>
        </w:rPr>
      </w:pPr>
    </w:p>
    <w:p w14:paraId="012E75D8">
      <w:pPr>
        <w:pStyle w:val="21"/>
        <w:jc w:val="center"/>
        <w:outlineLvl w:val="1"/>
        <w:rPr>
          <w:rFonts w:hint="eastAsia" w:ascii="黑体" w:hAnsi="黑体" w:eastAsia="黑体" w:cs="黑体"/>
          <w:color w:val="auto"/>
          <w:sz w:val="24"/>
          <w:szCs w:val="24"/>
          <w:highlight w:val="none"/>
        </w:rPr>
      </w:pPr>
      <w:bookmarkStart w:id="98" w:name="_Toc23710"/>
      <w:bookmarkStart w:id="99" w:name="_Toc256000054"/>
      <w:r>
        <w:rPr>
          <w:rFonts w:hint="eastAsia" w:ascii="黑体" w:hAnsi="黑体" w:eastAsia="黑体" w:cs="黑体"/>
          <w:color w:val="auto"/>
          <w:sz w:val="24"/>
          <w:szCs w:val="24"/>
          <w:highlight w:val="none"/>
        </w:rPr>
        <w:t>第三部分 专用合同条款</w:t>
      </w:r>
      <w:bookmarkEnd w:id="98"/>
      <w:bookmarkEnd w:id="99"/>
    </w:p>
    <w:p w14:paraId="715DFBD7">
      <w:pPr>
        <w:pStyle w:val="24"/>
        <w:outlineLvl w:val="2"/>
        <w:rPr>
          <w:rFonts w:hint="eastAsia" w:ascii="黑体" w:hAnsi="黑体" w:eastAsia="黑体" w:cs="黑体"/>
          <w:b/>
          <w:color w:val="auto"/>
          <w:sz w:val="24"/>
          <w:szCs w:val="24"/>
          <w:highlight w:val="none"/>
        </w:rPr>
      </w:pPr>
      <w:bookmarkStart w:id="100" w:name="_Toc21324"/>
      <w:bookmarkStart w:id="101" w:name="_Toc26381"/>
      <w:bookmarkStart w:id="102" w:name="_Toc256000055"/>
      <w:bookmarkStart w:id="103" w:name="_Toc351203633"/>
      <w:r>
        <w:rPr>
          <w:rFonts w:hint="eastAsia" w:ascii="黑体" w:hAnsi="黑体" w:eastAsia="黑体" w:cs="黑体"/>
          <w:b/>
          <w:color w:val="auto"/>
          <w:sz w:val="24"/>
          <w:szCs w:val="24"/>
          <w:highlight w:val="none"/>
        </w:rPr>
        <w:t>1</w:t>
      </w:r>
      <w:bookmarkStart w:id="104" w:name="_Toc296503156"/>
      <w:bookmarkStart w:id="105" w:name="_Toc297120456"/>
      <w:bookmarkStart w:id="106" w:name="_Toc296944495"/>
      <w:bookmarkStart w:id="107" w:name="_Toc292559361"/>
      <w:bookmarkStart w:id="108" w:name="_Toc292559866"/>
      <w:bookmarkStart w:id="109" w:name="_Toc296346657"/>
      <w:bookmarkStart w:id="110" w:name="_Toc296890984"/>
      <w:bookmarkStart w:id="111" w:name="_Toc296347155"/>
      <w:bookmarkStart w:id="112" w:name="_Toc297048342"/>
      <w:bookmarkStart w:id="113" w:name="_Toc296891196"/>
      <w:r>
        <w:rPr>
          <w:rFonts w:hint="eastAsia" w:ascii="黑体" w:hAnsi="黑体" w:eastAsia="黑体" w:cs="黑体"/>
          <w:b/>
          <w:color w:val="auto"/>
          <w:sz w:val="24"/>
          <w:szCs w:val="24"/>
          <w:highlight w:val="none"/>
        </w:rPr>
        <w:t>. 一般约定</w:t>
      </w:r>
      <w:bookmarkEnd w:id="100"/>
      <w:bookmarkEnd w:id="101"/>
      <w:bookmarkEnd w:id="102"/>
      <w:bookmarkEnd w:id="103"/>
    </w:p>
    <w:bookmarkEnd w:id="104"/>
    <w:bookmarkEnd w:id="105"/>
    <w:bookmarkEnd w:id="106"/>
    <w:bookmarkEnd w:id="107"/>
    <w:bookmarkEnd w:id="108"/>
    <w:bookmarkEnd w:id="109"/>
    <w:bookmarkEnd w:id="110"/>
    <w:bookmarkEnd w:id="111"/>
    <w:bookmarkEnd w:id="112"/>
    <w:bookmarkEnd w:id="113"/>
    <w:p w14:paraId="62B87539">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 词语定义</w:t>
      </w:r>
    </w:p>
    <w:p w14:paraId="58B54B57">
      <w:pPr>
        <w:pStyle w:val="24"/>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1.1.1合同</w:t>
      </w:r>
    </w:p>
    <w:p w14:paraId="0B596C2E">
      <w:pPr>
        <w:pStyle w:val="24"/>
        <w:spacing w:line="360" w:lineRule="auto"/>
        <w:ind w:left="1650" w:hanging="1320" w:hangingChars="55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1.1.1.10其他合同文件包括：</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5C8DF7D">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 合同当事人及其他相关方</w:t>
      </w:r>
    </w:p>
    <w:p w14:paraId="1F1FD490">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1.1.2.4监理人：</w:t>
      </w:r>
    </w:p>
    <w:p w14:paraId="3A720A29">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名    称：</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w:t>
      </w:r>
    </w:p>
    <w:p w14:paraId="1E30B309">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资质类别和等级：</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3257F1C0">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1D008E4C">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40F7B58A">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AF177EE">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1.1.2.5 设计人：</w:t>
      </w:r>
    </w:p>
    <w:p w14:paraId="4185DA20">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名    称：</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w:t>
      </w:r>
    </w:p>
    <w:p w14:paraId="1E84BB37">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资质类别和等级：</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0D7476CC">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6155A9EE">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w:t>
      </w:r>
    </w:p>
    <w:p w14:paraId="1B276937">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F462C07">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1.1.3 工程和设备</w:t>
      </w:r>
    </w:p>
    <w:p w14:paraId="5F43485F">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1.1.3.7 作为施工现场组成部分的其他场所包括：</w:t>
      </w:r>
      <w:r>
        <w:rPr>
          <w:rFonts w:hint="eastAsia" w:ascii="黑体" w:hAnsi="黑体" w:eastAsia="黑体" w:cs="黑体"/>
          <w:color w:val="auto"/>
          <w:sz w:val="24"/>
          <w:szCs w:val="24"/>
          <w:highlight w:val="none"/>
          <w:u w:val="single"/>
        </w:rPr>
        <w:t xml:space="preserve"> 通用条款规定的发包方提供的施工场地 </w:t>
      </w:r>
      <w:r>
        <w:rPr>
          <w:rFonts w:hint="eastAsia" w:ascii="黑体" w:hAnsi="黑体" w:eastAsia="黑体" w:cs="黑体"/>
          <w:color w:val="auto"/>
          <w:sz w:val="24"/>
          <w:szCs w:val="24"/>
          <w:highlight w:val="none"/>
        </w:rPr>
        <w:t>。</w:t>
      </w:r>
    </w:p>
    <w:p w14:paraId="20CB0336">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1.1.3.9 永久占地包括：</w:t>
      </w:r>
      <w:r>
        <w:rPr>
          <w:rFonts w:hint="eastAsia" w:ascii="黑体" w:hAnsi="黑体" w:eastAsia="黑体" w:cs="黑体"/>
          <w:color w:val="auto"/>
          <w:sz w:val="24"/>
          <w:szCs w:val="24"/>
          <w:highlight w:val="none"/>
          <w:u w:val="single"/>
        </w:rPr>
        <w:t xml:space="preserve">    依据设计图纸确定 </w:t>
      </w:r>
      <w:r>
        <w:rPr>
          <w:rFonts w:hint="eastAsia" w:ascii="黑体" w:hAnsi="黑体" w:eastAsia="黑体" w:cs="黑体"/>
          <w:color w:val="auto"/>
          <w:kern w:val="0"/>
          <w:sz w:val="24"/>
          <w:szCs w:val="24"/>
          <w:highlight w:val="none"/>
        </w:rPr>
        <w:t>。</w:t>
      </w:r>
    </w:p>
    <w:p w14:paraId="5EFBDE64">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1.1.3.10 临时占地包括：</w:t>
      </w:r>
      <w:r>
        <w:rPr>
          <w:rFonts w:hint="eastAsia" w:ascii="黑体" w:hAnsi="黑体" w:eastAsia="黑体" w:cs="黑体"/>
          <w:color w:val="auto"/>
          <w:sz w:val="24"/>
          <w:szCs w:val="24"/>
          <w:highlight w:val="none"/>
          <w:u w:val="single"/>
        </w:rPr>
        <w:t xml:space="preserve">   双方在合同履行过程中确定</w:t>
      </w:r>
      <w:r>
        <w:rPr>
          <w:rFonts w:hint="eastAsia" w:ascii="黑体" w:hAnsi="黑体" w:eastAsia="黑体" w:cs="黑体"/>
          <w:color w:val="auto"/>
          <w:kern w:val="0"/>
          <w:sz w:val="24"/>
          <w:szCs w:val="24"/>
          <w:highlight w:val="none"/>
        </w:rPr>
        <w:t>。</w:t>
      </w:r>
    </w:p>
    <w:p w14:paraId="239513B0">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 xml:space="preserve">1.3法律 </w:t>
      </w:r>
    </w:p>
    <w:p w14:paraId="58225560">
      <w:pPr>
        <w:pStyle w:val="24"/>
        <w:autoSpaceDE w:val="0"/>
        <w:autoSpaceDN w:val="0"/>
        <w:adjustRightInd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适用于合同的其他规范性文件：</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sz w:val="24"/>
          <w:szCs w:val="24"/>
          <w:highlight w:val="none"/>
        </w:rPr>
        <w:t>。</w:t>
      </w:r>
    </w:p>
    <w:p w14:paraId="5143B9C8">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1.4 标准和规范</w:t>
      </w:r>
    </w:p>
    <w:p w14:paraId="5CC8CDA8">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1.4.1适用于工程的标准规范包括：</w:t>
      </w:r>
      <w:r>
        <w:rPr>
          <w:rFonts w:hint="eastAsia" w:ascii="黑体" w:hAnsi="黑体" w:eastAsia="黑体" w:cs="黑体"/>
          <w:color w:val="auto"/>
          <w:sz w:val="24"/>
          <w:szCs w:val="24"/>
          <w:highlight w:val="none"/>
          <w:u w:val="single"/>
        </w:rPr>
        <w:t>执行通用条款   </w:t>
      </w:r>
      <w:r>
        <w:rPr>
          <w:rFonts w:hint="eastAsia" w:ascii="黑体" w:hAnsi="黑体" w:eastAsia="黑体" w:cs="黑体"/>
          <w:color w:val="auto"/>
          <w:sz w:val="24"/>
          <w:szCs w:val="24"/>
          <w:highlight w:val="none"/>
        </w:rPr>
        <w:t>。</w:t>
      </w:r>
    </w:p>
    <w:p w14:paraId="618D8F59">
      <w:pPr>
        <w:pStyle w:val="24"/>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1.4.2 发包人提供国外标准、规范的名称：</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C9E2F97">
      <w:pPr>
        <w:pStyle w:val="24"/>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发包人提供国外标准、规范的份数：</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D6247B9">
      <w:pPr>
        <w:pStyle w:val="24"/>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发包人提供国外标准、规范的名称：</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3137451">
      <w:pPr>
        <w:pStyle w:val="24"/>
        <w:spacing w:line="360" w:lineRule="auto"/>
        <w:ind w:left="596" w:leftChars="284"/>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1.4.3发包人对工程的技术标准和功能要求的特殊要求：</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43A445D">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1.5 合同文件的优先顺序</w:t>
      </w:r>
    </w:p>
    <w:p w14:paraId="1F94B4AF">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合同文件组成及优先顺序为：</w:t>
      </w:r>
      <w:r>
        <w:rPr>
          <w:rFonts w:hint="eastAsia" w:ascii="黑体" w:hAnsi="黑体" w:eastAsia="黑体" w:cs="黑体"/>
          <w:color w:val="auto"/>
          <w:sz w:val="24"/>
          <w:szCs w:val="24"/>
          <w:highlight w:val="none"/>
          <w:u w:val="single"/>
        </w:rPr>
        <w:t>执行通用条款     </w:t>
      </w:r>
      <w:r>
        <w:rPr>
          <w:rFonts w:hint="eastAsia" w:ascii="黑体" w:hAnsi="黑体" w:eastAsia="黑体" w:cs="黑体"/>
          <w:color w:val="auto"/>
          <w:sz w:val="24"/>
          <w:szCs w:val="24"/>
          <w:highlight w:val="none"/>
        </w:rPr>
        <w:t>。</w:t>
      </w:r>
    </w:p>
    <w:p w14:paraId="223E4AE4">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1.6 图纸和承包人文件</w:t>
      </w:r>
      <w:r>
        <w:rPr>
          <w:rFonts w:hint="eastAsia" w:ascii="黑体" w:hAnsi="黑体" w:eastAsia="黑体" w:cs="黑体"/>
          <w:b w:val="0"/>
          <w:color w:val="auto"/>
          <w:sz w:val="24"/>
          <w:szCs w:val="24"/>
          <w:highlight w:val="none"/>
        </w:rPr>
        <w:tab/>
      </w:r>
    </w:p>
    <w:p w14:paraId="11AB681C">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 图纸的提供</w:t>
      </w:r>
    </w:p>
    <w:p w14:paraId="6AFB7371">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发包人向承包人提供图纸的期限：</w:t>
      </w:r>
      <w:r>
        <w:rPr>
          <w:rFonts w:hint="eastAsia" w:ascii="黑体" w:hAnsi="黑体" w:eastAsia="黑体" w:cs="黑体"/>
          <w:color w:val="auto"/>
          <w:sz w:val="24"/>
          <w:szCs w:val="24"/>
          <w:highlight w:val="none"/>
          <w:u w:val="single"/>
        </w:rPr>
        <w:t>进场前提供基础施工图</w:t>
      </w:r>
      <w:r>
        <w:rPr>
          <w:rFonts w:hint="eastAsia" w:ascii="黑体" w:hAnsi="黑体" w:eastAsia="黑体" w:cs="黑体"/>
          <w:color w:val="auto"/>
          <w:sz w:val="24"/>
          <w:szCs w:val="24"/>
          <w:highlight w:val="none"/>
        </w:rPr>
        <w:t>；</w:t>
      </w:r>
    </w:p>
    <w:p w14:paraId="56E7376E">
      <w:pPr>
        <w:keepNext w:val="0"/>
        <w:keepLines w:val="0"/>
        <w:widowControl/>
        <w:suppressLineNumbers w:val="0"/>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发包人向承包人提供图纸的数量：</w:t>
      </w:r>
      <w:r>
        <w:rPr>
          <w:rFonts w:hint="eastAsia" w:ascii="黑体" w:hAnsi="黑体" w:eastAsia="黑体" w:cs="黑体"/>
          <w:color w:val="auto"/>
          <w:sz w:val="24"/>
          <w:szCs w:val="24"/>
          <w:highlight w:val="none"/>
          <w:u w:val="single"/>
        </w:rPr>
        <w:t></w:t>
      </w:r>
      <w:r>
        <w:rPr>
          <w:rFonts w:hint="eastAsia" w:ascii="黑体" w:hAnsi="黑体" w:eastAsia="黑体" w:cs="黑体"/>
          <w:snapToGrid/>
          <w:color w:val="auto"/>
          <w:kern w:val="2"/>
          <w:sz w:val="24"/>
          <w:szCs w:val="24"/>
          <w:highlight w:val="none"/>
          <w:u w:val="single"/>
          <w:lang w:val="en-US" w:eastAsia="zh-CN" w:bidi="ar-SA"/>
        </w:rPr>
        <w:t>贰份</w:t>
      </w:r>
      <w:r>
        <w:rPr>
          <w:rFonts w:hint="eastAsia" w:ascii="黑体" w:hAnsi="黑体" w:eastAsia="黑体" w:cs="黑体"/>
          <w:color w:val="auto"/>
          <w:sz w:val="24"/>
          <w:szCs w:val="24"/>
          <w:highlight w:val="none"/>
        </w:rPr>
        <w:t>；</w:t>
      </w:r>
    </w:p>
    <w:p w14:paraId="4DF8F21C">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发包人向承包人提供图纸的内容：</w:t>
      </w:r>
      <w:r>
        <w:rPr>
          <w:rFonts w:hint="eastAsia" w:ascii="黑体" w:hAnsi="黑体" w:eastAsia="黑体" w:cs="黑体"/>
          <w:color w:val="auto"/>
          <w:sz w:val="24"/>
          <w:szCs w:val="24"/>
          <w:highlight w:val="none"/>
          <w:u w:val="single"/>
        </w:rPr>
        <w:t>施工图 </w:t>
      </w:r>
      <w:r>
        <w:rPr>
          <w:rFonts w:hint="eastAsia" w:ascii="黑体" w:hAnsi="黑体" w:eastAsia="黑体" w:cs="黑体"/>
          <w:color w:val="auto"/>
          <w:sz w:val="24"/>
          <w:szCs w:val="24"/>
          <w:highlight w:val="none"/>
        </w:rPr>
        <w:t>。</w:t>
      </w:r>
    </w:p>
    <w:p w14:paraId="3C37493F">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1.6.4 承包人文件</w:t>
      </w:r>
    </w:p>
    <w:p w14:paraId="4863B889">
      <w:pPr>
        <w:pStyle w:val="24"/>
        <w:spacing w:line="360" w:lineRule="auto"/>
        <w:ind w:left="596" w:leftChars="284"/>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需要由承包人提供的文件，包括：</w:t>
      </w:r>
      <w:r>
        <w:rPr>
          <w:rFonts w:hint="eastAsia" w:ascii="黑体" w:hAnsi="黑体" w:eastAsia="黑体" w:cs="黑体"/>
          <w:color w:val="auto"/>
          <w:sz w:val="24"/>
          <w:szCs w:val="24"/>
          <w:highlight w:val="none"/>
          <w:u w:val="single"/>
        </w:rPr>
        <w:t xml:space="preserve">各月完成工程量及进度报表 </w:t>
      </w:r>
      <w:r>
        <w:rPr>
          <w:rFonts w:hint="eastAsia" w:ascii="黑体" w:hAnsi="黑体" w:eastAsia="黑体" w:cs="黑体"/>
          <w:color w:val="auto"/>
          <w:sz w:val="24"/>
          <w:szCs w:val="24"/>
          <w:highlight w:val="none"/>
        </w:rPr>
        <w:t>；</w:t>
      </w:r>
    </w:p>
    <w:p w14:paraId="0B937571">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承包人提供的文件的期限为：</w:t>
      </w:r>
      <w:r>
        <w:rPr>
          <w:rFonts w:hint="eastAsia" w:ascii="黑体" w:hAnsi="黑体" w:eastAsia="黑体" w:cs="黑体"/>
          <w:color w:val="auto"/>
          <w:sz w:val="24"/>
          <w:szCs w:val="24"/>
          <w:highlight w:val="none"/>
          <w:u w:val="single"/>
        </w:rPr>
        <w:t>每月25日前</w:t>
      </w:r>
      <w:r>
        <w:rPr>
          <w:rFonts w:hint="eastAsia" w:ascii="黑体" w:hAnsi="黑体" w:eastAsia="黑体" w:cs="黑体"/>
          <w:color w:val="auto"/>
          <w:sz w:val="24"/>
          <w:szCs w:val="24"/>
          <w:highlight w:val="none"/>
        </w:rPr>
        <w:t>；</w:t>
      </w:r>
    </w:p>
    <w:p w14:paraId="37684F30">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承包人提供的文件的数量为：</w:t>
      </w:r>
      <w:r>
        <w:rPr>
          <w:rFonts w:hint="eastAsia" w:ascii="黑体" w:hAnsi="黑体" w:eastAsia="黑体" w:cs="黑体"/>
          <w:color w:val="auto"/>
          <w:sz w:val="24"/>
          <w:szCs w:val="24"/>
          <w:highlight w:val="none"/>
          <w:u w:val="single"/>
        </w:rPr>
        <w:t>1套</w:t>
      </w:r>
      <w:r>
        <w:rPr>
          <w:rFonts w:hint="eastAsia" w:ascii="黑体" w:hAnsi="黑体" w:eastAsia="黑体" w:cs="黑体"/>
          <w:color w:val="auto"/>
          <w:sz w:val="24"/>
          <w:szCs w:val="24"/>
          <w:highlight w:val="none"/>
        </w:rPr>
        <w:t>；</w:t>
      </w:r>
    </w:p>
    <w:p w14:paraId="1F80E0BD">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承包人提供的文件的形式为：</w:t>
      </w:r>
      <w:r>
        <w:rPr>
          <w:rFonts w:hint="eastAsia" w:ascii="黑体" w:hAnsi="黑体" w:eastAsia="黑体" w:cs="黑体"/>
          <w:color w:val="auto"/>
          <w:sz w:val="24"/>
          <w:szCs w:val="24"/>
          <w:highlight w:val="none"/>
          <w:u w:val="single"/>
        </w:rPr>
        <w:t>书面</w:t>
      </w:r>
      <w:r>
        <w:rPr>
          <w:rFonts w:hint="eastAsia" w:ascii="黑体" w:hAnsi="黑体" w:eastAsia="黑体" w:cs="黑体"/>
          <w:color w:val="auto"/>
          <w:sz w:val="24"/>
          <w:szCs w:val="24"/>
          <w:highlight w:val="none"/>
        </w:rPr>
        <w:t>；</w:t>
      </w:r>
    </w:p>
    <w:p w14:paraId="5C0444F4">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发包人审批承包人文件的期限：</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p>
    <w:p w14:paraId="118DE2EF">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1.6.5 现场图纸准备</w:t>
      </w:r>
    </w:p>
    <w:p w14:paraId="3E288958">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关于现场图纸准备的约定：</w:t>
      </w:r>
      <w:r>
        <w:rPr>
          <w:rFonts w:hint="eastAsia" w:ascii="黑体" w:hAnsi="黑体" w:eastAsia="黑体" w:cs="黑体"/>
          <w:color w:val="auto"/>
          <w:sz w:val="24"/>
          <w:szCs w:val="24"/>
          <w:highlight w:val="none"/>
          <w:u w:val="single"/>
        </w:rPr>
        <w:t>双方自行协商</w:t>
      </w:r>
      <w:r>
        <w:rPr>
          <w:rFonts w:hint="eastAsia" w:ascii="黑体" w:hAnsi="黑体" w:eastAsia="黑体" w:cs="黑体"/>
          <w:color w:val="auto"/>
          <w:sz w:val="24"/>
          <w:szCs w:val="24"/>
          <w:highlight w:val="none"/>
        </w:rPr>
        <w:t>。</w:t>
      </w:r>
    </w:p>
    <w:p w14:paraId="4016EA54">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1.7 联络</w:t>
      </w:r>
    </w:p>
    <w:p w14:paraId="7254F999">
      <w:pPr>
        <w:pStyle w:val="24"/>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1.7.1发包人和承包人应当在</w:t>
      </w:r>
      <w:r>
        <w:rPr>
          <w:rFonts w:hint="eastAsia" w:ascii="黑体" w:hAnsi="黑体" w:eastAsia="黑体" w:cs="黑体"/>
          <w:color w:val="auto"/>
          <w:sz w:val="24"/>
          <w:szCs w:val="24"/>
          <w:highlight w:val="none"/>
          <w:u w:val="single"/>
        </w:rPr>
        <w:t xml:space="preserve">7 </w:t>
      </w:r>
      <w:r>
        <w:rPr>
          <w:rFonts w:hint="eastAsia" w:ascii="黑体" w:hAnsi="黑体" w:eastAsia="黑体" w:cs="黑体"/>
          <w:color w:val="auto"/>
          <w:kern w:val="0"/>
          <w:sz w:val="24"/>
          <w:szCs w:val="24"/>
          <w:highlight w:val="none"/>
        </w:rPr>
        <w:t>天内将与合同有关的通知、批准、证明、证书、指示、指令、要求、请求、同意、意见、确定和决定等书面函件送达对方当事人。</w:t>
      </w:r>
    </w:p>
    <w:p w14:paraId="46575ACE">
      <w:pPr>
        <w:pStyle w:val="24"/>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1.7.2 发包人接收文件的地点：</w:t>
      </w:r>
      <w:r>
        <w:rPr>
          <w:rFonts w:hint="eastAsia" w:ascii="黑体" w:hAnsi="黑体" w:eastAsia="黑体" w:cs="黑体"/>
          <w:color w:val="auto"/>
          <w:sz w:val="24"/>
          <w:szCs w:val="24"/>
          <w:highlight w:val="none"/>
          <w:u w:val="single"/>
        </w:rPr>
        <w:t>项目所在地发包人项目部</w:t>
      </w:r>
      <w:r>
        <w:rPr>
          <w:rFonts w:hint="eastAsia" w:ascii="黑体" w:hAnsi="黑体" w:eastAsia="黑体" w:cs="黑体"/>
          <w:color w:val="auto"/>
          <w:kern w:val="0"/>
          <w:sz w:val="24"/>
          <w:szCs w:val="24"/>
          <w:highlight w:val="none"/>
        </w:rPr>
        <w:t>；</w:t>
      </w:r>
    </w:p>
    <w:p w14:paraId="0942A9E7">
      <w:pPr>
        <w:pStyle w:val="24"/>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发包人指定的接收人为：</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w:t>
      </w:r>
      <w:r>
        <w:rPr>
          <w:rFonts w:hint="eastAsia" w:ascii="黑体" w:hAnsi="黑体" w:eastAsia="黑体" w:cs="黑体"/>
          <w:color w:val="auto"/>
          <w:kern w:val="0"/>
          <w:sz w:val="24"/>
          <w:szCs w:val="24"/>
          <w:highlight w:val="none"/>
        </w:rPr>
        <w:t>。</w:t>
      </w:r>
    </w:p>
    <w:p w14:paraId="5489B367">
      <w:pPr>
        <w:pStyle w:val="24"/>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承包人接收文件的地点：</w:t>
      </w:r>
      <w:r>
        <w:rPr>
          <w:rFonts w:hint="eastAsia" w:ascii="黑体" w:hAnsi="黑体" w:eastAsia="黑体" w:cs="黑体"/>
          <w:color w:val="auto"/>
          <w:sz w:val="24"/>
          <w:szCs w:val="24"/>
          <w:highlight w:val="none"/>
          <w:u w:val="single"/>
        </w:rPr>
        <w:t>项目所在地承包人项目</w:t>
      </w:r>
      <w:r>
        <w:rPr>
          <w:rFonts w:hint="eastAsia" w:ascii="黑体" w:hAnsi="黑体" w:eastAsia="黑体" w:cs="黑体"/>
          <w:color w:val="auto"/>
          <w:kern w:val="0"/>
          <w:sz w:val="24"/>
          <w:szCs w:val="24"/>
          <w:highlight w:val="none"/>
        </w:rPr>
        <w:t>；</w:t>
      </w:r>
    </w:p>
    <w:p w14:paraId="13419A5E">
      <w:pPr>
        <w:pStyle w:val="24"/>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承包人指定的接收人为：</w:t>
      </w:r>
      <w:r>
        <w:rPr>
          <w:rFonts w:hint="eastAsia" w:ascii="黑体" w:hAnsi="黑体" w:eastAsia="黑体" w:cs="黑体"/>
          <w:color w:val="auto"/>
          <w:sz w:val="24"/>
          <w:szCs w:val="24"/>
          <w:highlight w:val="none"/>
          <w:u w:val="single"/>
        </w:rPr>
        <w:t>承包方项目经理    </w:t>
      </w:r>
      <w:r>
        <w:rPr>
          <w:rFonts w:hint="eastAsia" w:ascii="黑体" w:hAnsi="黑体" w:eastAsia="黑体" w:cs="黑体"/>
          <w:color w:val="auto"/>
          <w:kern w:val="0"/>
          <w:sz w:val="24"/>
          <w:szCs w:val="24"/>
          <w:highlight w:val="none"/>
        </w:rPr>
        <w:t>。</w:t>
      </w:r>
    </w:p>
    <w:p w14:paraId="1591B943">
      <w:pPr>
        <w:pStyle w:val="24"/>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监理人接收文件的地点：</w:t>
      </w:r>
      <w:r>
        <w:rPr>
          <w:rFonts w:hint="eastAsia" w:ascii="黑体" w:hAnsi="黑体" w:eastAsia="黑体" w:cs="黑体"/>
          <w:color w:val="auto"/>
          <w:sz w:val="24"/>
          <w:szCs w:val="24"/>
          <w:highlight w:val="none"/>
          <w:u w:val="single"/>
        </w:rPr>
        <w:t>项目所在地监理人办公室   </w:t>
      </w:r>
      <w:r>
        <w:rPr>
          <w:rFonts w:hint="eastAsia" w:ascii="黑体" w:hAnsi="黑体" w:eastAsia="黑体" w:cs="黑体"/>
          <w:color w:val="auto"/>
          <w:kern w:val="0"/>
          <w:sz w:val="24"/>
          <w:szCs w:val="24"/>
          <w:highlight w:val="none"/>
        </w:rPr>
        <w:t>；</w:t>
      </w:r>
    </w:p>
    <w:p w14:paraId="3560E3E0">
      <w:pPr>
        <w:pStyle w:val="24"/>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监理人指定的接收人为：</w:t>
      </w:r>
      <w:r>
        <w:rPr>
          <w:rFonts w:hint="eastAsia" w:ascii="黑体" w:hAnsi="黑体" w:eastAsia="黑体" w:cs="黑体"/>
          <w:color w:val="auto"/>
          <w:sz w:val="24"/>
          <w:szCs w:val="24"/>
          <w:highlight w:val="none"/>
          <w:u w:val="single"/>
        </w:rPr>
        <w:t>监理工程师  </w:t>
      </w:r>
      <w:r>
        <w:rPr>
          <w:rFonts w:hint="eastAsia" w:ascii="黑体" w:hAnsi="黑体" w:eastAsia="黑体" w:cs="黑体"/>
          <w:color w:val="auto"/>
          <w:kern w:val="0"/>
          <w:sz w:val="24"/>
          <w:szCs w:val="24"/>
          <w:highlight w:val="none"/>
        </w:rPr>
        <w:t>。</w:t>
      </w:r>
    </w:p>
    <w:p w14:paraId="0F75F06C">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1.10 交通运输</w:t>
      </w:r>
    </w:p>
    <w:p w14:paraId="5ED130B2">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bookmarkStart w:id="114" w:name="_Toc303539100"/>
      <w:bookmarkStart w:id="115" w:name="_Toc318581155"/>
      <w:bookmarkStart w:id="116" w:name="_Toc312677986"/>
      <w:bookmarkStart w:id="117" w:name="_Toc304295521"/>
      <w:bookmarkStart w:id="118" w:name="_Toc300934943"/>
      <w:r>
        <w:rPr>
          <w:rFonts w:hint="eastAsia" w:ascii="黑体" w:hAnsi="黑体" w:eastAsia="黑体" w:cs="黑体"/>
          <w:color w:val="auto"/>
          <w:sz w:val="24"/>
          <w:szCs w:val="24"/>
          <w:highlight w:val="none"/>
        </w:rPr>
        <w:t>.10.1 出入现场的权利</w:t>
      </w:r>
    </w:p>
    <w:p w14:paraId="23865A01">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关于出入现场的权利的约定：</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由承包人按发包人要求取得出入现场所需的批准手续</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bookmarkEnd w:id="114"/>
    <w:bookmarkEnd w:id="115"/>
    <w:bookmarkEnd w:id="116"/>
    <w:bookmarkEnd w:id="117"/>
    <w:bookmarkEnd w:id="118"/>
    <w:p w14:paraId="7D0DA7F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bookmarkStart w:id="119" w:name="_Toc303539101"/>
      <w:bookmarkStart w:id="120" w:name="_Toc300934944"/>
      <w:bookmarkStart w:id="121" w:name="_Toc304295522"/>
      <w:bookmarkStart w:id="122" w:name="_Toc312677987"/>
      <w:bookmarkStart w:id="123" w:name="_Toc318581156"/>
      <w:r>
        <w:rPr>
          <w:rFonts w:hint="eastAsia" w:ascii="黑体" w:hAnsi="黑体" w:eastAsia="黑体" w:cs="黑体"/>
          <w:color w:val="auto"/>
          <w:sz w:val="24"/>
          <w:szCs w:val="24"/>
          <w:highlight w:val="none"/>
        </w:rPr>
        <w:t>.10.3 场内交通</w:t>
      </w:r>
    </w:p>
    <w:p w14:paraId="763D840A">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关于场外交通和场内交通的边界的约定：</w:t>
      </w:r>
      <w:r>
        <w:rPr>
          <w:rFonts w:hint="eastAsia" w:ascii="黑体" w:hAnsi="黑体" w:eastAsia="黑体" w:cs="黑体"/>
          <w:color w:val="auto"/>
          <w:kern w:val="0"/>
          <w:sz w:val="24"/>
          <w:szCs w:val="24"/>
          <w:highlight w:val="none"/>
          <w:u w:val="single"/>
          <w:lang w:val="en-US" w:eastAsia="zh-CN"/>
        </w:rPr>
        <w:t>本项目施工现场</w:t>
      </w:r>
      <w:r>
        <w:rPr>
          <w:rFonts w:hint="eastAsia" w:ascii="黑体" w:hAnsi="黑体" w:eastAsia="黑体" w:cs="黑体"/>
          <w:color w:val="auto"/>
          <w:sz w:val="24"/>
          <w:szCs w:val="24"/>
          <w:highlight w:val="none"/>
        </w:rPr>
        <w:t>。</w:t>
      </w:r>
    </w:p>
    <w:p w14:paraId="7A977A1C">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关于发包人向承包人免费提供满足工程施工需要的场内道路和交通设施的约定：</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bookmarkEnd w:id="119"/>
      <w:bookmarkEnd w:id="120"/>
      <w:bookmarkEnd w:id="121"/>
      <w:bookmarkEnd w:id="122"/>
      <w:bookmarkEnd w:id="123"/>
      <w:r>
        <w:rPr>
          <w:rFonts w:hint="eastAsia" w:ascii="黑体" w:hAnsi="黑体" w:eastAsia="黑体" w:cs="黑体"/>
          <w:color w:val="auto"/>
          <w:sz w:val="24"/>
          <w:szCs w:val="24"/>
          <w:highlight w:val="none"/>
        </w:rPr>
        <w:t xml:space="preserve">  </w:t>
      </w:r>
      <w:bookmarkStart w:id="124" w:name="_Toc318581157"/>
    </w:p>
    <w:p w14:paraId="1497494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1.10.4超大件和超重件的运输</w:t>
      </w:r>
    </w:p>
    <w:p w14:paraId="72F42A04">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运输超大件或超重件所需的道路和桥梁临时加固改造费用和其他有关费用由</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承担。</w:t>
      </w:r>
    </w:p>
    <w:bookmarkEnd w:id="124"/>
    <w:p w14:paraId="5BD51ABF">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1.11 知识产权</w:t>
      </w:r>
    </w:p>
    <w:p w14:paraId="77457531">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sz w:val="24"/>
          <w:szCs w:val="24"/>
          <w:highlight w:val="none"/>
        </w:rPr>
        <w:t>。</w:t>
      </w:r>
    </w:p>
    <w:p w14:paraId="20604F72">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关于发包人提供的上述文件的使用限制的要求：</w:t>
      </w:r>
      <w:r>
        <w:rPr>
          <w:rFonts w:hint="eastAsia" w:ascii="黑体" w:hAnsi="黑体" w:eastAsia="黑体" w:cs="黑体"/>
          <w:color w:val="auto"/>
          <w:sz w:val="24"/>
          <w:szCs w:val="24"/>
          <w:highlight w:val="none"/>
          <w:u w:val="single"/>
        </w:rPr>
        <w:t xml:space="preserve">  执行通用条款   </w:t>
      </w:r>
      <w:r>
        <w:rPr>
          <w:rFonts w:hint="eastAsia" w:ascii="黑体" w:hAnsi="黑体" w:eastAsia="黑体" w:cs="黑体"/>
          <w:color w:val="auto"/>
          <w:sz w:val="24"/>
          <w:szCs w:val="24"/>
          <w:highlight w:val="none"/>
        </w:rPr>
        <w:t>。</w:t>
      </w:r>
    </w:p>
    <w:p w14:paraId="272B4FCC">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1.11.2 关于承包人为实施工程所编制文件的著作权的归属：</w:t>
      </w:r>
      <w:r>
        <w:rPr>
          <w:rFonts w:hint="eastAsia" w:ascii="黑体" w:hAnsi="黑体" w:eastAsia="黑体" w:cs="黑体"/>
          <w:color w:val="auto"/>
          <w:sz w:val="24"/>
          <w:szCs w:val="24"/>
          <w:highlight w:val="none"/>
          <w:u w:val="single"/>
        </w:rPr>
        <w:t xml:space="preserve"> 执行通用条款</w:t>
      </w:r>
      <w:r>
        <w:rPr>
          <w:rFonts w:hint="eastAsia" w:ascii="黑体" w:hAnsi="黑体" w:eastAsia="黑体" w:cs="黑体"/>
          <w:color w:val="auto"/>
          <w:sz w:val="24"/>
          <w:szCs w:val="24"/>
          <w:highlight w:val="none"/>
        </w:rPr>
        <w:t>。</w:t>
      </w:r>
    </w:p>
    <w:p w14:paraId="0C8F01D8">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关于承包人提供的上述文件的使用限制的要求：</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sz w:val="24"/>
          <w:szCs w:val="24"/>
          <w:highlight w:val="none"/>
        </w:rPr>
        <w:t>。</w:t>
      </w:r>
    </w:p>
    <w:p w14:paraId="2C9371AE">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1.11.4 承包人在施工过程中所采用的专利、专有技术、技术秘密的使用费的承担方式：</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kern w:val="0"/>
          <w:sz w:val="24"/>
          <w:szCs w:val="24"/>
          <w:highlight w:val="none"/>
        </w:rPr>
        <w:t>。</w:t>
      </w:r>
    </w:p>
    <w:p w14:paraId="484B9A04">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1.13工程量清单错误的修正</w:t>
      </w:r>
    </w:p>
    <w:p w14:paraId="566A93D1">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出现工程量清单错误时，是否调整合同价格：</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055C63D0">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允许调整合同价格的工程量偏差范围：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78766DF9">
      <w:pPr>
        <w:pStyle w:val="24"/>
        <w:outlineLvl w:val="2"/>
        <w:rPr>
          <w:rFonts w:hint="eastAsia" w:ascii="黑体" w:hAnsi="黑体" w:eastAsia="黑体" w:cs="黑体"/>
          <w:b/>
          <w:color w:val="auto"/>
          <w:sz w:val="24"/>
          <w:szCs w:val="24"/>
          <w:highlight w:val="none"/>
        </w:rPr>
      </w:pPr>
      <w:bookmarkStart w:id="125" w:name="_Toc351203634"/>
      <w:bookmarkStart w:id="126" w:name="_Toc3214"/>
      <w:bookmarkStart w:id="127" w:name="_Toc20389"/>
      <w:bookmarkStart w:id="128" w:name="_Toc256000056"/>
      <w:r>
        <w:rPr>
          <w:rFonts w:hint="eastAsia" w:ascii="黑体" w:hAnsi="黑体" w:eastAsia="黑体" w:cs="黑体"/>
          <w:b/>
          <w:color w:val="auto"/>
          <w:sz w:val="24"/>
          <w:szCs w:val="24"/>
          <w:highlight w:val="none"/>
        </w:rPr>
        <w:t>2</w:t>
      </w:r>
      <w:bookmarkStart w:id="129" w:name="_Toc296346658"/>
      <w:bookmarkStart w:id="130" w:name="_Toc297120457"/>
      <w:bookmarkStart w:id="131" w:name="_Toc297048343"/>
      <w:bookmarkStart w:id="132" w:name="_Toc296503157"/>
      <w:bookmarkStart w:id="133" w:name="_Toc296347156"/>
      <w:bookmarkStart w:id="134" w:name="_Toc292559867"/>
      <w:bookmarkStart w:id="135" w:name="_Toc296944496"/>
      <w:bookmarkStart w:id="136" w:name="_Toc296890985"/>
      <w:bookmarkStart w:id="137" w:name="_Toc296891197"/>
      <w:bookmarkStart w:id="138" w:name="_Toc292559362"/>
      <w:r>
        <w:rPr>
          <w:rFonts w:hint="eastAsia" w:ascii="黑体" w:hAnsi="黑体" w:eastAsia="黑体" w:cs="黑体"/>
          <w:b/>
          <w:color w:val="auto"/>
          <w:sz w:val="24"/>
          <w:szCs w:val="24"/>
          <w:highlight w:val="none"/>
        </w:rPr>
        <w:t>. 发包人</w:t>
      </w:r>
      <w:bookmarkEnd w:id="125"/>
      <w:bookmarkEnd w:id="126"/>
      <w:bookmarkEnd w:id="127"/>
      <w:bookmarkEnd w:id="128"/>
    </w:p>
    <w:bookmarkEnd w:id="129"/>
    <w:bookmarkEnd w:id="130"/>
    <w:bookmarkEnd w:id="131"/>
    <w:bookmarkEnd w:id="132"/>
    <w:bookmarkEnd w:id="133"/>
    <w:bookmarkEnd w:id="134"/>
    <w:bookmarkEnd w:id="135"/>
    <w:bookmarkEnd w:id="136"/>
    <w:bookmarkEnd w:id="137"/>
    <w:bookmarkEnd w:id="138"/>
    <w:p w14:paraId="194DC1A4">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2.2 发包人代表</w:t>
      </w:r>
    </w:p>
    <w:p w14:paraId="713B5034">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发包人代表：</w:t>
      </w:r>
    </w:p>
    <w:p w14:paraId="78B453E3">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    名：</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323B5EE9">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身份证号：</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3C8A2C3D">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    务：</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D07F852">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  </w:t>
      </w:r>
      <w:r>
        <w:rPr>
          <w:rFonts w:hint="eastAsia" w:ascii="黑体" w:hAnsi="黑体" w:eastAsia="黑体" w:cs="黑体"/>
          <w:color w:val="auto"/>
          <w:sz w:val="24"/>
          <w:szCs w:val="24"/>
          <w:highlight w:val="none"/>
        </w:rPr>
        <w:t>；</w:t>
      </w:r>
    </w:p>
    <w:p w14:paraId="7394678B">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   </w:t>
      </w:r>
      <w:r>
        <w:rPr>
          <w:rFonts w:hint="eastAsia" w:ascii="黑体" w:hAnsi="黑体" w:eastAsia="黑体" w:cs="黑体"/>
          <w:color w:val="auto"/>
          <w:sz w:val="24"/>
          <w:szCs w:val="24"/>
          <w:highlight w:val="none"/>
        </w:rPr>
        <w:t>；</w:t>
      </w:r>
    </w:p>
    <w:p w14:paraId="36593579">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8AACCA3">
      <w:pPr>
        <w:pStyle w:val="24"/>
        <w:spacing w:line="360" w:lineRule="auto"/>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发包人对发包人代表的授权范围如下：</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督促指导监理工程师行使职权、协调施工现场各方面的关系、协调工程质量、进度和安全文明施工中存在的问题，解决有关设计和技术签证，办理现场经济技术签证</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248D83E">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2.4 施工现场、施工条件和基础资料的提供</w:t>
      </w:r>
    </w:p>
    <w:p w14:paraId="14E140E3">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2.4.1 提供施工现场</w:t>
      </w:r>
    </w:p>
    <w:p w14:paraId="3C82653D">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关于发包人移交施工现场的期限要求：</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发包人在开工前三日内完成“通用条款”规定的义务</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65A96F0">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2.4.2 提供施工条件</w:t>
      </w:r>
    </w:p>
    <w:p w14:paraId="77D3CE86">
      <w:pPr>
        <w:pStyle w:val="24"/>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关于发包人应负责提供施工所需要的条件，包括：</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26944C4">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2.5 资金来源证明及支付担保</w:t>
      </w:r>
    </w:p>
    <w:p w14:paraId="286310C2">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发包人提供资金来源证明的期限要求：</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2A4C38E">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发包人是否提供支付担保：</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A59E06D">
      <w:pPr>
        <w:pStyle w:val="24"/>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发包人提供支付担保的形式：</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4684AF73">
      <w:pPr>
        <w:pStyle w:val="24"/>
        <w:outlineLvl w:val="2"/>
        <w:rPr>
          <w:rFonts w:hint="eastAsia" w:ascii="黑体" w:hAnsi="黑体" w:eastAsia="黑体" w:cs="黑体"/>
          <w:b/>
          <w:color w:val="auto"/>
          <w:sz w:val="24"/>
          <w:szCs w:val="24"/>
          <w:highlight w:val="none"/>
        </w:rPr>
      </w:pPr>
      <w:bookmarkStart w:id="139" w:name="_Toc19428"/>
      <w:bookmarkStart w:id="140" w:name="_Toc256000057"/>
      <w:bookmarkStart w:id="141" w:name="_Toc351203635"/>
      <w:bookmarkStart w:id="142" w:name="_Toc18424"/>
      <w:r>
        <w:rPr>
          <w:rFonts w:hint="eastAsia" w:ascii="黑体" w:hAnsi="黑体" w:eastAsia="黑体" w:cs="黑体"/>
          <w:b/>
          <w:color w:val="auto"/>
          <w:sz w:val="24"/>
          <w:szCs w:val="24"/>
          <w:highlight w:val="none"/>
        </w:rPr>
        <w:t>3</w:t>
      </w:r>
      <w:bookmarkStart w:id="143" w:name="_Toc296503158"/>
      <w:bookmarkStart w:id="144" w:name="_Toc296890986"/>
      <w:bookmarkStart w:id="145" w:name="_Toc296346659"/>
      <w:bookmarkStart w:id="146" w:name="_Toc296891198"/>
      <w:bookmarkStart w:id="147" w:name="_Toc292559868"/>
      <w:bookmarkStart w:id="148" w:name="_Toc292559363"/>
      <w:bookmarkStart w:id="149" w:name="_Toc296347157"/>
      <w:bookmarkStart w:id="150" w:name="_Toc297120458"/>
      <w:bookmarkStart w:id="151" w:name="_Toc297048344"/>
      <w:bookmarkStart w:id="152" w:name="_Toc296944497"/>
      <w:r>
        <w:rPr>
          <w:rFonts w:hint="eastAsia" w:ascii="黑体" w:hAnsi="黑体" w:eastAsia="黑体" w:cs="黑体"/>
          <w:b/>
          <w:color w:val="auto"/>
          <w:sz w:val="24"/>
          <w:szCs w:val="24"/>
          <w:highlight w:val="none"/>
        </w:rPr>
        <w:t>. 承包人</w:t>
      </w:r>
      <w:bookmarkEnd w:id="139"/>
      <w:bookmarkEnd w:id="140"/>
      <w:bookmarkEnd w:id="141"/>
      <w:bookmarkEnd w:id="142"/>
    </w:p>
    <w:bookmarkEnd w:id="143"/>
    <w:bookmarkEnd w:id="144"/>
    <w:bookmarkEnd w:id="145"/>
    <w:bookmarkEnd w:id="146"/>
    <w:bookmarkEnd w:id="147"/>
    <w:bookmarkEnd w:id="148"/>
    <w:bookmarkEnd w:id="149"/>
    <w:bookmarkEnd w:id="150"/>
    <w:bookmarkEnd w:id="151"/>
    <w:bookmarkEnd w:id="152"/>
    <w:p w14:paraId="6DB3A8FF">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3.1 承包人的一般义务</w:t>
      </w:r>
    </w:p>
    <w:p w14:paraId="35EA444F">
      <w:pPr>
        <w:pStyle w:val="24"/>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（9）</w:t>
      </w:r>
      <w:r>
        <w:rPr>
          <w:rFonts w:hint="eastAsia" w:ascii="黑体" w:hAnsi="黑体" w:eastAsia="黑体" w:cs="黑体"/>
          <w:color w:val="auto"/>
          <w:sz w:val="24"/>
          <w:szCs w:val="24"/>
          <w:highlight w:val="none"/>
        </w:rPr>
        <w:t>承包人提交的竣工资料的内容：</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0503A7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承包人需要提交的竣工资料套数：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136A72A">
      <w:pPr>
        <w:pStyle w:val="24"/>
        <w:spacing w:line="360" w:lineRule="auto"/>
        <w:ind w:left="638" w:leftChars="304"/>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承包人提交的竣工资料的费用承担：</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8CB31BC">
      <w:pPr>
        <w:pStyle w:val="24"/>
        <w:spacing w:line="360" w:lineRule="auto"/>
        <w:ind w:left="638" w:leftChars="304"/>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承包人提交的竣工资料移交时间：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8CDCEDF">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承包人提交的竣工资料形式要求：</w:t>
      </w:r>
      <w:r>
        <w:rPr>
          <w:rFonts w:hint="eastAsia" w:ascii="黑体" w:hAnsi="黑体" w:eastAsia="黑体" w:cs="黑体"/>
          <w:color w:val="auto"/>
          <w:sz w:val="24"/>
          <w:szCs w:val="24"/>
          <w:highlight w:val="none"/>
          <w:u w:val="single"/>
        </w:rPr>
        <w:t xml:space="preserve">   书面        </w:t>
      </w:r>
      <w:r>
        <w:rPr>
          <w:rFonts w:hint="eastAsia" w:ascii="黑体" w:hAnsi="黑体" w:eastAsia="黑体" w:cs="黑体"/>
          <w:color w:val="auto"/>
          <w:sz w:val="24"/>
          <w:szCs w:val="24"/>
          <w:highlight w:val="none"/>
        </w:rPr>
        <w:t>。</w:t>
      </w:r>
    </w:p>
    <w:p w14:paraId="5920E4A4">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（10）承包人应履行的其他义务：</w:t>
      </w:r>
      <w:r>
        <w:rPr>
          <w:rFonts w:hint="eastAsia" w:ascii="黑体" w:hAnsi="黑体" w:eastAsia="黑体" w:cs="黑体"/>
          <w:color w:val="auto"/>
          <w:sz w:val="24"/>
          <w:szCs w:val="24"/>
          <w:highlight w:val="none"/>
          <w:u w:val="single"/>
        </w:rPr>
        <w:t>双方</w:t>
      </w:r>
      <w:r>
        <w:rPr>
          <w:rFonts w:hint="eastAsia" w:ascii="黑体" w:hAnsi="黑体" w:eastAsia="黑体" w:cs="黑体"/>
          <w:color w:val="auto"/>
          <w:sz w:val="24"/>
          <w:szCs w:val="24"/>
          <w:highlight w:val="none"/>
          <w:u w:val="single"/>
          <w:lang w:eastAsia="zh-CN"/>
        </w:rPr>
        <w:t>协商确定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03BA519">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3.2 项目经理</w:t>
      </w:r>
    </w:p>
    <w:p w14:paraId="553DA4C1">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 xml:space="preserve">3.2.1 </w:t>
      </w:r>
      <w:r>
        <w:rPr>
          <w:rFonts w:hint="eastAsia" w:ascii="黑体" w:hAnsi="黑体" w:eastAsia="黑体" w:cs="黑体"/>
          <w:color w:val="auto"/>
          <w:sz w:val="24"/>
          <w:szCs w:val="24"/>
          <w:highlight w:val="none"/>
        </w:rPr>
        <w:t>项目经理：</w:t>
      </w:r>
    </w:p>
    <w:p w14:paraId="268F9C57">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    名：</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15F1820E">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身份证号：</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4BDB373D">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建造师执业资格等级：</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075BDC5D">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建造师注册证书号：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59E19717">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建造师执业印章号：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355DCBC6">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安全生产考核合格证书号：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3C94AFDD">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158448E9">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6879BD3B">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5A61CFF1">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承包人对项目经理的授权范围如下：</w:t>
      </w:r>
      <w:r>
        <w:rPr>
          <w:rFonts w:hint="eastAsia" w:ascii="黑体" w:hAnsi="黑体" w:eastAsia="黑体" w:cs="黑体"/>
          <w:color w:val="auto"/>
          <w:sz w:val="24"/>
          <w:szCs w:val="24"/>
          <w:highlight w:val="none"/>
          <w:u w:val="single"/>
        </w:rPr>
        <w:t xml:space="preserve"> 全面负责项目施工过程中质量、安全、进度管理工作 </w:t>
      </w:r>
      <w:r>
        <w:rPr>
          <w:rFonts w:hint="eastAsia" w:ascii="黑体" w:hAnsi="黑体" w:eastAsia="黑体" w:cs="黑体"/>
          <w:color w:val="auto"/>
          <w:sz w:val="24"/>
          <w:szCs w:val="24"/>
          <w:highlight w:val="none"/>
        </w:rPr>
        <w:t>。</w:t>
      </w:r>
    </w:p>
    <w:p w14:paraId="21FC4001">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关于项目经理每月在施工现场的时间要求：</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6B87DB3">
      <w:pPr>
        <w:pStyle w:val="24"/>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承包人未提交劳动合同，以及没有为项目经理缴纳社会保险证明的违约责任：</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p>
    <w:p w14:paraId="1A3905C1">
      <w:pPr>
        <w:pStyle w:val="24"/>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项目经理未经批准，擅自离开施工现场的违约责任：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A2B4850">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3.2.3 承包人擅自更换项目经理的违约责任：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86B008F">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3.2.4 承包人无正当理由拒绝更换项目经理的违约责任：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p>
    <w:p w14:paraId="556A8642">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3.3 承包人人员</w:t>
      </w:r>
    </w:p>
    <w:p w14:paraId="14DE5676">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3.3.1 承包人提交项目管理机构及施工现场管理人员安排报告的期限：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BBEFA9B">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3.3.3 承包人无正当理由拒绝撤换主要施工管理人员的违约责任：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25E6AAF3">
      <w:pPr>
        <w:pStyle w:val="24"/>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3.3.4 承包人主要施工管理人员离开施工现场的批准要求：</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E5C0C61">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3.3.5承包人擅自更换主要施工管理人员的违约责任：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55FD2EC">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承包人主要施工管理人员擅自离开施工现场的违约责任：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11C68279">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w:t>
      </w:r>
      <w:bookmarkStart w:id="153" w:name="_Toc296891199"/>
      <w:bookmarkStart w:id="154" w:name="_Toc300934945"/>
      <w:bookmarkStart w:id="155" w:name="_Toc296347158"/>
      <w:bookmarkStart w:id="156" w:name="_Toc296346660"/>
      <w:bookmarkStart w:id="157" w:name="_Toc312677988"/>
      <w:bookmarkStart w:id="158" w:name="_Toc297123492"/>
      <w:bookmarkStart w:id="159" w:name="_Toc304295523"/>
      <w:bookmarkStart w:id="160" w:name="_Toc303539102"/>
      <w:bookmarkStart w:id="161" w:name="_Toc296890987"/>
      <w:bookmarkStart w:id="162" w:name="_Toc297216151"/>
      <w:bookmarkStart w:id="163" w:name="_Toc297120459"/>
      <w:bookmarkStart w:id="164" w:name="_Toc292559869"/>
      <w:bookmarkStart w:id="165" w:name="_Toc296503159"/>
      <w:bookmarkStart w:id="166" w:name="_Toc296944498"/>
      <w:bookmarkStart w:id="167" w:name="_Toc292559364"/>
      <w:bookmarkStart w:id="168" w:name="_Toc297048345"/>
      <w:r>
        <w:rPr>
          <w:rFonts w:hint="eastAsia" w:ascii="黑体" w:hAnsi="黑体" w:eastAsia="黑体" w:cs="黑体"/>
          <w:b w:val="0"/>
          <w:color w:val="auto"/>
          <w:sz w:val="24"/>
          <w:szCs w:val="24"/>
          <w:highlight w:val="none"/>
        </w:rPr>
        <w:t>.5 分包</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616F3EF0">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bookmarkStart w:id="169" w:name="_Toc296891200"/>
      <w:bookmarkStart w:id="170" w:name="_Toc297048346"/>
      <w:bookmarkStart w:id="171" w:name="_Toc303539103"/>
      <w:bookmarkStart w:id="172" w:name="_Toc300934946"/>
      <w:bookmarkStart w:id="173" w:name="_Toc304295524"/>
      <w:bookmarkStart w:id="174" w:name="_Toc296944499"/>
      <w:bookmarkStart w:id="175" w:name="_Toc297123493"/>
      <w:bookmarkStart w:id="176" w:name="_Toc296346661"/>
      <w:bookmarkStart w:id="177" w:name="_Toc297120460"/>
      <w:bookmarkStart w:id="178" w:name="_Toc297216152"/>
      <w:bookmarkStart w:id="179" w:name="_Toc292559365"/>
      <w:bookmarkStart w:id="180" w:name="_Toc292559870"/>
      <w:bookmarkStart w:id="181" w:name="_Toc296347159"/>
      <w:bookmarkStart w:id="182" w:name="_Toc296503160"/>
      <w:bookmarkStart w:id="183" w:name="_Toc296890988"/>
      <w:bookmarkStart w:id="184" w:name="_Toc312677989"/>
      <w:bookmarkStart w:id="185" w:name="_Toc318581158"/>
      <w:r>
        <w:rPr>
          <w:rFonts w:hint="eastAsia" w:ascii="黑体" w:hAnsi="黑体" w:eastAsia="黑体" w:cs="黑体"/>
          <w:color w:val="auto"/>
          <w:sz w:val="24"/>
          <w:szCs w:val="24"/>
          <w:highlight w:val="none"/>
        </w:rPr>
        <w:t>.5.1 分包的一般约定</w:t>
      </w:r>
    </w:p>
    <w:p w14:paraId="47301DF3">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禁止分包的工程包括：</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399E688">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主体结构、关键性工作的范围：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Start w:id="186" w:name="_Toc296346662"/>
      <w:bookmarkStart w:id="187" w:name="_Toc296944500"/>
      <w:bookmarkStart w:id="188" w:name="_Toc304295525"/>
      <w:bookmarkStart w:id="189" w:name="_Toc297216153"/>
      <w:bookmarkStart w:id="190" w:name="_Toc297048347"/>
      <w:bookmarkStart w:id="191" w:name="_Toc300934947"/>
      <w:bookmarkStart w:id="192" w:name="_Toc296347160"/>
      <w:bookmarkStart w:id="193" w:name="_Toc296891201"/>
      <w:bookmarkStart w:id="194" w:name="_Toc297123494"/>
      <w:bookmarkStart w:id="195" w:name="_Toc296503161"/>
      <w:bookmarkStart w:id="196" w:name="_Toc296890989"/>
      <w:bookmarkStart w:id="197" w:name="_Toc297120461"/>
      <w:bookmarkStart w:id="198" w:name="_Toc303539104"/>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361113E9">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3</w:t>
      </w:r>
      <w:bookmarkStart w:id="199" w:name="_Toc318581159"/>
      <w:bookmarkStart w:id="200" w:name="_Toc312677990"/>
      <w:r>
        <w:rPr>
          <w:rFonts w:hint="eastAsia" w:ascii="黑体" w:hAnsi="黑体" w:eastAsia="黑体" w:cs="黑体"/>
          <w:color w:val="auto"/>
          <w:sz w:val="24"/>
          <w:szCs w:val="24"/>
          <w:highlight w:val="none"/>
        </w:rPr>
        <w:t>.5.2分包的确定</w:t>
      </w:r>
    </w:p>
    <w:p w14:paraId="53F12382">
      <w:pPr>
        <w:pStyle w:val="24"/>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允许分包的专业工程包括：</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267F2B2E">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其他关于分包的约定：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9F2901A">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3.5.4 分包合同价款</w:t>
      </w:r>
    </w:p>
    <w:p w14:paraId="522DECDB">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关于分包合同价款支付的约定：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bookmarkEnd w:id="199"/>
    <w:bookmarkEnd w:id="200"/>
    <w:p w14:paraId="09D70F3D">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3.6 工程照管与成品、半成品保护</w:t>
      </w:r>
    </w:p>
    <w:p w14:paraId="65C42A31">
      <w:pPr>
        <w:pStyle w:val="24"/>
        <w:spacing w:before="120" w:after="120" w:line="360" w:lineRule="auto"/>
        <w:ind w:firstLine="480" w:firstLineChars="200"/>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承包人负责照管工程及工程相关的材料、工程设备的起始时间：</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材料、设备进场至验交付使用前由承包人负责保修，交付使用后由发包人做成品保护</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43EE8B13">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3.7 履约担保</w:t>
      </w:r>
    </w:p>
    <w:p w14:paraId="64C3C672">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承包人是否提供履约担保：</w:t>
      </w:r>
      <w:r>
        <w:rPr>
          <w:rFonts w:hint="eastAsia" w:ascii="黑体" w:hAnsi="黑体" w:eastAsia="黑体" w:cs="黑体"/>
          <w:color w:val="auto"/>
          <w:sz w:val="24"/>
          <w:szCs w:val="24"/>
          <w:highlight w:val="none"/>
          <w:u w:val="single"/>
        </w:rPr>
        <w:t xml:space="preserve">  是    </w:t>
      </w:r>
      <w:r>
        <w:rPr>
          <w:rFonts w:hint="eastAsia" w:ascii="黑体" w:hAnsi="黑体" w:eastAsia="黑体" w:cs="黑体"/>
          <w:color w:val="auto"/>
          <w:sz w:val="24"/>
          <w:szCs w:val="24"/>
          <w:highlight w:val="none"/>
        </w:rPr>
        <w:t>。</w:t>
      </w:r>
    </w:p>
    <w:p w14:paraId="321C6FC5">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承包人提供履约担保的形式、金额及期限的：</w:t>
      </w:r>
      <w:r>
        <w:rPr>
          <w:rFonts w:hint="eastAsia" w:ascii="黑体" w:hAnsi="黑体" w:eastAsia="黑体" w:cs="黑体"/>
          <w:color w:val="auto"/>
          <w:sz w:val="24"/>
          <w:szCs w:val="24"/>
          <w:highlight w:val="none"/>
          <w:u w:val="single"/>
        </w:rPr>
        <w:t xml:space="preserve">   履约担保的形式：履约保证金（银行汇票、银行转账或银行保函）</w:t>
      </w:r>
    </w:p>
    <w:p w14:paraId="30AA5B82">
      <w:pPr>
        <w:pStyle w:val="24"/>
        <w:spacing w:line="360" w:lineRule="auto"/>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履约担保的金额</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甲乙双方自行协商</w:t>
      </w:r>
      <w:r>
        <w:rPr>
          <w:rFonts w:hint="eastAsia" w:ascii="黑体" w:hAnsi="黑体" w:eastAsia="黑体" w:cs="黑体"/>
          <w:color w:val="auto"/>
          <w:sz w:val="24"/>
          <w:szCs w:val="24"/>
          <w:highlight w:val="none"/>
          <w:u w:val="single"/>
        </w:rPr>
        <w:t xml:space="preserve">  </w:t>
      </w:r>
    </w:p>
    <w:p w14:paraId="7090BDDC">
      <w:pPr>
        <w:pStyle w:val="24"/>
        <w:ind w:firstLine="482" w:firstLineChars="200"/>
        <w:outlineLvl w:val="2"/>
        <w:rPr>
          <w:rFonts w:hint="eastAsia" w:ascii="黑体" w:hAnsi="黑体" w:eastAsia="黑体" w:cs="黑体"/>
          <w:b/>
          <w:color w:val="auto"/>
          <w:sz w:val="24"/>
          <w:szCs w:val="24"/>
          <w:highlight w:val="none"/>
        </w:rPr>
      </w:pPr>
      <w:bookmarkStart w:id="201" w:name="_Toc256000066"/>
      <w:bookmarkStart w:id="202" w:name="_Toc256000062"/>
      <w:bookmarkStart w:id="203" w:name="_Toc256000058"/>
    </w:p>
    <w:p w14:paraId="28CEA704">
      <w:pPr>
        <w:pStyle w:val="24"/>
        <w:ind w:firstLine="482" w:firstLineChars="200"/>
        <w:outlineLvl w:val="2"/>
        <w:rPr>
          <w:rFonts w:hint="eastAsia" w:ascii="黑体" w:hAnsi="黑体" w:eastAsia="黑体" w:cs="黑体"/>
          <w:b/>
          <w:color w:val="auto"/>
          <w:sz w:val="24"/>
          <w:szCs w:val="24"/>
          <w:highlight w:val="none"/>
        </w:rPr>
      </w:pPr>
      <w:bookmarkStart w:id="204" w:name="_Toc256000060"/>
      <w:bookmarkStart w:id="205" w:name="_Toc3063"/>
      <w:bookmarkStart w:id="206" w:name="_Toc11556"/>
      <w:r>
        <w:rPr>
          <w:rFonts w:hint="eastAsia" w:ascii="黑体" w:hAnsi="黑体" w:eastAsia="黑体" w:cs="黑体"/>
          <w:b/>
          <w:color w:val="auto"/>
          <w:sz w:val="24"/>
          <w:szCs w:val="24"/>
          <w:highlight w:val="none"/>
        </w:rPr>
        <w:t>4</w:t>
      </w:r>
      <w:bookmarkStart w:id="207" w:name="_Toc296347161"/>
      <w:bookmarkStart w:id="208" w:name="_Toc296890990"/>
      <w:bookmarkStart w:id="209" w:name="_Toc292559871"/>
      <w:bookmarkStart w:id="210" w:name="_Toc296944501"/>
      <w:bookmarkStart w:id="211" w:name="_Toc296503162"/>
      <w:bookmarkStart w:id="212" w:name="_Toc297048348"/>
      <w:bookmarkStart w:id="213" w:name="_Toc296346663"/>
      <w:bookmarkStart w:id="214" w:name="_Toc292559366"/>
      <w:bookmarkStart w:id="215" w:name="_Toc296891202"/>
      <w:bookmarkStart w:id="216" w:name="_Toc267251413"/>
      <w:bookmarkStart w:id="217" w:name="_Toc297120462"/>
      <w:r>
        <w:rPr>
          <w:rFonts w:hint="eastAsia" w:ascii="黑体" w:hAnsi="黑体" w:eastAsia="黑体" w:cs="黑体"/>
          <w:b/>
          <w:color w:val="auto"/>
          <w:sz w:val="24"/>
          <w:szCs w:val="24"/>
          <w:highlight w:val="none"/>
        </w:rPr>
        <w:t>. 监</w:t>
      </w:r>
      <w:bookmarkEnd w:id="207"/>
      <w:bookmarkEnd w:id="208"/>
      <w:bookmarkEnd w:id="209"/>
      <w:bookmarkEnd w:id="210"/>
      <w:bookmarkEnd w:id="211"/>
      <w:bookmarkEnd w:id="212"/>
      <w:bookmarkEnd w:id="213"/>
      <w:bookmarkEnd w:id="214"/>
      <w:bookmarkEnd w:id="215"/>
      <w:bookmarkEnd w:id="216"/>
      <w:bookmarkEnd w:id="217"/>
      <w:r>
        <w:rPr>
          <w:rFonts w:hint="eastAsia" w:ascii="黑体" w:hAnsi="黑体" w:eastAsia="黑体" w:cs="黑体"/>
          <w:b/>
          <w:color w:val="auto"/>
          <w:sz w:val="24"/>
          <w:szCs w:val="24"/>
          <w:highlight w:val="none"/>
        </w:rPr>
        <w:t>理人</w:t>
      </w:r>
      <w:bookmarkEnd w:id="201"/>
      <w:bookmarkEnd w:id="202"/>
      <w:bookmarkEnd w:id="203"/>
      <w:bookmarkEnd w:id="204"/>
      <w:bookmarkEnd w:id="205"/>
      <w:bookmarkEnd w:id="206"/>
    </w:p>
    <w:p w14:paraId="5A850764">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4.1监理人的一般规定</w:t>
      </w:r>
    </w:p>
    <w:p w14:paraId="18844FD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关于监理人的监理内容：</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C402016">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关于监理人的监理权限：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73A7D643">
      <w:pPr>
        <w:pStyle w:val="24"/>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关于监理人在施工现场的办公场所、生活场所的提供和费用承担的约定：</w:t>
      </w:r>
      <w:r>
        <w:rPr>
          <w:rFonts w:hint="eastAsia" w:ascii="黑体" w:hAnsi="黑体" w:eastAsia="黑体" w:cs="黑体"/>
          <w:color w:val="auto"/>
          <w:sz w:val="24"/>
          <w:szCs w:val="24"/>
          <w:highlight w:val="none"/>
          <w:u w:val="single"/>
        </w:rPr>
        <w:t xml:space="preserve">                                                </w:t>
      </w:r>
    </w:p>
    <w:p w14:paraId="130B8DDF">
      <w:pPr>
        <w:pStyle w:val="24"/>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F3AE8F9">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4.2 监理人员</w:t>
      </w:r>
    </w:p>
    <w:p w14:paraId="4FBF10CF">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总监理工程师：</w:t>
      </w:r>
    </w:p>
    <w:p w14:paraId="788CBBD7">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    名：</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F0F09C8">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    务：</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A4CEF10">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监理工程师执业资格证书号：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1849D612">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60808DFD">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124D14D3">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3003413">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关于监理人的其他约定：</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211A488A">
      <w:pPr>
        <w:pStyle w:val="25"/>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4.4 商定或确定</w:t>
      </w:r>
    </w:p>
    <w:p w14:paraId="794A8A6B">
      <w:pPr>
        <w:pStyle w:val="24"/>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在发包人和承包人不能通过协商达成一致意见时，发包人授权监理人对以下事项进行确定：</w:t>
      </w:r>
    </w:p>
    <w:p w14:paraId="09B15007">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5B87ECC">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FC28443">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E99257F">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5. 工程质量</w:t>
      </w:r>
    </w:p>
    <w:p w14:paraId="20C85C07">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 质量要求</w:t>
      </w:r>
    </w:p>
    <w:p w14:paraId="24A70CAD">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5.1.1 特殊质量标准和要求：</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0E1F5DD">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关于工程奖项的约定：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BACFFD4">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5.3 隐蔽工程检查</w:t>
      </w:r>
    </w:p>
    <w:p w14:paraId="4235564A">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5.3.2承包人提前通知监理人隐蔽工程检查的期限的约定：</w:t>
      </w:r>
      <w:r>
        <w:rPr>
          <w:rFonts w:hint="eastAsia" w:ascii="黑体" w:hAnsi="黑体" w:eastAsia="黑体" w:cs="黑体"/>
          <w:color w:val="auto"/>
          <w:sz w:val="24"/>
          <w:szCs w:val="24"/>
          <w:highlight w:val="none"/>
          <w:u w:val="single"/>
        </w:rPr>
        <w:t xml:space="preserve">共同检查前48小时书面通知监理人 </w:t>
      </w:r>
      <w:r>
        <w:rPr>
          <w:rFonts w:hint="eastAsia" w:ascii="黑体" w:hAnsi="黑体" w:eastAsia="黑体" w:cs="黑体"/>
          <w:b/>
          <w:color w:val="auto"/>
          <w:sz w:val="24"/>
          <w:szCs w:val="24"/>
          <w:highlight w:val="none"/>
          <w:u w:val="singl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737ABCF">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监理人不能按时进行检查时，应提前</w:t>
      </w:r>
      <w:r>
        <w:rPr>
          <w:rFonts w:hint="eastAsia" w:ascii="黑体" w:hAnsi="黑体" w:eastAsia="黑体" w:cs="黑体"/>
          <w:color w:val="auto"/>
          <w:sz w:val="24"/>
          <w:szCs w:val="24"/>
          <w:highlight w:val="none"/>
          <w:u w:val="single"/>
        </w:rPr>
        <w:t xml:space="preserve">  24     </w:t>
      </w:r>
      <w:r>
        <w:rPr>
          <w:rFonts w:hint="eastAsia" w:ascii="黑体" w:hAnsi="黑体" w:eastAsia="黑体" w:cs="黑体"/>
          <w:color w:val="auto"/>
          <w:sz w:val="24"/>
          <w:szCs w:val="24"/>
          <w:highlight w:val="none"/>
        </w:rPr>
        <w:t>小时提交书面延期要求。</w:t>
      </w:r>
    </w:p>
    <w:p w14:paraId="3AD422E3">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关于延期最长不得超过：</w:t>
      </w:r>
      <w:r>
        <w:rPr>
          <w:rFonts w:hint="eastAsia" w:ascii="黑体" w:hAnsi="黑体" w:eastAsia="黑体" w:cs="黑体"/>
          <w:color w:val="auto"/>
          <w:sz w:val="24"/>
          <w:szCs w:val="24"/>
          <w:highlight w:val="none"/>
          <w:u w:val="single"/>
        </w:rPr>
        <w:t xml:space="preserve">   48      </w:t>
      </w:r>
      <w:r>
        <w:rPr>
          <w:rFonts w:hint="eastAsia" w:ascii="黑体" w:hAnsi="黑体" w:eastAsia="黑体" w:cs="黑体"/>
          <w:color w:val="auto"/>
          <w:sz w:val="24"/>
          <w:szCs w:val="24"/>
          <w:highlight w:val="none"/>
        </w:rPr>
        <w:t>小时。</w:t>
      </w:r>
    </w:p>
    <w:p w14:paraId="5992006D">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6. 安全文明施工与环境保护</w:t>
      </w:r>
    </w:p>
    <w:p w14:paraId="43592E39">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6.1安全文明施工</w:t>
      </w:r>
    </w:p>
    <w:p w14:paraId="244670D4">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6.1.1 项目安全生产的达标目标及相应事项的约定：</w:t>
      </w:r>
      <w:r>
        <w:rPr>
          <w:rFonts w:hint="eastAsia" w:ascii="黑体" w:hAnsi="黑体" w:eastAsia="黑体" w:cs="黑体"/>
          <w:color w:val="auto"/>
          <w:sz w:val="24"/>
          <w:szCs w:val="24"/>
          <w:highlight w:val="none"/>
          <w:u w:val="single"/>
        </w:rPr>
        <w:t xml:space="preserve">要求达到《建筑施工安全检查标准》（JGJ59-2018）标准      </w:t>
      </w:r>
      <w:r>
        <w:rPr>
          <w:rFonts w:hint="eastAsia" w:ascii="黑体" w:hAnsi="黑体" w:eastAsia="黑体" w:cs="黑体"/>
          <w:color w:val="auto"/>
          <w:sz w:val="24"/>
          <w:szCs w:val="24"/>
          <w:highlight w:val="none"/>
        </w:rPr>
        <w:t>。</w:t>
      </w:r>
    </w:p>
    <w:p w14:paraId="03CB290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6.1.4 关于治安保卫的特别约定：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E67D31A">
      <w:pPr>
        <w:pStyle w:val="24"/>
        <w:spacing w:line="360" w:lineRule="auto"/>
        <w:ind w:right="-73" w:rightChars="-35"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关于编制施工场地治安管理计划的约定：</w:t>
      </w:r>
      <w:r>
        <w:rPr>
          <w:rFonts w:hint="eastAsia" w:ascii="黑体" w:hAnsi="黑体" w:eastAsia="黑体" w:cs="黑体"/>
          <w:color w:val="auto"/>
          <w:sz w:val="24"/>
          <w:szCs w:val="24"/>
          <w:highlight w:val="none"/>
          <w:u w:val="single"/>
        </w:rPr>
        <w:t xml:space="preserve">开工前提供施工场地治安管理划     </w:t>
      </w:r>
      <w:r>
        <w:rPr>
          <w:rFonts w:hint="eastAsia" w:ascii="黑体" w:hAnsi="黑体" w:eastAsia="黑体" w:cs="黑体"/>
          <w:color w:val="auto"/>
          <w:sz w:val="24"/>
          <w:szCs w:val="24"/>
          <w:highlight w:val="none"/>
        </w:rPr>
        <w:t>。</w:t>
      </w:r>
    </w:p>
    <w:p w14:paraId="5569D333">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6.1.5 文明施工</w:t>
      </w:r>
    </w:p>
    <w:p w14:paraId="14E62B96">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合同当事人对文明施工的要求：</w:t>
      </w:r>
      <w:r>
        <w:rPr>
          <w:rFonts w:hint="eastAsia" w:ascii="黑体" w:hAnsi="黑体" w:eastAsia="黑体" w:cs="黑体"/>
          <w:color w:val="auto"/>
          <w:sz w:val="24"/>
          <w:szCs w:val="24"/>
          <w:highlight w:val="none"/>
          <w:u w:val="single"/>
        </w:rPr>
        <w:t xml:space="preserve">  达到《建筑施工现场环境与卫生标准》（JGJ146-2013）  </w:t>
      </w:r>
      <w:r>
        <w:rPr>
          <w:rFonts w:hint="eastAsia" w:ascii="黑体" w:hAnsi="黑体" w:eastAsia="黑体" w:cs="黑体"/>
          <w:color w:val="auto"/>
          <w:sz w:val="24"/>
          <w:szCs w:val="24"/>
          <w:highlight w:val="none"/>
        </w:rPr>
        <w:t>。</w:t>
      </w:r>
    </w:p>
    <w:p w14:paraId="1620DEE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6.1.6 关于安全文明施工费支付比例和支付期限的约定：</w:t>
      </w:r>
      <w:r>
        <w:rPr>
          <w:rFonts w:hint="eastAsia" w:ascii="黑体" w:hAnsi="黑体" w:eastAsia="黑体" w:cs="黑体"/>
          <w:color w:val="auto"/>
          <w:sz w:val="24"/>
          <w:szCs w:val="24"/>
          <w:highlight w:val="none"/>
          <w:u w:val="single"/>
        </w:rPr>
        <w:t xml:space="preserve">纳入合同价格付    </w:t>
      </w:r>
      <w:r>
        <w:rPr>
          <w:rFonts w:hint="eastAsia" w:ascii="黑体" w:hAnsi="黑体" w:eastAsia="黑体" w:cs="黑体"/>
          <w:color w:val="auto"/>
          <w:sz w:val="24"/>
          <w:szCs w:val="24"/>
          <w:highlight w:val="none"/>
        </w:rPr>
        <w:t>。</w:t>
      </w:r>
    </w:p>
    <w:p w14:paraId="2809FE8F">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7. 工期和进度</w:t>
      </w:r>
    </w:p>
    <w:p w14:paraId="0071F111">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 施工组织设计</w:t>
      </w:r>
    </w:p>
    <w:p w14:paraId="7CCB1871">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7.1.1 合</w:t>
      </w:r>
      <w:r>
        <w:rPr>
          <w:rFonts w:hint="eastAsia" w:ascii="黑体" w:hAnsi="黑体" w:eastAsia="黑体" w:cs="黑体"/>
          <w:color w:val="auto"/>
          <w:kern w:val="0"/>
          <w:sz w:val="24"/>
          <w:szCs w:val="24"/>
          <w:highlight w:val="none"/>
        </w:rPr>
        <w:t>同当事人约定的施工组织设计应包括的其他内容：</w:t>
      </w:r>
      <w:r>
        <w:rPr>
          <w:rFonts w:hint="eastAsia" w:ascii="黑体" w:hAnsi="黑体" w:eastAsia="黑体" w:cs="黑体"/>
          <w:color w:val="auto"/>
          <w:kern w:val="0"/>
          <w:sz w:val="24"/>
          <w:szCs w:val="24"/>
          <w:highlight w:val="none"/>
          <w:u w:val="single"/>
          <w:lang w:val="en-US" w:eastAsia="zh-CN"/>
        </w:rPr>
        <w:t>按竞争性磋商文件约定，竞争性磋商文件无约定按通用条款或双方另行约定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83AEB6C">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 xml:space="preserve">7.1.2 </w:t>
      </w:r>
      <w:r>
        <w:rPr>
          <w:rFonts w:hint="eastAsia" w:ascii="黑体" w:hAnsi="黑体" w:eastAsia="黑体" w:cs="黑体"/>
          <w:color w:val="auto"/>
          <w:kern w:val="0"/>
          <w:sz w:val="24"/>
          <w:szCs w:val="24"/>
          <w:highlight w:val="none"/>
        </w:rPr>
        <w:t>施工组织设计的提交和修改</w:t>
      </w:r>
    </w:p>
    <w:p w14:paraId="41625746">
      <w:pPr>
        <w:pStyle w:val="24"/>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承包人提交详细施工组织设计的期限的约定：</w:t>
      </w:r>
      <w:r>
        <w:rPr>
          <w:rFonts w:hint="eastAsia" w:ascii="黑体" w:hAnsi="黑体" w:eastAsia="黑体" w:cs="黑体"/>
          <w:color w:val="auto"/>
          <w:sz w:val="24"/>
          <w:szCs w:val="24"/>
          <w:highlight w:val="none"/>
          <w:u w:val="single"/>
        </w:rPr>
        <w:t xml:space="preserve">  开工前      </w:t>
      </w:r>
      <w:r>
        <w:rPr>
          <w:rFonts w:hint="eastAsia" w:ascii="黑体" w:hAnsi="黑体" w:eastAsia="黑体" w:cs="黑体"/>
          <w:color w:val="auto"/>
          <w:sz w:val="24"/>
          <w:szCs w:val="24"/>
          <w:highlight w:val="none"/>
        </w:rPr>
        <w:t>。</w:t>
      </w:r>
    </w:p>
    <w:p w14:paraId="4115B79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发包人和监理人在收到详细的施工组织设计后确认或提出修改意见的期限：</w:t>
      </w:r>
      <w:r>
        <w:rPr>
          <w:rFonts w:hint="eastAsia" w:ascii="黑体" w:hAnsi="黑体" w:eastAsia="黑体" w:cs="黑体"/>
          <w:color w:val="auto"/>
          <w:sz w:val="24"/>
          <w:szCs w:val="24"/>
          <w:highlight w:val="none"/>
          <w:u w:val="single"/>
        </w:rPr>
        <w:t xml:space="preserve">收到后7天内                          </w:t>
      </w:r>
      <w:r>
        <w:rPr>
          <w:rFonts w:hint="eastAsia" w:ascii="黑体" w:hAnsi="黑体" w:eastAsia="黑体" w:cs="黑体"/>
          <w:color w:val="auto"/>
          <w:sz w:val="24"/>
          <w:szCs w:val="24"/>
          <w:highlight w:val="none"/>
        </w:rPr>
        <w:t>。</w:t>
      </w:r>
    </w:p>
    <w:p w14:paraId="6BA259B2">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 施工进度计划</w:t>
      </w:r>
    </w:p>
    <w:p w14:paraId="08581EE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7.2.2 施工进度计划的修订</w:t>
      </w:r>
    </w:p>
    <w:p w14:paraId="468488CE">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发包人和监理人在收到修订的施工进度计划后确认或提出修改意见的期限：</w:t>
      </w:r>
      <w:r>
        <w:rPr>
          <w:rFonts w:hint="eastAsia" w:ascii="黑体" w:hAnsi="黑体" w:eastAsia="黑体" w:cs="黑体"/>
          <w:color w:val="auto"/>
          <w:sz w:val="24"/>
          <w:szCs w:val="24"/>
          <w:highlight w:val="none"/>
          <w:u w:val="single"/>
        </w:rPr>
        <w:t xml:space="preserve">   收到后5天内             </w:t>
      </w:r>
      <w:r>
        <w:rPr>
          <w:rFonts w:hint="eastAsia" w:ascii="黑体" w:hAnsi="黑体" w:eastAsia="黑体" w:cs="黑体"/>
          <w:color w:val="auto"/>
          <w:sz w:val="24"/>
          <w:szCs w:val="24"/>
          <w:highlight w:val="none"/>
        </w:rPr>
        <w:t>。</w:t>
      </w:r>
    </w:p>
    <w:p w14:paraId="2EAC532E">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7.3 开工</w:t>
      </w:r>
    </w:p>
    <w:p w14:paraId="1E99C5C2">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7.3.1 开工准备</w:t>
      </w:r>
    </w:p>
    <w:p w14:paraId="6BB94812">
      <w:pPr>
        <w:pStyle w:val="24"/>
        <w:spacing w:line="360" w:lineRule="auto"/>
        <w:ind w:firstLine="645"/>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关于承包人提交</w:t>
      </w:r>
      <w:r>
        <w:rPr>
          <w:rFonts w:hint="eastAsia" w:ascii="黑体" w:hAnsi="黑体" w:eastAsia="黑体" w:cs="黑体"/>
          <w:color w:val="auto"/>
          <w:kern w:val="0"/>
          <w:sz w:val="24"/>
          <w:szCs w:val="24"/>
          <w:highlight w:val="none"/>
        </w:rPr>
        <w:t>工程开工报审表的期限：</w:t>
      </w:r>
      <w:r>
        <w:rPr>
          <w:rFonts w:hint="eastAsia" w:ascii="黑体" w:hAnsi="黑体" w:eastAsia="黑体" w:cs="黑体"/>
          <w:color w:val="auto"/>
          <w:sz w:val="24"/>
          <w:szCs w:val="24"/>
          <w:highlight w:val="none"/>
          <w:u w:val="single"/>
        </w:rPr>
        <w:t xml:space="preserve"> 合同签订后、开工前 </w:t>
      </w:r>
      <w:r>
        <w:rPr>
          <w:rFonts w:hint="eastAsia" w:ascii="黑体" w:hAnsi="黑体" w:eastAsia="黑体" w:cs="黑体"/>
          <w:color w:val="auto"/>
          <w:sz w:val="24"/>
          <w:szCs w:val="24"/>
          <w:highlight w:val="none"/>
        </w:rPr>
        <w:t>。</w:t>
      </w:r>
    </w:p>
    <w:p w14:paraId="51E7EE55">
      <w:pPr>
        <w:pStyle w:val="24"/>
        <w:spacing w:line="360" w:lineRule="auto"/>
        <w:ind w:firstLine="64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关于发包人应完成的其他开工准备工作及期限：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836FCF5">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关于承包人应完成的其他开工准备工作及期限：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1ABDE0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7.3.2开工通知</w:t>
      </w:r>
    </w:p>
    <w:p w14:paraId="6DDDC5EE">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因发包人原因造成监理人未能在计划开工日期之日起</w:t>
      </w:r>
      <w:r>
        <w:rPr>
          <w:rFonts w:hint="eastAsia" w:ascii="黑体" w:hAnsi="黑体" w:eastAsia="黑体" w:cs="黑体"/>
          <w:color w:val="auto"/>
          <w:sz w:val="24"/>
          <w:szCs w:val="24"/>
          <w:highlight w:val="none"/>
          <w:u w:val="single"/>
        </w:rPr>
        <w:t xml:space="preserve">  60   </w:t>
      </w:r>
      <w:r>
        <w:rPr>
          <w:rFonts w:hint="eastAsia" w:ascii="黑体" w:hAnsi="黑体" w:eastAsia="黑体" w:cs="黑体"/>
          <w:color w:val="auto"/>
          <w:sz w:val="24"/>
          <w:szCs w:val="24"/>
          <w:highlight w:val="none"/>
        </w:rPr>
        <w:t>天内发出开工通知的，承包人有权提出价格调整要求，或者解除合同。</w:t>
      </w:r>
    </w:p>
    <w:p w14:paraId="16254703">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7.4 测量放线</w:t>
      </w:r>
    </w:p>
    <w:p w14:paraId="4C9E7613">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7.4.1发包人通过监理人向承包人提供测量基准点、基准线和水准点及其书面资料的期限：</w:t>
      </w:r>
      <w:r>
        <w:rPr>
          <w:rFonts w:hint="eastAsia" w:ascii="黑体" w:hAnsi="黑体" w:eastAsia="黑体" w:cs="黑体"/>
          <w:color w:val="auto"/>
          <w:sz w:val="24"/>
          <w:szCs w:val="24"/>
          <w:highlight w:val="none"/>
          <w:u w:val="single"/>
        </w:rPr>
        <w:t xml:space="preserve">合同签订后、开工前             </w:t>
      </w:r>
      <w:r>
        <w:rPr>
          <w:rFonts w:hint="eastAsia" w:ascii="黑体" w:hAnsi="黑体" w:eastAsia="黑体" w:cs="黑体"/>
          <w:color w:val="auto"/>
          <w:sz w:val="24"/>
          <w:szCs w:val="24"/>
          <w:highlight w:val="none"/>
        </w:rPr>
        <w:t>。</w:t>
      </w:r>
    </w:p>
    <w:p w14:paraId="3A5840AD">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7.5 工期延误</w:t>
      </w:r>
    </w:p>
    <w:p w14:paraId="16747CC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7.5.1 因发包人原因导致工期延误</w:t>
      </w:r>
    </w:p>
    <w:p w14:paraId="2B72841A">
      <w:pPr>
        <w:pStyle w:val="24"/>
        <w:spacing w:line="360" w:lineRule="auto"/>
        <w:ind w:firstLine="480" w:firstLineChars="200"/>
        <w:jc w:val="left"/>
        <w:rPr>
          <w:rFonts w:hint="default"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rPr>
        <w:t>（7）因发包人原因导致工期延误的其他情形：</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10029D10">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7.5.2 因承包人原因导致工期延误</w:t>
      </w:r>
    </w:p>
    <w:p w14:paraId="0696E2E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因承包人原因造成工期延误，逾期竣工违约金的计算方法为：</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B6EC35B">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因承包人原因造成工期延误，逾期竣工违约金的上限：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4FE0ACB">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7.6 不利物质条件</w:t>
      </w:r>
    </w:p>
    <w:p w14:paraId="1AF40A2D">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不利物质条件的其他情形和有关约定：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D1E821B">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7.7异常恶劣的气候条件</w:t>
      </w:r>
    </w:p>
    <w:p w14:paraId="20AAA26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发包人和承包人同意以下情形视为异常恶劣的气候条件：</w:t>
      </w:r>
    </w:p>
    <w:p w14:paraId="32D2C522">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2739D713">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E680AE8">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7.9 提前竣工的奖励</w:t>
      </w:r>
    </w:p>
    <w:p w14:paraId="5B22CD66">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7.9.2提前竣工的奖励：</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27488B4">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8. 材料与设备</w:t>
      </w:r>
    </w:p>
    <w:p w14:paraId="5622D598">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8.4材料与工程设备的保管与使用</w:t>
      </w:r>
    </w:p>
    <w:p w14:paraId="690A20F2">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8.4.1发包人供应的材料设备的保管费用的承担：</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w:t>
      </w:r>
    </w:p>
    <w:p w14:paraId="3A8FED3D">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8.6 样品</w:t>
      </w:r>
    </w:p>
    <w:p w14:paraId="3EEEF991">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8.6.1</w:t>
      </w:r>
      <w:r>
        <w:rPr>
          <w:rFonts w:hint="eastAsia" w:ascii="黑体" w:hAnsi="黑体" w:eastAsia="黑体" w:cs="黑体"/>
          <w:color w:val="auto"/>
          <w:kern w:val="0"/>
          <w:sz w:val="24"/>
          <w:szCs w:val="24"/>
          <w:highlight w:val="none"/>
        </w:rPr>
        <w:tab/>
      </w:r>
      <w:r>
        <w:rPr>
          <w:rFonts w:hint="eastAsia" w:ascii="黑体" w:hAnsi="黑体" w:eastAsia="黑体" w:cs="黑体"/>
          <w:color w:val="auto"/>
          <w:kern w:val="0"/>
          <w:sz w:val="24"/>
          <w:szCs w:val="24"/>
          <w:highlight w:val="none"/>
        </w:rPr>
        <w:t>样品的报送与封存</w:t>
      </w:r>
    </w:p>
    <w:p w14:paraId="14A810AB">
      <w:pPr>
        <w:pStyle w:val="24"/>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需要承包人报送样品的材料或工程设备，样品的种类、名称、规格、数量要求：</w:t>
      </w:r>
      <w:r>
        <w:rPr>
          <w:rFonts w:hint="eastAsia" w:ascii="黑体" w:hAnsi="黑体" w:eastAsia="黑体" w:cs="黑体"/>
          <w:color w:val="auto"/>
          <w:kern w:val="0"/>
          <w:sz w:val="24"/>
          <w:szCs w:val="24"/>
          <w:highlight w:val="none"/>
          <w:u w:val="single"/>
          <w:lang w:val="en-US" w:eastAsia="zh-CN"/>
        </w:rPr>
        <w:t>执行通用条款，按发包人需求确定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A9B88C3">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8.8 施工设备和临时设施</w:t>
      </w:r>
    </w:p>
    <w:p w14:paraId="7D9AFFE5">
      <w:pPr>
        <w:pStyle w:val="24"/>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8.8.1 承包人提供的施工设备和临时设施</w:t>
      </w:r>
    </w:p>
    <w:p w14:paraId="1C1E4AD0">
      <w:pPr>
        <w:pStyle w:val="24"/>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关于修建临时设施费用承担的约定：</w:t>
      </w:r>
      <w:r>
        <w:rPr>
          <w:rFonts w:hint="eastAsia" w:ascii="黑体" w:hAnsi="黑体" w:eastAsia="黑体" w:cs="黑体"/>
          <w:color w:val="auto"/>
          <w:sz w:val="24"/>
          <w:szCs w:val="24"/>
          <w:highlight w:val="none"/>
          <w:u w:val="single"/>
        </w:rPr>
        <w:t xml:space="preserve">  由承包人承担         </w:t>
      </w:r>
      <w:r>
        <w:rPr>
          <w:rFonts w:hint="eastAsia" w:ascii="黑体" w:hAnsi="黑体" w:eastAsia="黑体" w:cs="黑体"/>
          <w:color w:val="auto"/>
          <w:sz w:val="24"/>
          <w:szCs w:val="24"/>
          <w:highlight w:val="none"/>
        </w:rPr>
        <w:t>。</w:t>
      </w:r>
    </w:p>
    <w:p w14:paraId="5B4E913E">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9. 试验与检验</w:t>
      </w:r>
    </w:p>
    <w:p w14:paraId="1233C676">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9.1试验设备与试验人员</w:t>
      </w:r>
    </w:p>
    <w:p w14:paraId="1A46A0E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9.1.2 试验设备</w:t>
      </w:r>
    </w:p>
    <w:p w14:paraId="52F1488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施工现场需要配置的试验场所：</w:t>
      </w:r>
      <w:r>
        <w:rPr>
          <w:rFonts w:hint="eastAsia" w:ascii="黑体" w:hAnsi="黑体" w:eastAsia="黑体" w:cs="黑体"/>
          <w:color w:val="auto"/>
          <w:sz w:val="24"/>
          <w:szCs w:val="24"/>
          <w:highlight w:val="none"/>
          <w:u w:val="single"/>
        </w:rPr>
        <w:t xml:space="preserve">   按有关规定执行         </w:t>
      </w:r>
      <w:r>
        <w:rPr>
          <w:rFonts w:hint="eastAsia" w:ascii="黑体" w:hAnsi="黑体" w:eastAsia="黑体" w:cs="黑体"/>
          <w:color w:val="auto"/>
          <w:sz w:val="24"/>
          <w:szCs w:val="24"/>
          <w:highlight w:val="none"/>
        </w:rPr>
        <w:t xml:space="preserve">。 </w:t>
      </w:r>
    </w:p>
    <w:p w14:paraId="2CB067A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施工现场需要配备的试验设备：</w:t>
      </w:r>
      <w:r>
        <w:rPr>
          <w:rFonts w:hint="eastAsia" w:ascii="黑体" w:hAnsi="黑体" w:eastAsia="黑体" w:cs="黑体"/>
          <w:color w:val="auto"/>
          <w:sz w:val="24"/>
          <w:szCs w:val="24"/>
          <w:highlight w:val="none"/>
          <w:u w:val="single"/>
        </w:rPr>
        <w:t xml:space="preserve">   按有关规定执行        </w:t>
      </w:r>
      <w:r>
        <w:rPr>
          <w:rFonts w:hint="eastAsia" w:ascii="黑体" w:hAnsi="黑体" w:eastAsia="黑体" w:cs="黑体"/>
          <w:color w:val="auto"/>
          <w:sz w:val="24"/>
          <w:szCs w:val="24"/>
          <w:highlight w:val="none"/>
        </w:rPr>
        <w:t>。</w:t>
      </w:r>
    </w:p>
    <w:p w14:paraId="17202A55">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施工现场需要具备的其他试验条件：</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31580CF8">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9.4 现场工艺试验 </w:t>
      </w:r>
    </w:p>
    <w:p w14:paraId="2F17AE13">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现场工艺试验的有关约定：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81CA744">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10. 变更</w:t>
      </w:r>
    </w:p>
    <w:p w14:paraId="3EA5C180">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10.1变更的范围</w:t>
      </w:r>
    </w:p>
    <w:p w14:paraId="627919B1">
      <w:pPr>
        <w:pStyle w:val="24"/>
        <w:spacing w:line="360" w:lineRule="auto"/>
        <w:ind w:firstLine="6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关于变更的范围的约定：</w:t>
      </w:r>
      <w:r>
        <w:rPr>
          <w:rFonts w:hint="eastAsia" w:ascii="黑体" w:hAnsi="黑体" w:eastAsia="黑体" w:cs="黑体"/>
          <w:color w:val="auto"/>
          <w:sz w:val="24"/>
          <w:szCs w:val="24"/>
          <w:highlight w:val="none"/>
          <w:u w:val="single"/>
        </w:rPr>
        <w:t xml:space="preserve">   执行通用条款                </w:t>
      </w:r>
      <w:r>
        <w:rPr>
          <w:rFonts w:hint="eastAsia" w:ascii="黑体" w:hAnsi="黑体" w:eastAsia="黑体" w:cs="黑体"/>
          <w:color w:val="auto"/>
          <w:sz w:val="24"/>
          <w:szCs w:val="24"/>
          <w:highlight w:val="none"/>
        </w:rPr>
        <w:t>。</w:t>
      </w:r>
    </w:p>
    <w:p w14:paraId="219BB74C">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10.4 变更估价</w:t>
      </w:r>
    </w:p>
    <w:p w14:paraId="6E38EBB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10.4.1 变更估价原则</w:t>
      </w:r>
    </w:p>
    <w:p w14:paraId="5C5FED84">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xml:space="preserve">关于变更估价的约定: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w:t>
      </w:r>
    </w:p>
    <w:p w14:paraId="5B5F46CA">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10.5承包人的合理化建议</w:t>
      </w:r>
    </w:p>
    <w:p w14:paraId="2D66039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监理人审查承包人合理化建议的期限：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C3E72CB">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发包人审批承包人合理化建议的期限：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C016DD0">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承包人提出的合理化建议降低了合同价格或者提高了工程经济效益的奖励的方法和金额为：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1497510">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 暂估价</w:t>
      </w:r>
    </w:p>
    <w:p w14:paraId="4E8AED3F">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暂估价材料和工程设备的明细详见附件11：《</w:t>
      </w:r>
      <w:r>
        <w:rPr>
          <w:rFonts w:hint="eastAsia" w:ascii="黑体" w:hAnsi="黑体" w:eastAsia="黑体" w:cs="黑体"/>
          <w:color w:val="auto"/>
          <w:sz w:val="24"/>
          <w:szCs w:val="24"/>
          <w:highlight w:val="none"/>
        </w:rPr>
        <w:t>暂估价一览表》</w:t>
      </w:r>
      <w:r>
        <w:rPr>
          <w:rFonts w:hint="eastAsia" w:ascii="黑体" w:hAnsi="黑体" w:eastAsia="黑体" w:cs="黑体"/>
          <w:color w:val="auto"/>
          <w:kern w:val="0"/>
          <w:sz w:val="24"/>
          <w:szCs w:val="24"/>
          <w:highlight w:val="none"/>
        </w:rPr>
        <w:t>。</w:t>
      </w:r>
    </w:p>
    <w:p w14:paraId="02B90FBE">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10.7.1 依法必须招标的暂估价项目</w:t>
      </w:r>
    </w:p>
    <w:p w14:paraId="3D2AA26E">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对于依法必须招标的暂估价项目的确认和批准采取第</w:t>
      </w:r>
      <w:r>
        <w:rPr>
          <w:rFonts w:hint="eastAsia" w:ascii="黑体" w:hAnsi="黑体" w:eastAsia="黑体" w:cs="黑体"/>
          <w:color w:val="auto"/>
          <w:sz w:val="24"/>
          <w:szCs w:val="24"/>
          <w:highlight w:val="none"/>
          <w:u w:val="single"/>
        </w:rPr>
        <w:t xml:space="preserve">  1  </w:t>
      </w:r>
      <w:r>
        <w:rPr>
          <w:rFonts w:hint="eastAsia" w:ascii="黑体" w:hAnsi="黑体" w:eastAsia="黑体" w:cs="黑体"/>
          <w:color w:val="auto"/>
          <w:sz w:val="24"/>
          <w:szCs w:val="24"/>
          <w:highlight w:val="none"/>
        </w:rPr>
        <w:t>种方式确定。</w:t>
      </w:r>
    </w:p>
    <w:p w14:paraId="26A3789B">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10.7.2 不属于依法必须招标的暂估价项目</w:t>
      </w:r>
    </w:p>
    <w:p w14:paraId="0897A7C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对于不属于依法必须招标的暂估价项目的确认和批准采取第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 xml:space="preserve"> 种方式确定。</w:t>
      </w:r>
    </w:p>
    <w:p w14:paraId="7787DE8B">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第3种方式：</w:t>
      </w:r>
      <w:r>
        <w:rPr>
          <w:rFonts w:hint="eastAsia" w:ascii="黑体" w:hAnsi="黑体" w:eastAsia="黑体" w:cs="黑体"/>
          <w:color w:val="auto"/>
          <w:kern w:val="0"/>
          <w:sz w:val="24"/>
          <w:szCs w:val="24"/>
          <w:highlight w:val="none"/>
        </w:rPr>
        <w:t>承包人直接实施的暂估价项目</w:t>
      </w:r>
    </w:p>
    <w:p w14:paraId="392811C0">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承包人直接实施的暂估价项目的约定：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7978CE5">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10.8 暂列金额</w:t>
      </w:r>
    </w:p>
    <w:p w14:paraId="18613840">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合同当事人关于暂列金额使用的约定：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3F3A69F2">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11. 价格调整</w:t>
      </w:r>
    </w:p>
    <w:p w14:paraId="638AF8E3">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 市场价格波动引起的调整</w:t>
      </w:r>
    </w:p>
    <w:p w14:paraId="73F379F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市场价格波动是否调整合同价格的约定：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eastAsia="zh-CN"/>
        </w:rPr>
        <w:t>否</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4A2621F">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因市场价格波动调整合同价格，采用以下第</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eastAsia="zh-CN"/>
        </w:rPr>
        <w:t>　</w:t>
      </w:r>
      <w:r>
        <w:rPr>
          <w:rFonts w:hint="eastAsia" w:ascii="黑体" w:hAnsi="黑体" w:eastAsia="黑体" w:cs="黑体"/>
          <w:color w:val="auto"/>
          <w:sz w:val="24"/>
          <w:szCs w:val="24"/>
          <w:highlight w:val="none"/>
        </w:rPr>
        <w:t>种方式对合同价格进行调整：</w:t>
      </w:r>
    </w:p>
    <w:p w14:paraId="6F47D52A">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第1种方式：采用价格指数进行价格调整。</w:t>
      </w:r>
    </w:p>
    <w:p w14:paraId="7624C7E6">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关于各可调因子、定值和变值权重，以及基本价格指数及其来源的约定：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w:t>
      </w:r>
    </w:p>
    <w:p w14:paraId="548338E3">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第2种方式：采用造价信息进行价格调整。</w:t>
      </w:r>
    </w:p>
    <w:p w14:paraId="7B0FD629">
      <w:pPr>
        <w:pStyle w:val="24"/>
        <w:spacing w:line="360" w:lineRule="auto"/>
        <w:ind w:left="239" w:leftChars="114" w:firstLine="240" w:firstLineChars="100"/>
        <w:jc w:val="left"/>
        <w:rPr>
          <w:rFonts w:hint="eastAsia"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rPr>
        <w:t>（2）关于基准价格的约定：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本工程人工费、材料价差执行 。</w:t>
      </w:r>
    </w:p>
    <w:p w14:paraId="15478F52">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%时，或材料单价跌幅以已标价工程量清单或预算书中载明材料单价为基础超过</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%时，其超过部分据实调整。</w:t>
      </w:r>
    </w:p>
    <w:p w14:paraId="15683116">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%时，材料单价涨幅以已标价工程量清单或预算书中载明材料单价为基础超过</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%时，其超过部分据实调整。</w:t>
      </w:r>
    </w:p>
    <w:p w14:paraId="74980400">
      <w:pPr>
        <w:pStyle w:val="24"/>
        <w:spacing w:line="360" w:lineRule="auto"/>
        <w:ind w:firstLine="64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黑体" w:hAnsi="黑体" w:eastAsia="黑体" w:cs="黑体"/>
          <w:color w:val="auto"/>
          <w:sz w:val="24"/>
          <w:szCs w:val="24"/>
          <w:highlight w:val="none"/>
          <w:u w:val="single"/>
        </w:rPr>
        <w:t>3</w:t>
      </w:r>
      <w:r>
        <w:rPr>
          <w:rFonts w:hint="eastAsia" w:ascii="黑体" w:hAnsi="黑体" w:eastAsia="黑体" w:cs="黑体"/>
          <w:color w:val="auto"/>
          <w:sz w:val="24"/>
          <w:szCs w:val="24"/>
          <w:highlight w:val="none"/>
        </w:rPr>
        <w:t>%时，其超过部分据实调整。</w:t>
      </w:r>
    </w:p>
    <w:p w14:paraId="04424D90">
      <w:pPr>
        <w:pStyle w:val="24"/>
        <w:spacing w:line="360" w:lineRule="auto"/>
        <w:ind w:firstLine="64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第3种方式：其他价格调整方式：</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713F9D8">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12. 合同价格、计量与支付</w:t>
      </w:r>
    </w:p>
    <w:p w14:paraId="542B7455">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12.1 合同价格形式</w:t>
      </w:r>
    </w:p>
    <w:p w14:paraId="1443E1D6">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1、单价合同。</w:t>
      </w:r>
    </w:p>
    <w:p w14:paraId="064B3D02">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综合单价包含的风险范围：</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31F39AB">
      <w:pPr>
        <w:pStyle w:val="24"/>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风险费用的计算方法：</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3A5E9B95">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风险范围以外合同价格的调整方法：</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85F22AF">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2、总价合同。</w:t>
      </w:r>
    </w:p>
    <w:p w14:paraId="41D3E504">
      <w:pPr>
        <w:pStyle w:val="24"/>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总价包含的风险范围：</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C661C88">
      <w:pPr>
        <w:pStyle w:val="24"/>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风险费用的计算方法：</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32534FE3">
      <w:pPr>
        <w:pStyle w:val="24"/>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风险范围以外合同价格的调整方法：</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A1EE42A">
      <w:pPr>
        <w:pStyle w:val="24"/>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3、其他价格方式：</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73988214">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12.2 预付款</w:t>
      </w:r>
    </w:p>
    <w:p w14:paraId="67C3FDA6">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12.2.1 预付款的支付</w:t>
      </w:r>
    </w:p>
    <w:p w14:paraId="4A531CD6">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预付款支付比例或金额：</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w:t>
      </w:r>
    </w:p>
    <w:p w14:paraId="1C42050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预付款支付期限：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6007AE6">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预付款扣回的方式：</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3BB7981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12.2.2 预付款担保</w:t>
      </w:r>
    </w:p>
    <w:p w14:paraId="46494D63">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承包人提交预付款担保的期限：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2262AC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预付款担保的形式为</w:t>
      </w:r>
      <w:r>
        <w:rPr>
          <w:rFonts w:hint="eastAsia" w:ascii="黑体" w:hAnsi="黑体" w:eastAsia="黑体" w:cs="黑体"/>
          <w:color w:val="auto"/>
          <w:sz w:val="24"/>
          <w:szCs w:val="24"/>
          <w:highlight w:val="none"/>
          <w:u w:val="single"/>
        </w:rPr>
        <w:t xml:space="preserve">                </w:t>
      </w:r>
    </w:p>
    <w:p w14:paraId="21701526">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12.3 计量</w:t>
      </w:r>
    </w:p>
    <w:p w14:paraId="61BB8E5B">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12.3.1 计量原则</w:t>
      </w:r>
    </w:p>
    <w:p w14:paraId="68A108AC">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工程量计算规则：</w:t>
      </w:r>
      <w:r>
        <w:rPr>
          <w:rFonts w:hint="eastAsia" w:ascii="黑体" w:hAnsi="黑体" w:eastAsia="黑体" w:cs="黑体"/>
          <w:color w:val="auto"/>
          <w:sz w:val="24"/>
          <w:szCs w:val="24"/>
          <w:highlight w:val="none"/>
          <w:u w:val="single"/>
        </w:rPr>
        <w:t xml:space="preserve">  </w:t>
      </w:r>
      <w:r>
        <w:rPr>
          <w:rFonts w:hint="eastAsia" w:ascii="黑体" w:hAnsi="黑体" w:eastAsia="黑体" w:cs="黑体"/>
          <w:b/>
          <w:color w:val="auto"/>
          <w:sz w:val="24"/>
          <w:szCs w:val="24"/>
          <w:highlight w:val="none"/>
          <w:u w:val="single"/>
        </w:rPr>
        <w:t>建设工程工程量清单计价规范（GB 50500-2013）</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964FE5B">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12.3.2 计量周期</w:t>
      </w:r>
    </w:p>
    <w:p w14:paraId="6FF9F2CA">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关于计量周期的约定：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19659F2E">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12.3.3 单价合同的计量</w:t>
      </w:r>
    </w:p>
    <w:p w14:paraId="5D2B410D">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关于单价合同计量的约定：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D157AD3">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12.3.4 总价合同的计量</w:t>
      </w:r>
    </w:p>
    <w:p w14:paraId="7E417966">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关于总价合同计量的约定：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216E23B6">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12.3.5总价合同采用支付分解表计量支付的，是否适用第</w:t>
      </w:r>
      <w:r>
        <w:rPr>
          <w:rFonts w:hint="eastAsia" w:ascii="黑体" w:hAnsi="黑体" w:eastAsia="黑体" w:cs="黑体"/>
          <w:color w:val="auto"/>
          <w:kern w:val="0"/>
          <w:sz w:val="24"/>
          <w:szCs w:val="24"/>
          <w:highlight w:val="none"/>
        </w:rPr>
        <w:t xml:space="preserve">12.3.4 </w:t>
      </w:r>
      <w:r>
        <w:rPr>
          <w:rFonts w:hint="eastAsia" w:ascii="黑体" w:hAnsi="黑体" w:eastAsia="黑体" w:cs="黑体"/>
          <w:color w:val="auto"/>
          <w:sz w:val="24"/>
          <w:szCs w:val="24"/>
          <w:highlight w:val="none"/>
        </w:rPr>
        <w:t>项</w:t>
      </w:r>
      <w:r>
        <w:rPr>
          <w:rFonts w:hint="eastAsia" w:ascii="黑体" w:hAnsi="黑体" w:eastAsia="黑体" w:cs="黑体"/>
          <w:color w:val="auto"/>
          <w:kern w:val="0"/>
          <w:sz w:val="24"/>
          <w:szCs w:val="24"/>
          <w:highlight w:val="none"/>
        </w:rPr>
        <w:t>〔总价合同的计量〕</w:t>
      </w:r>
      <w:r>
        <w:rPr>
          <w:rFonts w:hint="eastAsia" w:ascii="黑体" w:hAnsi="黑体" w:eastAsia="黑体" w:cs="黑体"/>
          <w:color w:val="auto"/>
          <w:sz w:val="24"/>
          <w:szCs w:val="24"/>
          <w:highlight w:val="none"/>
        </w:rPr>
        <w:t>约定进行计量：</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738BDBC5">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12.3.6 其他价格形式合同的计量</w:t>
      </w:r>
    </w:p>
    <w:p w14:paraId="33E00BD5">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其他价格形式的计量方式和程序：</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7B04CF95">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12.4 工程进度款支付</w:t>
      </w:r>
    </w:p>
    <w:p w14:paraId="6F64F1E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12.4.1 付款周期</w:t>
      </w:r>
    </w:p>
    <w:p w14:paraId="5398DB14">
      <w:pPr>
        <w:pStyle w:val="24"/>
        <w:spacing w:line="360" w:lineRule="auto"/>
        <w:ind w:firstLine="480" w:firstLineChars="200"/>
        <w:jc w:val="left"/>
        <w:rPr>
          <w:rFonts w:hint="eastAsia" w:ascii="黑体" w:hAnsi="黑体" w:eastAsia="黑体" w:cs="黑体"/>
          <w:color w:val="auto"/>
          <w:sz w:val="24"/>
          <w:szCs w:val="24"/>
          <w:highlight w:val="none"/>
          <w:u w:val="single"/>
          <w:lang w:val="en-US" w:eastAsia="zh-CN"/>
        </w:rPr>
      </w:pPr>
      <w:r>
        <w:rPr>
          <w:rFonts w:hint="eastAsia" w:ascii="黑体" w:hAnsi="黑体" w:eastAsia="黑体" w:cs="黑体"/>
          <w:color w:val="auto"/>
          <w:sz w:val="24"/>
          <w:szCs w:val="24"/>
          <w:highlight w:val="none"/>
        </w:rPr>
        <w:t>关于付款周期的约定：</w:t>
      </w:r>
      <w:r>
        <w:rPr>
          <w:rFonts w:hint="eastAsia" w:ascii="黑体" w:hAnsi="黑体" w:eastAsia="黑体" w:cs="黑体"/>
          <w:color w:val="auto"/>
          <w:sz w:val="24"/>
          <w:szCs w:val="24"/>
          <w:highlight w:val="none"/>
          <w:u w:val="single"/>
          <w:lang w:val="en-US" w:eastAsia="zh-CN"/>
        </w:rPr>
        <w:t xml:space="preserve">             。</w:t>
      </w:r>
    </w:p>
    <w:p w14:paraId="15580BC4">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12.4.2 进度付款申请单的编制</w:t>
      </w:r>
    </w:p>
    <w:p w14:paraId="47A340B4">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关于进度付款申请单编制的约定：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执行合同通用条款</w:t>
      </w:r>
    </w:p>
    <w:p w14:paraId="22366F0F">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12.4.3 进度付款申请单的提交</w:t>
      </w:r>
    </w:p>
    <w:p w14:paraId="6377E2D2">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（1）单价合同进度付款申请单提交的约定：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E7945E3">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（2）总价合同进度付款申请单提交的约定：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D31E66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（3）其他价格形式合同进度付款申请单提交的约定：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592302E">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12.4.4 进度款审核和支付</w:t>
      </w:r>
    </w:p>
    <w:p w14:paraId="5B843447">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（1）监理人审查并报送发包人的期限：</w:t>
      </w:r>
      <w:r>
        <w:rPr>
          <w:rFonts w:hint="eastAsia" w:ascii="黑体" w:hAnsi="黑体" w:eastAsia="黑体" w:cs="黑体"/>
          <w:color w:val="auto"/>
          <w:sz w:val="24"/>
          <w:szCs w:val="24"/>
          <w:highlight w:val="none"/>
          <w:u w:val="single"/>
        </w:rPr>
        <w:t xml:space="preserve">   收到申请7天内   </w:t>
      </w:r>
      <w:r>
        <w:rPr>
          <w:rFonts w:hint="eastAsia" w:ascii="黑体" w:hAnsi="黑体" w:eastAsia="黑体" w:cs="黑体"/>
          <w:color w:val="auto"/>
          <w:sz w:val="24"/>
          <w:szCs w:val="24"/>
          <w:highlight w:val="none"/>
        </w:rPr>
        <w:t>。</w:t>
      </w:r>
    </w:p>
    <w:p w14:paraId="431E223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发包人完成审批并签发进度款支付证书的期限：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41B430A">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（2）发包人支付进度款的期限：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BE40E8B">
      <w:pPr>
        <w:pStyle w:val="24"/>
        <w:spacing w:line="360" w:lineRule="auto"/>
        <w:ind w:firstLine="600" w:firstLineChars="25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发包人逾期支付进度款的违约金的计算方式：</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9AB7409">
      <w:pPr>
        <w:pStyle w:val="24"/>
        <w:spacing w:line="360" w:lineRule="auto"/>
        <w:ind w:firstLine="600" w:firstLineChars="25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12.4.6 支付分解表的编制</w:t>
      </w:r>
    </w:p>
    <w:p w14:paraId="5BB6076D">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2、总价合同支付分解表的编制与审批：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BE24A4F">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3、单价合同的总价项目支付分解表的编制与审批：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DF723C1">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13. 验收和工程试车</w:t>
      </w:r>
    </w:p>
    <w:p w14:paraId="79BE5D42">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13.1 分部分项工程验收</w:t>
      </w:r>
    </w:p>
    <w:p w14:paraId="24966EAE">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13.1.2监理人不能按时进行验收时，应提前</w:t>
      </w:r>
      <w:r>
        <w:rPr>
          <w:rFonts w:hint="eastAsia" w:ascii="黑体" w:hAnsi="黑体" w:eastAsia="黑体" w:cs="黑体"/>
          <w:color w:val="auto"/>
          <w:sz w:val="24"/>
          <w:szCs w:val="24"/>
          <w:highlight w:val="none"/>
          <w:u w:val="single"/>
        </w:rPr>
        <w:t xml:space="preserve">   24    </w:t>
      </w:r>
      <w:r>
        <w:rPr>
          <w:rFonts w:hint="eastAsia" w:ascii="黑体" w:hAnsi="黑体" w:eastAsia="黑体" w:cs="黑体"/>
          <w:color w:val="auto"/>
          <w:sz w:val="24"/>
          <w:szCs w:val="24"/>
          <w:highlight w:val="none"/>
        </w:rPr>
        <w:t>小时提交书面延期要求。</w:t>
      </w:r>
    </w:p>
    <w:p w14:paraId="5DDA747E">
      <w:pPr>
        <w:pStyle w:val="24"/>
        <w:spacing w:line="360" w:lineRule="auto"/>
        <w:ind w:firstLine="480" w:firstLineChars="200"/>
        <w:jc w:val="left"/>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关于延期最长不得超过：</w:t>
      </w:r>
      <w:r>
        <w:rPr>
          <w:rFonts w:hint="eastAsia" w:ascii="黑体" w:hAnsi="黑体" w:eastAsia="黑体" w:cs="黑体"/>
          <w:color w:val="auto"/>
          <w:sz w:val="24"/>
          <w:szCs w:val="24"/>
          <w:highlight w:val="none"/>
          <w:u w:val="single"/>
        </w:rPr>
        <w:t xml:space="preserve">   48      </w:t>
      </w:r>
      <w:r>
        <w:rPr>
          <w:rFonts w:hint="eastAsia" w:ascii="黑体" w:hAnsi="黑体" w:eastAsia="黑体" w:cs="黑体"/>
          <w:color w:val="auto"/>
          <w:sz w:val="24"/>
          <w:szCs w:val="24"/>
          <w:highlight w:val="none"/>
        </w:rPr>
        <w:t>小时。</w:t>
      </w:r>
    </w:p>
    <w:p w14:paraId="00A862AE">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 竣工验收</w:t>
      </w:r>
    </w:p>
    <w:p w14:paraId="1F84DB8D">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13.2.2竣工验收程序</w:t>
      </w:r>
    </w:p>
    <w:p w14:paraId="165B0CC4">
      <w:pPr>
        <w:pStyle w:val="24"/>
        <w:spacing w:line="360" w:lineRule="auto"/>
        <w:ind w:left="4800" w:hanging="4800" w:hangingChars="20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关于竣工验收程序的约定：</w:t>
      </w:r>
      <w:r>
        <w:rPr>
          <w:rFonts w:hint="eastAsia" w:ascii="黑体" w:hAnsi="黑体" w:eastAsia="黑体" w:cs="黑体"/>
          <w:color w:val="auto"/>
          <w:sz w:val="24"/>
          <w:szCs w:val="24"/>
          <w:highlight w:val="none"/>
          <w:u w:val="single"/>
        </w:rPr>
        <w:t xml:space="preserve">   按通用条款执行             </w:t>
      </w:r>
      <w:r>
        <w:rPr>
          <w:rFonts w:hint="eastAsia" w:ascii="黑体" w:hAnsi="黑体" w:eastAsia="黑体" w:cs="黑体"/>
          <w:color w:val="auto"/>
          <w:sz w:val="24"/>
          <w:szCs w:val="24"/>
          <w:highlight w:val="none"/>
        </w:rPr>
        <w:t>。</w:t>
      </w:r>
    </w:p>
    <w:p w14:paraId="762BE22A">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发包人不按照本项约定组织竣工验收、颁发工程接收证书的违约金的计算方法：</w:t>
      </w:r>
      <w:r>
        <w:rPr>
          <w:rFonts w:hint="eastAsia" w:ascii="黑体" w:hAnsi="黑体" w:eastAsia="黑体" w:cs="黑体"/>
          <w:color w:val="auto"/>
          <w:sz w:val="24"/>
          <w:szCs w:val="24"/>
          <w:highlight w:val="none"/>
          <w:u w:val="single"/>
        </w:rPr>
        <w:t xml:space="preserve">    按通用条款执行</w:t>
      </w:r>
      <w:r>
        <w:rPr>
          <w:rFonts w:hint="eastAsia" w:ascii="黑体" w:hAnsi="黑体" w:eastAsia="黑体" w:cs="黑体"/>
          <w:color w:val="auto"/>
          <w:sz w:val="24"/>
          <w:szCs w:val="24"/>
          <w:highlight w:val="none"/>
        </w:rPr>
        <w:t>。</w:t>
      </w:r>
    </w:p>
    <w:p w14:paraId="716E2E3B">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13.2.5移交、接收全部与部分工程</w:t>
      </w:r>
    </w:p>
    <w:p w14:paraId="6D3C6448">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承包人向发包人移交工程的期限：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720EB43">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发包人未按本合同约定接收全部或部分工程的，违约金的计算方法为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D04A9B1">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承包人未按时移交工程的，违约金的计算方法为：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3D27CEA">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13.3 工程试车</w:t>
      </w:r>
    </w:p>
    <w:p w14:paraId="334B58CD">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13.3.1 试车程序</w:t>
      </w:r>
    </w:p>
    <w:p w14:paraId="0A3DA40D">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工程试车内容：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81813FF">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（1）单机无负荷试车费用由</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kern w:val="0"/>
          <w:sz w:val="24"/>
          <w:szCs w:val="24"/>
          <w:highlight w:val="none"/>
        </w:rPr>
        <w:t>承担；</w:t>
      </w:r>
    </w:p>
    <w:p w14:paraId="0570F9AF">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（2）无负荷联动试车费用由</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kern w:val="0"/>
          <w:sz w:val="24"/>
          <w:szCs w:val="24"/>
          <w:highlight w:val="none"/>
        </w:rPr>
        <w:t>承担。</w:t>
      </w:r>
    </w:p>
    <w:p w14:paraId="4925F36F">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13.3.3 投料试车</w:t>
      </w:r>
    </w:p>
    <w:p w14:paraId="1F8CCF51">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关于投料试车相关事项的约定：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D7EA8CE">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13.6 竣工退场</w:t>
      </w:r>
    </w:p>
    <w:p w14:paraId="05357D63">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13.6.1 竣工退场</w:t>
      </w:r>
    </w:p>
    <w:p w14:paraId="6479348B">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承包人完成竣工退场的期限：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0502E42E">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14. 竣工结算</w:t>
      </w:r>
    </w:p>
    <w:p w14:paraId="4E471DA2">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 竣工付款申请</w:t>
      </w:r>
    </w:p>
    <w:p w14:paraId="7F7DDA0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承包人提交竣工付款申请单的期限：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5FC79BD">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竣工付款申请单应包括的内容：</w:t>
      </w:r>
      <w:r>
        <w:rPr>
          <w:rFonts w:hint="eastAsia" w:ascii="黑体" w:hAnsi="黑体" w:eastAsia="黑体" w:cs="黑体"/>
          <w:color w:val="auto"/>
          <w:sz w:val="24"/>
          <w:szCs w:val="24"/>
          <w:highlight w:val="none"/>
          <w:u w:val="single"/>
        </w:rPr>
        <w:t xml:space="preserve">  执行通用条款          </w:t>
      </w:r>
      <w:r>
        <w:rPr>
          <w:rFonts w:hint="eastAsia" w:ascii="黑体" w:hAnsi="黑体" w:eastAsia="黑体" w:cs="黑体"/>
          <w:color w:val="auto"/>
          <w:sz w:val="24"/>
          <w:szCs w:val="24"/>
          <w:highlight w:val="none"/>
        </w:rPr>
        <w:t>。</w:t>
      </w:r>
    </w:p>
    <w:p w14:paraId="5C2D06E4">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14.2 竣工结算审核</w:t>
      </w:r>
    </w:p>
    <w:p w14:paraId="51F7FDA5">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发包人审批竣工付款申请单的期限：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38BC3C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发包人完成竣工付款的期限：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FBC0FF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关于竣工付款证书异议部分复核的方式和程序：</w:t>
      </w:r>
      <w:r>
        <w:rPr>
          <w:rFonts w:hint="eastAsia" w:ascii="黑体" w:hAnsi="黑体" w:eastAsia="黑体" w:cs="黑体"/>
          <w:color w:val="auto"/>
          <w:sz w:val="24"/>
          <w:szCs w:val="24"/>
          <w:highlight w:val="none"/>
          <w:u w:val="single"/>
        </w:rPr>
        <w:t xml:space="preserve"> 执行通用条款</w:t>
      </w:r>
      <w:r>
        <w:rPr>
          <w:rFonts w:hint="eastAsia" w:ascii="黑体" w:hAnsi="黑体" w:eastAsia="黑体" w:cs="黑体"/>
          <w:color w:val="auto"/>
          <w:sz w:val="24"/>
          <w:szCs w:val="24"/>
          <w:highlight w:val="none"/>
        </w:rPr>
        <w:t>。</w:t>
      </w:r>
    </w:p>
    <w:p w14:paraId="3DB2E3D6">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14.4 最终结清</w:t>
      </w:r>
    </w:p>
    <w:p w14:paraId="6BBBEB31">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14.4.1 最终结清申请单</w:t>
      </w:r>
    </w:p>
    <w:p w14:paraId="01E3D907">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承包人提交最终结清申请单的份数：</w:t>
      </w:r>
      <w:r>
        <w:rPr>
          <w:rFonts w:hint="eastAsia" w:ascii="黑体" w:hAnsi="黑体" w:eastAsia="黑体" w:cs="黑体"/>
          <w:color w:val="auto"/>
          <w:sz w:val="24"/>
          <w:szCs w:val="24"/>
          <w:highlight w:val="none"/>
          <w:u w:val="single"/>
        </w:rPr>
        <w:t xml:space="preserve">   四份            </w:t>
      </w:r>
      <w:r>
        <w:rPr>
          <w:rFonts w:hint="eastAsia" w:ascii="黑体" w:hAnsi="黑体" w:eastAsia="黑体" w:cs="黑体"/>
          <w:color w:val="auto"/>
          <w:sz w:val="24"/>
          <w:szCs w:val="24"/>
          <w:highlight w:val="none"/>
        </w:rPr>
        <w:t>。</w:t>
      </w:r>
    </w:p>
    <w:p w14:paraId="155CCDA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承包人提交最终结算申请单的期限：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7061263E">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14.4.2 最终结清证书和支付</w:t>
      </w:r>
    </w:p>
    <w:p w14:paraId="261C0B3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（1）发包人完成最终结清申请单的审批并颁发最终结清证书的期限：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7BBCBC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（2）发包人完成支付的期限：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执行合同通用条款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95FBEAD">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15. 缺陷责任期与保修</w:t>
      </w:r>
    </w:p>
    <w:p w14:paraId="4C7A774F">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15.2缺陷责任期</w:t>
      </w:r>
    </w:p>
    <w:p w14:paraId="37D206BB">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缺陷责任期的具体期限：</w:t>
      </w:r>
      <w:r>
        <w:rPr>
          <w:rFonts w:hint="eastAsia" w:ascii="黑体" w:hAnsi="黑体" w:eastAsia="黑体" w:cs="黑体"/>
          <w:color w:val="auto"/>
          <w:sz w:val="24"/>
          <w:szCs w:val="24"/>
          <w:highlight w:val="none"/>
          <w:u w:val="single"/>
        </w:rPr>
        <w:t xml:space="preserve">    12个月                       </w:t>
      </w:r>
      <w:r>
        <w:rPr>
          <w:rFonts w:hint="eastAsia" w:ascii="黑体" w:hAnsi="黑体" w:eastAsia="黑体" w:cs="黑体"/>
          <w:color w:val="auto"/>
          <w:sz w:val="24"/>
          <w:szCs w:val="24"/>
          <w:highlight w:val="none"/>
        </w:rPr>
        <w:t>。</w:t>
      </w:r>
    </w:p>
    <w:p w14:paraId="3FF8E0B5">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15.3 质量保证金</w:t>
      </w:r>
    </w:p>
    <w:p w14:paraId="3FBFDE22">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关于是否扣留质量保证金的约定：</w:t>
      </w:r>
      <w:r>
        <w:rPr>
          <w:rFonts w:hint="eastAsia" w:ascii="黑体" w:hAnsi="黑体" w:eastAsia="黑体" w:cs="黑体"/>
          <w:color w:val="auto"/>
          <w:sz w:val="24"/>
          <w:szCs w:val="24"/>
          <w:highlight w:val="none"/>
          <w:u w:val="single"/>
        </w:rPr>
        <w:t xml:space="preserve">      扣留              </w:t>
      </w:r>
      <w:r>
        <w:rPr>
          <w:rFonts w:hint="eastAsia" w:ascii="黑体" w:hAnsi="黑体" w:eastAsia="黑体" w:cs="黑体"/>
          <w:color w:val="auto"/>
          <w:sz w:val="24"/>
          <w:szCs w:val="24"/>
          <w:highlight w:val="none"/>
        </w:rPr>
        <w:t>。</w:t>
      </w:r>
    </w:p>
    <w:p w14:paraId="6F454D3A">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15.3.1 承包人提供质量保证金的方式</w:t>
      </w:r>
    </w:p>
    <w:p w14:paraId="38657411">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质量保证金采用以下第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种方式：</w:t>
      </w:r>
    </w:p>
    <w:p w14:paraId="140303E1">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（1）质量保证金保函，保证金额为：</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 xml:space="preserve">； </w:t>
      </w:r>
    </w:p>
    <w:p w14:paraId="5B14F5F0">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kern w:val="0"/>
          <w:sz w:val="24"/>
          <w:szCs w:val="24"/>
          <w:highlight w:val="none"/>
          <w:u w:val="single"/>
        </w:rPr>
        <w:t xml:space="preserve">   3  </w:t>
      </w:r>
      <w:r>
        <w:rPr>
          <w:rFonts w:hint="eastAsia" w:ascii="黑体" w:hAnsi="黑体" w:eastAsia="黑体" w:cs="黑体"/>
          <w:color w:val="auto"/>
          <w:kern w:val="0"/>
          <w:sz w:val="24"/>
          <w:szCs w:val="24"/>
          <w:highlight w:val="none"/>
        </w:rPr>
        <w:t>%的工程款；</w:t>
      </w:r>
    </w:p>
    <w:p w14:paraId="3AFCDA7F">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（3）其他方式:</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744D40EF">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15.3.2 质量保证金的扣留 </w:t>
      </w:r>
    </w:p>
    <w:p w14:paraId="10199BA3">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质量保证金的扣留采取以下第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种方式：</w:t>
      </w:r>
    </w:p>
    <w:p w14:paraId="66E362F8">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（1）在支付工程进度款时逐次扣留，在此情形下，质量保证金的计算基数不包括预付款的支付、扣回以及价格调整的金额；</w:t>
      </w:r>
    </w:p>
    <w:p w14:paraId="796CCB03">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（2）工程竣工结算时一次性扣留质量保证金；</w:t>
      </w:r>
    </w:p>
    <w:p w14:paraId="7FD36E03">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（3）其他扣留方式:</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22A1CD1A">
      <w:pPr>
        <w:pStyle w:val="24"/>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sz w:val="24"/>
          <w:szCs w:val="24"/>
          <w:highlight w:val="none"/>
        </w:rPr>
        <w:t>关于质量保证金的补充约定：</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69D07596">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15.4保修</w:t>
      </w:r>
    </w:p>
    <w:p w14:paraId="3937ED02">
      <w:pPr>
        <w:pStyle w:val="24"/>
        <w:spacing w:line="360" w:lineRule="auto"/>
        <w:ind w:firstLine="468" w:firstLineChars="19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15.4.1 保修责任</w:t>
      </w:r>
    </w:p>
    <w:p w14:paraId="795954AA">
      <w:pPr>
        <w:pStyle w:val="24"/>
        <w:spacing w:line="360" w:lineRule="auto"/>
        <w:ind w:firstLine="468" w:firstLineChars="195"/>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工程保修期为：</w:t>
      </w:r>
      <w:r>
        <w:rPr>
          <w:rFonts w:hint="eastAsia" w:ascii="黑体" w:hAnsi="黑体" w:eastAsia="黑体" w:cs="黑体"/>
          <w:color w:val="auto"/>
          <w:kern w:val="0"/>
          <w:sz w:val="24"/>
          <w:szCs w:val="24"/>
          <w:highlight w:val="none"/>
          <w:u w:val="single"/>
        </w:rPr>
        <w:t xml:space="preserve">  见工程质量保修书                  </w:t>
      </w:r>
      <w:r>
        <w:rPr>
          <w:rFonts w:hint="eastAsia" w:ascii="黑体" w:hAnsi="黑体" w:eastAsia="黑体" w:cs="黑体"/>
          <w:color w:val="auto"/>
          <w:kern w:val="0"/>
          <w:sz w:val="24"/>
          <w:szCs w:val="24"/>
          <w:highlight w:val="none"/>
        </w:rPr>
        <w:t>。</w:t>
      </w:r>
    </w:p>
    <w:p w14:paraId="37B3D592">
      <w:pPr>
        <w:pStyle w:val="24"/>
        <w:spacing w:line="360" w:lineRule="auto"/>
        <w:ind w:firstLine="468" w:firstLineChars="19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15.4.3 修复通知</w:t>
      </w:r>
    </w:p>
    <w:p w14:paraId="52D068CC">
      <w:pPr>
        <w:pStyle w:val="24"/>
        <w:spacing w:line="360" w:lineRule="auto"/>
        <w:ind w:firstLine="468" w:firstLineChars="195"/>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承包人收到保修通知并到达工程现场的合理时间：</w:t>
      </w:r>
      <w:r>
        <w:rPr>
          <w:rFonts w:hint="eastAsia" w:ascii="黑体" w:hAnsi="黑体" w:eastAsia="黑体" w:cs="黑体"/>
          <w:color w:val="auto"/>
          <w:kern w:val="0"/>
          <w:sz w:val="24"/>
          <w:szCs w:val="24"/>
          <w:highlight w:val="none"/>
          <w:u w:val="single"/>
        </w:rPr>
        <w:t xml:space="preserve">24小时内   </w:t>
      </w:r>
      <w:r>
        <w:rPr>
          <w:rFonts w:hint="eastAsia" w:ascii="黑体" w:hAnsi="黑体" w:eastAsia="黑体" w:cs="黑体"/>
          <w:color w:val="auto"/>
          <w:kern w:val="0"/>
          <w:sz w:val="24"/>
          <w:szCs w:val="24"/>
          <w:highlight w:val="none"/>
        </w:rPr>
        <w:t>。</w:t>
      </w:r>
    </w:p>
    <w:p w14:paraId="74C705AE">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16. 违约</w:t>
      </w:r>
    </w:p>
    <w:p w14:paraId="6FC2DBE3">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 发包人违约</w:t>
      </w:r>
    </w:p>
    <w:p w14:paraId="27964FEB">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16.1.1发包人违约的情形</w:t>
      </w:r>
    </w:p>
    <w:p w14:paraId="06FDD049">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发包人违约的其他情形：</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689E4DE3">
      <w:pPr>
        <w:pStyle w:val="24"/>
        <w:spacing w:line="360" w:lineRule="auto"/>
        <w:ind w:left="1200" w:hanging="1200" w:hangingChars="5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    16.1.2 发包人违约的责任</w:t>
      </w:r>
    </w:p>
    <w:p w14:paraId="062BB895">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发包人违约责任的承担方式和计算方法：</w:t>
      </w:r>
    </w:p>
    <w:p w14:paraId="39D1F302">
      <w:pPr>
        <w:pStyle w:val="24"/>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（1）因发包人原因未能在计划开工日期前7天内下达开工通知的违约责任：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rPr>
        <w:t>。</w:t>
      </w:r>
    </w:p>
    <w:p w14:paraId="51FE87D5">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（2）因发包人原因未能按合同约定支付合同价款的违约责任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rPr>
        <w:t>。</w:t>
      </w:r>
    </w:p>
    <w:p w14:paraId="01B0F6ED">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（3）发包人违反第10.1款〔变更的范围〕第（2）项约定，自行实施被取消的工作或转由他人实施的违约责任：</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79597019">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黑体" w:hAnsi="黑体" w:eastAsia="黑体" w:cs="黑体"/>
          <w:color w:val="auto"/>
          <w:kern w:val="0"/>
          <w:sz w:val="24"/>
          <w:szCs w:val="24"/>
          <w:highlight w:val="none"/>
          <w:u w:val="single"/>
          <w:lang w:val="en-US" w:eastAsia="zh-CN"/>
        </w:rPr>
        <w:t>执行合同通用条款</w:t>
      </w:r>
    </w:p>
    <w:p w14:paraId="62AABACD">
      <w:pPr>
        <w:pStyle w:val="24"/>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（5）因发包人违反合同约定造成暂停施工的违约责任：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p>
    <w:p w14:paraId="419A8911">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（6）发包人无正当理由没有在约定期限内发出复工指示，导致承包人无法复工的违约责任：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3D33AD06">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（7）其他：</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7F4BDBE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16.1.3 因发包人违约解除合同</w:t>
      </w:r>
    </w:p>
    <w:p w14:paraId="68CDC2A9">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承包人按16.1.1项〔发包人违约的情形〕约定暂停施工满</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 xml:space="preserve"> </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天后发包人仍不纠正其违约行为并致使合同目的不能实现的，承包人有权解除合同。</w:t>
      </w:r>
    </w:p>
    <w:p w14:paraId="593BAEE4">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16.2 承包人违约</w:t>
      </w:r>
    </w:p>
    <w:p w14:paraId="3FC06202">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16.2.1 承包人违约的情形</w:t>
      </w:r>
    </w:p>
    <w:p w14:paraId="26C44975">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承包人违约的其他情形：</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0D784A45">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16.2.2承包人违约的责任</w:t>
      </w:r>
    </w:p>
    <w:p w14:paraId="5B214769">
      <w:pPr>
        <w:pStyle w:val="24"/>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承包人违约责任的承担方式和计算方法：</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r>
        <w:rPr>
          <w:rFonts w:hint="eastAsia" w:ascii="黑体" w:hAnsi="黑体" w:eastAsia="黑体" w:cs="黑体"/>
          <w:color w:val="auto"/>
          <w:sz w:val="24"/>
          <w:szCs w:val="24"/>
          <w:highlight w:val="none"/>
        </w:rPr>
        <w:t xml:space="preserve">    </w:t>
      </w:r>
    </w:p>
    <w:p w14:paraId="35379AA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16.2.3 因承包人违约解除合同</w:t>
      </w:r>
    </w:p>
    <w:p w14:paraId="70538CD5">
      <w:pPr>
        <w:pStyle w:val="24"/>
        <w:spacing w:before="120" w:after="120"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关于承包人违约解除合同的特别约定：</w:t>
      </w:r>
      <w:r>
        <w:rPr>
          <w:rFonts w:hint="eastAsia" w:ascii="黑体" w:hAnsi="黑体" w:eastAsia="黑体" w:cs="黑体"/>
          <w:color w:val="auto"/>
          <w:kern w:val="0"/>
          <w:sz w:val="24"/>
          <w:szCs w:val="24"/>
          <w:highlight w:val="none"/>
          <w:u w:val="single"/>
        </w:rPr>
        <w:t xml:space="preserve">  按通用条款执行  </w:t>
      </w:r>
      <w:r>
        <w:rPr>
          <w:rFonts w:hint="eastAsia" w:ascii="黑体" w:hAnsi="黑体" w:eastAsia="黑体" w:cs="黑体"/>
          <w:color w:val="auto"/>
          <w:kern w:val="0"/>
          <w:sz w:val="24"/>
          <w:szCs w:val="24"/>
          <w:highlight w:val="none"/>
        </w:rPr>
        <w:t>。</w:t>
      </w:r>
    </w:p>
    <w:p w14:paraId="68D697CA">
      <w:pPr>
        <w:pStyle w:val="24"/>
        <w:spacing w:before="120" w:after="120"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黑体" w:hAnsi="黑体" w:eastAsia="黑体" w:cs="黑体"/>
          <w:color w:val="auto"/>
          <w:kern w:val="0"/>
          <w:sz w:val="24"/>
          <w:szCs w:val="24"/>
          <w:highlight w:val="none"/>
          <w:u w:val="single"/>
        </w:rPr>
        <w:t xml:space="preserve">  双方另行确定   </w:t>
      </w:r>
      <w:r>
        <w:rPr>
          <w:rFonts w:hint="eastAsia" w:ascii="黑体" w:hAnsi="黑体" w:eastAsia="黑体" w:cs="黑体"/>
          <w:color w:val="auto"/>
          <w:kern w:val="0"/>
          <w:sz w:val="24"/>
          <w:szCs w:val="24"/>
          <w:highlight w:val="none"/>
        </w:rPr>
        <w:t>。</w:t>
      </w:r>
    </w:p>
    <w:p w14:paraId="02BF5D64">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17. 不可抗力 </w:t>
      </w:r>
    </w:p>
    <w:p w14:paraId="55D6A5A5">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17.1 不可抗力的确认</w:t>
      </w:r>
    </w:p>
    <w:p w14:paraId="36555783">
      <w:pPr>
        <w:pStyle w:val="24"/>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sz w:val="24"/>
          <w:szCs w:val="24"/>
          <w:highlight w:val="none"/>
        </w:rPr>
        <w:t xml:space="preserve">除通用合同条款约定的不可抗力事件之外，视为不可抗力的其他情形： </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197EAA80">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17.4 因不可抗力解除合同</w:t>
      </w:r>
    </w:p>
    <w:p w14:paraId="6EE2424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合同解除后，发包人应在商定或确定发包人应支付款项后</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天内完成款项的支付。</w:t>
      </w:r>
    </w:p>
    <w:p w14:paraId="2BB7CB83">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18. 保险</w:t>
      </w:r>
    </w:p>
    <w:p w14:paraId="76F47126">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18.1 工程保险</w:t>
      </w:r>
    </w:p>
    <w:p w14:paraId="6C965159">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关于工程保险的特别约定：</w:t>
      </w:r>
      <w:r>
        <w:rPr>
          <w:rFonts w:hint="eastAsia" w:ascii="黑体" w:hAnsi="黑体" w:eastAsia="黑体" w:cs="黑体"/>
          <w:color w:val="auto"/>
          <w:kern w:val="0"/>
          <w:sz w:val="24"/>
          <w:szCs w:val="24"/>
          <w:highlight w:val="none"/>
          <w:u w:val="single"/>
        </w:rPr>
        <w:t xml:space="preserve">   按通用条款执行     </w:t>
      </w:r>
      <w:r>
        <w:rPr>
          <w:rFonts w:hint="eastAsia" w:ascii="黑体" w:hAnsi="黑体" w:eastAsia="黑体" w:cs="黑体"/>
          <w:color w:val="auto"/>
          <w:kern w:val="0"/>
          <w:sz w:val="24"/>
          <w:szCs w:val="24"/>
          <w:highlight w:val="none"/>
        </w:rPr>
        <w:t>。</w:t>
      </w:r>
    </w:p>
    <w:p w14:paraId="5992B777">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18.3 其他保险</w:t>
      </w:r>
    </w:p>
    <w:p w14:paraId="180DED8C">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关于其他保险的约定：</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5FAB4F74">
      <w:pPr>
        <w:pStyle w:val="24"/>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承包人是否应为其施工设备等办理财产保险：</w:t>
      </w:r>
      <w:r>
        <w:rPr>
          <w:rFonts w:hint="eastAsia" w:ascii="黑体" w:hAnsi="黑体" w:eastAsia="黑体" w:cs="黑体"/>
          <w:color w:val="auto"/>
          <w:sz w:val="24"/>
          <w:szCs w:val="24"/>
          <w:highlight w:val="none"/>
          <w:u w:val="single"/>
        </w:rPr>
        <w:t xml:space="preserve"> 按通用条款执行  </w:t>
      </w:r>
      <w:r>
        <w:rPr>
          <w:rFonts w:hint="eastAsia" w:ascii="黑体" w:hAnsi="黑体" w:eastAsia="黑体" w:cs="黑体"/>
          <w:color w:val="auto"/>
          <w:sz w:val="24"/>
          <w:szCs w:val="24"/>
          <w:highlight w:val="none"/>
        </w:rPr>
        <w:t>。</w:t>
      </w:r>
    </w:p>
    <w:p w14:paraId="69436B76">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18.7 通知义务</w:t>
      </w:r>
    </w:p>
    <w:p w14:paraId="4D99E9E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关于变更保险合同时的通知义务的约定：</w:t>
      </w:r>
      <w:r>
        <w:rPr>
          <w:rFonts w:hint="eastAsia" w:ascii="黑体" w:hAnsi="黑体" w:eastAsia="黑体" w:cs="黑体"/>
          <w:color w:val="auto"/>
          <w:sz w:val="24"/>
          <w:szCs w:val="24"/>
          <w:highlight w:val="none"/>
          <w:u w:val="single"/>
        </w:rPr>
        <w:t xml:space="preserve">  按通用条款执行   </w:t>
      </w:r>
      <w:r>
        <w:rPr>
          <w:rFonts w:hint="eastAsia" w:ascii="黑体" w:hAnsi="黑体" w:eastAsia="黑体" w:cs="黑体"/>
          <w:color w:val="auto"/>
          <w:sz w:val="24"/>
          <w:szCs w:val="24"/>
          <w:highlight w:val="none"/>
        </w:rPr>
        <w:t>。</w:t>
      </w:r>
    </w:p>
    <w:p w14:paraId="471E8838">
      <w:pPr>
        <w:pStyle w:val="24"/>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20. 争议解决</w:t>
      </w:r>
    </w:p>
    <w:p w14:paraId="46C08EE0">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20.3 争议评审</w:t>
      </w:r>
    </w:p>
    <w:p w14:paraId="06F61F47">
      <w:pPr>
        <w:pStyle w:val="24"/>
        <w:spacing w:line="360" w:lineRule="auto"/>
        <w:ind w:left="149" w:leftChars="71" w:firstLine="360" w:firstLineChars="15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合同当事人是否同意将工程争议提交争议评审小组决定：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w:t>
      </w:r>
    </w:p>
    <w:p w14:paraId="5A403DC4">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20.3.1 争议评审小组的确定</w:t>
      </w:r>
    </w:p>
    <w:p w14:paraId="45F73335">
      <w:pPr>
        <w:pStyle w:val="24"/>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争议评审小组成员的确定：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CA38C02">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选定争议评审员的期限：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751B5AB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争议评审小组成员的报酬承担方式：</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B2FF147">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其他事项的约定：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756B6B4">
      <w:pPr>
        <w:pStyle w:val="24"/>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20.3.2 争议评审小组的决定</w:t>
      </w:r>
    </w:p>
    <w:p w14:paraId="7BF8C384">
      <w:pPr>
        <w:pStyle w:val="24"/>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合同当事人关于本项的约定：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BA23AFB">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20.4仲裁或诉讼</w:t>
      </w:r>
    </w:p>
    <w:p w14:paraId="232338F4">
      <w:pPr>
        <w:pStyle w:val="24"/>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因合同及合同有关事项发生的争议，按下列第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种方式解决：</w:t>
      </w:r>
    </w:p>
    <w:p w14:paraId="5053B960">
      <w:pPr>
        <w:pStyle w:val="24"/>
        <w:numPr>
          <w:ilvl w:val="0"/>
          <w:numId w:val="3"/>
        </w:numP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向</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仲裁委员会申请仲裁；</w:t>
      </w:r>
    </w:p>
    <w:p w14:paraId="52B52AF7">
      <w:pPr>
        <w:pStyle w:val="5"/>
        <w:numPr>
          <w:ilvl w:val="0"/>
          <w:numId w:val="3"/>
        </w:numPr>
        <w:spacing w:before="249" w:line="357" w:lineRule="auto"/>
        <w:ind w:left="0" w:leftChars="0"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向</w:t>
      </w:r>
      <w:r>
        <w:rPr>
          <w:rFonts w:hint="eastAsia" w:ascii="黑体" w:hAnsi="黑体" w:eastAsia="黑体" w:cs="黑体"/>
          <w:color w:val="auto"/>
          <w:sz w:val="24"/>
          <w:szCs w:val="24"/>
          <w:highlight w:val="none"/>
          <w:u w:val="single"/>
        </w:rPr>
        <w:t xml:space="preserve">    项目所在地     </w:t>
      </w:r>
      <w:r>
        <w:rPr>
          <w:rFonts w:hint="eastAsia" w:ascii="黑体" w:hAnsi="黑体" w:eastAsia="黑体" w:cs="黑体"/>
          <w:color w:val="auto"/>
          <w:sz w:val="24"/>
          <w:szCs w:val="24"/>
          <w:highlight w:val="none"/>
        </w:rPr>
        <w:t>人民法院起诉。</w:t>
      </w:r>
      <w:r>
        <w:rPr>
          <w:rFonts w:hint="eastAsia" w:ascii="黑体" w:hAnsi="黑体" w:eastAsia="黑体" w:cs="黑体"/>
          <w:color w:val="auto"/>
          <w:kern w:val="2"/>
          <w:sz w:val="24"/>
          <w:szCs w:val="24"/>
          <w:highlight w:val="none"/>
          <w:lang w:val="en-US" w:eastAsia="zh-CN" w:bidi="ar-SA"/>
        </w:rPr>
        <w:t xml:space="preserve"> </w:t>
      </w:r>
    </w:p>
    <w:p w14:paraId="39CE26DC">
      <w:pPr>
        <w:pStyle w:val="5"/>
        <w:numPr>
          <w:ilvl w:val="0"/>
          <w:numId w:val="0"/>
        </w:numPr>
        <w:spacing w:before="249" w:line="357" w:lineRule="auto"/>
        <w:rPr>
          <w:rFonts w:hint="eastAsia" w:ascii="黑体" w:hAnsi="黑体" w:eastAsia="黑体" w:cs="黑体"/>
          <w:color w:val="auto"/>
          <w:kern w:val="0"/>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 xml:space="preserve">    本项目的建设符合国家、自治区以工代赈项目要求和标准，可有效带动乡村群众就地就近就业增收，通过以工代赈项目实施，可进一步提升乡村群众的就业技能培训，提升稳定就业几率，对乡村农业发展有着重大示范带动作用。本项目有以下重点务必遵循：</w:t>
      </w:r>
    </w:p>
    <w:p w14:paraId="2C2E79CC">
      <w:pPr>
        <w:pStyle w:val="5"/>
        <w:numPr>
          <w:ilvl w:val="0"/>
          <w:numId w:val="4"/>
        </w:numPr>
        <w:spacing w:before="249" w:line="357" w:lineRule="auto"/>
        <w:ind w:left="0" w:leftChars="0" w:firstLine="660" w:firstLineChars="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本项目总投资300万元（含劳务报酬90万元、占中 央资金比例30%，其中易地搬迁脱贫群众预计获得劳务报酬1万元），项目施工要吸纳当地群众就业49人，其中易地扶贫搬迁脱贫群众1人。且90万元劳务报酬发放人群为农村脱贫人口、防止返贫致贫监测对象和其他低收入人口。</w:t>
      </w:r>
    </w:p>
    <w:p w14:paraId="40F941F8">
      <w:pPr>
        <w:pStyle w:val="5"/>
        <w:numPr>
          <w:ilvl w:val="0"/>
          <w:numId w:val="4"/>
        </w:numPr>
        <w:spacing w:before="249" w:line="357" w:lineRule="auto"/>
        <w:ind w:left="0" w:leftChars="0" w:firstLine="660" w:firstLineChars="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在保证工程质量的前提下，按照“能用人工尽量不用机械，能组织当地群众务工尽量不用专业施工队伍”，且不得将租赁当地群众机械设备等费用计入劳务报酬。</w:t>
      </w:r>
    </w:p>
    <w:p w14:paraId="007F83DF">
      <w:pPr>
        <w:pStyle w:val="5"/>
        <w:numPr>
          <w:ilvl w:val="0"/>
          <w:numId w:val="0"/>
        </w:numPr>
        <w:spacing w:before="249" w:line="357" w:lineRule="auto"/>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3.由施工单位将本项目纳入新疆农民工工资支付监控预警平台（即“新薪通”），90万元劳务工资由“新薪通”发放。施工单位需及时足额向参与务工的劳动力发放劳务报酬，支付周期最长不得超过一个月，坚决杜绝拖欠克扣、弄虚作假等行为，并按照以工代赈项目管理要求做好事前事中事后公示、劳务报酬发放公示和设立永久性公示牌，做好劳务报酬发放公示台账、工人工资表和技术培训等档案整理工作。</w:t>
      </w:r>
    </w:p>
    <w:p w14:paraId="3555B00C">
      <w:pPr>
        <w:pStyle w:val="5"/>
        <w:numPr>
          <w:ilvl w:val="0"/>
          <w:numId w:val="0"/>
        </w:numPr>
        <w:spacing w:before="249" w:line="357" w:lineRule="auto"/>
        <w:ind w:firstLine="240" w:firstLineChars="1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4.根据上级下发的相关以工代赈政策文件进行施工。</w:t>
      </w:r>
    </w:p>
    <w:p w14:paraId="3E783889">
      <w:pPr>
        <w:pStyle w:val="5"/>
        <w:numPr>
          <w:ilvl w:val="0"/>
          <w:numId w:val="0"/>
        </w:numPr>
        <w:spacing w:before="249" w:line="357" w:lineRule="auto"/>
        <w:ind w:firstLine="648" w:firstLineChars="200"/>
        <w:rPr>
          <w:rFonts w:hint="eastAsia"/>
          <w:color w:val="auto"/>
          <w:spacing w:val="7"/>
          <w:sz w:val="31"/>
          <w:szCs w:val="31"/>
          <w:lang w:val="en-US" w:eastAsia="zh-CN"/>
        </w:rPr>
      </w:pPr>
    </w:p>
    <w:p w14:paraId="40A2215F">
      <w:pPr>
        <w:pStyle w:val="5"/>
        <w:spacing w:before="235" w:line="356" w:lineRule="auto"/>
        <w:ind w:right="158" w:firstLine="612" w:firstLineChars="200"/>
        <w:jc w:val="both"/>
        <w:rPr>
          <w:rFonts w:hint="default"/>
          <w:color w:val="auto"/>
          <w:spacing w:val="-7"/>
          <w:sz w:val="32"/>
          <w:szCs w:val="32"/>
          <w:lang w:val="en-US" w:eastAsia="zh-CN"/>
        </w:rPr>
      </w:pPr>
    </w:p>
    <w:p w14:paraId="5B93C438">
      <w:pPr>
        <w:spacing w:line="500" w:lineRule="exact"/>
        <w:ind w:firstLine="480" w:firstLineChars="200"/>
        <w:rPr>
          <w:rFonts w:hint="eastAsia" w:ascii="黑体" w:hAnsi="黑体" w:eastAsia="黑体" w:cs="黑体"/>
          <w:color w:val="auto"/>
          <w:sz w:val="24"/>
          <w:szCs w:val="24"/>
          <w:highlight w:val="none"/>
        </w:rPr>
      </w:pPr>
    </w:p>
    <w:p w14:paraId="062EB158">
      <w:pPr>
        <w:spacing w:line="246" w:lineRule="auto"/>
        <w:rPr>
          <w:rFonts w:ascii="Arial"/>
          <w:color w:val="auto"/>
          <w:sz w:val="21"/>
        </w:rPr>
      </w:pPr>
    </w:p>
    <w:p w14:paraId="2AA2C52B">
      <w:pPr>
        <w:rPr>
          <w:color w:val="auto"/>
        </w:rPr>
        <w:sectPr>
          <w:headerReference r:id="rId25" w:type="default"/>
          <w:footerReference r:id="rId26" w:type="default"/>
          <w:pgSz w:w="11906" w:h="16839"/>
          <w:pgMar w:top="1440" w:right="1080" w:bottom="1440" w:left="1080" w:header="1134" w:footer="996" w:gutter="0"/>
          <w:pgNumType w:fmt="decimal"/>
          <w:cols w:space="720" w:num="1"/>
        </w:sectPr>
      </w:pPr>
    </w:p>
    <w:p w14:paraId="1246AE8E">
      <w:pPr>
        <w:pStyle w:val="5"/>
        <w:spacing w:line="265" w:lineRule="auto"/>
        <w:rPr>
          <w:color w:val="auto"/>
        </w:rPr>
      </w:pPr>
    </w:p>
    <w:p w14:paraId="467B1513">
      <w:pPr>
        <w:pStyle w:val="5"/>
        <w:spacing w:line="265" w:lineRule="auto"/>
        <w:rPr>
          <w:color w:val="auto"/>
        </w:rPr>
      </w:pPr>
    </w:p>
    <w:p w14:paraId="41118766">
      <w:pPr>
        <w:pStyle w:val="5"/>
        <w:spacing w:line="266" w:lineRule="auto"/>
        <w:rPr>
          <w:color w:val="auto"/>
        </w:rPr>
      </w:pPr>
    </w:p>
    <w:p w14:paraId="657A7C48">
      <w:pPr>
        <w:pStyle w:val="5"/>
        <w:spacing w:line="266" w:lineRule="auto"/>
        <w:rPr>
          <w:color w:val="auto"/>
        </w:rPr>
      </w:pPr>
    </w:p>
    <w:p w14:paraId="4D3FD60D">
      <w:pPr>
        <w:spacing w:before="101" w:line="227" w:lineRule="auto"/>
        <w:ind w:left="1838"/>
        <w:rPr>
          <w:rFonts w:ascii="黑体" w:hAnsi="黑体" w:eastAsia="黑体" w:cs="黑体"/>
          <w:color w:val="auto"/>
          <w:sz w:val="31"/>
          <w:szCs w:val="31"/>
        </w:rPr>
      </w:pPr>
      <w:r>
        <w:rPr>
          <w:rFonts w:ascii="黑体" w:hAnsi="黑体" w:eastAsia="黑体" w:cs="黑体"/>
          <w:color w:val="auto"/>
          <w:spacing w:val="15"/>
          <w:sz w:val="31"/>
          <w:szCs w:val="31"/>
          <w14:textOutline w14:w="5793" w14:cap="sq" w14:cmpd="sng">
            <w14:solidFill>
              <w14:srgbClr w14:val="000000"/>
            </w14:solidFill>
            <w14:prstDash w14:val="solid"/>
            <w14:bevel/>
          </w14:textOutline>
        </w:rPr>
        <w:t>第五章主要响应文件的格式及其内容</w:t>
      </w:r>
    </w:p>
    <w:p w14:paraId="7AEED368">
      <w:pPr>
        <w:pStyle w:val="5"/>
        <w:spacing w:line="245" w:lineRule="auto"/>
        <w:rPr>
          <w:color w:val="auto"/>
        </w:rPr>
      </w:pPr>
    </w:p>
    <w:p w14:paraId="21FB35F3">
      <w:pPr>
        <w:pStyle w:val="5"/>
        <w:spacing w:line="246" w:lineRule="auto"/>
        <w:rPr>
          <w:color w:val="auto"/>
        </w:rPr>
      </w:pPr>
    </w:p>
    <w:p w14:paraId="760B5A42">
      <w:pPr>
        <w:pStyle w:val="5"/>
        <w:spacing w:line="246" w:lineRule="auto"/>
        <w:rPr>
          <w:color w:val="auto"/>
        </w:rPr>
      </w:pPr>
    </w:p>
    <w:p w14:paraId="2D42E6B6">
      <w:pPr>
        <w:pStyle w:val="5"/>
        <w:spacing w:line="246" w:lineRule="auto"/>
        <w:rPr>
          <w:color w:val="auto"/>
        </w:rPr>
      </w:pPr>
    </w:p>
    <w:p w14:paraId="154E086C">
      <w:pPr>
        <w:pStyle w:val="5"/>
        <w:spacing w:line="246" w:lineRule="auto"/>
        <w:rPr>
          <w:color w:val="auto"/>
        </w:rPr>
      </w:pPr>
    </w:p>
    <w:p w14:paraId="380D479E">
      <w:pPr>
        <w:pStyle w:val="5"/>
        <w:spacing w:line="246" w:lineRule="auto"/>
        <w:rPr>
          <w:color w:val="auto"/>
        </w:rPr>
      </w:pPr>
    </w:p>
    <w:p w14:paraId="137DE986">
      <w:pPr>
        <w:pStyle w:val="5"/>
        <w:spacing w:line="246" w:lineRule="auto"/>
        <w:rPr>
          <w:color w:val="auto"/>
        </w:rPr>
      </w:pPr>
    </w:p>
    <w:p w14:paraId="4AE74941">
      <w:pPr>
        <w:spacing w:before="231" w:line="224" w:lineRule="auto"/>
        <w:ind w:left="2422"/>
        <w:rPr>
          <w:rFonts w:ascii="黑体" w:hAnsi="黑体" w:eastAsia="黑体" w:cs="黑体"/>
          <w:color w:val="auto"/>
          <w:sz w:val="71"/>
          <w:szCs w:val="71"/>
        </w:rPr>
      </w:pPr>
      <w:r>
        <w:rPr>
          <w:rFonts w:ascii="黑体" w:hAnsi="黑体" w:eastAsia="黑体" w:cs="黑体"/>
          <w:color w:val="auto"/>
          <w:sz w:val="71"/>
          <w:szCs w:val="71"/>
          <w14:textOutline w14:w="13075" w14:cap="sq" w14:cmpd="sng">
            <w14:solidFill>
              <w14:srgbClr w14:val="000000"/>
            </w14:solidFill>
            <w14:prstDash w14:val="solid"/>
            <w14:bevel/>
          </w14:textOutline>
        </w:rPr>
        <w:t>（项目名称）</w:t>
      </w:r>
    </w:p>
    <w:p w14:paraId="78841F23">
      <w:pPr>
        <w:pStyle w:val="5"/>
        <w:spacing w:line="251" w:lineRule="auto"/>
        <w:rPr>
          <w:color w:val="auto"/>
        </w:rPr>
      </w:pPr>
    </w:p>
    <w:p w14:paraId="148EB829">
      <w:pPr>
        <w:pStyle w:val="5"/>
        <w:spacing w:line="251" w:lineRule="auto"/>
        <w:rPr>
          <w:color w:val="auto"/>
        </w:rPr>
      </w:pPr>
    </w:p>
    <w:p w14:paraId="3899092E">
      <w:pPr>
        <w:pStyle w:val="5"/>
        <w:spacing w:line="252" w:lineRule="auto"/>
        <w:rPr>
          <w:color w:val="auto"/>
        </w:rPr>
      </w:pPr>
    </w:p>
    <w:p w14:paraId="43565B4C">
      <w:pPr>
        <w:pStyle w:val="5"/>
        <w:spacing w:line="252" w:lineRule="auto"/>
        <w:rPr>
          <w:color w:val="auto"/>
        </w:rPr>
      </w:pPr>
    </w:p>
    <w:p w14:paraId="4DD81423">
      <w:pPr>
        <w:pStyle w:val="5"/>
        <w:spacing w:line="252" w:lineRule="auto"/>
        <w:rPr>
          <w:color w:val="auto"/>
        </w:rPr>
      </w:pPr>
    </w:p>
    <w:p w14:paraId="737562DE">
      <w:pPr>
        <w:spacing w:before="100" w:line="226" w:lineRule="auto"/>
        <w:ind w:left="2285"/>
        <w:rPr>
          <w:rFonts w:ascii="黑体" w:hAnsi="黑体" w:eastAsia="黑体" w:cs="黑体"/>
          <w:color w:val="auto"/>
          <w:sz w:val="31"/>
          <w:szCs w:val="31"/>
        </w:rPr>
      </w:pPr>
      <w:r>
        <w:rPr>
          <w:rFonts w:ascii="黑体" w:hAnsi="黑体" w:eastAsia="黑体" w:cs="黑体"/>
          <w:color w:val="auto"/>
          <w:spacing w:val="9"/>
          <w:sz w:val="31"/>
          <w:szCs w:val="31"/>
          <w14:textOutline w14:w="5793" w14:cap="sq" w14:cmpd="sng">
            <w14:solidFill>
              <w14:srgbClr w14:val="000000"/>
            </w14:solidFill>
            <w14:prstDash w14:val="solid"/>
            <w14:bevel/>
          </w14:textOutline>
        </w:rPr>
        <w:t>项目编号：</w:t>
      </w:r>
    </w:p>
    <w:p w14:paraId="35A2FC82">
      <w:pPr>
        <w:pStyle w:val="5"/>
        <w:spacing w:line="242" w:lineRule="auto"/>
        <w:rPr>
          <w:color w:val="auto"/>
        </w:rPr>
      </w:pPr>
    </w:p>
    <w:p w14:paraId="1C621D09">
      <w:pPr>
        <w:pStyle w:val="5"/>
        <w:spacing w:line="242" w:lineRule="auto"/>
        <w:rPr>
          <w:color w:val="auto"/>
        </w:rPr>
      </w:pPr>
    </w:p>
    <w:p w14:paraId="22242917">
      <w:pPr>
        <w:pStyle w:val="5"/>
        <w:spacing w:line="242" w:lineRule="auto"/>
        <w:rPr>
          <w:color w:val="auto"/>
        </w:rPr>
      </w:pPr>
    </w:p>
    <w:p w14:paraId="1BF92A9B">
      <w:pPr>
        <w:pStyle w:val="5"/>
        <w:spacing w:line="242" w:lineRule="auto"/>
        <w:rPr>
          <w:color w:val="auto"/>
        </w:rPr>
      </w:pPr>
    </w:p>
    <w:p w14:paraId="4BAC63D7">
      <w:pPr>
        <w:pStyle w:val="5"/>
        <w:spacing w:line="242" w:lineRule="auto"/>
        <w:rPr>
          <w:color w:val="auto"/>
        </w:rPr>
      </w:pPr>
    </w:p>
    <w:p w14:paraId="65A1E676">
      <w:pPr>
        <w:spacing w:before="230" w:line="224" w:lineRule="auto"/>
        <w:ind w:left="2578"/>
        <w:outlineLvl w:val="0"/>
        <w:rPr>
          <w:rFonts w:ascii="黑体" w:hAnsi="黑体" w:eastAsia="黑体" w:cs="黑体"/>
          <w:color w:val="auto"/>
          <w:sz w:val="71"/>
          <w:szCs w:val="71"/>
        </w:rPr>
      </w:pPr>
      <w:bookmarkStart w:id="218" w:name="_Toc21307"/>
      <w:r>
        <w:rPr>
          <w:rFonts w:ascii="黑体" w:hAnsi="黑体" w:eastAsia="黑体" w:cs="黑体"/>
          <w:color w:val="auto"/>
          <w:spacing w:val="-25"/>
          <w:sz w:val="71"/>
          <w:szCs w:val="71"/>
          <w14:textOutline w14:w="13075" w14:cap="sq" w14:cmpd="sng">
            <w14:solidFill>
              <w14:srgbClr w14:val="000000"/>
            </w14:solidFill>
            <w14:prstDash w14:val="solid"/>
            <w14:bevel/>
          </w14:textOutline>
        </w:rPr>
        <w:t>响应文件</w:t>
      </w:r>
      <w:bookmarkEnd w:id="218"/>
    </w:p>
    <w:p w14:paraId="7AE8E11E">
      <w:pPr>
        <w:pStyle w:val="5"/>
        <w:spacing w:line="242" w:lineRule="auto"/>
        <w:rPr>
          <w:color w:val="auto"/>
        </w:rPr>
      </w:pPr>
    </w:p>
    <w:p w14:paraId="6EB2B473">
      <w:pPr>
        <w:pStyle w:val="5"/>
        <w:spacing w:line="242" w:lineRule="auto"/>
        <w:rPr>
          <w:color w:val="auto"/>
        </w:rPr>
      </w:pPr>
    </w:p>
    <w:p w14:paraId="1A947AFA">
      <w:pPr>
        <w:pStyle w:val="5"/>
        <w:spacing w:line="242" w:lineRule="auto"/>
        <w:rPr>
          <w:color w:val="auto"/>
        </w:rPr>
      </w:pPr>
    </w:p>
    <w:p w14:paraId="7A88B1AF">
      <w:pPr>
        <w:pStyle w:val="5"/>
        <w:spacing w:line="242" w:lineRule="auto"/>
        <w:rPr>
          <w:color w:val="auto"/>
        </w:rPr>
      </w:pPr>
    </w:p>
    <w:p w14:paraId="3100EA3F">
      <w:pPr>
        <w:pStyle w:val="5"/>
        <w:spacing w:line="242" w:lineRule="auto"/>
        <w:rPr>
          <w:color w:val="auto"/>
        </w:rPr>
      </w:pPr>
    </w:p>
    <w:p w14:paraId="4393795A">
      <w:pPr>
        <w:pStyle w:val="5"/>
        <w:spacing w:line="242" w:lineRule="auto"/>
        <w:rPr>
          <w:color w:val="auto"/>
        </w:rPr>
      </w:pPr>
    </w:p>
    <w:p w14:paraId="603DFDB9">
      <w:pPr>
        <w:pStyle w:val="5"/>
        <w:spacing w:line="242" w:lineRule="auto"/>
        <w:rPr>
          <w:color w:val="auto"/>
        </w:rPr>
      </w:pPr>
    </w:p>
    <w:p w14:paraId="33C30922">
      <w:pPr>
        <w:pStyle w:val="5"/>
        <w:spacing w:line="242" w:lineRule="auto"/>
        <w:rPr>
          <w:color w:val="auto"/>
        </w:rPr>
      </w:pPr>
    </w:p>
    <w:p w14:paraId="497E8C52">
      <w:pPr>
        <w:pStyle w:val="5"/>
        <w:spacing w:line="242" w:lineRule="auto"/>
        <w:rPr>
          <w:color w:val="auto"/>
        </w:rPr>
      </w:pPr>
    </w:p>
    <w:p w14:paraId="05B13285">
      <w:pPr>
        <w:pStyle w:val="5"/>
        <w:spacing w:line="242" w:lineRule="auto"/>
        <w:rPr>
          <w:color w:val="auto"/>
        </w:rPr>
      </w:pPr>
    </w:p>
    <w:p w14:paraId="2E3A293D">
      <w:pPr>
        <w:spacing w:before="92" w:line="222" w:lineRule="auto"/>
        <w:rPr>
          <w:rFonts w:ascii="黑体" w:hAnsi="黑体" w:eastAsia="黑体" w:cs="黑体"/>
          <w:color w:val="auto"/>
          <w:sz w:val="28"/>
          <w:szCs w:val="28"/>
        </w:rPr>
      </w:pPr>
      <w:r>
        <w:rPr>
          <w:rFonts w:ascii="黑体" w:hAnsi="黑体" w:eastAsia="黑体" w:cs="黑体"/>
          <w:color w:val="auto"/>
          <w:spacing w:val="4"/>
          <w:sz w:val="28"/>
          <w:szCs w:val="28"/>
          <w14:textOutline w14:w="5103" w14:cap="sq" w14:cmpd="sng">
            <w14:solidFill>
              <w14:srgbClr w14:val="000000"/>
            </w14:solidFill>
            <w14:prstDash w14:val="solid"/>
            <w14:bevel/>
          </w14:textOutline>
        </w:rPr>
        <w:t>供应商名称（盖章</w:t>
      </w:r>
      <w:r>
        <w:rPr>
          <w:rFonts w:ascii="黑体" w:hAnsi="黑体" w:eastAsia="黑体" w:cs="黑体"/>
          <w:color w:val="auto"/>
          <w:spacing w:val="3"/>
          <w:sz w:val="28"/>
          <w:szCs w:val="28"/>
          <w14:textOutline w14:w="5103" w14:cap="sq" w14:cmpd="sng">
            <w14:solidFill>
              <w14:srgbClr w14:val="000000"/>
            </w14:solidFill>
            <w14:prstDash w14:val="solid"/>
            <w14:bevel/>
          </w14:textOutline>
        </w:rPr>
        <w:t>）：</w:t>
      </w:r>
    </w:p>
    <w:p w14:paraId="28EDACDC">
      <w:pPr>
        <w:pStyle w:val="5"/>
        <w:spacing w:line="271" w:lineRule="auto"/>
        <w:rPr>
          <w:color w:val="auto"/>
        </w:rPr>
      </w:pPr>
    </w:p>
    <w:p w14:paraId="63B2B6D5">
      <w:pPr>
        <w:pStyle w:val="5"/>
        <w:spacing w:line="272" w:lineRule="auto"/>
        <w:rPr>
          <w:color w:val="auto"/>
        </w:rPr>
      </w:pPr>
    </w:p>
    <w:p w14:paraId="7352EC12">
      <w:pPr>
        <w:pStyle w:val="5"/>
        <w:spacing w:line="272" w:lineRule="auto"/>
        <w:rPr>
          <w:color w:val="auto"/>
        </w:rPr>
      </w:pPr>
    </w:p>
    <w:p w14:paraId="6DA39906">
      <w:pPr>
        <w:spacing w:before="91" w:line="222" w:lineRule="auto"/>
        <w:ind w:left="3"/>
        <w:rPr>
          <w:rFonts w:ascii="黑体" w:hAnsi="黑体" w:eastAsia="黑体" w:cs="黑体"/>
          <w:color w:val="auto"/>
          <w:sz w:val="28"/>
          <w:szCs w:val="28"/>
        </w:rPr>
      </w:pPr>
      <w:r>
        <w:rPr>
          <w:rFonts w:ascii="黑体" w:hAnsi="黑体" w:eastAsia="黑体" w:cs="黑体"/>
          <w:color w:val="auto"/>
          <w:spacing w:val="5"/>
          <w:sz w:val="28"/>
          <w:szCs w:val="28"/>
          <w14:textOutline w14:w="5103" w14:cap="sq" w14:cmpd="sng">
            <w14:solidFill>
              <w14:srgbClr w14:val="000000"/>
            </w14:solidFill>
            <w14:prstDash w14:val="solid"/>
            <w14:bevel/>
          </w14:textOutline>
        </w:rPr>
        <w:t>法定代表人或委托代理人（签字或盖章</w:t>
      </w:r>
      <w:r>
        <w:rPr>
          <w:rFonts w:ascii="黑体" w:hAnsi="黑体" w:eastAsia="黑体" w:cs="黑体"/>
          <w:color w:val="auto"/>
          <w:spacing w:val="7"/>
          <w:sz w:val="28"/>
          <w:szCs w:val="28"/>
          <w14:textOutline w14:w="5103" w14:cap="sq" w14:cmpd="sng">
            <w14:solidFill>
              <w14:srgbClr w14:val="000000"/>
            </w14:solidFill>
            <w14:prstDash w14:val="solid"/>
            <w14:bevel/>
          </w14:textOutline>
        </w:rPr>
        <w:t>）：</w:t>
      </w:r>
    </w:p>
    <w:p w14:paraId="0F9D86AF">
      <w:pPr>
        <w:pStyle w:val="5"/>
        <w:spacing w:line="271" w:lineRule="auto"/>
        <w:rPr>
          <w:color w:val="auto"/>
        </w:rPr>
      </w:pPr>
    </w:p>
    <w:p w14:paraId="35C8AA28">
      <w:pPr>
        <w:pStyle w:val="5"/>
        <w:spacing w:line="271" w:lineRule="auto"/>
        <w:rPr>
          <w:color w:val="auto"/>
        </w:rPr>
      </w:pPr>
    </w:p>
    <w:p w14:paraId="05BB70B3">
      <w:pPr>
        <w:pStyle w:val="5"/>
        <w:spacing w:line="272" w:lineRule="auto"/>
        <w:rPr>
          <w:color w:val="auto"/>
        </w:rPr>
      </w:pPr>
    </w:p>
    <w:p w14:paraId="77D7AE8E">
      <w:pPr>
        <w:spacing w:before="92" w:line="224" w:lineRule="auto"/>
        <w:ind w:left="2929"/>
        <w:rPr>
          <w:rFonts w:ascii="黑体" w:hAnsi="黑体" w:eastAsia="黑体" w:cs="黑体"/>
          <w:color w:val="auto"/>
          <w:sz w:val="28"/>
          <w:szCs w:val="28"/>
        </w:rPr>
      </w:pPr>
      <w:r>
        <w:rPr>
          <w:rFonts w:ascii="黑体" w:hAnsi="黑体" w:eastAsia="黑体" w:cs="黑体"/>
          <w:color w:val="auto"/>
          <w:spacing w:val="-13"/>
          <w:sz w:val="28"/>
          <w:szCs w:val="28"/>
          <w14:textOutline w14:w="5103" w14:cap="sq" w14:cmpd="sng">
            <w14:solidFill>
              <w14:srgbClr w14:val="000000"/>
            </w14:solidFill>
            <w14:prstDash w14:val="solid"/>
            <w14:bevel/>
          </w14:textOutline>
        </w:rPr>
        <w:t>日期：年月日</w:t>
      </w:r>
    </w:p>
    <w:p w14:paraId="64519B49">
      <w:pPr>
        <w:spacing w:line="224" w:lineRule="auto"/>
        <w:rPr>
          <w:rFonts w:ascii="黑体" w:hAnsi="黑体" w:eastAsia="黑体" w:cs="黑体"/>
          <w:color w:val="auto"/>
          <w:sz w:val="28"/>
          <w:szCs w:val="28"/>
        </w:rPr>
        <w:sectPr>
          <w:footerReference r:id="rId27" w:type="default"/>
          <w:pgSz w:w="11906" w:h="16839"/>
          <w:pgMar w:top="1440" w:right="1080" w:bottom="1440" w:left="1080" w:header="0" w:footer="850" w:gutter="0"/>
          <w:pgNumType w:fmt="decimal"/>
          <w:cols w:space="720" w:num="1"/>
        </w:sectPr>
      </w:pPr>
    </w:p>
    <w:p w14:paraId="4711EEB0">
      <w:pPr>
        <w:spacing w:before="101" w:line="227" w:lineRule="auto"/>
        <w:ind w:left="4578"/>
        <w:rPr>
          <w:rFonts w:ascii="黑体" w:hAnsi="黑体" w:eastAsia="黑体" w:cs="黑体"/>
          <w:color w:val="auto"/>
          <w:sz w:val="31"/>
          <w:szCs w:val="31"/>
        </w:rPr>
      </w:pPr>
      <w:r>
        <w:rPr>
          <w:rFonts w:ascii="黑体" w:hAnsi="黑体" w:eastAsia="黑体" w:cs="黑体"/>
          <w:color w:val="auto"/>
          <w:spacing w:val="-14"/>
          <w:sz w:val="31"/>
          <w:szCs w:val="31"/>
          <w14:textOutline w14:w="5793" w14:cap="sq" w14:cmpd="sng">
            <w14:solidFill>
              <w14:srgbClr w14:val="000000"/>
            </w14:solidFill>
            <w14:prstDash w14:val="solid"/>
            <w14:bevel/>
          </w14:textOutline>
        </w:rPr>
        <w:t>目录</w:t>
      </w:r>
    </w:p>
    <w:p w14:paraId="5845E44C">
      <w:pPr>
        <w:spacing w:before="204" w:line="221" w:lineRule="auto"/>
        <w:ind w:left="20"/>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（1）投标函（详见附件1）</w:t>
      </w:r>
    </w:p>
    <w:p w14:paraId="4E2488C5">
      <w:pPr>
        <w:spacing w:before="180" w:line="468" w:lineRule="exact"/>
        <w:ind w:left="20"/>
        <w:rPr>
          <w:rFonts w:ascii="黑体" w:hAnsi="黑体" w:eastAsia="黑体" w:cs="黑体"/>
          <w:color w:val="auto"/>
          <w:sz w:val="24"/>
          <w:szCs w:val="24"/>
        </w:rPr>
      </w:pPr>
      <w:r>
        <w:rPr>
          <w:rFonts w:ascii="黑体" w:hAnsi="黑体" w:eastAsia="黑体" w:cs="黑体"/>
          <w:color w:val="auto"/>
          <w:spacing w:val="4"/>
          <w:position w:val="17"/>
          <w:sz w:val="24"/>
          <w:szCs w:val="24"/>
          <w14:textOutline w14:w="4358" w14:cap="sq" w14:cmpd="sng">
            <w14:solidFill>
              <w14:srgbClr w14:val="000000"/>
            </w14:solidFill>
            <w14:prstDash w14:val="solid"/>
            <w14:bevel/>
          </w14:textOutline>
        </w:rPr>
        <w:t>（2）法定代表人资格证明及授权委托书（详见附件2）</w:t>
      </w:r>
    </w:p>
    <w:p w14:paraId="652BE22F">
      <w:pPr>
        <w:spacing w:before="1" w:line="220" w:lineRule="auto"/>
        <w:ind w:left="20"/>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（3）报价一览表（详见附件3）</w:t>
      </w:r>
    </w:p>
    <w:p w14:paraId="7C53AB21">
      <w:pPr>
        <w:spacing w:before="181" w:line="468" w:lineRule="exact"/>
        <w:ind w:left="497"/>
        <w:rPr>
          <w:rFonts w:ascii="黑体" w:hAnsi="黑体" w:eastAsia="黑体" w:cs="黑体"/>
          <w:color w:val="auto"/>
          <w:sz w:val="24"/>
          <w:szCs w:val="24"/>
        </w:rPr>
      </w:pPr>
      <w:r>
        <w:rPr>
          <w:rFonts w:ascii="黑体" w:hAnsi="黑体" w:eastAsia="黑体" w:cs="黑体"/>
          <w:color w:val="auto"/>
          <w:spacing w:val="3"/>
          <w:position w:val="17"/>
          <w:sz w:val="24"/>
          <w:szCs w:val="24"/>
          <w14:textOutline w14:w="4358" w14:cap="sq" w14:cmpd="sng">
            <w14:solidFill>
              <w14:srgbClr w14:val="000000"/>
            </w14:solidFill>
            <w14:prstDash w14:val="solid"/>
            <w14:bevel/>
          </w14:textOutline>
        </w:rPr>
        <w:t>分项报价明细表（附件3.1）</w:t>
      </w:r>
    </w:p>
    <w:p w14:paraId="068FE296">
      <w:pPr>
        <w:spacing w:before="1" w:line="220" w:lineRule="auto"/>
        <w:ind w:left="20"/>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（4）供应商概况表（详见附件4）</w:t>
      </w:r>
    </w:p>
    <w:p w14:paraId="5753118B">
      <w:pPr>
        <w:spacing w:before="181" w:line="221" w:lineRule="auto"/>
        <w:ind w:left="20"/>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（5）声明（详见附件5）</w:t>
      </w:r>
    </w:p>
    <w:p w14:paraId="0336EDBF">
      <w:pPr>
        <w:spacing w:before="181" w:line="468" w:lineRule="exact"/>
        <w:ind w:left="20"/>
        <w:rPr>
          <w:rFonts w:ascii="黑体" w:hAnsi="黑体" w:eastAsia="黑体" w:cs="黑体"/>
          <w:color w:val="auto"/>
          <w:sz w:val="24"/>
          <w:szCs w:val="24"/>
        </w:rPr>
      </w:pPr>
      <w:r>
        <w:rPr>
          <w:rFonts w:ascii="黑体" w:hAnsi="黑体" w:eastAsia="黑体" w:cs="黑体"/>
          <w:color w:val="auto"/>
          <w:spacing w:val="4"/>
          <w:position w:val="17"/>
          <w:sz w:val="24"/>
          <w:szCs w:val="24"/>
          <w14:textOutline w14:w="4358" w14:cap="sq" w14:cmpd="sng">
            <w14:solidFill>
              <w14:srgbClr w14:val="000000"/>
            </w14:solidFill>
            <w14:prstDash w14:val="solid"/>
            <w14:bevel/>
          </w14:textOutline>
        </w:rPr>
        <w:t>（6）无重大违法记录的书面声明（详见附件6）</w:t>
      </w:r>
    </w:p>
    <w:p w14:paraId="72549A02">
      <w:pPr>
        <w:spacing w:before="1" w:line="220" w:lineRule="auto"/>
        <w:ind w:left="20"/>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（7）企业</w:t>
      </w:r>
      <w:r>
        <w:rPr>
          <w:rFonts w:hint="eastAsia" w:ascii="黑体" w:hAnsi="黑体" w:eastAsia="黑体" w:cs="黑体"/>
          <w:color w:val="auto"/>
          <w:spacing w:val="2"/>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color w:val="auto"/>
          <w:spacing w:val="2"/>
          <w:sz w:val="24"/>
          <w:szCs w:val="24"/>
          <w:lang w:val="en-US" w:eastAsia="zh-CN"/>
          <w14:textOutline w14:w="4358" w14:cap="sq" w14:cmpd="sng">
            <w14:solidFill>
              <w14:srgbClr w14:val="000000"/>
            </w14:solidFill>
            <w14:prstDash w14:val="solid"/>
            <w14:bevel/>
          </w14:textOutline>
        </w:rPr>
        <w:t>2024年度</w:t>
      </w:r>
      <w:r>
        <w:rPr>
          <w:rFonts w:hint="eastAsia" w:ascii="黑体" w:hAnsi="黑体" w:eastAsia="黑体" w:cs="黑体"/>
          <w:color w:val="auto"/>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2"/>
          <w:sz w:val="24"/>
          <w:szCs w:val="24"/>
          <w14:textOutline w14:w="4358" w14:cap="sq" w14:cmpd="sng">
            <w14:solidFill>
              <w14:srgbClr w14:val="000000"/>
            </w14:solidFill>
            <w14:prstDash w14:val="solid"/>
            <w14:bevel/>
          </w14:textOutline>
        </w:rPr>
        <w:t>财务审计报告（详见附件7）</w:t>
      </w:r>
    </w:p>
    <w:p w14:paraId="2929E355">
      <w:pPr>
        <w:spacing w:before="180" w:line="221" w:lineRule="auto"/>
        <w:ind w:left="20"/>
        <w:rPr>
          <w:rFonts w:ascii="黑体" w:hAnsi="黑体" w:eastAsia="黑体" w:cs="黑体"/>
          <w:color w:val="auto"/>
          <w:sz w:val="24"/>
          <w:szCs w:val="24"/>
        </w:rPr>
      </w:pPr>
      <w:r>
        <w:rPr>
          <w:rFonts w:ascii="黑体" w:hAnsi="黑体" w:eastAsia="黑体" w:cs="黑体"/>
          <w:color w:val="auto"/>
          <w:spacing w:val="4"/>
          <w:sz w:val="24"/>
          <w:szCs w:val="24"/>
          <w14:textOutline w14:w="4358" w14:cap="sq" w14:cmpd="sng">
            <w14:solidFill>
              <w14:srgbClr w14:val="000000"/>
            </w14:solidFill>
            <w14:prstDash w14:val="solid"/>
            <w14:bevel/>
          </w14:textOutline>
        </w:rPr>
        <w:t>（8）“重法纪、讲诚信”承诺书（详见附件8）</w:t>
      </w:r>
    </w:p>
    <w:p w14:paraId="5CCB0637">
      <w:pPr>
        <w:spacing w:before="181" w:line="468" w:lineRule="exact"/>
        <w:ind w:left="20"/>
        <w:rPr>
          <w:rFonts w:ascii="黑体" w:hAnsi="黑体" w:eastAsia="黑体" w:cs="黑体"/>
          <w:color w:val="auto"/>
          <w:sz w:val="24"/>
          <w:szCs w:val="24"/>
        </w:rPr>
      </w:pPr>
      <w:r>
        <w:rPr>
          <w:rFonts w:ascii="黑体" w:hAnsi="黑体" w:eastAsia="黑体" w:cs="黑体"/>
          <w:color w:val="auto"/>
          <w:spacing w:val="3"/>
          <w:position w:val="17"/>
          <w:sz w:val="24"/>
          <w:szCs w:val="24"/>
          <w14:textOutline w14:w="4358" w14:cap="sq" w14:cmpd="sng">
            <w14:solidFill>
              <w14:srgbClr w14:val="000000"/>
            </w14:solidFill>
            <w14:prstDash w14:val="solid"/>
            <w14:bevel/>
          </w14:textOutline>
        </w:rPr>
        <w:t>（9）反商业贿赂承诺书（详见附件9）</w:t>
      </w:r>
    </w:p>
    <w:p w14:paraId="388534FD">
      <w:pPr>
        <w:spacing w:before="1" w:line="220" w:lineRule="auto"/>
        <w:ind w:left="20"/>
        <w:rPr>
          <w:rFonts w:ascii="黑体" w:hAnsi="黑体" w:eastAsia="黑体" w:cs="黑体"/>
          <w:color w:val="auto"/>
          <w:sz w:val="24"/>
          <w:szCs w:val="24"/>
        </w:rPr>
      </w:pPr>
      <w:r>
        <w:rPr>
          <w:rFonts w:ascii="黑体" w:hAnsi="黑体" w:eastAsia="黑体" w:cs="黑体"/>
          <w:color w:val="auto"/>
          <w:spacing w:val="2"/>
          <w:sz w:val="24"/>
          <w:szCs w:val="24"/>
          <w14:textOutline w14:w="4358" w14:cap="sq" w14:cmpd="sng">
            <w14:solidFill>
              <w14:srgbClr w14:val="000000"/>
            </w14:solidFill>
            <w14:prstDash w14:val="solid"/>
            <w14:bevel/>
          </w14:textOutline>
        </w:rPr>
        <w:t>（10）商务条款偏离表（详见附件10）</w:t>
      </w:r>
    </w:p>
    <w:p w14:paraId="77B6893D">
      <w:pPr>
        <w:spacing w:before="238" w:line="226" w:lineRule="auto"/>
        <w:outlineLvl w:val="1"/>
        <w:rPr>
          <w:rFonts w:ascii="黑体" w:hAnsi="黑体" w:eastAsia="黑体" w:cs="黑体"/>
          <w:color w:val="auto"/>
          <w:spacing w:val="3"/>
          <w:position w:val="17"/>
          <w:sz w:val="24"/>
          <w:szCs w:val="24"/>
          <w14:textOutline w14:w="4358" w14:cap="sq" w14:cmpd="sng">
            <w14:solidFill>
              <w14:srgbClr w14:val="000000"/>
            </w14:solidFill>
            <w14:prstDash w14:val="solid"/>
            <w14:bevel/>
          </w14:textOutline>
        </w:rPr>
      </w:pPr>
      <w:bookmarkStart w:id="219" w:name="_Toc13606"/>
      <w:r>
        <w:rPr>
          <w:rFonts w:ascii="黑体" w:hAnsi="黑体" w:eastAsia="黑体" w:cs="黑体"/>
          <w:color w:val="auto"/>
          <w:spacing w:val="3"/>
          <w:position w:val="17"/>
          <w:sz w:val="24"/>
          <w:szCs w:val="24"/>
          <w14:textOutline w14:w="4358" w14:cap="sq" w14:cmpd="sng">
            <w14:solidFill>
              <w14:srgbClr w14:val="000000"/>
            </w14:solidFill>
            <w14:prstDash w14:val="solid"/>
            <w14:bevel/>
          </w14:textOutline>
        </w:rPr>
        <w:t>（11）近</w:t>
      </w:r>
      <w:r>
        <w:rPr>
          <w:rFonts w:hint="eastAsia" w:ascii="黑体" w:hAnsi="黑体" w:eastAsia="黑体" w:cs="黑体"/>
          <w:color w:val="auto"/>
          <w:spacing w:val="3"/>
          <w:position w:val="17"/>
          <w:sz w:val="24"/>
          <w:szCs w:val="24"/>
          <w:lang w:val="en-US" w:eastAsia="zh-CN"/>
          <w14:textOutline w14:w="4358" w14:cap="sq" w14:cmpd="sng">
            <w14:solidFill>
              <w14:srgbClr w14:val="000000"/>
            </w14:solidFill>
            <w14:prstDash w14:val="solid"/>
            <w14:bevel/>
          </w14:textOutline>
        </w:rPr>
        <w:t>三</w:t>
      </w:r>
      <w:r>
        <w:rPr>
          <w:rFonts w:ascii="黑体" w:hAnsi="黑体" w:eastAsia="黑体" w:cs="黑体"/>
          <w:color w:val="auto"/>
          <w:spacing w:val="3"/>
          <w:position w:val="17"/>
          <w:sz w:val="24"/>
          <w:szCs w:val="24"/>
          <w14:textOutline w14:w="4358" w14:cap="sq" w14:cmpd="sng">
            <w14:solidFill>
              <w14:srgbClr w14:val="000000"/>
            </w14:solidFill>
            <w14:prstDash w14:val="solid"/>
            <w14:bevel/>
          </w14:textOutline>
        </w:rPr>
        <w:t>年同类项目业绩表</w:t>
      </w:r>
      <w:r>
        <w:rPr>
          <w:rFonts w:hint="eastAsia" w:ascii="黑体" w:hAnsi="黑体" w:eastAsia="黑体" w:cs="黑体"/>
          <w:color w:val="auto"/>
          <w:spacing w:val="3"/>
          <w:position w:val="17"/>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color w:val="auto"/>
          <w:spacing w:val="3"/>
          <w:position w:val="17"/>
          <w:sz w:val="24"/>
          <w:szCs w:val="24"/>
          <w:lang w:val="en-US" w:eastAsia="zh-CN"/>
          <w14:textOutline w14:w="4358" w14:cap="sq" w14:cmpd="sng">
            <w14:solidFill>
              <w14:srgbClr w14:val="000000"/>
            </w14:solidFill>
            <w14:prstDash w14:val="solid"/>
            <w14:bevel/>
          </w14:textOutline>
        </w:rPr>
        <w:t>2022年1月至今</w:t>
      </w:r>
      <w:r>
        <w:rPr>
          <w:rFonts w:hint="eastAsia" w:ascii="黑体" w:hAnsi="黑体" w:eastAsia="黑体" w:cs="黑体"/>
          <w:color w:val="auto"/>
          <w:spacing w:val="3"/>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color w:val="auto"/>
          <w:spacing w:val="3"/>
          <w:position w:val="17"/>
          <w:sz w:val="24"/>
          <w:szCs w:val="24"/>
          <w14:textOutline w14:w="4358" w14:cap="sq" w14:cmpd="sng">
            <w14:solidFill>
              <w14:srgbClr w14:val="000000"/>
            </w14:solidFill>
            <w14:prstDash w14:val="solid"/>
            <w14:bevel/>
          </w14:textOutline>
        </w:rPr>
        <w:t>（详见附件11）</w:t>
      </w:r>
      <w:bookmarkEnd w:id="219"/>
    </w:p>
    <w:p w14:paraId="4DE83563">
      <w:pPr>
        <w:spacing w:before="1" w:line="220" w:lineRule="auto"/>
        <w:ind w:left="20"/>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（12）拟派项目负责人简历表（详见附件12）</w:t>
      </w:r>
    </w:p>
    <w:p w14:paraId="13EA3E2F">
      <w:pPr>
        <w:spacing w:before="181" w:line="468" w:lineRule="exact"/>
        <w:ind w:left="20"/>
        <w:rPr>
          <w:rFonts w:ascii="黑体" w:hAnsi="黑体" w:eastAsia="黑体" w:cs="黑体"/>
          <w:color w:val="auto"/>
          <w:sz w:val="24"/>
          <w:szCs w:val="24"/>
        </w:rPr>
      </w:pPr>
      <w:r>
        <w:rPr>
          <w:rFonts w:ascii="黑体" w:hAnsi="黑体" w:eastAsia="黑体" w:cs="黑体"/>
          <w:color w:val="auto"/>
          <w:spacing w:val="3"/>
          <w:position w:val="17"/>
          <w:sz w:val="24"/>
          <w:szCs w:val="24"/>
          <w14:textOutline w14:w="4358" w14:cap="sq" w14:cmpd="sng">
            <w14:solidFill>
              <w14:srgbClr w14:val="000000"/>
            </w14:solidFill>
            <w14:prstDash w14:val="solid"/>
            <w14:bevel/>
          </w14:textOutline>
        </w:rPr>
        <w:t>（13）拟派本项目技术人员配置情况表（详见附件13）</w:t>
      </w:r>
    </w:p>
    <w:p w14:paraId="7DEC6DF0">
      <w:pPr>
        <w:spacing w:before="1" w:line="220" w:lineRule="auto"/>
        <w:ind w:left="20"/>
        <w:rPr>
          <w:rFonts w:ascii="黑体" w:hAnsi="黑体" w:eastAsia="黑体" w:cs="黑体"/>
          <w:color w:val="auto"/>
          <w:sz w:val="24"/>
          <w:szCs w:val="24"/>
        </w:rPr>
      </w:pPr>
      <w:r>
        <w:rPr>
          <w:rFonts w:ascii="黑体" w:hAnsi="黑体" w:eastAsia="黑体" w:cs="黑体"/>
          <w:color w:val="auto"/>
          <w:spacing w:val="4"/>
          <w:sz w:val="24"/>
          <w:szCs w:val="24"/>
          <w14:textOutline w14:w="4358" w14:cap="sq" w14:cmpd="sng">
            <w14:solidFill>
              <w14:srgbClr w14:val="000000"/>
            </w14:solidFill>
            <w14:prstDash w14:val="solid"/>
            <w14:bevel/>
          </w14:textOutline>
        </w:rPr>
        <w:t>（14）中、小微企业声明函（如若有</w:t>
      </w:r>
      <w:r>
        <w:rPr>
          <w:rFonts w:ascii="黑体" w:hAnsi="黑体" w:eastAsia="黑体" w:cs="黑体"/>
          <w:color w:val="auto"/>
          <w:spacing w:val="-1"/>
          <w:sz w:val="24"/>
          <w:szCs w:val="24"/>
          <w14:textOutline w14:w="4358" w14:cap="sq" w14:cmpd="sng">
            <w14:solidFill>
              <w14:srgbClr w14:val="000000"/>
            </w14:solidFill>
            <w14:prstDash w14:val="solid"/>
            <w14:bevel/>
          </w14:textOutline>
        </w:rPr>
        <w:t>）（</w:t>
      </w:r>
      <w:r>
        <w:rPr>
          <w:rFonts w:ascii="黑体" w:hAnsi="黑体" w:eastAsia="黑体" w:cs="黑体"/>
          <w:color w:val="auto"/>
          <w:spacing w:val="4"/>
          <w:sz w:val="24"/>
          <w:szCs w:val="24"/>
          <w14:textOutline w14:w="4358" w14:cap="sq" w14:cmpd="sng">
            <w14:solidFill>
              <w14:srgbClr w14:val="000000"/>
            </w14:solidFill>
            <w14:prstDash w14:val="solid"/>
            <w14:bevel/>
          </w14:textOutline>
        </w:rPr>
        <w:t>详见附件14）</w:t>
      </w:r>
    </w:p>
    <w:p w14:paraId="25D89ECF">
      <w:pPr>
        <w:spacing w:before="181" w:line="221" w:lineRule="auto"/>
        <w:jc w:val="right"/>
        <w:rPr>
          <w:rFonts w:ascii="黑体" w:hAnsi="黑体" w:eastAsia="黑体" w:cs="黑体"/>
          <w:color w:val="auto"/>
          <w:sz w:val="24"/>
          <w:szCs w:val="24"/>
        </w:rPr>
      </w:pPr>
      <w:r>
        <w:rPr>
          <w:rFonts w:ascii="黑体" w:hAnsi="黑体" w:eastAsia="黑体" w:cs="黑体"/>
          <w:color w:val="auto"/>
          <w:spacing w:val="4"/>
          <w:sz w:val="24"/>
          <w:szCs w:val="24"/>
          <w14:textOutline w14:w="4358" w14:cap="sq" w14:cmpd="sng">
            <w14:solidFill>
              <w14:srgbClr w14:val="000000"/>
            </w14:solidFill>
            <w14:prstDash w14:val="solid"/>
            <w14:bevel/>
          </w14:textOutline>
        </w:rPr>
        <w:t>（15）施工方案与技术措施、质量管理体系与措施、安全管理体系与措施、环境保护</w:t>
      </w:r>
    </w:p>
    <w:p w14:paraId="239330A2">
      <w:pPr>
        <w:spacing w:before="181" w:line="221" w:lineRule="auto"/>
        <w:ind w:left="1"/>
        <w:rPr>
          <w:rFonts w:ascii="黑体" w:hAnsi="黑体" w:eastAsia="黑体" w:cs="黑体"/>
          <w:color w:val="auto"/>
          <w:sz w:val="24"/>
          <w:szCs w:val="24"/>
        </w:rPr>
      </w:pPr>
      <w:r>
        <w:rPr>
          <w:rFonts w:ascii="黑体" w:hAnsi="黑体" w:eastAsia="黑体" w:cs="黑体"/>
          <w:color w:val="auto"/>
          <w:spacing w:val="6"/>
          <w:sz w:val="24"/>
          <w:szCs w:val="24"/>
          <w14:textOutline w14:w="4358" w14:cap="sq" w14:cmpd="sng">
            <w14:solidFill>
              <w14:srgbClr w14:val="000000"/>
            </w14:solidFill>
            <w14:prstDash w14:val="solid"/>
            <w14:bevel/>
          </w14:textOutline>
        </w:rPr>
        <w:t>管理体系与措施、工程进度计划与措施（供应商自拟</w:t>
      </w:r>
      <w:r>
        <w:rPr>
          <w:rFonts w:ascii="黑体" w:hAnsi="黑体" w:eastAsia="黑体" w:cs="黑体"/>
          <w:color w:val="auto"/>
          <w:spacing w:val="-7"/>
          <w:sz w:val="24"/>
          <w:szCs w:val="24"/>
          <w14:textOutline w14:w="4358" w14:cap="sq" w14:cmpd="sng">
            <w14:solidFill>
              <w14:srgbClr w14:val="000000"/>
            </w14:solidFill>
            <w14:prstDash w14:val="solid"/>
            <w14:bevel/>
          </w14:textOutline>
        </w:rPr>
        <w:t>）（</w:t>
      </w:r>
      <w:r>
        <w:rPr>
          <w:rFonts w:ascii="黑体" w:hAnsi="黑体" w:eastAsia="黑体" w:cs="黑体"/>
          <w:color w:val="auto"/>
          <w:spacing w:val="6"/>
          <w:sz w:val="24"/>
          <w:szCs w:val="24"/>
          <w14:textOutline w14:w="4358" w14:cap="sq" w14:cmpd="sng">
            <w14:solidFill>
              <w14:srgbClr w14:val="000000"/>
            </w14:solidFill>
            <w14:prstDash w14:val="solid"/>
            <w14:bevel/>
          </w14:textOutline>
        </w:rPr>
        <w:t>详见附</w:t>
      </w:r>
      <w:r>
        <w:rPr>
          <w:rFonts w:ascii="黑体" w:hAnsi="黑体" w:eastAsia="黑体" w:cs="黑体"/>
          <w:color w:val="auto"/>
          <w:spacing w:val="5"/>
          <w:sz w:val="24"/>
          <w:szCs w:val="24"/>
          <w14:textOutline w14:w="4358" w14:cap="sq" w14:cmpd="sng">
            <w14:solidFill>
              <w14:srgbClr w14:val="000000"/>
            </w14:solidFill>
            <w14:prstDash w14:val="solid"/>
            <w14:bevel/>
          </w14:textOutline>
        </w:rPr>
        <w:t>件15）</w:t>
      </w:r>
    </w:p>
    <w:p w14:paraId="19635880">
      <w:pPr>
        <w:spacing w:before="101" w:line="221" w:lineRule="auto"/>
        <w:ind w:left="20"/>
        <w:outlineLvl w:val="1"/>
        <w:rPr>
          <w:rFonts w:ascii="黑体" w:hAnsi="黑体" w:eastAsia="黑体" w:cs="黑体"/>
          <w:color w:val="auto"/>
          <w:sz w:val="24"/>
          <w:szCs w:val="24"/>
        </w:rPr>
      </w:pPr>
      <w:bookmarkStart w:id="220" w:name="_Toc15793"/>
      <w:r>
        <w:rPr>
          <w:rFonts w:ascii="黑体" w:hAnsi="黑体" w:eastAsia="黑体" w:cs="黑体"/>
          <w:color w:val="auto"/>
          <w:spacing w:val="4"/>
          <w:sz w:val="24"/>
          <w:szCs w:val="24"/>
          <w14:textOutline w14:w="4358" w14:cap="sq" w14:cmpd="sng">
            <w14:solidFill>
              <w14:srgbClr w14:val="000000"/>
            </w14:solidFill>
            <w14:prstDash w14:val="solid"/>
            <w14:bevel/>
          </w14:textOutline>
        </w:rPr>
        <w:t>（16）要求提供的其它材料以及供应商认为需要提交的材料（详见附件16）</w:t>
      </w:r>
      <w:bookmarkEnd w:id="220"/>
    </w:p>
    <w:p w14:paraId="2B4E3FAF">
      <w:pPr>
        <w:pStyle w:val="5"/>
        <w:spacing w:line="320" w:lineRule="auto"/>
        <w:rPr>
          <w:color w:val="auto"/>
        </w:rPr>
      </w:pPr>
    </w:p>
    <w:p w14:paraId="6A86D62F">
      <w:pPr>
        <w:pStyle w:val="5"/>
        <w:spacing w:line="321" w:lineRule="auto"/>
        <w:rPr>
          <w:color w:val="auto"/>
        </w:rPr>
      </w:pPr>
    </w:p>
    <w:p w14:paraId="61544FC4">
      <w:pPr>
        <w:spacing w:before="79" w:line="219" w:lineRule="auto"/>
        <w:rPr>
          <w:rFonts w:ascii="宋体" w:hAnsi="宋体" w:eastAsia="宋体" w:cs="宋体"/>
          <w:color w:val="auto"/>
          <w:sz w:val="24"/>
          <w:szCs w:val="24"/>
        </w:rPr>
      </w:pPr>
      <w:r>
        <w:rPr>
          <w:rFonts w:ascii="宋体" w:hAnsi="宋体" w:eastAsia="宋体" w:cs="宋体"/>
          <w:color w:val="auto"/>
          <w:spacing w:val="5"/>
          <w:sz w:val="24"/>
          <w:szCs w:val="24"/>
        </w:rPr>
        <w:t>注：请投标单位在制作投标文件时设置目录及页码，方便评审专家进行评审。</w:t>
      </w:r>
    </w:p>
    <w:p w14:paraId="173FF46A">
      <w:pPr>
        <w:spacing w:line="219" w:lineRule="auto"/>
        <w:rPr>
          <w:rFonts w:ascii="宋体" w:hAnsi="宋体" w:eastAsia="宋体" w:cs="宋体"/>
          <w:color w:val="auto"/>
          <w:sz w:val="24"/>
          <w:szCs w:val="24"/>
        </w:rPr>
        <w:sectPr>
          <w:footerReference r:id="rId28" w:type="default"/>
          <w:pgSz w:w="11906" w:h="16839"/>
          <w:pgMar w:top="1440" w:right="1080" w:bottom="1440" w:left="1080" w:header="0" w:footer="850" w:gutter="0"/>
          <w:pgNumType w:fmt="decimal"/>
          <w:cols w:space="720" w:num="1"/>
        </w:sectPr>
      </w:pPr>
    </w:p>
    <w:p w14:paraId="4020FA19">
      <w:pPr>
        <w:spacing w:before="100" w:line="230" w:lineRule="auto"/>
        <w:ind w:left="29"/>
        <w:rPr>
          <w:rFonts w:ascii="黑体" w:hAnsi="黑体" w:eastAsia="黑体" w:cs="黑体"/>
          <w:color w:val="auto"/>
          <w:sz w:val="31"/>
          <w:szCs w:val="31"/>
        </w:rPr>
      </w:pPr>
      <w:r>
        <w:rPr>
          <w:rFonts w:ascii="黑体" w:hAnsi="黑体" w:eastAsia="黑体" w:cs="黑体"/>
          <w:color w:val="auto"/>
          <w:spacing w:val="-6"/>
          <w:sz w:val="31"/>
          <w:szCs w:val="31"/>
          <w14:textOutline w14:w="5793" w14:cap="sq" w14:cmpd="sng">
            <w14:solidFill>
              <w14:srgbClr w14:val="000000"/>
            </w14:solidFill>
            <w14:prstDash w14:val="solid"/>
            <w14:bevel/>
          </w14:textOutline>
        </w:rPr>
        <w:t>附件1:</w:t>
      </w:r>
    </w:p>
    <w:p w14:paraId="7F5CEBC2">
      <w:pPr>
        <w:spacing w:before="338" w:line="228" w:lineRule="auto"/>
        <w:ind w:left="3893"/>
        <w:outlineLvl w:val="0"/>
        <w:rPr>
          <w:rFonts w:ascii="黑体" w:hAnsi="黑体" w:eastAsia="黑体" w:cs="黑体"/>
          <w:color w:val="auto"/>
          <w:sz w:val="31"/>
          <w:szCs w:val="31"/>
        </w:rPr>
      </w:pPr>
      <w:bookmarkStart w:id="221" w:name="_Toc22747"/>
      <w:r>
        <w:rPr>
          <w:rFonts w:ascii="黑体" w:hAnsi="黑体" w:eastAsia="黑体" w:cs="黑体"/>
          <w:color w:val="auto"/>
          <w:sz w:val="31"/>
          <w:szCs w:val="31"/>
          <w14:textOutline w14:w="5793" w14:cap="sq" w14:cmpd="sng">
            <w14:solidFill>
              <w14:srgbClr w14:val="000000"/>
            </w14:solidFill>
            <w14:prstDash w14:val="solid"/>
            <w14:bevel/>
          </w14:textOutline>
        </w:rPr>
        <w:t>投标函</w:t>
      </w:r>
      <w:bookmarkEnd w:id="221"/>
    </w:p>
    <w:p w14:paraId="02BD03A8">
      <w:pPr>
        <w:tabs>
          <w:tab w:val="left" w:pos="267"/>
        </w:tabs>
        <w:spacing w:before="203" w:line="222" w:lineRule="auto"/>
        <w:rPr>
          <w:rFonts w:ascii="黑体" w:hAnsi="黑体" w:eastAsia="黑体" w:cs="黑体"/>
          <w:color w:val="auto"/>
          <w:sz w:val="24"/>
          <w:szCs w:val="24"/>
        </w:rPr>
      </w:pPr>
      <w:r>
        <w:rPr>
          <w:rFonts w:ascii="黑体" w:hAnsi="黑体" w:eastAsia="黑体" w:cs="黑体"/>
          <w:color w:val="auto"/>
          <w:sz w:val="24"/>
          <w:szCs w:val="24"/>
          <w:u w:val="single" w:color="auto"/>
        </w:rPr>
        <w:tab/>
      </w:r>
      <w:r>
        <w:rPr>
          <w:rFonts w:ascii="黑体" w:hAnsi="黑体" w:eastAsia="黑体" w:cs="黑体"/>
          <w:color w:val="auto"/>
          <w:spacing w:val="-20"/>
          <w:sz w:val="24"/>
          <w:szCs w:val="24"/>
          <w:u w:val="single" w:color="auto"/>
        </w:rPr>
        <w:t>（采购人名称</w:t>
      </w:r>
      <w:r>
        <w:rPr>
          <w:rFonts w:ascii="黑体" w:hAnsi="黑体" w:eastAsia="黑体" w:cs="黑体"/>
          <w:color w:val="auto"/>
          <w:spacing w:val="1"/>
          <w:sz w:val="24"/>
          <w:szCs w:val="24"/>
          <w:u w:val="single" w:color="auto"/>
        </w:rPr>
        <w:t>）</w:t>
      </w:r>
      <w:r>
        <w:rPr>
          <w:rFonts w:ascii="黑体" w:hAnsi="黑体" w:eastAsia="黑体" w:cs="黑体"/>
          <w:color w:val="auto"/>
          <w:spacing w:val="1"/>
          <w:sz w:val="24"/>
          <w:szCs w:val="24"/>
        </w:rPr>
        <w:t>：</w:t>
      </w:r>
    </w:p>
    <w:p w14:paraId="336F398A">
      <w:pPr>
        <w:spacing w:before="112" w:line="264" w:lineRule="auto"/>
        <w:ind w:left="9" w:firstLine="495"/>
        <w:rPr>
          <w:rFonts w:ascii="黑体" w:hAnsi="黑体" w:eastAsia="黑体" w:cs="黑体"/>
          <w:color w:val="auto"/>
          <w:sz w:val="24"/>
          <w:szCs w:val="24"/>
        </w:rPr>
      </w:pPr>
      <w:r>
        <w:rPr>
          <w:rFonts w:ascii="黑体" w:hAnsi="黑体" w:eastAsia="黑体" w:cs="黑体"/>
          <w:color w:val="auto"/>
          <w:spacing w:val="7"/>
          <w:sz w:val="24"/>
          <w:szCs w:val="24"/>
        </w:rPr>
        <w:t>我公司收到贵单位</w:t>
      </w:r>
      <w:r>
        <w:rPr>
          <w:rFonts w:ascii="黑体" w:hAnsi="黑体" w:eastAsia="黑体" w:cs="黑体"/>
          <w:color w:val="auto"/>
          <w:spacing w:val="7"/>
          <w:sz w:val="24"/>
          <w:szCs w:val="24"/>
          <w:u w:val="single" w:color="auto"/>
        </w:rPr>
        <w:t>（项目名称）</w:t>
      </w:r>
      <w:r>
        <w:rPr>
          <w:rFonts w:ascii="黑体" w:hAnsi="黑体" w:eastAsia="黑体" w:cs="黑体"/>
          <w:color w:val="auto"/>
          <w:spacing w:val="7"/>
          <w:sz w:val="24"/>
          <w:szCs w:val="24"/>
        </w:rPr>
        <w:t>竞争性磋商文件，经认真研究，我们决定</w:t>
      </w:r>
      <w:r>
        <w:rPr>
          <w:rFonts w:ascii="黑体" w:hAnsi="黑体" w:eastAsia="黑体" w:cs="黑体"/>
          <w:color w:val="auto"/>
          <w:spacing w:val="3"/>
          <w:sz w:val="24"/>
          <w:szCs w:val="24"/>
        </w:rPr>
        <w:t>参加本项目投标。</w:t>
      </w:r>
    </w:p>
    <w:p w14:paraId="60DFA2BA">
      <w:pPr>
        <w:spacing w:before="112" w:line="279" w:lineRule="auto"/>
        <w:ind w:left="10" w:firstLine="503"/>
        <w:rPr>
          <w:rFonts w:ascii="黑体" w:hAnsi="黑体" w:eastAsia="黑体" w:cs="黑体"/>
          <w:color w:val="auto"/>
          <w:sz w:val="24"/>
          <w:szCs w:val="24"/>
        </w:rPr>
      </w:pPr>
      <w:r>
        <w:rPr>
          <w:rFonts w:ascii="黑体" w:hAnsi="黑体" w:eastAsia="黑体" w:cs="黑体"/>
          <w:color w:val="auto"/>
          <w:spacing w:val="4"/>
          <w:sz w:val="24"/>
          <w:szCs w:val="24"/>
        </w:rPr>
        <w:t>1.按照竞争性磋商文件中的一切要求，我方完全接受竞争性磋商文件的规定和要</w:t>
      </w:r>
      <w:r>
        <w:rPr>
          <w:rFonts w:ascii="黑体" w:hAnsi="黑体" w:eastAsia="黑体" w:cs="黑体"/>
          <w:color w:val="auto"/>
          <w:spacing w:val="3"/>
          <w:sz w:val="24"/>
          <w:szCs w:val="24"/>
        </w:rPr>
        <w:t>求愿以</w:t>
      </w:r>
      <w:r>
        <w:rPr>
          <w:rFonts w:hint="eastAsia" w:ascii="黑体" w:hAnsi="黑体" w:eastAsia="黑体" w:cs="黑体"/>
          <w:color w:val="auto"/>
          <w:spacing w:val="3"/>
          <w:sz w:val="24"/>
          <w:szCs w:val="24"/>
          <w:u w:val="single"/>
          <w:lang w:val="en-US" w:eastAsia="zh-CN"/>
        </w:rPr>
        <w:t xml:space="preserve">  </w:t>
      </w:r>
      <w:r>
        <w:rPr>
          <w:rFonts w:ascii="黑体" w:hAnsi="黑体" w:eastAsia="黑体" w:cs="黑体"/>
          <w:color w:val="auto"/>
          <w:spacing w:val="3"/>
          <w:sz w:val="24"/>
          <w:szCs w:val="24"/>
        </w:rPr>
        <w:t>元（大写</w:t>
      </w:r>
      <w:r>
        <w:rPr>
          <w:rFonts w:ascii="黑体" w:hAnsi="黑体" w:eastAsia="黑体" w:cs="黑体"/>
          <w:color w:val="auto"/>
          <w:spacing w:val="5"/>
          <w:sz w:val="24"/>
          <w:szCs w:val="24"/>
        </w:rPr>
        <w:t>：），</w:t>
      </w:r>
      <w:r>
        <w:rPr>
          <w:rFonts w:ascii="黑体" w:hAnsi="黑体" w:eastAsia="黑体" w:cs="黑体"/>
          <w:color w:val="auto"/>
          <w:spacing w:val="3"/>
          <w:sz w:val="24"/>
          <w:szCs w:val="24"/>
        </w:rPr>
        <w:t>工期</w:t>
      </w:r>
      <w:r>
        <w:rPr>
          <w:rFonts w:ascii="黑体" w:hAnsi="黑体" w:eastAsia="黑体" w:cs="黑体"/>
          <w:color w:val="auto"/>
          <w:spacing w:val="5"/>
          <w:sz w:val="24"/>
          <w:szCs w:val="24"/>
        </w:rPr>
        <w:t>：，</w:t>
      </w:r>
      <w:r>
        <w:rPr>
          <w:rFonts w:ascii="黑体" w:hAnsi="黑体" w:eastAsia="黑体" w:cs="黑体"/>
          <w:color w:val="auto"/>
          <w:spacing w:val="3"/>
          <w:sz w:val="24"/>
          <w:szCs w:val="24"/>
        </w:rPr>
        <w:t>完成上述项目的所有</w:t>
      </w:r>
      <w:r>
        <w:rPr>
          <w:rFonts w:ascii="黑体" w:hAnsi="黑体" w:eastAsia="黑体" w:cs="黑体"/>
          <w:color w:val="auto"/>
          <w:spacing w:val="-2"/>
          <w:sz w:val="24"/>
          <w:szCs w:val="24"/>
        </w:rPr>
        <w:t>工作。</w:t>
      </w:r>
    </w:p>
    <w:p w14:paraId="66605781">
      <w:pPr>
        <w:spacing w:before="111" w:line="261" w:lineRule="auto"/>
        <w:ind w:left="11" w:firstLine="488"/>
        <w:rPr>
          <w:rFonts w:ascii="黑体" w:hAnsi="黑体" w:eastAsia="黑体" w:cs="黑体"/>
          <w:color w:val="auto"/>
          <w:sz w:val="24"/>
          <w:szCs w:val="24"/>
        </w:rPr>
      </w:pPr>
      <w:r>
        <w:rPr>
          <w:rFonts w:ascii="黑体" w:hAnsi="黑体" w:eastAsia="黑体" w:cs="黑体"/>
          <w:color w:val="auto"/>
          <w:spacing w:val="12"/>
          <w:sz w:val="24"/>
          <w:szCs w:val="24"/>
        </w:rPr>
        <w:t>2.如果我们的响应文件被接受，我们将履行竞</w:t>
      </w:r>
      <w:r>
        <w:rPr>
          <w:rFonts w:ascii="黑体" w:hAnsi="黑体" w:eastAsia="黑体" w:cs="黑体"/>
          <w:color w:val="auto"/>
          <w:spacing w:val="11"/>
          <w:sz w:val="24"/>
          <w:szCs w:val="24"/>
        </w:rPr>
        <w:t>争性磋商文件中规定的每一项要</w:t>
      </w:r>
      <w:r>
        <w:rPr>
          <w:rFonts w:ascii="黑体" w:hAnsi="黑体" w:eastAsia="黑体" w:cs="黑体"/>
          <w:color w:val="auto"/>
          <w:spacing w:val="4"/>
          <w:sz w:val="24"/>
          <w:szCs w:val="24"/>
        </w:rPr>
        <w:t>求，按期、按质、按量完成交货和完工任务。</w:t>
      </w:r>
    </w:p>
    <w:p w14:paraId="5C3A583D">
      <w:pPr>
        <w:spacing w:before="123" w:line="266" w:lineRule="auto"/>
        <w:ind w:left="2" w:firstLine="498"/>
        <w:rPr>
          <w:rFonts w:ascii="黑体" w:hAnsi="黑体" w:eastAsia="黑体" w:cs="黑体"/>
          <w:color w:val="auto"/>
          <w:sz w:val="24"/>
          <w:szCs w:val="24"/>
        </w:rPr>
      </w:pPr>
      <w:r>
        <w:rPr>
          <w:rFonts w:ascii="黑体" w:hAnsi="黑体" w:eastAsia="黑体" w:cs="黑体"/>
          <w:color w:val="auto"/>
          <w:spacing w:val="12"/>
          <w:sz w:val="24"/>
          <w:szCs w:val="24"/>
        </w:rPr>
        <w:t>3.我们同意按竞争性磋商文件的规定，本</w:t>
      </w:r>
      <w:r>
        <w:rPr>
          <w:rFonts w:ascii="黑体" w:hAnsi="黑体" w:eastAsia="黑体" w:cs="黑体"/>
          <w:color w:val="auto"/>
          <w:spacing w:val="11"/>
          <w:sz w:val="24"/>
          <w:szCs w:val="24"/>
        </w:rPr>
        <w:t>响应文件的有效期为投标截止时间后</w:t>
      </w:r>
      <w:r>
        <w:rPr>
          <w:rFonts w:hint="eastAsia" w:ascii="黑体" w:hAnsi="黑体" w:eastAsia="黑体" w:cs="黑体"/>
          <w:color w:val="auto"/>
          <w:spacing w:val="-3"/>
          <w:sz w:val="24"/>
          <w:szCs w:val="24"/>
          <w:u w:val="single" w:color="auto"/>
          <w:lang w:val="en-US" w:eastAsia="zh-CN"/>
        </w:rPr>
        <w:t>45</w:t>
      </w:r>
      <w:r>
        <w:rPr>
          <w:rFonts w:ascii="黑体" w:hAnsi="黑体" w:eastAsia="黑体" w:cs="黑体"/>
          <w:color w:val="auto"/>
          <w:spacing w:val="-3"/>
          <w:sz w:val="24"/>
          <w:szCs w:val="24"/>
        </w:rPr>
        <w:t>天。</w:t>
      </w:r>
    </w:p>
    <w:p w14:paraId="1EEE548B">
      <w:pPr>
        <w:spacing w:before="109" w:line="221" w:lineRule="auto"/>
        <w:ind w:left="494"/>
        <w:rPr>
          <w:rFonts w:ascii="黑体" w:hAnsi="黑体" w:eastAsia="黑体" w:cs="黑体"/>
          <w:color w:val="auto"/>
          <w:sz w:val="24"/>
          <w:szCs w:val="24"/>
        </w:rPr>
      </w:pPr>
      <w:r>
        <w:rPr>
          <w:rFonts w:ascii="黑体" w:hAnsi="黑体" w:eastAsia="黑体" w:cs="黑体"/>
          <w:color w:val="auto"/>
          <w:spacing w:val="5"/>
          <w:sz w:val="24"/>
          <w:szCs w:val="24"/>
        </w:rPr>
        <w:t>4.我们愿意提供采购人在竞争性磋商文件中要求的所有资料。</w:t>
      </w:r>
    </w:p>
    <w:p w14:paraId="5467BBEB">
      <w:pPr>
        <w:spacing w:before="110" w:line="265" w:lineRule="auto"/>
        <w:ind w:left="14" w:firstLine="481"/>
        <w:rPr>
          <w:rFonts w:ascii="黑体" w:hAnsi="黑体" w:eastAsia="黑体" w:cs="黑体"/>
          <w:color w:val="auto"/>
          <w:sz w:val="24"/>
          <w:szCs w:val="24"/>
        </w:rPr>
      </w:pPr>
      <w:r>
        <w:rPr>
          <w:rFonts w:ascii="黑体" w:hAnsi="黑体" w:eastAsia="黑体" w:cs="黑体"/>
          <w:color w:val="auto"/>
          <w:spacing w:val="5"/>
          <w:sz w:val="24"/>
          <w:szCs w:val="24"/>
        </w:rPr>
        <w:t>5.我们认为采购人有选择或拒绝任何供应商中标的权力。</w:t>
      </w:r>
      <w:r>
        <w:rPr>
          <w:rFonts w:ascii="黑体" w:hAnsi="黑体" w:eastAsia="黑体" w:cs="黑体"/>
          <w:color w:val="auto"/>
          <w:spacing w:val="4"/>
          <w:sz w:val="24"/>
          <w:szCs w:val="24"/>
        </w:rPr>
        <w:t>我们理解，最低报价不</w:t>
      </w:r>
      <w:r>
        <w:rPr>
          <w:rFonts w:ascii="黑体" w:hAnsi="黑体" w:eastAsia="黑体" w:cs="黑体"/>
          <w:color w:val="auto"/>
          <w:spacing w:val="2"/>
          <w:sz w:val="24"/>
          <w:szCs w:val="24"/>
        </w:rPr>
        <w:t>是中标的唯一条件。</w:t>
      </w:r>
    </w:p>
    <w:p w14:paraId="2E96BBBB">
      <w:pPr>
        <w:spacing w:before="114" w:line="221" w:lineRule="auto"/>
        <w:ind w:left="500"/>
        <w:rPr>
          <w:rFonts w:ascii="黑体" w:hAnsi="黑体" w:eastAsia="黑体" w:cs="黑体"/>
          <w:color w:val="auto"/>
          <w:sz w:val="24"/>
          <w:szCs w:val="24"/>
        </w:rPr>
      </w:pPr>
      <w:r>
        <w:rPr>
          <w:rFonts w:ascii="黑体" w:hAnsi="黑体" w:eastAsia="黑体" w:cs="黑体"/>
          <w:color w:val="auto"/>
          <w:spacing w:val="4"/>
          <w:sz w:val="24"/>
          <w:szCs w:val="24"/>
        </w:rPr>
        <w:t>6.我们愿按合同法履行自己的全部责任。</w:t>
      </w:r>
    </w:p>
    <w:p w14:paraId="568F3C81">
      <w:pPr>
        <w:spacing w:before="111" w:line="213" w:lineRule="auto"/>
        <w:ind w:left="502"/>
        <w:rPr>
          <w:rFonts w:ascii="黑体" w:hAnsi="黑体" w:eastAsia="黑体" w:cs="黑体"/>
          <w:color w:val="auto"/>
          <w:sz w:val="24"/>
          <w:szCs w:val="24"/>
        </w:rPr>
      </w:pPr>
      <w:r>
        <w:rPr>
          <w:rFonts w:ascii="黑体" w:hAnsi="黑体" w:eastAsia="黑体" w:cs="黑体"/>
          <w:color w:val="auto"/>
          <w:spacing w:val="5"/>
          <w:sz w:val="24"/>
          <w:szCs w:val="24"/>
        </w:rPr>
        <w:t>7.我方愿意遵守竞争性磋商文件中规定的收费标准，承付采购代理服务费。</w:t>
      </w:r>
    </w:p>
    <w:p w14:paraId="5DFEA02E">
      <w:pPr>
        <w:spacing w:before="124" w:line="213" w:lineRule="auto"/>
        <w:jc w:val="right"/>
        <w:rPr>
          <w:rFonts w:ascii="黑体" w:hAnsi="黑体" w:eastAsia="黑体" w:cs="黑体"/>
          <w:color w:val="auto"/>
          <w:sz w:val="24"/>
          <w:szCs w:val="24"/>
        </w:rPr>
      </w:pPr>
      <w:r>
        <w:rPr>
          <w:rFonts w:ascii="黑体" w:hAnsi="黑体" w:eastAsia="黑体" w:cs="黑体"/>
          <w:color w:val="auto"/>
          <w:spacing w:val="4"/>
          <w:sz w:val="24"/>
          <w:szCs w:val="24"/>
        </w:rPr>
        <w:t>8.该项投标在投标截止时间后的投标有效期内保持有效，不作任何更改和变动。</w:t>
      </w:r>
    </w:p>
    <w:p w14:paraId="2570690C">
      <w:pPr>
        <w:spacing w:before="125" w:line="265" w:lineRule="auto"/>
        <w:ind w:left="4" w:firstLine="490"/>
        <w:rPr>
          <w:rFonts w:ascii="黑体" w:hAnsi="黑体" w:eastAsia="黑体" w:cs="黑体"/>
          <w:color w:val="auto"/>
          <w:sz w:val="24"/>
          <w:szCs w:val="24"/>
        </w:rPr>
      </w:pPr>
      <w:r>
        <w:rPr>
          <w:rFonts w:ascii="黑体" w:hAnsi="黑体" w:eastAsia="黑体" w:cs="黑体"/>
          <w:color w:val="auto"/>
          <w:spacing w:val="5"/>
          <w:sz w:val="24"/>
          <w:szCs w:val="24"/>
        </w:rPr>
        <w:t>9.我们同意按竞争性磋商文件规定，交纳</w:t>
      </w:r>
      <w:r>
        <w:rPr>
          <w:rFonts w:hint="eastAsia" w:ascii="黑体" w:hAnsi="黑体" w:eastAsia="黑体" w:cs="黑体"/>
          <w:color w:val="auto"/>
          <w:spacing w:val="5"/>
          <w:sz w:val="24"/>
          <w:szCs w:val="24"/>
          <w:u w:val="single"/>
          <w:lang w:val="en-US" w:eastAsia="zh-CN"/>
        </w:rPr>
        <w:t xml:space="preserve">  </w:t>
      </w:r>
      <w:r>
        <w:rPr>
          <w:rFonts w:ascii="黑体" w:hAnsi="黑体" w:eastAsia="黑体" w:cs="黑体"/>
          <w:color w:val="auto"/>
          <w:spacing w:val="5"/>
          <w:sz w:val="24"/>
          <w:szCs w:val="24"/>
        </w:rPr>
        <w:t>元（大写</w:t>
      </w:r>
      <w:r>
        <w:rPr>
          <w:rFonts w:ascii="黑体" w:hAnsi="黑体" w:eastAsia="黑体" w:cs="黑体"/>
          <w:color w:val="auto"/>
          <w:spacing w:val="13"/>
          <w:sz w:val="24"/>
          <w:szCs w:val="24"/>
        </w:rPr>
        <w:t>：）</w:t>
      </w:r>
      <w:r>
        <w:rPr>
          <w:rFonts w:ascii="黑体" w:hAnsi="黑体" w:eastAsia="黑体" w:cs="黑体"/>
          <w:color w:val="auto"/>
          <w:spacing w:val="5"/>
          <w:sz w:val="24"/>
          <w:szCs w:val="24"/>
        </w:rPr>
        <w:t>的投</w:t>
      </w:r>
      <w:r>
        <w:rPr>
          <w:rFonts w:ascii="黑体" w:hAnsi="黑体" w:eastAsia="黑体" w:cs="黑体"/>
          <w:color w:val="auto"/>
          <w:spacing w:val="2"/>
          <w:sz w:val="24"/>
          <w:szCs w:val="24"/>
        </w:rPr>
        <w:t>标保证金。</w:t>
      </w:r>
    </w:p>
    <w:p w14:paraId="11F8738D">
      <w:pPr>
        <w:spacing w:before="109" w:line="213" w:lineRule="auto"/>
        <w:ind w:left="513"/>
        <w:rPr>
          <w:rFonts w:ascii="黑体" w:hAnsi="黑体" w:eastAsia="黑体" w:cs="黑体"/>
          <w:color w:val="auto"/>
          <w:sz w:val="24"/>
          <w:szCs w:val="24"/>
        </w:rPr>
      </w:pPr>
      <w:r>
        <w:rPr>
          <w:rFonts w:ascii="黑体" w:hAnsi="黑体" w:eastAsia="黑体" w:cs="黑体"/>
          <w:color w:val="auto"/>
          <w:spacing w:val="4"/>
          <w:sz w:val="24"/>
          <w:szCs w:val="24"/>
        </w:rPr>
        <w:t>10.所有有关本响应文件的函电，请按下列地址联系：</w:t>
      </w:r>
    </w:p>
    <w:p w14:paraId="7879B37A">
      <w:pPr>
        <w:spacing w:before="124" w:line="398" w:lineRule="exact"/>
        <w:ind w:left="507"/>
        <w:rPr>
          <w:rFonts w:ascii="黑体" w:hAnsi="黑体" w:eastAsia="黑体" w:cs="黑体"/>
          <w:color w:val="auto"/>
          <w:sz w:val="24"/>
          <w:szCs w:val="24"/>
        </w:rPr>
      </w:pPr>
      <w:r>
        <w:rPr>
          <w:rFonts w:ascii="黑体" w:hAnsi="黑体" w:eastAsia="黑体" w:cs="黑体"/>
          <w:color w:val="auto"/>
          <w:position w:val="11"/>
          <w:sz w:val="24"/>
          <w:szCs w:val="24"/>
        </w:rPr>
        <w:t>单位名称：</w:t>
      </w:r>
    </w:p>
    <w:p w14:paraId="1AE60EB5">
      <w:pPr>
        <w:spacing w:line="230" w:lineRule="auto"/>
        <w:ind w:left="502"/>
        <w:rPr>
          <w:rFonts w:ascii="黑体" w:hAnsi="黑体" w:eastAsia="黑体" w:cs="黑体"/>
          <w:color w:val="auto"/>
          <w:sz w:val="24"/>
          <w:szCs w:val="24"/>
        </w:rPr>
      </w:pPr>
      <w:r>
        <w:rPr>
          <w:rFonts w:ascii="黑体" w:hAnsi="黑体" w:eastAsia="黑体" w:cs="黑体"/>
          <w:color w:val="auto"/>
          <w:spacing w:val="-7"/>
          <w:sz w:val="24"/>
          <w:szCs w:val="24"/>
        </w:rPr>
        <w:t>地址：</w:t>
      </w:r>
    </w:p>
    <w:p w14:paraId="25D37A26">
      <w:pPr>
        <w:spacing w:before="102" w:line="221" w:lineRule="auto"/>
        <w:ind w:left="513"/>
        <w:rPr>
          <w:rFonts w:ascii="黑体" w:hAnsi="黑体" w:eastAsia="黑体" w:cs="黑体"/>
          <w:color w:val="auto"/>
          <w:sz w:val="24"/>
          <w:szCs w:val="24"/>
        </w:rPr>
      </w:pPr>
      <w:r>
        <w:rPr>
          <w:rFonts w:ascii="黑体" w:hAnsi="黑体" w:eastAsia="黑体" w:cs="黑体"/>
          <w:color w:val="auto"/>
          <w:spacing w:val="-1"/>
          <w:sz w:val="24"/>
          <w:szCs w:val="24"/>
        </w:rPr>
        <w:t>邮政编码：</w:t>
      </w:r>
    </w:p>
    <w:p w14:paraId="2505FB11">
      <w:pPr>
        <w:spacing w:before="113" w:line="222" w:lineRule="auto"/>
        <w:ind w:left="502"/>
        <w:rPr>
          <w:rFonts w:ascii="黑体" w:hAnsi="黑体" w:eastAsia="黑体" w:cs="黑体"/>
          <w:color w:val="auto"/>
          <w:sz w:val="24"/>
          <w:szCs w:val="24"/>
        </w:rPr>
      </w:pPr>
      <w:r>
        <w:rPr>
          <w:rFonts w:ascii="黑体" w:hAnsi="黑体" w:eastAsia="黑体" w:cs="黑体"/>
          <w:color w:val="auto"/>
          <w:spacing w:val="-10"/>
          <w:sz w:val="24"/>
          <w:szCs w:val="24"/>
        </w:rPr>
        <w:t>联系人：</w:t>
      </w:r>
    </w:p>
    <w:p w14:paraId="7A8E4371">
      <w:pPr>
        <w:spacing w:before="110" w:line="224" w:lineRule="auto"/>
        <w:ind w:left="516"/>
        <w:rPr>
          <w:rFonts w:ascii="黑体" w:hAnsi="黑体" w:eastAsia="黑体" w:cs="黑体"/>
          <w:color w:val="auto"/>
          <w:sz w:val="24"/>
          <w:szCs w:val="24"/>
        </w:rPr>
      </w:pPr>
      <w:r>
        <w:rPr>
          <w:rFonts w:ascii="黑体" w:hAnsi="黑体" w:eastAsia="黑体" w:cs="黑体"/>
          <w:color w:val="auto"/>
          <w:spacing w:val="-12"/>
          <w:sz w:val="24"/>
          <w:szCs w:val="24"/>
        </w:rPr>
        <w:t>电话：</w:t>
      </w:r>
    </w:p>
    <w:p w14:paraId="0F232C17">
      <w:pPr>
        <w:spacing w:before="109" w:line="222" w:lineRule="auto"/>
        <w:ind w:left="499"/>
        <w:rPr>
          <w:rFonts w:ascii="黑体" w:hAnsi="黑体" w:eastAsia="黑体" w:cs="黑体"/>
          <w:color w:val="auto"/>
          <w:sz w:val="24"/>
          <w:szCs w:val="24"/>
        </w:rPr>
      </w:pPr>
      <w:r>
        <w:rPr>
          <w:rFonts w:ascii="黑体" w:hAnsi="黑体" w:eastAsia="黑体" w:cs="黑体"/>
          <w:color w:val="auto"/>
          <w:spacing w:val="-7"/>
          <w:sz w:val="24"/>
          <w:szCs w:val="24"/>
        </w:rPr>
        <w:t>传真：</w:t>
      </w:r>
    </w:p>
    <w:p w14:paraId="2ADDB039">
      <w:pPr>
        <w:spacing w:before="113" w:line="222" w:lineRule="auto"/>
        <w:ind w:left="516"/>
        <w:rPr>
          <w:rFonts w:ascii="黑体" w:hAnsi="黑体" w:eastAsia="黑体" w:cs="黑体"/>
          <w:color w:val="auto"/>
          <w:sz w:val="24"/>
          <w:szCs w:val="24"/>
        </w:rPr>
      </w:pPr>
      <w:r>
        <w:rPr>
          <w:rFonts w:ascii="黑体" w:hAnsi="黑体" w:eastAsia="黑体" w:cs="黑体"/>
          <w:color w:val="auto"/>
          <w:spacing w:val="-2"/>
          <w:sz w:val="24"/>
          <w:szCs w:val="24"/>
        </w:rPr>
        <w:t>电子邮箱：</w:t>
      </w:r>
    </w:p>
    <w:p w14:paraId="65D2E859">
      <w:pPr>
        <w:pStyle w:val="5"/>
        <w:spacing w:line="429" w:lineRule="auto"/>
        <w:rPr>
          <w:color w:val="auto"/>
        </w:rPr>
      </w:pPr>
    </w:p>
    <w:p w14:paraId="5038AEB5">
      <w:pPr>
        <w:spacing w:before="78" w:line="222" w:lineRule="auto"/>
        <w:ind w:left="4359"/>
        <w:rPr>
          <w:rFonts w:ascii="黑体" w:hAnsi="黑体" w:eastAsia="黑体" w:cs="黑体"/>
          <w:color w:val="auto"/>
          <w:sz w:val="24"/>
          <w:szCs w:val="24"/>
        </w:rPr>
      </w:pPr>
      <w:r>
        <w:rPr>
          <w:rFonts w:ascii="黑体" w:hAnsi="黑体" w:eastAsia="黑体" w:cs="黑体"/>
          <w:color w:val="auto"/>
          <w:spacing w:val="4"/>
          <w:sz w:val="24"/>
          <w:szCs w:val="24"/>
        </w:rPr>
        <w:t>供应商名称（盖章</w:t>
      </w:r>
      <w:r>
        <w:rPr>
          <w:rFonts w:ascii="黑体" w:hAnsi="黑体" w:eastAsia="黑体" w:cs="黑体"/>
          <w:color w:val="auto"/>
          <w:sz w:val="24"/>
          <w:szCs w:val="24"/>
        </w:rPr>
        <w:t>）：</w:t>
      </w:r>
    </w:p>
    <w:p w14:paraId="53EC2FFF">
      <w:pPr>
        <w:spacing w:before="113" w:line="222" w:lineRule="auto"/>
        <w:ind w:right="12"/>
        <w:jc w:val="right"/>
        <w:rPr>
          <w:rFonts w:ascii="黑体" w:hAnsi="黑体" w:eastAsia="黑体" w:cs="黑体"/>
          <w:color w:val="auto"/>
          <w:sz w:val="24"/>
          <w:szCs w:val="24"/>
        </w:rPr>
      </w:pPr>
      <w:r>
        <w:rPr>
          <w:rFonts w:ascii="黑体" w:hAnsi="黑体" w:eastAsia="黑体" w:cs="黑体"/>
          <w:color w:val="auto"/>
          <w:spacing w:val="4"/>
          <w:sz w:val="24"/>
          <w:szCs w:val="24"/>
        </w:rPr>
        <w:t>法定代表人</w:t>
      </w:r>
      <w:r>
        <w:rPr>
          <w:rFonts w:hint="eastAsia" w:ascii="黑体" w:hAnsi="黑体" w:eastAsia="黑体" w:cs="黑体"/>
          <w:color w:val="auto"/>
          <w:spacing w:val="4"/>
          <w:sz w:val="24"/>
          <w:szCs w:val="24"/>
          <w:lang w:val="en-US" w:eastAsia="zh-CN"/>
        </w:rPr>
        <w:t>及</w:t>
      </w:r>
      <w:r>
        <w:rPr>
          <w:rFonts w:ascii="黑体" w:hAnsi="黑体" w:eastAsia="黑体" w:cs="黑体"/>
          <w:color w:val="auto"/>
          <w:spacing w:val="4"/>
          <w:sz w:val="24"/>
          <w:szCs w:val="24"/>
        </w:rPr>
        <w:t>委托代理人（签字或盖章</w:t>
      </w:r>
      <w:r>
        <w:rPr>
          <w:rFonts w:ascii="黑体" w:hAnsi="黑体" w:eastAsia="黑体" w:cs="黑体"/>
          <w:color w:val="auto"/>
          <w:spacing w:val="7"/>
          <w:sz w:val="24"/>
          <w:szCs w:val="24"/>
        </w:rPr>
        <w:t>）：</w:t>
      </w:r>
    </w:p>
    <w:p w14:paraId="173BF87B">
      <w:pPr>
        <w:spacing w:before="110" w:line="223" w:lineRule="auto"/>
        <w:jc w:val="center"/>
        <w:outlineLvl w:val="0"/>
        <w:rPr>
          <w:rFonts w:ascii="黑体" w:hAnsi="黑体" w:eastAsia="黑体" w:cs="黑体"/>
          <w:color w:val="auto"/>
          <w:sz w:val="24"/>
          <w:szCs w:val="24"/>
        </w:rPr>
      </w:pPr>
      <w:r>
        <w:rPr>
          <w:rFonts w:hint="eastAsia" w:ascii="黑体" w:hAnsi="黑体" w:eastAsia="黑体" w:cs="黑体"/>
          <w:color w:val="auto"/>
          <w:spacing w:val="-20"/>
          <w:sz w:val="24"/>
          <w:szCs w:val="24"/>
          <w:lang w:val="en-US" w:eastAsia="zh-CN"/>
        </w:rPr>
        <w:t xml:space="preserve">                          </w:t>
      </w:r>
      <w:bookmarkStart w:id="222" w:name="_Toc27116"/>
      <w:r>
        <w:rPr>
          <w:rFonts w:ascii="黑体" w:hAnsi="黑体" w:eastAsia="黑体" w:cs="黑体"/>
          <w:color w:val="auto"/>
          <w:spacing w:val="-20"/>
          <w:sz w:val="24"/>
          <w:szCs w:val="24"/>
        </w:rPr>
        <w:t>日期：</w:t>
      </w:r>
      <w:r>
        <w:rPr>
          <w:rFonts w:hint="eastAsia" w:ascii="黑体" w:hAnsi="黑体" w:eastAsia="黑体" w:cs="黑体"/>
          <w:color w:val="auto"/>
          <w:spacing w:val="-20"/>
          <w:sz w:val="24"/>
          <w:szCs w:val="24"/>
          <w:lang w:val="en-US" w:eastAsia="zh-CN"/>
        </w:rPr>
        <w:t xml:space="preserve">      </w:t>
      </w:r>
      <w:r>
        <w:rPr>
          <w:rFonts w:ascii="黑体" w:hAnsi="黑体" w:eastAsia="黑体" w:cs="黑体"/>
          <w:color w:val="auto"/>
          <w:spacing w:val="-20"/>
          <w:sz w:val="24"/>
          <w:szCs w:val="24"/>
        </w:rPr>
        <w:t>年</w:t>
      </w:r>
      <w:r>
        <w:rPr>
          <w:rFonts w:hint="eastAsia" w:ascii="黑体" w:hAnsi="黑体" w:eastAsia="黑体" w:cs="黑体"/>
          <w:color w:val="auto"/>
          <w:spacing w:val="-20"/>
          <w:sz w:val="24"/>
          <w:szCs w:val="24"/>
          <w:lang w:val="en-US" w:eastAsia="zh-CN"/>
        </w:rPr>
        <w:t xml:space="preserve">     </w:t>
      </w:r>
      <w:r>
        <w:rPr>
          <w:rFonts w:ascii="黑体" w:hAnsi="黑体" w:eastAsia="黑体" w:cs="黑体"/>
          <w:color w:val="auto"/>
          <w:spacing w:val="-20"/>
          <w:sz w:val="24"/>
          <w:szCs w:val="24"/>
        </w:rPr>
        <w:t>月</w:t>
      </w:r>
      <w:r>
        <w:rPr>
          <w:rFonts w:hint="eastAsia" w:ascii="黑体" w:hAnsi="黑体" w:eastAsia="黑体" w:cs="黑体"/>
          <w:color w:val="auto"/>
          <w:spacing w:val="-20"/>
          <w:sz w:val="24"/>
          <w:szCs w:val="24"/>
          <w:lang w:val="en-US" w:eastAsia="zh-CN"/>
        </w:rPr>
        <w:t xml:space="preserve">      </w:t>
      </w:r>
      <w:r>
        <w:rPr>
          <w:rFonts w:ascii="黑体" w:hAnsi="黑体" w:eastAsia="黑体" w:cs="黑体"/>
          <w:color w:val="auto"/>
          <w:spacing w:val="-20"/>
          <w:sz w:val="24"/>
          <w:szCs w:val="24"/>
        </w:rPr>
        <w:t>日</w:t>
      </w:r>
      <w:bookmarkEnd w:id="222"/>
    </w:p>
    <w:p w14:paraId="15276EA5">
      <w:pPr>
        <w:spacing w:line="223" w:lineRule="auto"/>
        <w:rPr>
          <w:rFonts w:ascii="黑体" w:hAnsi="黑体" w:eastAsia="黑体" w:cs="黑体"/>
          <w:color w:val="auto"/>
          <w:sz w:val="24"/>
          <w:szCs w:val="24"/>
        </w:rPr>
        <w:sectPr>
          <w:footerReference r:id="rId29" w:type="default"/>
          <w:pgSz w:w="11906" w:h="16839"/>
          <w:pgMar w:top="1440" w:right="1080" w:bottom="1440" w:left="1080" w:header="0" w:footer="850" w:gutter="0"/>
          <w:pgNumType w:fmt="decimal"/>
          <w:cols w:space="720" w:num="1"/>
        </w:sectPr>
      </w:pPr>
    </w:p>
    <w:p w14:paraId="16EF34B7">
      <w:pPr>
        <w:pStyle w:val="5"/>
        <w:spacing w:line="265" w:lineRule="auto"/>
        <w:rPr>
          <w:color w:val="auto"/>
        </w:rPr>
      </w:pPr>
    </w:p>
    <w:p w14:paraId="0142008D">
      <w:pPr>
        <w:pStyle w:val="5"/>
        <w:spacing w:line="265" w:lineRule="auto"/>
        <w:rPr>
          <w:color w:val="auto"/>
        </w:rPr>
      </w:pPr>
    </w:p>
    <w:p w14:paraId="6CE1F2AB">
      <w:pPr>
        <w:pStyle w:val="5"/>
        <w:spacing w:line="266" w:lineRule="auto"/>
        <w:rPr>
          <w:color w:val="auto"/>
        </w:rPr>
      </w:pPr>
    </w:p>
    <w:p w14:paraId="0F4DE4C0">
      <w:pPr>
        <w:pStyle w:val="5"/>
        <w:spacing w:line="266" w:lineRule="auto"/>
        <w:rPr>
          <w:color w:val="auto"/>
        </w:rPr>
      </w:pPr>
    </w:p>
    <w:p w14:paraId="3752DCF0">
      <w:pPr>
        <w:spacing w:before="101" w:line="230" w:lineRule="auto"/>
        <w:ind w:left="21"/>
        <w:outlineLvl w:val="1"/>
        <w:rPr>
          <w:rFonts w:ascii="黑体" w:hAnsi="黑体" w:eastAsia="黑体" w:cs="黑体"/>
          <w:color w:val="auto"/>
          <w:sz w:val="31"/>
          <w:szCs w:val="31"/>
        </w:rPr>
      </w:pPr>
      <w:bookmarkStart w:id="223" w:name="_Toc19519"/>
      <w:r>
        <w:rPr>
          <w:rFonts w:ascii="黑体" w:hAnsi="黑体" w:eastAsia="黑体" w:cs="黑体"/>
          <w:color w:val="auto"/>
          <w:spacing w:val="-1"/>
          <w:sz w:val="31"/>
          <w:szCs w:val="31"/>
          <w14:textOutline w14:w="5793" w14:cap="sq" w14:cmpd="sng">
            <w14:solidFill>
              <w14:srgbClr w14:val="000000"/>
            </w14:solidFill>
            <w14:prstDash w14:val="solid"/>
            <w14:bevel/>
          </w14:textOutline>
        </w:rPr>
        <w:t>附件2:</w:t>
      </w:r>
      <w:bookmarkEnd w:id="223"/>
    </w:p>
    <w:p w14:paraId="685CA588">
      <w:pPr>
        <w:spacing w:before="237" w:line="227" w:lineRule="auto"/>
        <w:ind w:left="2958"/>
        <w:outlineLvl w:val="0"/>
        <w:rPr>
          <w:rFonts w:ascii="黑体" w:hAnsi="黑体" w:eastAsia="黑体" w:cs="黑体"/>
          <w:color w:val="auto"/>
          <w:sz w:val="30"/>
          <w:szCs w:val="30"/>
        </w:rPr>
      </w:pPr>
      <w:bookmarkStart w:id="224" w:name="_Toc27937"/>
      <w:r>
        <w:rPr>
          <w:rFonts w:ascii="黑体" w:hAnsi="黑体" w:eastAsia="黑体" w:cs="黑体"/>
          <w:color w:val="auto"/>
          <w:spacing w:val="9"/>
          <w:sz w:val="31"/>
          <w:szCs w:val="31"/>
          <w14:textOutline w14:w="5793" w14:cap="sq" w14:cmpd="sng">
            <w14:solidFill>
              <w14:srgbClr w14:val="000000"/>
            </w14:solidFill>
            <w14:prstDash w14:val="solid"/>
            <w14:bevel/>
          </w14:textOutline>
        </w:rPr>
        <w:t>法定代表人</w:t>
      </w:r>
      <w:r>
        <w:rPr>
          <w:rFonts w:ascii="黑体" w:hAnsi="黑体" w:eastAsia="黑体" w:cs="黑体"/>
          <w:color w:val="auto"/>
          <w:spacing w:val="9"/>
          <w:sz w:val="30"/>
          <w:szCs w:val="30"/>
          <w14:textOutline w14:w="5448" w14:cap="sq" w14:cmpd="sng">
            <w14:solidFill>
              <w14:srgbClr w14:val="000000"/>
            </w14:solidFill>
            <w14:prstDash w14:val="solid"/>
            <w14:bevel/>
          </w14:textOutline>
        </w:rPr>
        <w:t>身份证明书</w:t>
      </w:r>
      <w:bookmarkEnd w:id="224"/>
    </w:p>
    <w:p w14:paraId="658B96D2">
      <w:pPr>
        <w:pStyle w:val="5"/>
        <w:spacing w:line="305" w:lineRule="auto"/>
        <w:rPr>
          <w:color w:val="auto"/>
        </w:rPr>
      </w:pPr>
    </w:p>
    <w:p w14:paraId="62B6AF61">
      <w:pPr>
        <w:spacing w:before="78" w:line="569" w:lineRule="exact"/>
        <w:ind w:left="7"/>
        <w:rPr>
          <w:rFonts w:ascii="黑体" w:hAnsi="黑体" w:eastAsia="黑体" w:cs="黑体"/>
          <w:color w:val="auto"/>
          <w:sz w:val="24"/>
          <w:szCs w:val="24"/>
        </w:rPr>
      </w:pPr>
      <w:r>
        <w:rPr>
          <w:rFonts w:ascii="黑体" w:hAnsi="黑体" w:eastAsia="黑体" w:cs="黑体"/>
          <w:color w:val="auto"/>
          <w:position w:val="25"/>
          <w:sz w:val="24"/>
          <w:szCs w:val="24"/>
        </w:rPr>
        <w:t>单位名称：</w:t>
      </w:r>
    </w:p>
    <w:p w14:paraId="7D1DF207">
      <w:pPr>
        <w:spacing w:line="230" w:lineRule="auto"/>
        <w:ind w:left="1"/>
        <w:rPr>
          <w:rFonts w:ascii="黑体" w:hAnsi="黑体" w:eastAsia="黑体" w:cs="黑体"/>
          <w:color w:val="auto"/>
          <w:sz w:val="24"/>
          <w:szCs w:val="24"/>
        </w:rPr>
      </w:pPr>
      <w:r>
        <w:rPr>
          <w:rFonts w:ascii="黑体" w:hAnsi="黑体" w:eastAsia="黑体" w:cs="黑体"/>
          <w:color w:val="auto"/>
          <w:spacing w:val="-7"/>
          <w:sz w:val="24"/>
          <w:szCs w:val="24"/>
        </w:rPr>
        <w:t>地址：</w:t>
      </w:r>
    </w:p>
    <w:p w14:paraId="282D3CA9">
      <w:pPr>
        <w:spacing w:before="271" w:line="221" w:lineRule="auto"/>
        <w:rPr>
          <w:rFonts w:ascii="黑体" w:hAnsi="黑体" w:eastAsia="黑体" w:cs="黑体"/>
          <w:color w:val="auto"/>
          <w:sz w:val="24"/>
          <w:szCs w:val="24"/>
        </w:rPr>
      </w:pPr>
      <w:r>
        <w:rPr>
          <w:rFonts w:ascii="黑体" w:hAnsi="黑体" w:eastAsia="黑体" w:cs="黑体"/>
          <w:color w:val="auto"/>
          <w:spacing w:val="-3"/>
          <w:sz w:val="24"/>
          <w:szCs w:val="24"/>
        </w:rPr>
        <w:t>姓名：性别：年龄：职务：</w:t>
      </w:r>
    </w:p>
    <w:p w14:paraId="3CC97C40">
      <w:pPr>
        <w:spacing w:before="282" w:line="222" w:lineRule="auto"/>
        <w:ind w:left="742"/>
        <w:rPr>
          <w:rFonts w:ascii="黑体" w:hAnsi="黑体" w:eastAsia="黑体" w:cs="黑体"/>
          <w:color w:val="auto"/>
          <w:sz w:val="24"/>
          <w:szCs w:val="24"/>
        </w:rPr>
      </w:pPr>
      <w:r>
        <w:rPr>
          <w:rFonts w:ascii="黑体" w:hAnsi="黑体" w:eastAsia="黑体" w:cs="黑体"/>
          <w:color w:val="auto"/>
          <w:spacing w:val="-1"/>
          <w:sz w:val="24"/>
          <w:szCs w:val="24"/>
        </w:rPr>
        <w:t>系的法定代表人。</w:t>
      </w:r>
    </w:p>
    <w:p w14:paraId="37801788">
      <w:pPr>
        <w:spacing w:before="282" w:line="211" w:lineRule="auto"/>
        <w:rPr>
          <w:rFonts w:ascii="黑体" w:hAnsi="黑体" w:eastAsia="黑体" w:cs="黑体"/>
          <w:color w:val="auto"/>
          <w:sz w:val="24"/>
          <w:szCs w:val="24"/>
        </w:rPr>
      </w:pPr>
      <w:r>
        <w:rPr>
          <w:rFonts w:ascii="黑体" w:hAnsi="黑体" w:eastAsia="黑体" w:cs="黑体"/>
          <w:color w:val="auto"/>
          <w:spacing w:val="1"/>
          <w:sz w:val="24"/>
          <w:szCs w:val="24"/>
        </w:rPr>
        <w:t>特此证明。</w:t>
      </w:r>
    </w:p>
    <w:tbl>
      <w:tblPr>
        <w:tblStyle w:val="19"/>
        <w:tblW w:w="7603"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81"/>
        <w:gridCol w:w="3822"/>
      </w:tblGrid>
      <w:tr w14:paraId="0E91A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3781" w:type="dxa"/>
            <w:vAlign w:val="top"/>
          </w:tcPr>
          <w:p w14:paraId="5305A8F1">
            <w:pPr>
              <w:spacing w:line="267" w:lineRule="auto"/>
              <w:rPr>
                <w:rFonts w:ascii="Arial"/>
                <w:color w:val="auto"/>
                <w:sz w:val="21"/>
              </w:rPr>
            </w:pPr>
          </w:p>
          <w:p w14:paraId="4960A727">
            <w:pPr>
              <w:spacing w:line="267" w:lineRule="auto"/>
              <w:rPr>
                <w:rFonts w:ascii="Arial"/>
                <w:color w:val="auto"/>
                <w:sz w:val="21"/>
              </w:rPr>
            </w:pPr>
          </w:p>
          <w:p w14:paraId="4231168E">
            <w:pPr>
              <w:spacing w:line="267" w:lineRule="auto"/>
              <w:rPr>
                <w:rFonts w:ascii="Arial"/>
                <w:color w:val="auto"/>
                <w:sz w:val="21"/>
              </w:rPr>
            </w:pPr>
          </w:p>
          <w:p w14:paraId="0734E771">
            <w:pPr>
              <w:spacing w:line="268" w:lineRule="auto"/>
              <w:rPr>
                <w:rFonts w:ascii="Arial"/>
                <w:color w:val="auto"/>
                <w:sz w:val="21"/>
              </w:rPr>
            </w:pPr>
          </w:p>
          <w:p w14:paraId="37FAAF2B">
            <w:pPr>
              <w:spacing w:line="268" w:lineRule="auto"/>
              <w:rPr>
                <w:rFonts w:ascii="Arial"/>
                <w:color w:val="auto"/>
                <w:sz w:val="21"/>
              </w:rPr>
            </w:pPr>
          </w:p>
          <w:p w14:paraId="29CB29C4">
            <w:pPr>
              <w:spacing w:line="268" w:lineRule="auto"/>
              <w:rPr>
                <w:rFonts w:ascii="Arial"/>
                <w:color w:val="auto"/>
                <w:sz w:val="21"/>
              </w:rPr>
            </w:pPr>
          </w:p>
          <w:p w14:paraId="026CBFDD">
            <w:pPr>
              <w:pStyle w:val="20"/>
              <w:spacing w:before="78" w:line="221" w:lineRule="auto"/>
              <w:ind w:left="118"/>
              <w:rPr>
                <w:color w:val="auto"/>
              </w:rPr>
            </w:pPr>
            <w:r>
              <w:rPr>
                <w:color w:val="auto"/>
                <w:spacing w:val="4"/>
              </w:rPr>
              <w:t>法定代表人身份证（正面）</w:t>
            </w:r>
          </w:p>
        </w:tc>
        <w:tc>
          <w:tcPr>
            <w:tcW w:w="3822" w:type="dxa"/>
            <w:vAlign w:val="top"/>
          </w:tcPr>
          <w:p w14:paraId="55B1F416">
            <w:pPr>
              <w:spacing w:line="267" w:lineRule="auto"/>
              <w:rPr>
                <w:rFonts w:ascii="Arial"/>
                <w:color w:val="auto"/>
                <w:sz w:val="21"/>
              </w:rPr>
            </w:pPr>
          </w:p>
          <w:p w14:paraId="22A6BC33">
            <w:pPr>
              <w:spacing w:line="267" w:lineRule="auto"/>
              <w:rPr>
                <w:rFonts w:ascii="Arial"/>
                <w:color w:val="auto"/>
                <w:sz w:val="21"/>
              </w:rPr>
            </w:pPr>
          </w:p>
          <w:p w14:paraId="0C34DE3E">
            <w:pPr>
              <w:spacing w:line="267" w:lineRule="auto"/>
              <w:rPr>
                <w:rFonts w:ascii="Arial"/>
                <w:color w:val="auto"/>
                <w:sz w:val="21"/>
              </w:rPr>
            </w:pPr>
          </w:p>
          <w:p w14:paraId="67F51CD5">
            <w:pPr>
              <w:spacing w:line="268" w:lineRule="auto"/>
              <w:rPr>
                <w:rFonts w:ascii="Arial"/>
                <w:color w:val="auto"/>
                <w:sz w:val="21"/>
              </w:rPr>
            </w:pPr>
          </w:p>
          <w:p w14:paraId="61CE6176">
            <w:pPr>
              <w:spacing w:line="268" w:lineRule="auto"/>
              <w:rPr>
                <w:rFonts w:ascii="Arial"/>
                <w:color w:val="auto"/>
                <w:sz w:val="21"/>
              </w:rPr>
            </w:pPr>
          </w:p>
          <w:p w14:paraId="0076A402">
            <w:pPr>
              <w:spacing w:line="268" w:lineRule="auto"/>
              <w:rPr>
                <w:rFonts w:ascii="Arial"/>
                <w:color w:val="auto"/>
                <w:sz w:val="21"/>
              </w:rPr>
            </w:pPr>
          </w:p>
          <w:p w14:paraId="4ACF2CA5">
            <w:pPr>
              <w:pStyle w:val="20"/>
              <w:spacing w:before="78" w:line="221" w:lineRule="auto"/>
              <w:ind w:left="117"/>
              <w:rPr>
                <w:color w:val="auto"/>
              </w:rPr>
            </w:pPr>
            <w:r>
              <w:rPr>
                <w:color w:val="auto"/>
                <w:spacing w:val="4"/>
              </w:rPr>
              <w:t>法定代表人身份证（背面）</w:t>
            </w:r>
          </w:p>
        </w:tc>
      </w:tr>
    </w:tbl>
    <w:p w14:paraId="1528C7A1">
      <w:pPr>
        <w:pStyle w:val="5"/>
        <w:spacing w:line="254" w:lineRule="auto"/>
        <w:rPr>
          <w:color w:val="auto"/>
        </w:rPr>
      </w:pPr>
    </w:p>
    <w:p w14:paraId="6A4929B4">
      <w:pPr>
        <w:pStyle w:val="5"/>
        <w:spacing w:line="254" w:lineRule="auto"/>
        <w:rPr>
          <w:color w:val="auto"/>
        </w:rPr>
      </w:pPr>
    </w:p>
    <w:p w14:paraId="323CDD02">
      <w:pPr>
        <w:pStyle w:val="5"/>
        <w:spacing w:line="254" w:lineRule="auto"/>
        <w:rPr>
          <w:color w:val="auto"/>
        </w:rPr>
      </w:pPr>
    </w:p>
    <w:p w14:paraId="0D3B70F4">
      <w:pPr>
        <w:pStyle w:val="5"/>
        <w:spacing w:line="254" w:lineRule="auto"/>
        <w:rPr>
          <w:color w:val="auto"/>
        </w:rPr>
      </w:pPr>
    </w:p>
    <w:p w14:paraId="570FA306">
      <w:pPr>
        <w:pStyle w:val="5"/>
        <w:spacing w:line="254" w:lineRule="auto"/>
        <w:rPr>
          <w:color w:val="auto"/>
        </w:rPr>
      </w:pPr>
    </w:p>
    <w:p w14:paraId="3DC12BD7">
      <w:pPr>
        <w:pStyle w:val="5"/>
        <w:spacing w:line="254" w:lineRule="auto"/>
        <w:rPr>
          <w:color w:val="auto"/>
        </w:rPr>
      </w:pPr>
    </w:p>
    <w:p w14:paraId="3A4B0C2F">
      <w:pPr>
        <w:pStyle w:val="5"/>
        <w:spacing w:line="254" w:lineRule="auto"/>
        <w:rPr>
          <w:color w:val="auto"/>
        </w:rPr>
      </w:pPr>
    </w:p>
    <w:p w14:paraId="2682FA13">
      <w:pPr>
        <w:pStyle w:val="5"/>
        <w:spacing w:line="254" w:lineRule="auto"/>
        <w:rPr>
          <w:color w:val="auto"/>
        </w:rPr>
      </w:pPr>
    </w:p>
    <w:p w14:paraId="20EFE879">
      <w:pPr>
        <w:pStyle w:val="5"/>
        <w:spacing w:line="254" w:lineRule="auto"/>
        <w:rPr>
          <w:color w:val="auto"/>
        </w:rPr>
      </w:pPr>
    </w:p>
    <w:p w14:paraId="4C30C814">
      <w:pPr>
        <w:pStyle w:val="5"/>
        <w:spacing w:line="254" w:lineRule="auto"/>
        <w:rPr>
          <w:color w:val="auto"/>
        </w:rPr>
      </w:pPr>
    </w:p>
    <w:p w14:paraId="3916A890">
      <w:pPr>
        <w:pStyle w:val="5"/>
        <w:spacing w:line="254" w:lineRule="auto"/>
        <w:rPr>
          <w:color w:val="auto"/>
        </w:rPr>
      </w:pPr>
    </w:p>
    <w:p w14:paraId="6DF1DC01">
      <w:pPr>
        <w:pStyle w:val="5"/>
        <w:spacing w:line="254" w:lineRule="auto"/>
        <w:rPr>
          <w:color w:val="auto"/>
        </w:rPr>
      </w:pPr>
    </w:p>
    <w:p w14:paraId="063D3AC3">
      <w:pPr>
        <w:spacing w:before="79" w:line="222" w:lineRule="auto"/>
        <w:ind w:left="4288"/>
        <w:rPr>
          <w:rFonts w:ascii="黑体" w:hAnsi="黑体" w:eastAsia="黑体" w:cs="黑体"/>
          <w:color w:val="auto"/>
          <w:sz w:val="24"/>
          <w:szCs w:val="24"/>
        </w:rPr>
      </w:pPr>
      <w:r>
        <w:rPr>
          <w:rFonts w:ascii="黑体" w:hAnsi="黑体" w:eastAsia="黑体" w:cs="黑体"/>
          <w:color w:val="auto"/>
          <w:spacing w:val="4"/>
          <w:sz w:val="24"/>
          <w:szCs w:val="24"/>
        </w:rPr>
        <w:t>供应商名称（盖章</w:t>
      </w:r>
      <w:r>
        <w:rPr>
          <w:rFonts w:ascii="黑体" w:hAnsi="黑体" w:eastAsia="黑体" w:cs="黑体"/>
          <w:color w:val="auto"/>
          <w:sz w:val="24"/>
          <w:szCs w:val="24"/>
        </w:rPr>
        <w:t>）：</w:t>
      </w:r>
    </w:p>
    <w:p w14:paraId="18438262">
      <w:pPr>
        <w:pStyle w:val="5"/>
        <w:spacing w:line="266" w:lineRule="auto"/>
        <w:rPr>
          <w:color w:val="auto"/>
        </w:rPr>
      </w:pPr>
    </w:p>
    <w:p w14:paraId="7BDB432C">
      <w:pPr>
        <w:spacing w:before="78" w:line="223" w:lineRule="auto"/>
        <w:jc w:val="center"/>
        <w:rPr>
          <w:rFonts w:ascii="黑体" w:hAnsi="黑体" w:eastAsia="黑体" w:cs="黑体"/>
          <w:color w:val="auto"/>
          <w:sz w:val="24"/>
          <w:szCs w:val="24"/>
        </w:rPr>
      </w:pPr>
      <w:r>
        <w:rPr>
          <w:rFonts w:hint="eastAsia" w:ascii="黑体" w:hAnsi="黑体" w:eastAsia="黑体" w:cs="黑体"/>
          <w:color w:val="auto"/>
          <w:spacing w:val="-20"/>
          <w:sz w:val="24"/>
          <w:szCs w:val="24"/>
          <w:lang w:val="en-US" w:eastAsia="zh-CN"/>
        </w:rPr>
        <w:t xml:space="preserve">         </w:t>
      </w:r>
      <w:r>
        <w:rPr>
          <w:rFonts w:ascii="黑体" w:hAnsi="黑体" w:eastAsia="黑体" w:cs="黑体"/>
          <w:color w:val="auto"/>
          <w:spacing w:val="-20"/>
          <w:sz w:val="24"/>
          <w:szCs w:val="24"/>
        </w:rPr>
        <w:t>日期：年月日</w:t>
      </w:r>
    </w:p>
    <w:p w14:paraId="654B7242">
      <w:pPr>
        <w:spacing w:line="223" w:lineRule="auto"/>
        <w:rPr>
          <w:rFonts w:ascii="黑体" w:hAnsi="黑体" w:eastAsia="黑体" w:cs="黑体"/>
          <w:color w:val="auto"/>
          <w:sz w:val="24"/>
          <w:szCs w:val="24"/>
        </w:rPr>
        <w:sectPr>
          <w:footerReference r:id="rId30" w:type="default"/>
          <w:pgSz w:w="11906" w:h="16839"/>
          <w:pgMar w:top="1440" w:right="1080" w:bottom="1440" w:left="1080" w:header="0" w:footer="850" w:gutter="0"/>
          <w:pgNumType w:fmt="decimal"/>
          <w:cols w:space="720" w:num="1"/>
        </w:sectPr>
      </w:pPr>
    </w:p>
    <w:p w14:paraId="7D22E87A">
      <w:pPr>
        <w:pStyle w:val="5"/>
        <w:spacing w:line="265" w:lineRule="auto"/>
        <w:rPr>
          <w:color w:val="auto"/>
        </w:rPr>
      </w:pPr>
    </w:p>
    <w:p w14:paraId="3FE9C763">
      <w:pPr>
        <w:pStyle w:val="5"/>
        <w:spacing w:line="265" w:lineRule="auto"/>
        <w:rPr>
          <w:color w:val="auto"/>
        </w:rPr>
      </w:pPr>
    </w:p>
    <w:p w14:paraId="0C83AD4F">
      <w:pPr>
        <w:pStyle w:val="5"/>
        <w:spacing w:line="266" w:lineRule="auto"/>
        <w:rPr>
          <w:color w:val="auto"/>
        </w:rPr>
      </w:pPr>
    </w:p>
    <w:p w14:paraId="31A8A977">
      <w:pPr>
        <w:pStyle w:val="5"/>
        <w:spacing w:line="266" w:lineRule="auto"/>
        <w:rPr>
          <w:color w:val="auto"/>
        </w:rPr>
      </w:pPr>
    </w:p>
    <w:p w14:paraId="3D4D3960">
      <w:pPr>
        <w:spacing w:before="101" w:line="228" w:lineRule="auto"/>
        <w:ind w:left="3720"/>
        <w:rPr>
          <w:rFonts w:ascii="黑体" w:hAnsi="黑体" w:eastAsia="黑体" w:cs="黑体"/>
          <w:color w:val="auto"/>
          <w:sz w:val="31"/>
          <w:szCs w:val="31"/>
        </w:rPr>
      </w:pPr>
      <w:r>
        <w:rPr>
          <w:rFonts w:ascii="黑体" w:hAnsi="黑体" w:eastAsia="黑体" w:cs="黑体"/>
          <w:color w:val="auto"/>
          <w:spacing w:val="13"/>
          <w:sz w:val="31"/>
          <w:szCs w:val="31"/>
          <w14:textOutline w14:w="5793" w14:cap="sq" w14:cmpd="sng">
            <w14:solidFill>
              <w14:srgbClr w14:val="000000"/>
            </w14:solidFill>
            <w14:prstDash w14:val="solid"/>
            <w14:bevel/>
          </w14:textOutline>
        </w:rPr>
        <w:t>授权委托书</w:t>
      </w:r>
    </w:p>
    <w:p w14:paraId="7085CE99">
      <w:pPr>
        <w:pStyle w:val="5"/>
        <w:spacing w:line="305" w:lineRule="auto"/>
        <w:rPr>
          <w:color w:val="auto"/>
        </w:rPr>
      </w:pPr>
    </w:p>
    <w:p w14:paraId="18B39C90">
      <w:pPr>
        <w:spacing w:before="78" w:line="438" w:lineRule="auto"/>
        <w:ind w:firstLine="492"/>
        <w:jc w:val="both"/>
        <w:rPr>
          <w:rFonts w:ascii="黑体" w:hAnsi="黑体" w:eastAsia="黑体" w:cs="黑体"/>
          <w:color w:val="auto"/>
          <w:sz w:val="24"/>
          <w:szCs w:val="24"/>
        </w:rPr>
      </w:pPr>
      <w:r>
        <w:rPr>
          <w:rFonts w:ascii="黑体" w:hAnsi="黑体" w:eastAsia="黑体" w:cs="黑体"/>
          <w:color w:val="auto"/>
          <w:spacing w:val="3"/>
          <w:sz w:val="24"/>
          <w:szCs w:val="24"/>
        </w:rPr>
        <w:t>本授权委托书声明：我</w:t>
      </w:r>
      <w:r>
        <w:rPr>
          <w:rFonts w:ascii="黑体" w:hAnsi="黑体" w:eastAsia="黑体" w:cs="黑体"/>
          <w:color w:val="auto"/>
          <w:spacing w:val="3"/>
          <w:sz w:val="24"/>
          <w:szCs w:val="24"/>
          <w:u w:val="single" w:color="auto"/>
        </w:rPr>
        <w:t>（姓名）</w:t>
      </w:r>
      <w:r>
        <w:rPr>
          <w:rFonts w:ascii="黑体" w:hAnsi="黑体" w:eastAsia="黑体" w:cs="黑体"/>
          <w:color w:val="auto"/>
          <w:spacing w:val="3"/>
          <w:sz w:val="24"/>
          <w:szCs w:val="24"/>
        </w:rPr>
        <w:t>系</w:t>
      </w:r>
      <w:r>
        <w:rPr>
          <w:rFonts w:ascii="黑体" w:hAnsi="黑体" w:eastAsia="黑体" w:cs="黑体"/>
          <w:color w:val="auto"/>
          <w:spacing w:val="3"/>
          <w:sz w:val="24"/>
          <w:szCs w:val="24"/>
          <w:u w:val="single" w:color="auto"/>
        </w:rPr>
        <w:t>（供应商名称）</w:t>
      </w:r>
      <w:r>
        <w:rPr>
          <w:rFonts w:ascii="黑体" w:hAnsi="黑体" w:eastAsia="黑体" w:cs="黑体"/>
          <w:color w:val="auto"/>
          <w:spacing w:val="3"/>
          <w:sz w:val="24"/>
          <w:szCs w:val="24"/>
        </w:rPr>
        <w:t>的法定代表人，现授权委</w:t>
      </w:r>
      <w:r>
        <w:rPr>
          <w:rFonts w:ascii="黑体" w:hAnsi="黑体" w:eastAsia="黑体" w:cs="黑体"/>
          <w:color w:val="auto"/>
          <w:spacing w:val="-1"/>
          <w:sz w:val="24"/>
          <w:szCs w:val="24"/>
        </w:rPr>
        <w:t>托</w:t>
      </w:r>
      <w:r>
        <w:rPr>
          <w:rFonts w:ascii="黑体" w:hAnsi="黑体" w:eastAsia="黑体" w:cs="黑体"/>
          <w:color w:val="auto"/>
          <w:spacing w:val="-1"/>
          <w:sz w:val="24"/>
          <w:szCs w:val="24"/>
          <w:u w:val="single" w:color="auto"/>
        </w:rPr>
        <w:t>（供应商名称）</w:t>
      </w:r>
      <w:r>
        <w:rPr>
          <w:rFonts w:ascii="黑体" w:hAnsi="黑体" w:eastAsia="黑体" w:cs="黑体"/>
          <w:color w:val="auto"/>
          <w:spacing w:val="-1"/>
          <w:sz w:val="24"/>
          <w:szCs w:val="24"/>
        </w:rPr>
        <w:t>的</w:t>
      </w:r>
      <w:r>
        <w:rPr>
          <w:rFonts w:ascii="黑体" w:hAnsi="黑体" w:eastAsia="黑体" w:cs="黑体"/>
          <w:color w:val="auto"/>
          <w:spacing w:val="-1"/>
          <w:sz w:val="24"/>
          <w:szCs w:val="24"/>
          <w:u w:val="single" w:color="auto"/>
        </w:rPr>
        <w:t>（姓名、身份证号）</w:t>
      </w:r>
      <w:r>
        <w:rPr>
          <w:rFonts w:ascii="黑体" w:hAnsi="黑体" w:eastAsia="黑体" w:cs="黑体"/>
          <w:color w:val="auto"/>
          <w:spacing w:val="-1"/>
          <w:sz w:val="24"/>
          <w:szCs w:val="24"/>
        </w:rPr>
        <w:t>我公司代理人，以本公司的名义参加</w:t>
      </w:r>
      <w:r>
        <w:rPr>
          <w:rFonts w:ascii="黑体" w:hAnsi="黑体" w:eastAsia="黑体" w:cs="黑体"/>
          <w:color w:val="auto"/>
          <w:spacing w:val="-1"/>
          <w:sz w:val="24"/>
          <w:szCs w:val="24"/>
          <w:u w:val="single" w:color="auto"/>
        </w:rPr>
        <w:t>（项</w:t>
      </w:r>
      <w:r>
        <w:rPr>
          <w:rFonts w:ascii="黑体" w:hAnsi="黑体" w:eastAsia="黑体" w:cs="黑体"/>
          <w:color w:val="auto"/>
          <w:spacing w:val="-2"/>
          <w:sz w:val="24"/>
          <w:szCs w:val="24"/>
          <w:u w:val="single" w:color="auto"/>
        </w:rPr>
        <w:t>目名称）</w:t>
      </w:r>
      <w:r>
        <w:rPr>
          <w:rFonts w:ascii="黑体" w:hAnsi="黑体" w:eastAsia="黑体" w:cs="黑体"/>
          <w:color w:val="auto"/>
          <w:spacing w:val="-2"/>
          <w:sz w:val="24"/>
          <w:szCs w:val="24"/>
        </w:rPr>
        <w:t>的投标活动。</w:t>
      </w:r>
    </w:p>
    <w:p w14:paraId="1994E472">
      <w:pPr>
        <w:spacing w:before="280" w:line="571" w:lineRule="exact"/>
        <w:jc w:val="right"/>
        <w:rPr>
          <w:rFonts w:ascii="黑体" w:hAnsi="黑体" w:eastAsia="黑体" w:cs="黑体"/>
          <w:color w:val="auto"/>
          <w:sz w:val="24"/>
          <w:szCs w:val="24"/>
        </w:rPr>
      </w:pPr>
      <w:r>
        <w:rPr>
          <w:rFonts w:ascii="黑体" w:hAnsi="黑体" w:eastAsia="黑体" w:cs="黑体"/>
          <w:color w:val="auto"/>
          <w:spacing w:val="5"/>
          <w:position w:val="25"/>
          <w:sz w:val="24"/>
          <w:szCs w:val="24"/>
        </w:rPr>
        <w:t>代理人在处理投标的过程中所签署的一切文件和处理与之</w:t>
      </w:r>
      <w:r>
        <w:rPr>
          <w:rFonts w:ascii="黑体" w:hAnsi="黑体" w:eastAsia="黑体" w:cs="黑体"/>
          <w:color w:val="auto"/>
          <w:spacing w:val="4"/>
          <w:position w:val="25"/>
          <w:sz w:val="24"/>
          <w:szCs w:val="24"/>
        </w:rPr>
        <w:t>有关的一切事务，我均</w:t>
      </w:r>
    </w:p>
    <w:p w14:paraId="37C5AE79">
      <w:pPr>
        <w:spacing w:before="1" w:line="220" w:lineRule="auto"/>
        <w:ind w:left="2"/>
        <w:rPr>
          <w:rFonts w:ascii="黑体" w:hAnsi="黑体" w:eastAsia="黑体" w:cs="黑体"/>
          <w:color w:val="auto"/>
          <w:sz w:val="24"/>
          <w:szCs w:val="24"/>
        </w:rPr>
      </w:pPr>
      <w:r>
        <w:rPr>
          <w:rFonts w:ascii="黑体" w:hAnsi="黑体" w:eastAsia="黑体" w:cs="黑体"/>
          <w:color w:val="auto"/>
          <w:sz w:val="24"/>
          <w:szCs w:val="24"/>
        </w:rPr>
        <w:t>予以承认。</w:t>
      </w:r>
    </w:p>
    <w:p w14:paraId="44EEDFD6">
      <w:pPr>
        <w:spacing w:before="282" w:line="439" w:lineRule="auto"/>
        <w:ind w:left="490"/>
        <w:rPr>
          <w:rFonts w:ascii="黑体" w:hAnsi="黑体" w:eastAsia="黑体" w:cs="黑体"/>
          <w:color w:val="auto"/>
          <w:sz w:val="24"/>
          <w:szCs w:val="24"/>
        </w:rPr>
      </w:pPr>
      <w:r>
        <w:rPr>
          <w:rFonts w:ascii="黑体" w:hAnsi="黑体" w:eastAsia="黑体" w:cs="黑体"/>
          <w:color w:val="auto"/>
          <w:spacing w:val="-7"/>
          <w:sz w:val="24"/>
          <w:szCs w:val="24"/>
        </w:rPr>
        <w:t>授权期限:年月日至年月日</w:t>
      </w:r>
    </w:p>
    <w:p w14:paraId="42A13326">
      <w:pPr>
        <w:spacing w:before="1" w:line="221" w:lineRule="auto"/>
        <w:ind w:left="493"/>
        <w:rPr>
          <w:rFonts w:ascii="黑体" w:hAnsi="黑体" w:eastAsia="黑体" w:cs="黑体"/>
          <w:color w:val="auto"/>
          <w:sz w:val="24"/>
          <w:szCs w:val="24"/>
        </w:rPr>
      </w:pPr>
      <w:r>
        <w:rPr>
          <w:rFonts w:ascii="黑体" w:hAnsi="黑体" w:eastAsia="黑体" w:cs="黑体"/>
          <w:color w:val="auto"/>
          <w:spacing w:val="4"/>
          <w:sz w:val="24"/>
          <w:szCs w:val="24"/>
        </w:rPr>
        <w:t>委托代理人无转委权。特此委托。</w:t>
      </w:r>
    </w:p>
    <w:p w14:paraId="0B5B9608">
      <w:pPr>
        <w:spacing w:before="280" w:line="222" w:lineRule="auto"/>
        <w:ind w:left="493"/>
        <w:rPr>
          <w:rFonts w:ascii="黑体" w:hAnsi="黑体" w:eastAsia="黑体" w:cs="黑体"/>
          <w:color w:val="auto"/>
          <w:sz w:val="24"/>
          <w:szCs w:val="24"/>
        </w:rPr>
      </w:pPr>
      <w:r>
        <w:rPr>
          <w:rFonts w:ascii="黑体" w:hAnsi="黑体" w:eastAsia="黑体" w:cs="黑体"/>
          <w:color w:val="auto"/>
          <w:spacing w:val="-1"/>
          <w:sz w:val="24"/>
          <w:szCs w:val="24"/>
        </w:rPr>
        <w:t>委托代理人：性别：</w:t>
      </w:r>
    </w:p>
    <w:p w14:paraId="218BE727">
      <w:pPr>
        <w:spacing w:before="283" w:line="221" w:lineRule="auto"/>
        <w:ind w:left="495"/>
        <w:rPr>
          <w:rFonts w:ascii="黑体" w:hAnsi="黑体" w:eastAsia="黑体" w:cs="黑体"/>
          <w:color w:val="auto"/>
          <w:sz w:val="24"/>
          <w:szCs w:val="24"/>
        </w:rPr>
      </w:pPr>
      <w:r>
        <w:rPr>
          <w:rFonts w:ascii="黑体" w:hAnsi="黑体" w:eastAsia="黑体" w:cs="黑体"/>
          <w:color w:val="auto"/>
          <w:spacing w:val="-3"/>
          <w:sz w:val="24"/>
          <w:szCs w:val="24"/>
        </w:rPr>
        <w:t>身份证号码：电话：</w:t>
      </w:r>
    </w:p>
    <w:p w14:paraId="45230951">
      <w:pPr>
        <w:spacing w:before="282" w:line="212" w:lineRule="auto"/>
        <w:ind w:left="497"/>
        <w:rPr>
          <w:rFonts w:ascii="黑体" w:hAnsi="黑体" w:eastAsia="黑体" w:cs="黑体"/>
          <w:color w:val="auto"/>
          <w:sz w:val="24"/>
          <w:szCs w:val="24"/>
        </w:rPr>
      </w:pPr>
      <w:r>
        <w:rPr>
          <w:rFonts w:ascii="黑体" w:hAnsi="黑体" w:eastAsia="黑体" w:cs="黑体"/>
          <w:color w:val="auto"/>
          <w:spacing w:val="-11"/>
          <w:sz w:val="24"/>
          <w:szCs w:val="24"/>
        </w:rPr>
        <w:t>部门：职务：</w:t>
      </w:r>
    </w:p>
    <w:tbl>
      <w:tblPr>
        <w:tblStyle w:val="19"/>
        <w:tblW w:w="8684"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2"/>
        <w:gridCol w:w="4342"/>
      </w:tblGrid>
      <w:tr w14:paraId="4CFE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4342" w:type="dxa"/>
            <w:vAlign w:val="top"/>
          </w:tcPr>
          <w:p w14:paraId="4844A210">
            <w:pPr>
              <w:spacing w:line="294" w:lineRule="auto"/>
              <w:rPr>
                <w:rFonts w:ascii="Arial"/>
                <w:color w:val="auto"/>
                <w:sz w:val="21"/>
              </w:rPr>
            </w:pPr>
          </w:p>
          <w:p w14:paraId="27B26C03">
            <w:pPr>
              <w:spacing w:line="294" w:lineRule="auto"/>
              <w:rPr>
                <w:rFonts w:ascii="Arial"/>
                <w:color w:val="auto"/>
                <w:sz w:val="21"/>
              </w:rPr>
            </w:pPr>
          </w:p>
          <w:p w14:paraId="352FBC87">
            <w:pPr>
              <w:spacing w:line="295" w:lineRule="auto"/>
              <w:rPr>
                <w:rFonts w:ascii="Arial"/>
                <w:color w:val="auto"/>
                <w:sz w:val="21"/>
              </w:rPr>
            </w:pPr>
          </w:p>
          <w:p w14:paraId="2C994854">
            <w:pPr>
              <w:pStyle w:val="20"/>
              <w:spacing w:before="78" w:line="221" w:lineRule="auto"/>
              <w:ind w:left="118"/>
              <w:rPr>
                <w:color w:val="auto"/>
              </w:rPr>
            </w:pPr>
            <w:r>
              <w:rPr>
                <w:color w:val="auto"/>
                <w:spacing w:val="4"/>
              </w:rPr>
              <w:t>法定代表人身份证（正面）</w:t>
            </w:r>
          </w:p>
        </w:tc>
        <w:tc>
          <w:tcPr>
            <w:tcW w:w="4342" w:type="dxa"/>
            <w:vAlign w:val="top"/>
          </w:tcPr>
          <w:p w14:paraId="52FB2174">
            <w:pPr>
              <w:spacing w:line="294" w:lineRule="auto"/>
              <w:rPr>
                <w:rFonts w:ascii="Arial"/>
                <w:color w:val="auto"/>
                <w:sz w:val="21"/>
              </w:rPr>
            </w:pPr>
          </w:p>
          <w:p w14:paraId="21A17E4E">
            <w:pPr>
              <w:spacing w:line="294" w:lineRule="auto"/>
              <w:rPr>
                <w:rFonts w:ascii="Arial"/>
                <w:color w:val="auto"/>
                <w:sz w:val="21"/>
              </w:rPr>
            </w:pPr>
          </w:p>
          <w:p w14:paraId="75D11A2F">
            <w:pPr>
              <w:spacing w:line="295" w:lineRule="auto"/>
              <w:rPr>
                <w:rFonts w:ascii="Arial"/>
                <w:color w:val="auto"/>
                <w:sz w:val="21"/>
              </w:rPr>
            </w:pPr>
          </w:p>
          <w:p w14:paraId="35926386">
            <w:pPr>
              <w:pStyle w:val="20"/>
              <w:spacing w:before="78" w:line="221" w:lineRule="auto"/>
              <w:ind w:left="116"/>
              <w:rPr>
                <w:color w:val="auto"/>
              </w:rPr>
            </w:pPr>
            <w:r>
              <w:rPr>
                <w:color w:val="auto"/>
                <w:spacing w:val="4"/>
              </w:rPr>
              <w:t>法定代表人身份证（背面）</w:t>
            </w:r>
          </w:p>
        </w:tc>
      </w:tr>
      <w:tr w14:paraId="3A7CA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4342" w:type="dxa"/>
            <w:vAlign w:val="top"/>
          </w:tcPr>
          <w:p w14:paraId="30991103">
            <w:pPr>
              <w:spacing w:line="295" w:lineRule="auto"/>
              <w:rPr>
                <w:rFonts w:ascii="Arial"/>
                <w:color w:val="auto"/>
                <w:sz w:val="21"/>
              </w:rPr>
            </w:pPr>
          </w:p>
          <w:p w14:paraId="7DA4AED6">
            <w:pPr>
              <w:spacing w:line="295" w:lineRule="auto"/>
              <w:rPr>
                <w:rFonts w:ascii="Arial"/>
                <w:color w:val="auto"/>
                <w:sz w:val="21"/>
              </w:rPr>
            </w:pPr>
          </w:p>
          <w:p w14:paraId="089AEF0A">
            <w:pPr>
              <w:spacing w:line="296" w:lineRule="auto"/>
              <w:rPr>
                <w:rFonts w:ascii="Arial"/>
                <w:color w:val="auto"/>
                <w:sz w:val="21"/>
              </w:rPr>
            </w:pPr>
          </w:p>
          <w:p w14:paraId="16350AFD">
            <w:pPr>
              <w:pStyle w:val="20"/>
              <w:spacing w:before="78" w:line="221" w:lineRule="auto"/>
              <w:ind w:left="118"/>
              <w:rPr>
                <w:color w:val="auto"/>
              </w:rPr>
            </w:pPr>
            <w:r>
              <w:rPr>
                <w:color w:val="auto"/>
                <w:spacing w:val="4"/>
              </w:rPr>
              <w:t>委托代理人身份证（正面）</w:t>
            </w:r>
          </w:p>
        </w:tc>
        <w:tc>
          <w:tcPr>
            <w:tcW w:w="4342" w:type="dxa"/>
            <w:vAlign w:val="top"/>
          </w:tcPr>
          <w:p w14:paraId="3F4148B8">
            <w:pPr>
              <w:spacing w:line="295" w:lineRule="auto"/>
              <w:rPr>
                <w:rFonts w:ascii="Arial"/>
                <w:color w:val="auto"/>
                <w:sz w:val="21"/>
              </w:rPr>
            </w:pPr>
          </w:p>
          <w:p w14:paraId="7B465BB6">
            <w:pPr>
              <w:spacing w:line="295" w:lineRule="auto"/>
              <w:rPr>
                <w:rFonts w:ascii="Arial"/>
                <w:color w:val="auto"/>
                <w:sz w:val="21"/>
              </w:rPr>
            </w:pPr>
          </w:p>
          <w:p w14:paraId="232B51F8">
            <w:pPr>
              <w:spacing w:line="296" w:lineRule="auto"/>
              <w:rPr>
                <w:rFonts w:ascii="Arial"/>
                <w:color w:val="auto"/>
                <w:sz w:val="21"/>
              </w:rPr>
            </w:pPr>
          </w:p>
          <w:p w14:paraId="3457372D">
            <w:pPr>
              <w:pStyle w:val="20"/>
              <w:spacing w:before="78" w:line="221" w:lineRule="auto"/>
              <w:ind w:left="116"/>
              <w:rPr>
                <w:color w:val="auto"/>
              </w:rPr>
            </w:pPr>
            <w:r>
              <w:rPr>
                <w:color w:val="auto"/>
                <w:spacing w:val="4"/>
              </w:rPr>
              <w:t>委托代理人身份证（背面）</w:t>
            </w:r>
          </w:p>
        </w:tc>
      </w:tr>
    </w:tbl>
    <w:p w14:paraId="7FB3C2EF">
      <w:pPr>
        <w:spacing w:before="293" w:line="222" w:lineRule="auto"/>
        <w:ind w:left="5027"/>
        <w:rPr>
          <w:rFonts w:ascii="黑体" w:hAnsi="黑体" w:eastAsia="黑体" w:cs="黑体"/>
          <w:color w:val="auto"/>
          <w:sz w:val="24"/>
          <w:szCs w:val="24"/>
        </w:rPr>
      </w:pPr>
      <w:r>
        <w:rPr>
          <w:rFonts w:ascii="黑体" w:hAnsi="黑体" w:eastAsia="黑体" w:cs="黑体"/>
          <w:color w:val="auto"/>
          <w:spacing w:val="4"/>
          <w:sz w:val="24"/>
          <w:szCs w:val="24"/>
        </w:rPr>
        <w:t>供应商名称（盖章</w:t>
      </w:r>
      <w:r>
        <w:rPr>
          <w:rFonts w:ascii="黑体" w:hAnsi="黑体" w:eastAsia="黑体" w:cs="黑体"/>
          <w:color w:val="auto"/>
          <w:sz w:val="24"/>
          <w:szCs w:val="24"/>
        </w:rPr>
        <w:t>）：</w:t>
      </w:r>
    </w:p>
    <w:p w14:paraId="0DFFAB52">
      <w:pPr>
        <w:spacing w:before="284" w:line="568" w:lineRule="exact"/>
        <w:ind w:left="5029"/>
        <w:rPr>
          <w:rFonts w:ascii="黑体" w:hAnsi="黑体" w:eastAsia="黑体" w:cs="黑体"/>
          <w:color w:val="auto"/>
          <w:sz w:val="24"/>
          <w:szCs w:val="24"/>
        </w:rPr>
      </w:pPr>
      <w:r>
        <w:rPr>
          <w:rFonts w:ascii="黑体" w:hAnsi="黑体" w:eastAsia="黑体" w:cs="黑体"/>
          <w:color w:val="auto"/>
          <w:spacing w:val="4"/>
          <w:position w:val="25"/>
          <w:sz w:val="24"/>
          <w:szCs w:val="24"/>
        </w:rPr>
        <w:t>法定代表人（签字或盖章</w:t>
      </w:r>
      <w:r>
        <w:rPr>
          <w:rFonts w:ascii="黑体" w:hAnsi="黑体" w:eastAsia="黑体" w:cs="黑体"/>
          <w:color w:val="auto"/>
          <w:spacing w:val="1"/>
          <w:position w:val="25"/>
          <w:sz w:val="24"/>
          <w:szCs w:val="24"/>
        </w:rPr>
        <w:t>）：</w:t>
      </w:r>
    </w:p>
    <w:p w14:paraId="2D51D3BF">
      <w:pPr>
        <w:spacing w:before="1" w:line="221" w:lineRule="auto"/>
        <w:ind w:left="5029"/>
        <w:rPr>
          <w:rFonts w:ascii="黑体" w:hAnsi="黑体" w:eastAsia="黑体" w:cs="黑体"/>
          <w:color w:val="auto"/>
          <w:sz w:val="24"/>
          <w:szCs w:val="24"/>
        </w:rPr>
      </w:pPr>
      <w:r>
        <w:rPr>
          <w:rFonts w:ascii="黑体" w:hAnsi="黑体" w:eastAsia="黑体" w:cs="黑体"/>
          <w:color w:val="auto"/>
          <w:spacing w:val="4"/>
          <w:sz w:val="24"/>
          <w:szCs w:val="24"/>
        </w:rPr>
        <w:t>委托代理人（签字或盖章</w:t>
      </w:r>
      <w:r>
        <w:rPr>
          <w:rFonts w:ascii="黑体" w:hAnsi="黑体" w:eastAsia="黑体" w:cs="黑体"/>
          <w:color w:val="auto"/>
          <w:spacing w:val="1"/>
          <w:sz w:val="24"/>
          <w:szCs w:val="24"/>
        </w:rPr>
        <w:t>）：</w:t>
      </w:r>
    </w:p>
    <w:p w14:paraId="11E0D19B">
      <w:pPr>
        <w:spacing w:before="283" w:line="223" w:lineRule="auto"/>
        <w:jc w:val="right"/>
        <w:rPr>
          <w:rFonts w:ascii="黑体" w:hAnsi="黑体" w:eastAsia="黑体" w:cs="黑体"/>
          <w:color w:val="auto"/>
          <w:sz w:val="24"/>
          <w:szCs w:val="24"/>
        </w:rPr>
      </w:pPr>
      <w:r>
        <w:rPr>
          <w:rFonts w:ascii="黑体" w:hAnsi="黑体" w:eastAsia="黑体" w:cs="黑体"/>
          <w:color w:val="auto"/>
          <w:spacing w:val="-20"/>
          <w:sz w:val="24"/>
          <w:szCs w:val="24"/>
        </w:rPr>
        <w:t>日期：年月日</w:t>
      </w:r>
    </w:p>
    <w:p w14:paraId="73A7A2C9">
      <w:pPr>
        <w:spacing w:line="223" w:lineRule="auto"/>
        <w:rPr>
          <w:rFonts w:ascii="黑体" w:hAnsi="黑体" w:eastAsia="黑体" w:cs="黑体"/>
          <w:color w:val="auto"/>
          <w:sz w:val="24"/>
          <w:szCs w:val="24"/>
        </w:rPr>
        <w:sectPr>
          <w:footerReference r:id="rId31" w:type="default"/>
          <w:pgSz w:w="11906" w:h="16839"/>
          <w:pgMar w:top="1440" w:right="1080" w:bottom="1440" w:left="1080" w:header="0" w:footer="850" w:gutter="0"/>
          <w:pgNumType w:fmt="decimal"/>
          <w:cols w:space="720" w:num="1"/>
        </w:sectPr>
      </w:pPr>
    </w:p>
    <w:p w14:paraId="7A18C998">
      <w:pPr>
        <w:pStyle w:val="5"/>
        <w:spacing w:line="272" w:lineRule="auto"/>
        <w:rPr>
          <w:color w:val="auto"/>
        </w:rPr>
      </w:pPr>
    </w:p>
    <w:p w14:paraId="5769748D">
      <w:pPr>
        <w:pStyle w:val="5"/>
        <w:spacing w:line="272" w:lineRule="auto"/>
        <w:rPr>
          <w:color w:val="auto"/>
        </w:rPr>
      </w:pPr>
    </w:p>
    <w:p w14:paraId="67121459">
      <w:pPr>
        <w:pStyle w:val="5"/>
        <w:spacing w:line="273" w:lineRule="auto"/>
        <w:rPr>
          <w:color w:val="auto"/>
        </w:rPr>
      </w:pPr>
    </w:p>
    <w:p w14:paraId="040F341A">
      <w:pPr>
        <w:pStyle w:val="5"/>
        <w:spacing w:line="273" w:lineRule="auto"/>
        <w:rPr>
          <w:color w:val="auto"/>
        </w:rPr>
      </w:pPr>
    </w:p>
    <w:p w14:paraId="1947294A">
      <w:pPr>
        <w:spacing w:before="91" w:line="225" w:lineRule="auto"/>
        <w:rPr>
          <w:rFonts w:ascii="黑体" w:hAnsi="黑体" w:eastAsia="黑体" w:cs="黑体"/>
          <w:color w:val="auto"/>
          <w:sz w:val="20"/>
          <w:szCs w:val="20"/>
        </w:rPr>
      </w:pPr>
      <w:r>
        <w:rPr>
          <w:rFonts w:ascii="黑体" w:hAnsi="黑体" w:eastAsia="黑体" w:cs="黑体"/>
          <w:color w:val="auto"/>
          <w:spacing w:val="-5"/>
          <w:sz w:val="28"/>
          <w:szCs w:val="28"/>
          <w14:textOutline w14:w="5103" w14:cap="sq" w14:cmpd="sng">
            <w14:solidFill>
              <w14:srgbClr w14:val="000000"/>
            </w14:solidFill>
            <w14:prstDash w14:val="solid"/>
            <w14:bevel/>
          </w14:textOutline>
        </w:rPr>
        <w:t>附件3</w:t>
      </w:r>
      <w:r>
        <w:rPr>
          <w:rFonts w:ascii="黑体" w:hAnsi="黑体" w:eastAsia="黑体" w:cs="黑体"/>
          <w:color w:val="auto"/>
          <w:spacing w:val="-5"/>
          <w:sz w:val="20"/>
          <w:szCs w:val="20"/>
          <w14:textOutline w14:w="3795" w14:cap="sq" w14:cmpd="sng">
            <w14:solidFill>
              <w14:srgbClr w14:val="000000"/>
            </w14:solidFill>
            <w14:prstDash w14:val="solid"/>
            <w14:bevel/>
          </w14:textOutline>
        </w:rPr>
        <w:t>:</w:t>
      </w:r>
    </w:p>
    <w:p w14:paraId="1540D244">
      <w:pPr>
        <w:spacing w:before="263" w:line="228" w:lineRule="auto"/>
        <w:ind w:left="3703"/>
        <w:outlineLvl w:val="1"/>
        <w:rPr>
          <w:rFonts w:ascii="黑体" w:hAnsi="黑体" w:eastAsia="黑体" w:cs="黑体"/>
          <w:color w:val="auto"/>
          <w:sz w:val="31"/>
          <w:szCs w:val="31"/>
        </w:rPr>
      </w:pPr>
      <w:bookmarkStart w:id="225" w:name="_Toc22940"/>
      <w:r>
        <w:rPr>
          <w:rFonts w:ascii="黑体" w:hAnsi="黑体" w:eastAsia="黑体" w:cs="黑体"/>
          <w:color w:val="auto"/>
          <w:spacing w:val="13"/>
          <w:sz w:val="31"/>
          <w:szCs w:val="31"/>
          <w14:textOutline w14:w="5793" w14:cap="sq" w14:cmpd="sng">
            <w14:solidFill>
              <w14:srgbClr w14:val="000000"/>
            </w14:solidFill>
            <w14:prstDash w14:val="solid"/>
            <w14:bevel/>
          </w14:textOutline>
        </w:rPr>
        <w:t>投标一览表</w:t>
      </w:r>
      <w:bookmarkEnd w:id="225"/>
    </w:p>
    <w:p w14:paraId="109C36B9">
      <w:pPr>
        <w:spacing w:line="88" w:lineRule="exact"/>
        <w:rPr>
          <w:color w:val="auto"/>
        </w:rPr>
      </w:pPr>
    </w:p>
    <w:tbl>
      <w:tblPr>
        <w:tblStyle w:val="19"/>
        <w:tblW w:w="8495"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2255"/>
        <w:gridCol w:w="1334"/>
        <w:gridCol w:w="2905"/>
      </w:tblGrid>
      <w:tr w14:paraId="25C9F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11B050C7">
            <w:pPr>
              <w:spacing w:line="249" w:lineRule="auto"/>
              <w:rPr>
                <w:rFonts w:ascii="Arial"/>
                <w:color w:val="auto"/>
                <w:sz w:val="21"/>
              </w:rPr>
            </w:pPr>
          </w:p>
          <w:p w14:paraId="6D8B7C78">
            <w:pPr>
              <w:spacing w:line="250" w:lineRule="auto"/>
              <w:rPr>
                <w:rFonts w:ascii="Arial"/>
                <w:color w:val="auto"/>
                <w:sz w:val="21"/>
              </w:rPr>
            </w:pPr>
          </w:p>
          <w:p w14:paraId="2C524AB4">
            <w:pPr>
              <w:pStyle w:val="20"/>
              <w:spacing w:before="78" w:line="222" w:lineRule="auto"/>
              <w:ind w:left="391"/>
              <w:rPr>
                <w:color w:val="auto"/>
              </w:rPr>
            </w:pPr>
            <w:r>
              <w:rPr>
                <w:color w:val="auto"/>
                <w:spacing w:val="3"/>
              </w:rPr>
              <w:t>供应商名称</w:t>
            </w:r>
          </w:p>
        </w:tc>
        <w:tc>
          <w:tcPr>
            <w:tcW w:w="6494" w:type="dxa"/>
            <w:gridSpan w:val="3"/>
            <w:vAlign w:val="top"/>
          </w:tcPr>
          <w:p w14:paraId="1BBCA3ED">
            <w:pPr>
              <w:rPr>
                <w:rFonts w:ascii="Arial"/>
                <w:color w:val="auto"/>
                <w:sz w:val="21"/>
              </w:rPr>
            </w:pPr>
          </w:p>
        </w:tc>
      </w:tr>
      <w:tr w14:paraId="1F66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4B5B5F6A">
            <w:pPr>
              <w:spacing w:line="248" w:lineRule="auto"/>
              <w:rPr>
                <w:rFonts w:ascii="Arial"/>
                <w:color w:val="auto"/>
                <w:sz w:val="21"/>
              </w:rPr>
            </w:pPr>
          </w:p>
          <w:p w14:paraId="079AF9A3">
            <w:pPr>
              <w:spacing w:line="248" w:lineRule="auto"/>
              <w:rPr>
                <w:rFonts w:ascii="Arial"/>
                <w:color w:val="auto"/>
                <w:sz w:val="21"/>
              </w:rPr>
            </w:pPr>
          </w:p>
          <w:p w14:paraId="577192E8">
            <w:pPr>
              <w:pStyle w:val="20"/>
              <w:spacing w:before="78" w:line="222" w:lineRule="auto"/>
              <w:ind w:left="514"/>
              <w:rPr>
                <w:color w:val="auto"/>
              </w:rPr>
            </w:pPr>
            <w:r>
              <w:rPr>
                <w:color w:val="auto"/>
                <w:spacing w:val="1"/>
              </w:rPr>
              <w:t>项目名称</w:t>
            </w:r>
          </w:p>
        </w:tc>
        <w:tc>
          <w:tcPr>
            <w:tcW w:w="6494" w:type="dxa"/>
            <w:gridSpan w:val="3"/>
            <w:vAlign w:val="top"/>
          </w:tcPr>
          <w:p w14:paraId="31B6E3F2">
            <w:pPr>
              <w:rPr>
                <w:rFonts w:ascii="Arial"/>
                <w:color w:val="auto"/>
                <w:sz w:val="21"/>
              </w:rPr>
            </w:pPr>
          </w:p>
        </w:tc>
      </w:tr>
      <w:tr w14:paraId="65942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001" w:type="dxa"/>
            <w:vAlign w:val="top"/>
          </w:tcPr>
          <w:p w14:paraId="20B9E309">
            <w:pPr>
              <w:pStyle w:val="20"/>
              <w:spacing w:before="296" w:line="571" w:lineRule="exact"/>
              <w:ind w:left="513"/>
              <w:rPr>
                <w:color w:val="auto"/>
              </w:rPr>
            </w:pPr>
            <w:r>
              <w:rPr>
                <w:color w:val="auto"/>
                <w:spacing w:val="2"/>
                <w:position w:val="25"/>
              </w:rPr>
              <w:t>投标报价</w:t>
            </w:r>
          </w:p>
          <w:p w14:paraId="7033D644">
            <w:pPr>
              <w:pStyle w:val="20"/>
              <w:spacing w:line="205" w:lineRule="auto"/>
              <w:ind w:left="660"/>
              <w:rPr>
                <w:color w:val="auto"/>
              </w:rPr>
            </w:pPr>
            <w:r>
              <w:rPr>
                <w:color w:val="auto"/>
                <w:spacing w:val="-9"/>
              </w:rPr>
              <w:t>（元）</w:t>
            </w:r>
          </w:p>
        </w:tc>
        <w:tc>
          <w:tcPr>
            <w:tcW w:w="6494" w:type="dxa"/>
            <w:gridSpan w:val="3"/>
            <w:vAlign w:val="top"/>
          </w:tcPr>
          <w:p w14:paraId="41A04CF5">
            <w:pPr>
              <w:pStyle w:val="20"/>
              <w:spacing w:before="296" w:line="571" w:lineRule="exact"/>
              <w:ind w:left="124"/>
              <w:rPr>
                <w:color w:val="auto"/>
              </w:rPr>
            </w:pPr>
            <w:r>
              <w:rPr>
                <w:color w:val="auto"/>
                <w:spacing w:val="-5"/>
                <w:position w:val="25"/>
              </w:rPr>
              <w:t>小写：</w:t>
            </w:r>
          </w:p>
          <w:p w14:paraId="662B221C">
            <w:pPr>
              <w:pStyle w:val="20"/>
              <w:spacing w:line="205" w:lineRule="auto"/>
              <w:ind w:left="113"/>
              <w:rPr>
                <w:color w:val="auto"/>
              </w:rPr>
            </w:pPr>
            <w:r>
              <w:rPr>
                <w:color w:val="auto"/>
                <w:spacing w:val="-2"/>
              </w:rPr>
              <w:t>大写：</w:t>
            </w:r>
          </w:p>
        </w:tc>
      </w:tr>
      <w:tr w14:paraId="3932E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6B9BED45">
            <w:pPr>
              <w:spacing w:line="249" w:lineRule="auto"/>
              <w:rPr>
                <w:rFonts w:ascii="Arial"/>
                <w:color w:val="auto"/>
                <w:sz w:val="21"/>
              </w:rPr>
            </w:pPr>
          </w:p>
          <w:p w14:paraId="7A536313">
            <w:pPr>
              <w:spacing w:line="249" w:lineRule="auto"/>
              <w:rPr>
                <w:rFonts w:ascii="Arial"/>
                <w:color w:val="auto"/>
                <w:sz w:val="21"/>
              </w:rPr>
            </w:pPr>
          </w:p>
          <w:p w14:paraId="646D336F">
            <w:pPr>
              <w:pStyle w:val="20"/>
              <w:spacing w:before="78" w:line="224" w:lineRule="auto"/>
              <w:ind w:left="640"/>
              <w:rPr>
                <w:color w:val="auto"/>
              </w:rPr>
            </w:pPr>
            <w:r>
              <w:rPr>
                <w:color w:val="auto"/>
                <w:spacing w:val="-6"/>
              </w:rPr>
              <w:t>工期</w:t>
            </w:r>
          </w:p>
        </w:tc>
        <w:tc>
          <w:tcPr>
            <w:tcW w:w="6494" w:type="dxa"/>
            <w:gridSpan w:val="3"/>
            <w:vAlign w:val="top"/>
          </w:tcPr>
          <w:p w14:paraId="4F2E5523">
            <w:pPr>
              <w:rPr>
                <w:rFonts w:ascii="Arial"/>
                <w:color w:val="auto"/>
                <w:sz w:val="21"/>
              </w:rPr>
            </w:pPr>
          </w:p>
        </w:tc>
      </w:tr>
      <w:tr w14:paraId="4F712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2001" w:type="dxa"/>
            <w:vAlign w:val="top"/>
          </w:tcPr>
          <w:p w14:paraId="37F8E0D4">
            <w:pPr>
              <w:pStyle w:val="20"/>
              <w:spacing w:before="302" w:line="222" w:lineRule="auto"/>
              <w:ind w:left="514"/>
              <w:rPr>
                <w:color w:val="auto"/>
              </w:rPr>
            </w:pPr>
            <w:r>
              <w:rPr>
                <w:color w:val="auto"/>
                <w:spacing w:val="1"/>
              </w:rPr>
              <w:t>项目经理</w:t>
            </w:r>
          </w:p>
        </w:tc>
        <w:tc>
          <w:tcPr>
            <w:tcW w:w="2255" w:type="dxa"/>
            <w:vAlign w:val="top"/>
          </w:tcPr>
          <w:p w14:paraId="7B35FCDE">
            <w:pPr>
              <w:rPr>
                <w:rFonts w:ascii="Arial"/>
                <w:color w:val="auto"/>
                <w:sz w:val="21"/>
              </w:rPr>
            </w:pPr>
          </w:p>
        </w:tc>
        <w:tc>
          <w:tcPr>
            <w:tcW w:w="1334" w:type="dxa"/>
            <w:vAlign w:val="top"/>
          </w:tcPr>
          <w:p w14:paraId="2AE9BECD">
            <w:pPr>
              <w:pStyle w:val="20"/>
              <w:spacing w:before="302" w:line="222" w:lineRule="auto"/>
              <w:ind w:left="185"/>
              <w:rPr>
                <w:color w:val="auto"/>
              </w:rPr>
            </w:pPr>
            <w:r>
              <w:rPr>
                <w:color w:val="auto"/>
                <w:spacing w:val="1"/>
              </w:rPr>
              <w:t>注册证号</w:t>
            </w:r>
          </w:p>
        </w:tc>
        <w:tc>
          <w:tcPr>
            <w:tcW w:w="2905" w:type="dxa"/>
            <w:vAlign w:val="top"/>
          </w:tcPr>
          <w:p w14:paraId="2CCDEDFB">
            <w:pPr>
              <w:rPr>
                <w:rFonts w:ascii="Arial"/>
                <w:color w:val="auto"/>
                <w:sz w:val="21"/>
              </w:rPr>
            </w:pPr>
          </w:p>
        </w:tc>
      </w:tr>
      <w:tr w14:paraId="324D2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42AACDD1">
            <w:pPr>
              <w:spacing w:line="249" w:lineRule="auto"/>
              <w:rPr>
                <w:rFonts w:ascii="Arial"/>
                <w:color w:val="auto"/>
                <w:sz w:val="21"/>
              </w:rPr>
            </w:pPr>
          </w:p>
          <w:p w14:paraId="64FE99C8">
            <w:pPr>
              <w:spacing w:line="250" w:lineRule="auto"/>
              <w:rPr>
                <w:rFonts w:ascii="Arial"/>
                <w:color w:val="auto"/>
                <w:sz w:val="21"/>
              </w:rPr>
            </w:pPr>
          </w:p>
          <w:p w14:paraId="16D52554">
            <w:pPr>
              <w:pStyle w:val="20"/>
              <w:spacing w:before="78" w:line="222" w:lineRule="auto"/>
              <w:ind w:left="514"/>
              <w:rPr>
                <w:color w:val="auto"/>
              </w:rPr>
            </w:pPr>
            <w:r>
              <w:rPr>
                <w:color w:val="auto"/>
                <w:spacing w:val="-5"/>
              </w:rPr>
              <w:t>备注</w:t>
            </w:r>
          </w:p>
        </w:tc>
        <w:tc>
          <w:tcPr>
            <w:tcW w:w="6494" w:type="dxa"/>
            <w:gridSpan w:val="3"/>
            <w:vAlign w:val="top"/>
          </w:tcPr>
          <w:p w14:paraId="1CA8488D">
            <w:pPr>
              <w:rPr>
                <w:rFonts w:ascii="Arial"/>
                <w:color w:val="auto"/>
                <w:sz w:val="21"/>
              </w:rPr>
            </w:pPr>
          </w:p>
        </w:tc>
      </w:tr>
    </w:tbl>
    <w:p w14:paraId="55E5CC77">
      <w:pPr>
        <w:pStyle w:val="5"/>
        <w:spacing w:line="260" w:lineRule="auto"/>
        <w:rPr>
          <w:color w:val="auto"/>
        </w:rPr>
      </w:pPr>
    </w:p>
    <w:p w14:paraId="5C5FDCAD">
      <w:pPr>
        <w:pStyle w:val="5"/>
        <w:spacing w:line="260" w:lineRule="auto"/>
        <w:rPr>
          <w:color w:val="auto"/>
        </w:rPr>
      </w:pPr>
    </w:p>
    <w:p w14:paraId="17D67A05">
      <w:pPr>
        <w:pStyle w:val="5"/>
        <w:spacing w:line="261" w:lineRule="auto"/>
        <w:rPr>
          <w:color w:val="auto"/>
        </w:rPr>
      </w:pPr>
    </w:p>
    <w:p w14:paraId="6FCEF200">
      <w:pPr>
        <w:spacing w:before="79" w:line="222" w:lineRule="auto"/>
        <w:ind w:left="3533"/>
        <w:rPr>
          <w:rFonts w:ascii="黑体" w:hAnsi="黑体" w:eastAsia="黑体" w:cs="黑体"/>
          <w:color w:val="auto"/>
          <w:sz w:val="24"/>
          <w:szCs w:val="24"/>
        </w:rPr>
      </w:pPr>
      <w:r>
        <w:rPr>
          <w:rFonts w:ascii="黑体" w:hAnsi="黑体" w:eastAsia="黑体" w:cs="黑体"/>
          <w:color w:val="auto"/>
          <w:spacing w:val="4"/>
          <w:sz w:val="24"/>
          <w:szCs w:val="24"/>
        </w:rPr>
        <w:t>供应商名称（盖章</w:t>
      </w:r>
      <w:r>
        <w:rPr>
          <w:rFonts w:ascii="黑体" w:hAnsi="黑体" w:eastAsia="黑体" w:cs="黑体"/>
          <w:color w:val="auto"/>
          <w:sz w:val="24"/>
          <w:szCs w:val="24"/>
        </w:rPr>
        <w:t>）：</w:t>
      </w:r>
    </w:p>
    <w:p w14:paraId="3D3E8BB4">
      <w:pPr>
        <w:spacing w:before="280" w:line="222" w:lineRule="auto"/>
        <w:ind w:left="3536"/>
        <w:rPr>
          <w:rFonts w:ascii="黑体" w:hAnsi="黑体" w:eastAsia="黑体" w:cs="黑体"/>
          <w:color w:val="auto"/>
          <w:sz w:val="24"/>
          <w:szCs w:val="24"/>
        </w:rPr>
      </w:pPr>
      <w:r>
        <w:rPr>
          <w:rFonts w:ascii="黑体" w:hAnsi="黑体" w:eastAsia="黑体" w:cs="黑体"/>
          <w:color w:val="auto"/>
          <w:spacing w:val="4"/>
          <w:sz w:val="24"/>
          <w:szCs w:val="24"/>
        </w:rPr>
        <w:t>法定代表人或委托代理人（签字或盖章</w:t>
      </w:r>
      <w:r>
        <w:rPr>
          <w:rFonts w:ascii="黑体" w:hAnsi="黑体" w:eastAsia="黑体" w:cs="黑体"/>
          <w:color w:val="auto"/>
          <w:spacing w:val="7"/>
          <w:sz w:val="24"/>
          <w:szCs w:val="24"/>
        </w:rPr>
        <w:t>）：</w:t>
      </w:r>
    </w:p>
    <w:p w14:paraId="3169DCE8">
      <w:pPr>
        <w:spacing w:before="283" w:line="223" w:lineRule="auto"/>
        <w:jc w:val="right"/>
        <w:outlineLvl w:val="1"/>
        <w:rPr>
          <w:rFonts w:ascii="黑体" w:hAnsi="黑体" w:eastAsia="黑体" w:cs="黑体"/>
          <w:color w:val="auto"/>
          <w:sz w:val="24"/>
          <w:szCs w:val="24"/>
        </w:rPr>
      </w:pPr>
      <w:bookmarkStart w:id="226" w:name="_Toc29365"/>
      <w:r>
        <w:rPr>
          <w:rFonts w:ascii="黑体" w:hAnsi="黑体" w:eastAsia="黑体" w:cs="黑体"/>
          <w:color w:val="auto"/>
          <w:spacing w:val="-20"/>
          <w:sz w:val="24"/>
          <w:szCs w:val="24"/>
        </w:rPr>
        <w:t>日期：年月日</w:t>
      </w:r>
      <w:bookmarkEnd w:id="226"/>
    </w:p>
    <w:p w14:paraId="6D2D4EB9">
      <w:pPr>
        <w:spacing w:line="223" w:lineRule="auto"/>
        <w:rPr>
          <w:rFonts w:ascii="黑体" w:hAnsi="黑体" w:eastAsia="黑体" w:cs="黑体"/>
          <w:color w:val="auto"/>
          <w:sz w:val="24"/>
          <w:szCs w:val="24"/>
        </w:rPr>
        <w:sectPr>
          <w:footerReference r:id="rId32" w:type="default"/>
          <w:pgSz w:w="11906" w:h="16839"/>
          <w:pgMar w:top="1440" w:right="1080" w:bottom="1440" w:left="1080" w:header="0" w:footer="850" w:gutter="0"/>
          <w:pgNumType w:fmt="decimal"/>
          <w:cols w:space="720" w:num="1"/>
        </w:sectPr>
      </w:pPr>
    </w:p>
    <w:p w14:paraId="2E3737F4">
      <w:pPr>
        <w:pStyle w:val="5"/>
        <w:spacing w:line="265" w:lineRule="auto"/>
        <w:rPr>
          <w:color w:val="auto"/>
        </w:rPr>
      </w:pPr>
    </w:p>
    <w:p w14:paraId="77FC7FED">
      <w:pPr>
        <w:pStyle w:val="5"/>
        <w:spacing w:line="265" w:lineRule="auto"/>
        <w:rPr>
          <w:color w:val="auto"/>
        </w:rPr>
      </w:pPr>
    </w:p>
    <w:p w14:paraId="290923CA">
      <w:pPr>
        <w:pStyle w:val="5"/>
        <w:spacing w:line="266" w:lineRule="auto"/>
        <w:rPr>
          <w:color w:val="auto"/>
        </w:rPr>
      </w:pPr>
    </w:p>
    <w:p w14:paraId="328447CE">
      <w:pPr>
        <w:pStyle w:val="5"/>
        <w:spacing w:line="266" w:lineRule="auto"/>
        <w:rPr>
          <w:color w:val="auto"/>
        </w:rPr>
      </w:pPr>
    </w:p>
    <w:p w14:paraId="46B15BD8">
      <w:pPr>
        <w:spacing w:before="101" w:line="230" w:lineRule="auto"/>
        <w:rPr>
          <w:rFonts w:ascii="黑体" w:hAnsi="黑体" w:eastAsia="黑体" w:cs="黑体"/>
          <w:color w:val="auto"/>
          <w:sz w:val="31"/>
          <w:szCs w:val="31"/>
        </w:rPr>
      </w:pPr>
      <w:r>
        <w:rPr>
          <w:rFonts w:ascii="黑体" w:hAnsi="黑体" w:eastAsia="黑体" w:cs="黑体"/>
          <w:color w:val="auto"/>
          <w:sz w:val="31"/>
          <w:szCs w:val="31"/>
          <w14:textOutline w14:w="5793" w14:cap="sq" w14:cmpd="sng">
            <w14:solidFill>
              <w14:srgbClr w14:val="000000"/>
            </w14:solidFill>
            <w14:prstDash w14:val="solid"/>
            <w14:bevel/>
          </w14:textOutline>
        </w:rPr>
        <w:t>附件3.1</w:t>
      </w:r>
    </w:p>
    <w:p w14:paraId="47D09BA4">
      <w:pPr>
        <w:spacing w:before="238" w:line="226" w:lineRule="auto"/>
        <w:ind w:left="3051"/>
        <w:outlineLvl w:val="1"/>
        <w:rPr>
          <w:rFonts w:ascii="黑体" w:hAnsi="黑体" w:eastAsia="黑体" w:cs="黑体"/>
          <w:color w:val="auto"/>
          <w:sz w:val="31"/>
          <w:szCs w:val="31"/>
        </w:rPr>
      </w:pPr>
      <w:bookmarkStart w:id="227" w:name="_Toc26621"/>
      <w:r>
        <w:rPr>
          <w:rFonts w:ascii="黑体" w:hAnsi="黑体" w:eastAsia="黑体" w:cs="黑体"/>
          <w:color w:val="auto"/>
          <w:spacing w:val="14"/>
          <w:sz w:val="31"/>
          <w:szCs w:val="31"/>
          <w14:textOutline w14:w="5793" w14:cap="sq" w14:cmpd="sng">
            <w14:solidFill>
              <w14:srgbClr w14:val="000000"/>
            </w14:solidFill>
            <w14:prstDash w14:val="solid"/>
            <w14:bevel/>
          </w14:textOutline>
        </w:rPr>
        <w:t>清单分项报价明细表</w:t>
      </w:r>
      <w:bookmarkEnd w:id="227"/>
    </w:p>
    <w:p w14:paraId="5AA0C1D2">
      <w:pPr>
        <w:pStyle w:val="5"/>
        <w:spacing w:line="305" w:lineRule="auto"/>
        <w:rPr>
          <w:color w:val="auto"/>
        </w:rPr>
      </w:pPr>
    </w:p>
    <w:p w14:paraId="5D9F3512">
      <w:pPr>
        <w:spacing w:before="78" w:line="222" w:lineRule="auto"/>
        <w:ind w:left="2815"/>
        <w:rPr>
          <w:rFonts w:ascii="黑体" w:hAnsi="黑体" w:eastAsia="黑体" w:cs="黑体"/>
          <w:color w:val="auto"/>
          <w:sz w:val="24"/>
          <w:szCs w:val="24"/>
        </w:rPr>
      </w:pPr>
      <w:r>
        <w:rPr>
          <w:rFonts w:ascii="黑体" w:hAnsi="黑体" w:eastAsia="黑体" w:cs="黑体"/>
          <w:color w:val="auto"/>
          <w:spacing w:val="2"/>
          <w:sz w:val="24"/>
          <w:szCs w:val="24"/>
        </w:rPr>
        <w:t>（响应第三章工程量清单内容）</w:t>
      </w:r>
    </w:p>
    <w:p w14:paraId="713E56C3">
      <w:pPr>
        <w:spacing w:line="222" w:lineRule="auto"/>
        <w:rPr>
          <w:rFonts w:ascii="黑体" w:hAnsi="黑体" w:eastAsia="黑体" w:cs="黑体"/>
          <w:color w:val="auto"/>
          <w:sz w:val="24"/>
          <w:szCs w:val="24"/>
        </w:rPr>
        <w:sectPr>
          <w:footerReference r:id="rId33" w:type="default"/>
          <w:pgSz w:w="11906" w:h="16839"/>
          <w:pgMar w:top="1440" w:right="1080" w:bottom="1440" w:left="1080" w:header="0" w:footer="850" w:gutter="0"/>
          <w:pgNumType w:fmt="decimal"/>
          <w:cols w:space="720" w:num="1"/>
        </w:sectPr>
      </w:pPr>
    </w:p>
    <w:p w14:paraId="7AA9EABF">
      <w:pPr>
        <w:pStyle w:val="5"/>
        <w:spacing w:line="265" w:lineRule="auto"/>
        <w:rPr>
          <w:color w:val="auto"/>
        </w:rPr>
      </w:pPr>
    </w:p>
    <w:p w14:paraId="341DE9A9">
      <w:pPr>
        <w:pStyle w:val="5"/>
        <w:spacing w:line="265" w:lineRule="auto"/>
        <w:rPr>
          <w:color w:val="auto"/>
        </w:rPr>
      </w:pPr>
    </w:p>
    <w:p w14:paraId="784BDD36">
      <w:pPr>
        <w:pStyle w:val="5"/>
        <w:spacing w:line="266" w:lineRule="auto"/>
        <w:rPr>
          <w:color w:val="auto"/>
        </w:rPr>
      </w:pPr>
    </w:p>
    <w:p w14:paraId="332942BC">
      <w:pPr>
        <w:pStyle w:val="5"/>
        <w:spacing w:line="266" w:lineRule="auto"/>
        <w:rPr>
          <w:color w:val="auto"/>
        </w:rPr>
      </w:pPr>
    </w:p>
    <w:p w14:paraId="383E5632">
      <w:pPr>
        <w:spacing w:before="101" w:line="230" w:lineRule="auto"/>
        <w:ind w:left="47"/>
        <w:rPr>
          <w:rFonts w:ascii="黑体" w:hAnsi="黑体" w:eastAsia="黑体" w:cs="黑体"/>
          <w:color w:val="auto"/>
          <w:sz w:val="31"/>
          <w:szCs w:val="31"/>
        </w:rPr>
      </w:pPr>
      <w:r>
        <w:rPr>
          <w:rFonts w:ascii="黑体" w:hAnsi="黑体" w:eastAsia="黑体" w:cs="黑体"/>
          <w:color w:val="auto"/>
          <w:spacing w:val="1"/>
          <w:sz w:val="31"/>
          <w:szCs w:val="31"/>
          <w14:textOutline w14:w="5793" w14:cap="sq" w14:cmpd="sng">
            <w14:solidFill>
              <w14:srgbClr w14:val="000000"/>
            </w14:solidFill>
            <w14:prstDash w14:val="solid"/>
            <w14:bevel/>
          </w14:textOutline>
        </w:rPr>
        <w:t>附件4:</w:t>
      </w:r>
    </w:p>
    <w:p w14:paraId="2F04656C">
      <w:pPr>
        <w:spacing w:before="238" w:line="226" w:lineRule="auto"/>
        <w:ind w:left="3585"/>
        <w:outlineLvl w:val="2"/>
        <w:rPr>
          <w:rFonts w:ascii="黑体" w:hAnsi="黑体" w:eastAsia="黑体" w:cs="黑体"/>
          <w:color w:val="auto"/>
          <w:sz w:val="31"/>
          <w:szCs w:val="31"/>
        </w:rPr>
      </w:pPr>
      <w:bookmarkStart w:id="228" w:name="_Toc29146"/>
      <w:r>
        <w:rPr>
          <w:rFonts w:ascii="黑体" w:hAnsi="黑体" w:eastAsia="黑体" w:cs="黑体"/>
          <w:color w:val="auto"/>
          <w:spacing w:val="14"/>
          <w:sz w:val="31"/>
          <w:szCs w:val="31"/>
          <w14:textOutline w14:w="5793" w14:cap="sq" w14:cmpd="sng">
            <w14:solidFill>
              <w14:srgbClr w14:val="000000"/>
            </w14:solidFill>
            <w14:prstDash w14:val="solid"/>
            <w14:bevel/>
          </w14:textOutline>
        </w:rPr>
        <w:t>供应商概况表</w:t>
      </w:r>
      <w:bookmarkEnd w:id="228"/>
    </w:p>
    <w:p w14:paraId="1CA2E1BC">
      <w:pPr>
        <w:spacing w:line="90" w:lineRule="exact"/>
        <w:rPr>
          <w:color w:val="auto"/>
        </w:rPr>
      </w:pPr>
    </w:p>
    <w:tbl>
      <w:tblPr>
        <w:tblStyle w:val="19"/>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3100"/>
        <w:gridCol w:w="1510"/>
        <w:gridCol w:w="2345"/>
      </w:tblGrid>
      <w:tr w14:paraId="40355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148" w:type="dxa"/>
            <w:vAlign w:val="top"/>
          </w:tcPr>
          <w:p w14:paraId="1BDCAF4E">
            <w:pPr>
              <w:pStyle w:val="20"/>
              <w:spacing w:before="318" w:line="222" w:lineRule="auto"/>
              <w:ind w:left="586"/>
              <w:rPr>
                <w:color w:val="auto"/>
              </w:rPr>
            </w:pPr>
            <w:r>
              <w:rPr>
                <w:color w:val="auto"/>
                <w:spacing w:val="2"/>
              </w:rPr>
              <w:t>企业名称</w:t>
            </w:r>
          </w:p>
        </w:tc>
        <w:tc>
          <w:tcPr>
            <w:tcW w:w="6955" w:type="dxa"/>
            <w:gridSpan w:val="3"/>
            <w:vAlign w:val="top"/>
          </w:tcPr>
          <w:p w14:paraId="30A50012">
            <w:pPr>
              <w:rPr>
                <w:rFonts w:ascii="Arial"/>
                <w:color w:val="auto"/>
                <w:sz w:val="21"/>
              </w:rPr>
            </w:pPr>
          </w:p>
        </w:tc>
      </w:tr>
      <w:tr w14:paraId="64E20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148" w:type="dxa"/>
            <w:vAlign w:val="top"/>
          </w:tcPr>
          <w:p w14:paraId="6E82CAB8">
            <w:pPr>
              <w:pStyle w:val="20"/>
              <w:spacing w:before="270" w:line="223" w:lineRule="auto"/>
              <w:ind w:left="341"/>
              <w:rPr>
                <w:color w:val="auto"/>
              </w:rPr>
            </w:pPr>
            <w:r>
              <w:rPr>
                <w:color w:val="auto"/>
                <w:spacing w:val="3"/>
              </w:rPr>
              <w:t>企业法人营业</w:t>
            </w:r>
          </w:p>
          <w:p w14:paraId="56591D35">
            <w:pPr>
              <w:pStyle w:val="20"/>
              <w:spacing w:before="111" w:line="219" w:lineRule="auto"/>
              <w:ind w:left="465"/>
              <w:rPr>
                <w:color w:val="auto"/>
              </w:rPr>
            </w:pPr>
            <w:r>
              <w:rPr>
                <w:color w:val="auto"/>
                <w:spacing w:val="3"/>
              </w:rPr>
              <w:t>执照注册号</w:t>
            </w:r>
          </w:p>
        </w:tc>
        <w:tc>
          <w:tcPr>
            <w:tcW w:w="6955" w:type="dxa"/>
            <w:gridSpan w:val="3"/>
            <w:vAlign w:val="top"/>
          </w:tcPr>
          <w:p w14:paraId="3226E496">
            <w:pPr>
              <w:rPr>
                <w:rFonts w:ascii="Arial"/>
                <w:color w:val="auto"/>
                <w:sz w:val="21"/>
              </w:rPr>
            </w:pPr>
          </w:p>
        </w:tc>
      </w:tr>
      <w:tr w14:paraId="5C817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6E42F01D">
            <w:pPr>
              <w:pStyle w:val="20"/>
              <w:spacing w:before="317" w:line="230" w:lineRule="auto"/>
              <w:ind w:left="589"/>
              <w:rPr>
                <w:color w:val="auto"/>
              </w:rPr>
            </w:pPr>
            <w:r>
              <w:rPr>
                <w:color w:val="auto"/>
                <w:spacing w:val="-6"/>
              </w:rPr>
              <w:t>地址</w:t>
            </w:r>
          </w:p>
        </w:tc>
        <w:tc>
          <w:tcPr>
            <w:tcW w:w="6955" w:type="dxa"/>
            <w:gridSpan w:val="3"/>
            <w:vAlign w:val="top"/>
          </w:tcPr>
          <w:p w14:paraId="45BA1514">
            <w:pPr>
              <w:rPr>
                <w:rFonts w:ascii="Arial"/>
                <w:color w:val="auto"/>
                <w:sz w:val="21"/>
              </w:rPr>
            </w:pPr>
          </w:p>
        </w:tc>
      </w:tr>
      <w:tr w14:paraId="215DA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0A9D90C6">
            <w:pPr>
              <w:pStyle w:val="20"/>
              <w:spacing w:before="315" w:line="222" w:lineRule="auto"/>
              <w:ind w:left="591"/>
              <w:rPr>
                <w:color w:val="auto"/>
              </w:rPr>
            </w:pPr>
            <w:r>
              <w:rPr>
                <w:color w:val="auto"/>
                <w:spacing w:val="1"/>
              </w:rPr>
              <w:t>注册资本</w:t>
            </w:r>
          </w:p>
        </w:tc>
        <w:tc>
          <w:tcPr>
            <w:tcW w:w="3100" w:type="dxa"/>
            <w:vAlign w:val="top"/>
          </w:tcPr>
          <w:p w14:paraId="28C04508">
            <w:pPr>
              <w:rPr>
                <w:rFonts w:ascii="Arial"/>
                <w:color w:val="auto"/>
                <w:sz w:val="21"/>
              </w:rPr>
            </w:pPr>
          </w:p>
        </w:tc>
        <w:tc>
          <w:tcPr>
            <w:tcW w:w="1510" w:type="dxa"/>
            <w:vAlign w:val="top"/>
          </w:tcPr>
          <w:p w14:paraId="4B5F4B15">
            <w:pPr>
              <w:pStyle w:val="20"/>
              <w:spacing w:before="315" w:line="221" w:lineRule="auto"/>
              <w:ind w:left="268"/>
              <w:rPr>
                <w:color w:val="auto"/>
              </w:rPr>
            </w:pPr>
            <w:r>
              <w:rPr>
                <w:color w:val="auto"/>
                <w:spacing w:val="2"/>
              </w:rPr>
              <w:t>企业类型</w:t>
            </w:r>
          </w:p>
        </w:tc>
        <w:tc>
          <w:tcPr>
            <w:tcW w:w="2345" w:type="dxa"/>
            <w:vAlign w:val="top"/>
          </w:tcPr>
          <w:p w14:paraId="4FD68838">
            <w:pPr>
              <w:rPr>
                <w:rFonts w:ascii="Arial"/>
                <w:color w:val="auto"/>
                <w:sz w:val="21"/>
              </w:rPr>
            </w:pPr>
          </w:p>
        </w:tc>
      </w:tr>
      <w:tr w14:paraId="72804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148" w:type="dxa"/>
            <w:vAlign w:val="top"/>
          </w:tcPr>
          <w:p w14:paraId="193AB986">
            <w:pPr>
              <w:pStyle w:val="20"/>
              <w:spacing w:before="317" w:line="222" w:lineRule="auto"/>
              <w:ind w:left="468"/>
              <w:rPr>
                <w:color w:val="auto"/>
              </w:rPr>
            </w:pPr>
            <w:r>
              <w:rPr>
                <w:color w:val="auto"/>
                <w:spacing w:val="2"/>
              </w:rPr>
              <w:t>法定代表人</w:t>
            </w:r>
          </w:p>
        </w:tc>
        <w:tc>
          <w:tcPr>
            <w:tcW w:w="3100" w:type="dxa"/>
            <w:vAlign w:val="top"/>
          </w:tcPr>
          <w:p w14:paraId="5766409D">
            <w:pPr>
              <w:rPr>
                <w:rFonts w:ascii="Arial"/>
                <w:color w:val="auto"/>
                <w:sz w:val="21"/>
              </w:rPr>
            </w:pPr>
          </w:p>
        </w:tc>
        <w:tc>
          <w:tcPr>
            <w:tcW w:w="1510" w:type="dxa"/>
            <w:vAlign w:val="top"/>
          </w:tcPr>
          <w:p w14:paraId="38E2DC1F">
            <w:pPr>
              <w:pStyle w:val="20"/>
              <w:spacing w:before="317" w:line="222" w:lineRule="auto"/>
              <w:ind w:left="268"/>
              <w:rPr>
                <w:color w:val="auto"/>
              </w:rPr>
            </w:pPr>
            <w:r>
              <w:rPr>
                <w:color w:val="auto"/>
                <w:spacing w:val="2"/>
              </w:rPr>
              <w:t>成立时间</w:t>
            </w:r>
          </w:p>
        </w:tc>
        <w:tc>
          <w:tcPr>
            <w:tcW w:w="2345" w:type="dxa"/>
            <w:vAlign w:val="top"/>
          </w:tcPr>
          <w:p w14:paraId="7CF176A5">
            <w:pPr>
              <w:rPr>
                <w:rFonts w:ascii="Arial"/>
                <w:color w:val="auto"/>
                <w:sz w:val="21"/>
              </w:rPr>
            </w:pPr>
          </w:p>
        </w:tc>
      </w:tr>
      <w:tr w14:paraId="41B80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7FEA8AE1">
            <w:pPr>
              <w:pStyle w:val="20"/>
              <w:spacing w:before="316" w:line="221" w:lineRule="auto"/>
              <w:ind w:left="596"/>
              <w:rPr>
                <w:color w:val="auto"/>
              </w:rPr>
            </w:pPr>
            <w:r>
              <w:rPr>
                <w:color w:val="auto"/>
                <w:spacing w:val="-1"/>
              </w:rPr>
              <w:t>资质类型</w:t>
            </w:r>
          </w:p>
        </w:tc>
        <w:tc>
          <w:tcPr>
            <w:tcW w:w="3100" w:type="dxa"/>
            <w:vAlign w:val="top"/>
          </w:tcPr>
          <w:p w14:paraId="140A7DAA">
            <w:pPr>
              <w:rPr>
                <w:rFonts w:ascii="Arial"/>
                <w:color w:val="auto"/>
                <w:sz w:val="21"/>
              </w:rPr>
            </w:pPr>
          </w:p>
        </w:tc>
        <w:tc>
          <w:tcPr>
            <w:tcW w:w="1510" w:type="dxa"/>
            <w:vAlign w:val="top"/>
          </w:tcPr>
          <w:p w14:paraId="63871A3A">
            <w:pPr>
              <w:pStyle w:val="20"/>
              <w:spacing w:before="316" w:line="221" w:lineRule="auto"/>
              <w:ind w:left="278"/>
              <w:rPr>
                <w:color w:val="auto"/>
              </w:rPr>
            </w:pPr>
            <w:r>
              <w:rPr>
                <w:color w:val="auto"/>
                <w:spacing w:val="-1"/>
              </w:rPr>
              <w:t>资质等级</w:t>
            </w:r>
          </w:p>
        </w:tc>
        <w:tc>
          <w:tcPr>
            <w:tcW w:w="2345" w:type="dxa"/>
            <w:vAlign w:val="top"/>
          </w:tcPr>
          <w:p w14:paraId="39DEEEB0">
            <w:pPr>
              <w:rPr>
                <w:rFonts w:ascii="Arial"/>
                <w:color w:val="auto"/>
                <w:sz w:val="21"/>
              </w:rPr>
            </w:pPr>
          </w:p>
        </w:tc>
      </w:tr>
      <w:tr w14:paraId="3B6CE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061DE9D4">
            <w:pPr>
              <w:pStyle w:val="20"/>
              <w:spacing w:before="317" w:line="222" w:lineRule="auto"/>
              <w:ind w:left="592"/>
              <w:rPr>
                <w:color w:val="auto"/>
              </w:rPr>
            </w:pPr>
            <w:r>
              <w:rPr>
                <w:color w:val="auto"/>
              </w:rPr>
              <w:t>开户银行</w:t>
            </w:r>
          </w:p>
        </w:tc>
        <w:tc>
          <w:tcPr>
            <w:tcW w:w="6955" w:type="dxa"/>
            <w:gridSpan w:val="3"/>
            <w:vAlign w:val="top"/>
          </w:tcPr>
          <w:p w14:paraId="7E496C68">
            <w:pPr>
              <w:rPr>
                <w:rFonts w:ascii="Arial"/>
                <w:color w:val="auto"/>
                <w:sz w:val="21"/>
              </w:rPr>
            </w:pPr>
          </w:p>
        </w:tc>
      </w:tr>
      <w:tr w14:paraId="28BB8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500AA0B3">
            <w:pPr>
              <w:pStyle w:val="20"/>
              <w:spacing w:before="316" w:line="222" w:lineRule="auto"/>
              <w:ind w:left="592"/>
              <w:rPr>
                <w:color w:val="auto"/>
              </w:rPr>
            </w:pPr>
            <w:r>
              <w:rPr>
                <w:color w:val="auto"/>
              </w:rPr>
              <w:t>开户行号</w:t>
            </w:r>
          </w:p>
        </w:tc>
        <w:tc>
          <w:tcPr>
            <w:tcW w:w="6955" w:type="dxa"/>
            <w:gridSpan w:val="3"/>
            <w:vAlign w:val="top"/>
          </w:tcPr>
          <w:p w14:paraId="3654B925">
            <w:pPr>
              <w:rPr>
                <w:rFonts w:ascii="Arial"/>
                <w:color w:val="auto"/>
                <w:sz w:val="21"/>
              </w:rPr>
            </w:pPr>
          </w:p>
        </w:tc>
      </w:tr>
      <w:tr w14:paraId="0E22C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148" w:type="dxa"/>
            <w:vAlign w:val="top"/>
          </w:tcPr>
          <w:p w14:paraId="53A974A8">
            <w:pPr>
              <w:pStyle w:val="20"/>
              <w:spacing w:before="318" w:line="221" w:lineRule="auto"/>
              <w:ind w:left="586"/>
              <w:rPr>
                <w:color w:val="auto"/>
              </w:rPr>
            </w:pPr>
            <w:r>
              <w:rPr>
                <w:color w:val="auto"/>
                <w:spacing w:val="2"/>
              </w:rPr>
              <w:t>银行账号</w:t>
            </w:r>
          </w:p>
        </w:tc>
        <w:tc>
          <w:tcPr>
            <w:tcW w:w="6955" w:type="dxa"/>
            <w:gridSpan w:val="3"/>
            <w:vAlign w:val="top"/>
          </w:tcPr>
          <w:p w14:paraId="4B0974B7">
            <w:pPr>
              <w:rPr>
                <w:rFonts w:ascii="Arial"/>
                <w:color w:val="auto"/>
                <w:sz w:val="21"/>
              </w:rPr>
            </w:pPr>
          </w:p>
        </w:tc>
      </w:tr>
      <w:tr w14:paraId="6A1F0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50CB0545">
            <w:pPr>
              <w:pStyle w:val="20"/>
              <w:spacing w:before="317" w:line="221" w:lineRule="auto"/>
              <w:ind w:left="592"/>
              <w:rPr>
                <w:color w:val="auto"/>
              </w:rPr>
            </w:pPr>
            <w:r>
              <w:rPr>
                <w:color w:val="auto"/>
              </w:rPr>
              <w:t>主营业务</w:t>
            </w:r>
          </w:p>
        </w:tc>
        <w:tc>
          <w:tcPr>
            <w:tcW w:w="6955" w:type="dxa"/>
            <w:gridSpan w:val="3"/>
            <w:vAlign w:val="top"/>
          </w:tcPr>
          <w:p w14:paraId="5B93C8C0">
            <w:pPr>
              <w:rPr>
                <w:rFonts w:ascii="Arial"/>
                <w:color w:val="auto"/>
                <w:sz w:val="21"/>
              </w:rPr>
            </w:pPr>
          </w:p>
        </w:tc>
      </w:tr>
      <w:tr w14:paraId="15DFB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148" w:type="dxa"/>
            <w:vAlign w:val="top"/>
          </w:tcPr>
          <w:p w14:paraId="556D01BD">
            <w:pPr>
              <w:spacing w:line="241" w:lineRule="auto"/>
              <w:rPr>
                <w:rFonts w:ascii="Arial"/>
                <w:color w:val="auto"/>
                <w:sz w:val="21"/>
              </w:rPr>
            </w:pPr>
          </w:p>
          <w:p w14:paraId="79FADEDB">
            <w:pPr>
              <w:pStyle w:val="20"/>
              <w:spacing w:before="78" w:line="222" w:lineRule="auto"/>
              <w:ind w:left="589"/>
              <w:rPr>
                <w:color w:val="auto"/>
              </w:rPr>
            </w:pPr>
            <w:r>
              <w:rPr>
                <w:color w:val="auto"/>
                <w:spacing w:val="-9"/>
              </w:rPr>
              <w:t>联系人</w:t>
            </w:r>
          </w:p>
        </w:tc>
        <w:tc>
          <w:tcPr>
            <w:tcW w:w="3100" w:type="dxa"/>
            <w:vAlign w:val="top"/>
          </w:tcPr>
          <w:p w14:paraId="02636068">
            <w:pPr>
              <w:rPr>
                <w:rFonts w:ascii="Arial"/>
                <w:color w:val="auto"/>
                <w:sz w:val="21"/>
              </w:rPr>
            </w:pPr>
          </w:p>
        </w:tc>
        <w:tc>
          <w:tcPr>
            <w:tcW w:w="1510" w:type="dxa"/>
            <w:vAlign w:val="top"/>
          </w:tcPr>
          <w:p w14:paraId="6448CDE3">
            <w:pPr>
              <w:spacing w:line="241" w:lineRule="auto"/>
              <w:rPr>
                <w:rFonts w:ascii="Arial"/>
                <w:color w:val="auto"/>
                <w:sz w:val="21"/>
              </w:rPr>
            </w:pPr>
          </w:p>
          <w:p w14:paraId="29BB85A3">
            <w:pPr>
              <w:pStyle w:val="20"/>
              <w:spacing w:before="78" w:line="221" w:lineRule="auto"/>
              <w:ind w:left="271"/>
              <w:rPr>
                <w:color w:val="auto"/>
              </w:rPr>
            </w:pPr>
            <w:r>
              <w:rPr>
                <w:color w:val="auto"/>
                <w:spacing w:val="1"/>
              </w:rPr>
              <w:t>联系方式</w:t>
            </w:r>
          </w:p>
        </w:tc>
        <w:tc>
          <w:tcPr>
            <w:tcW w:w="2345" w:type="dxa"/>
            <w:vAlign w:val="top"/>
          </w:tcPr>
          <w:p w14:paraId="6E3DAEA8">
            <w:pPr>
              <w:rPr>
                <w:rFonts w:ascii="Arial"/>
                <w:color w:val="auto"/>
                <w:sz w:val="21"/>
              </w:rPr>
            </w:pPr>
          </w:p>
        </w:tc>
      </w:tr>
      <w:tr w14:paraId="26ED0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48" w:type="dxa"/>
            <w:vAlign w:val="top"/>
          </w:tcPr>
          <w:p w14:paraId="06DD6994">
            <w:pPr>
              <w:spacing w:line="262" w:lineRule="auto"/>
              <w:rPr>
                <w:rFonts w:ascii="Arial"/>
                <w:color w:val="auto"/>
                <w:sz w:val="21"/>
              </w:rPr>
            </w:pPr>
          </w:p>
          <w:p w14:paraId="6394F635">
            <w:pPr>
              <w:pStyle w:val="20"/>
              <w:spacing w:before="78" w:line="222" w:lineRule="auto"/>
              <w:ind w:left="600"/>
              <w:rPr>
                <w:color w:val="auto"/>
              </w:rPr>
            </w:pPr>
            <w:r>
              <w:rPr>
                <w:color w:val="auto"/>
                <w:spacing w:val="-11"/>
              </w:rPr>
              <w:t>邮箱</w:t>
            </w:r>
          </w:p>
        </w:tc>
        <w:tc>
          <w:tcPr>
            <w:tcW w:w="3100" w:type="dxa"/>
            <w:vAlign w:val="top"/>
          </w:tcPr>
          <w:p w14:paraId="56084C2D">
            <w:pPr>
              <w:rPr>
                <w:rFonts w:ascii="Arial"/>
                <w:color w:val="auto"/>
                <w:sz w:val="21"/>
              </w:rPr>
            </w:pPr>
          </w:p>
        </w:tc>
        <w:tc>
          <w:tcPr>
            <w:tcW w:w="1510" w:type="dxa"/>
            <w:vAlign w:val="top"/>
          </w:tcPr>
          <w:p w14:paraId="2449E450">
            <w:pPr>
              <w:spacing w:line="262" w:lineRule="auto"/>
              <w:rPr>
                <w:rFonts w:ascii="Arial"/>
                <w:color w:val="auto"/>
                <w:sz w:val="21"/>
              </w:rPr>
            </w:pPr>
          </w:p>
          <w:p w14:paraId="3F136F28">
            <w:pPr>
              <w:pStyle w:val="20"/>
              <w:spacing w:before="78" w:line="222" w:lineRule="auto"/>
              <w:ind w:left="268"/>
              <w:rPr>
                <w:color w:val="auto"/>
              </w:rPr>
            </w:pPr>
            <w:r>
              <w:rPr>
                <w:color w:val="auto"/>
                <w:spacing w:val="-4"/>
              </w:rPr>
              <w:t>传真</w:t>
            </w:r>
          </w:p>
        </w:tc>
        <w:tc>
          <w:tcPr>
            <w:tcW w:w="2345" w:type="dxa"/>
            <w:vAlign w:val="top"/>
          </w:tcPr>
          <w:p w14:paraId="18D064EB">
            <w:pPr>
              <w:rPr>
                <w:rFonts w:ascii="Arial"/>
                <w:color w:val="auto"/>
                <w:sz w:val="21"/>
              </w:rPr>
            </w:pPr>
          </w:p>
        </w:tc>
      </w:tr>
    </w:tbl>
    <w:p w14:paraId="384F779C">
      <w:pPr>
        <w:spacing w:before="37" w:line="213" w:lineRule="auto"/>
        <w:ind w:left="26"/>
        <w:rPr>
          <w:rFonts w:ascii="黑体" w:hAnsi="黑体" w:eastAsia="黑体" w:cs="黑体"/>
          <w:color w:val="auto"/>
          <w:sz w:val="24"/>
          <w:szCs w:val="24"/>
        </w:rPr>
      </w:pPr>
      <w:r>
        <w:rPr>
          <w:rFonts w:ascii="黑体" w:hAnsi="黑体" w:eastAsia="黑体" w:cs="黑体"/>
          <w:color w:val="auto"/>
          <w:spacing w:val="6"/>
          <w:sz w:val="24"/>
          <w:szCs w:val="24"/>
        </w:rPr>
        <w:t>后附：①营业执照、资质证书、安全生产许可证</w:t>
      </w:r>
      <w:r>
        <w:rPr>
          <w:rFonts w:ascii="黑体" w:hAnsi="黑体" w:eastAsia="黑体" w:cs="黑体"/>
          <w:color w:val="auto"/>
          <w:spacing w:val="5"/>
          <w:sz w:val="24"/>
          <w:szCs w:val="24"/>
        </w:rPr>
        <w:t>；②“信用中国”、“中国政府采</w:t>
      </w:r>
    </w:p>
    <w:p w14:paraId="62E36620">
      <w:pPr>
        <w:spacing w:before="35" w:line="213" w:lineRule="auto"/>
        <w:ind w:left="25"/>
        <w:outlineLvl w:val="1"/>
        <w:rPr>
          <w:rFonts w:ascii="黑体" w:hAnsi="黑体" w:eastAsia="黑体" w:cs="黑体"/>
          <w:color w:val="auto"/>
          <w:sz w:val="24"/>
          <w:szCs w:val="24"/>
        </w:rPr>
      </w:pPr>
      <w:bookmarkStart w:id="229" w:name="_Toc21720"/>
      <w:r>
        <w:rPr>
          <w:rFonts w:ascii="黑体" w:hAnsi="黑体" w:eastAsia="黑体" w:cs="黑体"/>
          <w:color w:val="auto"/>
          <w:spacing w:val="3"/>
          <w:sz w:val="24"/>
          <w:szCs w:val="24"/>
        </w:rPr>
        <w:t>购网”查询截图；③</w:t>
      </w:r>
      <w:r>
        <w:rPr>
          <w:rFonts w:hint="eastAsia" w:ascii="黑体" w:hAnsi="黑体" w:eastAsia="黑体" w:cs="黑体"/>
          <w:color w:val="auto"/>
          <w:spacing w:val="3"/>
          <w:sz w:val="24"/>
          <w:szCs w:val="24"/>
          <w:lang w:val="en-US" w:eastAsia="zh-CN"/>
        </w:rPr>
        <w:t>基本户的证明</w:t>
      </w:r>
      <w:r>
        <w:rPr>
          <w:rFonts w:ascii="黑体" w:hAnsi="黑体" w:eastAsia="黑体" w:cs="黑体"/>
          <w:color w:val="auto"/>
          <w:spacing w:val="3"/>
          <w:sz w:val="24"/>
          <w:szCs w:val="24"/>
        </w:rPr>
        <w:t>④投标保证金汇款回执</w:t>
      </w:r>
      <w:r>
        <w:rPr>
          <w:rFonts w:hint="eastAsia" w:ascii="黑体" w:hAnsi="黑体" w:eastAsia="黑体" w:cs="黑体"/>
          <w:color w:val="auto"/>
          <w:spacing w:val="3"/>
          <w:sz w:val="24"/>
          <w:szCs w:val="24"/>
          <w:lang w:val="en-US" w:eastAsia="zh-CN"/>
        </w:rPr>
        <w:t>凭证或保函保单及基本账户支付凭证</w:t>
      </w:r>
      <w:r>
        <w:rPr>
          <w:rFonts w:ascii="黑体" w:hAnsi="黑体" w:eastAsia="黑体" w:cs="黑体"/>
          <w:color w:val="auto"/>
          <w:spacing w:val="3"/>
          <w:sz w:val="24"/>
          <w:szCs w:val="24"/>
        </w:rPr>
        <w:t>；</w:t>
      </w:r>
      <w:bookmarkEnd w:id="229"/>
    </w:p>
    <w:p w14:paraId="4AEC05FA">
      <w:pPr>
        <w:spacing w:line="213" w:lineRule="auto"/>
        <w:rPr>
          <w:rFonts w:ascii="黑体" w:hAnsi="黑体" w:eastAsia="黑体" w:cs="黑体"/>
          <w:color w:val="auto"/>
          <w:sz w:val="24"/>
          <w:szCs w:val="24"/>
        </w:rPr>
        <w:sectPr>
          <w:footerReference r:id="rId34" w:type="default"/>
          <w:pgSz w:w="11906" w:h="16839"/>
          <w:pgMar w:top="1440" w:right="1080" w:bottom="1440" w:left="1080" w:header="0" w:footer="850" w:gutter="0"/>
          <w:pgNumType w:fmt="decimal"/>
          <w:cols w:space="720" w:num="1"/>
        </w:sectPr>
      </w:pPr>
    </w:p>
    <w:p w14:paraId="665DC083">
      <w:pPr>
        <w:pStyle w:val="5"/>
        <w:spacing w:line="265" w:lineRule="auto"/>
        <w:rPr>
          <w:color w:val="auto"/>
        </w:rPr>
      </w:pPr>
    </w:p>
    <w:p w14:paraId="7EA0C373">
      <w:pPr>
        <w:pStyle w:val="5"/>
        <w:spacing w:line="265" w:lineRule="auto"/>
        <w:rPr>
          <w:color w:val="auto"/>
        </w:rPr>
      </w:pPr>
    </w:p>
    <w:p w14:paraId="4B4FEF9D">
      <w:pPr>
        <w:pStyle w:val="5"/>
        <w:spacing w:line="266" w:lineRule="auto"/>
        <w:rPr>
          <w:color w:val="auto"/>
        </w:rPr>
      </w:pPr>
    </w:p>
    <w:p w14:paraId="60BB18EE">
      <w:pPr>
        <w:pStyle w:val="5"/>
        <w:spacing w:line="266" w:lineRule="auto"/>
        <w:rPr>
          <w:color w:val="auto"/>
        </w:rPr>
      </w:pPr>
    </w:p>
    <w:p w14:paraId="7C63AF1E">
      <w:pPr>
        <w:spacing w:before="101" w:line="230" w:lineRule="auto"/>
        <w:ind w:left="22"/>
        <w:rPr>
          <w:rFonts w:ascii="黑体" w:hAnsi="黑体" w:eastAsia="黑体" w:cs="黑体"/>
          <w:color w:val="auto"/>
          <w:sz w:val="31"/>
          <w:szCs w:val="31"/>
        </w:rPr>
      </w:pPr>
      <w:r>
        <w:rPr>
          <w:rFonts w:ascii="黑体" w:hAnsi="黑体" w:eastAsia="黑体" w:cs="黑体"/>
          <w:color w:val="auto"/>
          <w:sz w:val="31"/>
          <w:szCs w:val="31"/>
          <w14:textOutline w14:w="5793" w14:cap="sq" w14:cmpd="sng">
            <w14:solidFill>
              <w14:srgbClr w14:val="000000"/>
            </w14:solidFill>
            <w14:prstDash w14:val="solid"/>
            <w14:bevel/>
          </w14:textOutline>
        </w:rPr>
        <w:t>附件5:</w:t>
      </w:r>
    </w:p>
    <w:p w14:paraId="3D255936">
      <w:pPr>
        <w:spacing w:before="255" w:line="222" w:lineRule="auto"/>
        <w:ind w:left="4253"/>
        <w:rPr>
          <w:rFonts w:ascii="黑体" w:hAnsi="黑体" w:eastAsia="黑体" w:cs="黑体"/>
          <w:color w:val="auto"/>
          <w:sz w:val="28"/>
          <w:szCs w:val="28"/>
        </w:rPr>
      </w:pPr>
      <w:r>
        <w:rPr>
          <w:rFonts w:ascii="黑体" w:hAnsi="黑体" w:eastAsia="黑体" w:cs="黑体"/>
          <w:color w:val="auto"/>
          <w:spacing w:val="-1"/>
          <w:sz w:val="28"/>
          <w:szCs w:val="28"/>
          <w14:textOutline w14:w="5103" w14:cap="sq" w14:cmpd="sng">
            <w14:solidFill>
              <w14:srgbClr w14:val="000000"/>
            </w14:solidFill>
            <w14:prstDash w14:val="solid"/>
            <w14:bevel/>
          </w14:textOutline>
        </w:rPr>
        <w:t>声明</w:t>
      </w:r>
    </w:p>
    <w:p w14:paraId="55BB5917">
      <w:pPr>
        <w:pStyle w:val="5"/>
        <w:spacing w:line="314" w:lineRule="auto"/>
        <w:rPr>
          <w:color w:val="auto"/>
        </w:rPr>
      </w:pPr>
    </w:p>
    <w:p w14:paraId="4BAEB90E">
      <w:pPr>
        <w:pStyle w:val="5"/>
        <w:spacing w:line="315" w:lineRule="auto"/>
        <w:rPr>
          <w:color w:val="auto"/>
        </w:rPr>
      </w:pPr>
    </w:p>
    <w:p w14:paraId="1DA22582">
      <w:pPr>
        <w:spacing w:before="78" w:line="222" w:lineRule="auto"/>
        <w:ind w:left="3"/>
        <w:rPr>
          <w:rFonts w:ascii="黑体" w:hAnsi="黑体" w:eastAsia="黑体" w:cs="黑体"/>
          <w:color w:val="auto"/>
          <w:sz w:val="24"/>
          <w:szCs w:val="24"/>
        </w:rPr>
      </w:pPr>
      <w:r>
        <w:rPr>
          <w:rFonts w:ascii="黑体" w:hAnsi="黑体" w:eastAsia="黑体" w:cs="黑体"/>
          <w:color w:val="auto"/>
          <w:spacing w:val="7"/>
          <w:sz w:val="24"/>
          <w:szCs w:val="24"/>
        </w:rPr>
        <w:t>致</w:t>
      </w:r>
      <w:r>
        <w:rPr>
          <w:rFonts w:ascii="黑体" w:hAnsi="黑体" w:eastAsia="黑体" w:cs="黑体"/>
          <w:color w:val="auto"/>
          <w:spacing w:val="-4"/>
          <w:sz w:val="24"/>
          <w:szCs w:val="24"/>
        </w:rPr>
        <w:t>：（</w:t>
      </w:r>
      <w:r>
        <w:rPr>
          <w:rFonts w:ascii="黑体" w:hAnsi="黑体" w:eastAsia="黑体" w:cs="黑体"/>
          <w:color w:val="auto"/>
          <w:spacing w:val="7"/>
          <w:sz w:val="24"/>
          <w:szCs w:val="24"/>
        </w:rPr>
        <w:t>采购人名称</w:t>
      </w:r>
      <w:r>
        <w:rPr>
          <w:rFonts w:ascii="黑体" w:hAnsi="黑体" w:eastAsia="黑体" w:cs="黑体"/>
          <w:color w:val="auto"/>
          <w:spacing w:val="-4"/>
          <w:sz w:val="24"/>
          <w:szCs w:val="24"/>
        </w:rPr>
        <w:t>）：</w:t>
      </w:r>
    </w:p>
    <w:p w14:paraId="1E0E5435">
      <w:pPr>
        <w:pStyle w:val="5"/>
        <w:spacing w:line="256" w:lineRule="auto"/>
        <w:rPr>
          <w:color w:val="auto"/>
        </w:rPr>
      </w:pPr>
    </w:p>
    <w:p w14:paraId="76D8268F">
      <w:pPr>
        <w:tabs>
          <w:tab w:val="left" w:pos="3187"/>
        </w:tabs>
        <w:spacing w:before="78" w:line="359" w:lineRule="auto"/>
        <w:ind w:left="2" w:right="239" w:firstLine="481"/>
        <w:rPr>
          <w:rFonts w:ascii="黑体" w:hAnsi="黑体" w:eastAsia="黑体" w:cs="黑体"/>
          <w:color w:val="auto"/>
          <w:sz w:val="24"/>
          <w:szCs w:val="24"/>
        </w:rPr>
      </w:pPr>
      <w:r>
        <w:rPr>
          <w:rFonts w:ascii="黑体" w:hAnsi="黑体" w:eastAsia="黑体" w:cs="黑体"/>
          <w:color w:val="auto"/>
          <w:sz w:val="24"/>
          <w:szCs w:val="24"/>
          <w:u w:val="single" w:color="auto"/>
        </w:rPr>
        <w:tab/>
      </w:r>
      <w:r>
        <w:rPr>
          <w:rFonts w:ascii="黑体" w:hAnsi="黑体" w:eastAsia="黑体" w:cs="黑体"/>
          <w:color w:val="auto"/>
          <w:spacing w:val="4"/>
          <w:sz w:val="24"/>
          <w:szCs w:val="24"/>
        </w:rPr>
        <w:t>（供应商名称）郑重声明，我公司具有良好的商业信誉</w:t>
      </w:r>
      <w:r>
        <w:rPr>
          <w:rFonts w:ascii="黑体" w:hAnsi="黑体" w:eastAsia="黑体" w:cs="黑体"/>
          <w:color w:val="auto"/>
          <w:spacing w:val="5"/>
          <w:sz w:val="24"/>
          <w:szCs w:val="24"/>
        </w:rPr>
        <w:t>和健全的财务会计制度，具有履行合同所必需的设备和专业技</w:t>
      </w:r>
      <w:r>
        <w:rPr>
          <w:rFonts w:ascii="黑体" w:hAnsi="黑体" w:eastAsia="黑体" w:cs="黑体"/>
          <w:color w:val="auto"/>
          <w:spacing w:val="4"/>
          <w:sz w:val="24"/>
          <w:szCs w:val="24"/>
        </w:rPr>
        <w:t>术能力，有依法缴纳税</w:t>
      </w:r>
    </w:p>
    <w:p w14:paraId="749C2712">
      <w:pPr>
        <w:spacing w:before="1" w:line="212" w:lineRule="auto"/>
        <w:rPr>
          <w:rFonts w:ascii="黑体" w:hAnsi="黑体" w:eastAsia="黑体" w:cs="黑体"/>
          <w:color w:val="auto"/>
          <w:sz w:val="24"/>
          <w:szCs w:val="24"/>
        </w:rPr>
      </w:pPr>
      <w:r>
        <w:rPr>
          <w:rFonts w:ascii="黑体" w:hAnsi="黑体" w:eastAsia="黑体" w:cs="黑体"/>
          <w:color w:val="auto"/>
          <w:spacing w:val="5"/>
          <w:sz w:val="24"/>
          <w:szCs w:val="24"/>
        </w:rPr>
        <w:t>收和社会保障资金的良好记录，参加本项目采购活动前三年内无重大违法活动记录，</w:t>
      </w:r>
    </w:p>
    <w:p w14:paraId="58E0CB2D">
      <w:pPr>
        <w:spacing w:before="189" w:line="359" w:lineRule="auto"/>
        <w:ind w:left="3" w:hanging="3"/>
        <w:rPr>
          <w:rFonts w:ascii="黑体" w:hAnsi="黑体" w:eastAsia="黑体" w:cs="黑体"/>
          <w:color w:val="auto"/>
          <w:sz w:val="24"/>
          <w:szCs w:val="24"/>
        </w:rPr>
      </w:pPr>
      <w:r>
        <w:rPr>
          <w:rFonts w:ascii="黑体" w:hAnsi="黑体" w:eastAsia="黑体" w:cs="黑体"/>
          <w:color w:val="auto"/>
          <w:spacing w:val="5"/>
          <w:sz w:val="24"/>
          <w:szCs w:val="24"/>
        </w:rPr>
        <w:t>在合同签订前后随时愿意提供相关证明材料；我公司还同时声明未列</w:t>
      </w:r>
      <w:r>
        <w:rPr>
          <w:rFonts w:ascii="黑体" w:hAnsi="黑体" w:eastAsia="黑体" w:cs="黑体"/>
          <w:color w:val="auto"/>
          <w:spacing w:val="4"/>
          <w:sz w:val="24"/>
          <w:szCs w:val="24"/>
        </w:rPr>
        <w:t>入在信用中国网</w:t>
      </w:r>
      <w:r>
        <w:rPr>
          <w:rFonts w:ascii="黑体" w:hAnsi="黑体" w:eastAsia="黑体" w:cs="黑体"/>
          <w:color w:val="auto"/>
          <w:spacing w:val="6"/>
          <w:sz w:val="24"/>
          <w:szCs w:val="24"/>
        </w:rPr>
        <w:t>站（</w:t>
      </w:r>
      <w:r>
        <w:rPr>
          <w:rFonts w:ascii="黑体" w:hAnsi="黑体" w:eastAsia="黑体" w:cs="黑体"/>
          <w:color w:val="auto"/>
          <w:sz w:val="24"/>
          <w:szCs w:val="24"/>
        </w:rPr>
        <w:t>www</w:t>
      </w:r>
      <w:r>
        <w:rPr>
          <w:rFonts w:ascii="黑体" w:hAnsi="黑体" w:eastAsia="黑体" w:cs="黑体"/>
          <w:color w:val="auto"/>
          <w:spacing w:val="6"/>
          <w:sz w:val="24"/>
          <w:szCs w:val="24"/>
        </w:rPr>
        <w:t>.</w:t>
      </w:r>
      <w:r>
        <w:rPr>
          <w:rFonts w:ascii="黑体" w:hAnsi="黑体" w:eastAsia="黑体" w:cs="黑体"/>
          <w:color w:val="auto"/>
          <w:sz w:val="24"/>
          <w:szCs w:val="24"/>
        </w:rPr>
        <w:t>creditchina</w:t>
      </w:r>
      <w:r>
        <w:rPr>
          <w:rFonts w:ascii="黑体" w:hAnsi="黑体" w:eastAsia="黑体" w:cs="黑体"/>
          <w:color w:val="auto"/>
          <w:spacing w:val="6"/>
          <w:sz w:val="24"/>
          <w:szCs w:val="24"/>
        </w:rPr>
        <w:t>.</w:t>
      </w:r>
      <w:r>
        <w:rPr>
          <w:rFonts w:ascii="黑体" w:hAnsi="黑体" w:eastAsia="黑体" w:cs="黑体"/>
          <w:color w:val="auto"/>
          <w:sz w:val="24"/>
          <w:szCs w:val="24"/>
        </w:rPr>
        <w:t>gov</w:t>
      </w:r>
      <w:r>
        <w:rPr>
          <w:rFonts w:ascii="黑体" w:hAnsi="黑体" w:eastAsia="黑体" w:cs="黑体"/>
          <w:color w:val="auto"/>
          <w:spacing w:val="6"/>
          <w:sz w:val="24"/>
          <w:szCs w:val="24"/>
        </w:rPr>
        <w:t>.</w:t>
      </w:r>
      <w:r>
        <w:rPr>
          <w:rFonts w:ascii="黑体" w:hAnsi="黑体" w:eastAsia="黑体" w:cs="黑体"/>
          <w:color w:val="auto"/>
          <w:sz w:val="24"/>
          <w:szCs w:val="24"/>
        </w:rPr>
        <w:t>cn</w:t>
      </w:r>
      <w:r>
        <w:rPr>
          <w:rFonts w:ascii="黑体" w:hAnsi="黑体" w:eastAsia="黑体" w:cs="黑体"/>
          <w:color w:val="auto"/>
          <w:spacing w:val="6"/>
          <w:sz w:val="24"/>
          <w:szCs w:val="24"/>
        </w:rPr>
        <w:t>）“失信被执行人”、“重大税收违法案件</w:t>
      </w:r>
      <w:r>
        <w:rPr>
          <w:rFonts w:ascii="黑体" w:hAnsi="黑体" w:eastAsia="黑体" w:cs="黑体"/>
          <w:color w:val="auto"/>
          <w:spacing w:val="5"/>
          <w:sz w:val="24"/>
          <w:szCs w:val="24"/>
        </w:rPr>
        <w:t>当事人名单”</w:t>
      </w:r>
      <w:r>
        <w:rPr>
          <w:rFonts w:ascii="黑体" w:hAnsi="黑体" w:eastAsia="黑体" w:cs="黑体"/>
          <w:color w:val="auto"/>
          <w:spacing w:val="9"/>
          <w:sz w:val="24"/>
          <w:szCs w:val="24"/>
        </w:rPr>
        <w:t>中，也未列入中国政府采购网（</w:t>
      </w:r>
      <w:r>
        <w:rPr>
          <w:rFonts w:ascii="黑体" w:hAnsi="黑体" w:eastAsia="黑体" w:cs="黑体"/>
          <w:color w:val="auto"/>
          <w:sz w:val="24"/>
          <w:szCs w:val="24"/>
        </w:rPr>
        <w:t>www</w:t>
      </w:r>
      <w:r>
        <w:rPr>
          <w:rFonts w:ascii="黑体" w:hAnsi="黑体" w:eastAsia="黑体" w:cs="黑体"/>
          <w:color w:val="auto"/>
          <w:spacing w:val="9"/>
          <w:sz w:val="24"/>
          <w:szCs w:val="24"/>
        </w:rPr>
        <w:t>.</w:t>
      </w:r>
      <w:r>
        <w:rPr>
          <w:rFonts w:ascii="黑体" w:hAnsi="黑体" w:eastAsia="黑体" w:cs="黑体"/>
          <w:color w:val="auto"/>
          <w:sz w:val="24"/>
          <w:szCs w:val="24"/>
        </w:rPr>
        <w:t>ccgp</w:t>
      </w:r>
      <w:r>
        <w:rPr>
          <w:rFonts w:ascii="黑体" w:hAnsi="黑体" w:eastAsia="黑体" w:cs="黑体"/>
          <w:color w:val="auto"/>
          <w:spacing w:val="9"/>
          <w:sz w:val="24"/>
          <w:szCs w:val="24"/>
        </w:rPr>
        <w:t>.</w:t>
      </w:r>
      <w:r>
        <w:rPr>
          <w:rFonts w:ascii="黑体" w:hAnsi="黑体" w:eastAsia="黑体" w:cs="黑体"/>
          <w:color w:val="auto"/>
          <w:sz w:val="24"/>
          <w:szCs w:val="24"/>
        </w:rPr>
        <w:t>gov</w:t>
      </w:r>
      <w:r>
        <w:rPr>
          <w:rFonts w:ascii="黑体" w:hAnsi="黑体" w:eastAsia="黑体" w:cs="黑体"/>
          <w:color w:val="auto"/>
          <w:spacing w:val="9"/>
          <w:sz w:val="24"/>
          <w:szCs w:val="24"/>
        </w:rPr>
        <w:t>.</w:t>
      </w:r>
      <w:r>
        <w:rPr>
          <w:rFonts w:ascii="黑体" w:hAnsi="黑体" w:eastAsia="黑体" w:cs="黑体"/>
          <w:color w:val="auto"/>
          <w:sz w:val="24"/>
          <w:szCs w:val="24"/>
        </w:rPr>
        <w:t>cn</w:t>
      </w:r>
      <w:r>
        <w:rPr>
          <w:rFonts w:ascii="黑体" w:hAnsi="黑体" w:eastAsia="黑体" w:cs="黑体"/>
          <w:color w:val="auto"/>
          <w:spacing w:val="9"/>
          <w:sz w:val="24"/>
          <w:szCs w:val="24"/>
        </w:rPr>
        <w:t>）“政府采购严重违法失信行为记</w:t>
      </w:r>
      <w:r>
        <w:rPr>
          <w:rFonts w:ascii="黑体" w:hAnsi="黑体" w:eastAsia="黑体" w:cs="黑体"/>
          <w:color w:val="auto"/>
          <w:spacing w:val="5"/>
          <w:sz w:val="24"/>
          <w:szCs w:val="24"/>
        </w:rPr>
        <w:t>录名单”中，并随时接受采购人的检查验证，符合《政府采</w:t>
      </w:r>
      <w:r>
        <w:rPr>
          <w:rFonts w:ascii="黑体" w:hAnsi="黑体" w:eastAsia="黑体" w:cs="黑体"/>
          <w:color w:val="auto"/>
          <w:spacing w:val="4"/>
          <w:sz w:val="24"/>
          <w:szCs w:val="24"/>
        </w:rPr>
        <w:t>购法》规定的投标人资格</w:t>
      </w:r>
    </w:p>
    <w:p w14:paraId="1BD09FD6">
      <w:pPr>
        <w:spacing w:before="1" w:line="220" w:lineRule="auto"/>
        <w:ind w:left="2"/>
        <w:rPr>
          <w:rFonts w:ascii="黑体" w:hAnsi="黑体" w:eastAsia="黑体" w:cs="黑体"/>
          <w:color w:val="auto"/>
          <w:sz w:val="24"/>
          <w:szCs w:val="24"/>
        </w:rPr>
      </w:pPr>
      <w:r>
        <w:rPr>
          <w:rFonts w:ascii="黑体" w:hAnsi="黑体" w:eastAsia="黑体" w:cs="黑体"/>
          <w:color w:val="auto"/>
          <w:spacing w:val="4"/>
          <w:sz w:val="24"/>
          <w:szCs w:val="24"/>
        </w:rPr>
        <w:t>条件。我方对以上声明负全部法律责任。</w:t>
      </w:r>
    </w:p>
    <w:p w14:paraId="02D7BE5B">
      <w:pPr>
        <w:pStyle w:val="5"/>
        <w:spacing w:line="257" w:lineRule="auto"/>
        <w:rPr>
          <w:color w:val="auto"/>
        </w:rPr>
      </w:pPr>
    </w:p>
    <w:p w14:paraId="7A43238A">
      <w:pPr>
        <w:spacing w:before="78" w:line="221" w:lineRule="auto"/>
        <w:ind w:left="492"/>
        <w:rPr>
          <w:rFonts w:ascii="黑体" w:hAnsi="黑体" w:eastAsia="黑体" w:cs="黑体"/>
          <w:color w:val="auto"/>
          <w:sz w:val="24"/>
          <w:szCs w:val="24"/>
        </w:rPr>
      </w:pPr>
      <w:r>
        <w:rPr>
          <w:rFonts w:ascii="黑体" w:hAnsi="黑体" w:eastAsia="黑体" w:cs="黑体"/>
          <w:color w:val="auto"/>
          <w:spacing w:val="1"/>
          <w:sz w:val="24"/>
          <w:szCs w:val="24"/>
        </w:rPr>
        <w:t>特此声明。</w:t>
      </w:r>
    </w:p>
    <w:p w14:paraId="63B2E68E">
      <w:pPr>
        <w:pStyle w:val="5"/>
        <w:spacing w:line="266" w:lineRule="auto"/>
        <w:rPr>
          <w:color w:val="auto"/>
        </w:rPr>
      </w:pPr>
    </w:p>
    <w:p w14:paraId="654C6F06">
      <w:pPr>
        <w:pStyle w:val="5"/>
        <w:spacing w:line="266" w:lineRule="auto"/>
        <w:rPr>
          <w:color w:val="auto"/>
        </w:rPr>
      </w:pPr>
    </w:p>
    <w:p w14:paraId="62A0F117">
      <w:pPr>
        <w:spacing w:before="79" w:line="226" w:lineRule="auto"/>
        <w:ind w:left="439" w:right="239" w:firstLine="7"/>
        <w:rPr>
          <w:rFonts w:ascii="黑体" w:hAnsi="黑体" w:eastAsia="黑体" w:cs="黑体"/>
          <w:color w:val="auto"/>
          <w:sz w:val="24"/>
          <w:szCs w:val="24"/>
        </w:rPr>
      </w:pPr>
      <w:r>
        <w:rPr>
          <w:rFonts w:ascii="黑体" w:hAnsi="黑体" w:eastAsia="黑体" w:cs="黑体"/>
          <w:color w:val="auto"/>
          <w:spacing w:val="2"/>
          <w:sz w:val="24"/>
          <w:szCs w:val="24"/>
        </w:rPr>
        <w:t>附件：1、依法缴纳税收和社会保障资金的相关材料（</w:t>
      </w:r>
      <w:r>
        <w:rPr>
          <w:rFonts w:ascii="黑体" w:hAnsi="黑体" w:eastAsia="黑体" w:cs="黑体"/>
          <w:color w:val="auto"/>
          <w:spacing w:val="1"/>
          <w:sz w:val="24"/>
          <w:szCs w:val="24"/>
        </w:rPr>
        <w:t>近3个月纳税证明，供应商</w:t>
      </w:r>
      <w:r>
        <w:rPr>
          <w:rFonts w:ascii="黑体" w:hAnsi="黑体" w:eastAsia="黑体" w:cs="黑体"/>
          <w:color w:val="auto"/>
          <w:spacing w:val="4"/>
          <w:sz w:val="24"/>
          <w:szCs w:val="24"/>
        </w:rPr>
        <w:t>为职工缴纳社会保险的证明</w:t>
      </w:r>
      <w:r>
        <w:rPr>
          <w:rFonts w:ascii="黑体" w:hAnsi="黑体" w:eastAsia="黑体" w:cs="黑体"/>
          <w:color w:val="auto"/>
          <w:sz w:val="24"/>
          <w:szCs w:val="24"/>
        </w:rPr>
        <w:t>）；</w:t>
      </w:r>
    </w:p>
    <w:p w14:paraId="7B76C2DF">
      <w:pPr>
        <w:spacing w:before="156" w:line="226" w:lineRule="auto"/>
        <w:ind w:left="435" w:right="239" w:firstLine="732"/>
        <w:rPr>
          <w:rFonts w:ascii="黑体" w:hAnsi="黑体" w:eastAsia="黑体" w:cs="黑体"/>
          <w:color w:val="auto"/>
          <w:sz w:val="24"/>
          <w:szCs w:val="24"/>
        </w:rPr>
      </w:pPr>
      <w:r>
        <w:rPr>
          <w:rFonts w:ascii="黑体" w:hAnsi="黑体" w:eastAsia="黑体" w:cs="黑体"/>
          <w:color w:val="auto"/>
          <w:spacing w:val="3"/>
          <w:sz w:val="24"/>
          <w:szCs w:val="24"/>
        </w:rPr>
        <w:t>2、具备履行合同所必需的设备和专业技术能力的证</w:t>
      </w:r>
      <w:r>
        <w:rPr>
          <w:rFonts w:ascii="黑体" w:hAnsi="黑体" w:eastAsia="黑体" w:cs="黑体"/>
          <w:color w:val="auto"/>
          <w:spacing w:val="2"/>
          <w:sz w:val="24"/>
          <w:szCs w:val="24"/>
        </w:rPr>
        <w:t>明材料（提供承诺或其他证明材料</w:t>
      </w:r>
      <w:r>
        <w:rPr>
          <w:rFonts w:ascii="黑体" w:hAnsi="黑体" w:eastAsia="黑体" w:cs="黑体"/>
          <w:color w:val="auto"/>
          <w:sz w:val="24"/>
          <w:szCs w:val="24"/>
        </w:rPr>
        <w:t>）；</w:t>
      </w:r>
    </w:p>
    <w:p w14:paraId="7BB9785F">
      <w:pPr>
        <w:spacing w:before="155" w:line="222" w:lineRule="auto"/>
        <w:ind w:left="1170"/>
        <w:rPr>
          <w:rFonts w:ascii="黑体" w:hAnsi="黑体" w:eastAsia="黑体" w:cs="黑体"/>
          <w:color w:val="auto"/>
          <w:sz w:val="24"/>
          <w:szCs w:val="24"/>
        </w:rPr>
      </w:pPr>
      <w:r>
        <w:rPr>
          <w:rFonts w:ascii="黑体" w:hAnsi="黑体" w:eastAsia="黑体" w:cs="黑体"/>
          <w:color w:val="auto"/>
          <w:spacing w:val="9"/>
          <w:sz w:val="24"/>
          <w:szCs w:val="24"/>
        </w:rPr>
        <w:t>3、参加政府采购活动前3年内在经营活动中没有重大违法记录的书</w:t>
      </w:r>
      <w:r>
        <w:rPr>
          <w:rFonts w:ascii="黑体" w:hAnsi="黑体" w:eastAsia="黑体" w:cs="黑体"/>
          <w:color w:val="auto"/>
          <w:spacing w:val="8"/>
          <w:sz w:val="24"/>
          <w:szCs w:val="24"/>
        </w:rPr>
        <w:t>面声</w:t>
      </w:r>
    </w:p>
    <w:p w14:paraId="69D116DD">
      <w:pPr>
        <w:spacing w:before="24" w:line="213" w:lineRule="auto"/>
        <w:ind w:left="445"/>
        <w:outlineLvl w:val="1"/>
        <w:rPr>
          <w:rFonts w:ascii="黑体" w:hAnsi="黑体" w:eastAsia="黑体" w:cs="黑体"/>
          <w:color w:val="auto"/>
          <w:sz w:val="24"/>
          <w:szCs w:val="24"/>
        </w:rPr>
      </w:pPr>
      <w:bookmarkStart w:id="230" w:name="_Toc12558"/>
      <w:r>
        <w:rPr>
          <w:rFonts w:ascii="黑体" w:hAnsi="黑体" w:eastAsia="黑体" w:cs="黑体"/>
          <w:color w:val="auto"/>
          <w:spacing w:val="-11"/>
          <w:sz w:val="24"/>
          <w:szCs w:val="24"/>
        </w:rPr>
        <w:t>明；</w:t>
      </w:r>
      <w:bookmarkEnd w:id="230"/>
    </w:p>
    <w:p w14:paraId="5927F7D5">
      <w:pPr>
        <w:spacing w:line="213" w:lineRule="auto"/>
        <w:rPr>
          <w:rFonts w:ascii="黑体" w:hAnsi="黑体" w:eastAsia="黑体" w:cs="黑体"/>
          <w:color w:val="auto"/>
          <w:sz w:val="24"/>
          <w:szCs w:val="24"/>
        </w:rPr>
        <w:sectPr>
          <w:footerReference r:id="rId35" w:type="default"/>
          <w:pgSz w:w="11906" w:h="16839"/>
          <w:pgMar w:top="1440" w:right="1080" w:bottom="1440" w:left="1080" w:header="0" w:footer="850" w:gutter="0"/>
          <w:pgNumType w:fmt="decimal"/>
          <w:cols w:space="720" w:num="1"/>
        </w:sectPr>
      </w:pPr>
    </w:p>
    <w:p w14:paraId="67880BFD">
      <w:pPr>
        <w:pStyle w:val="5"/>
        <w:spacing w:line="265" w:lineRule="auto"/>
        <w:rPr>
          <w:color w:val="auto"/>
        </w:rPr>
      </w:pPr>
    </w:p>
    <w:p w14:paraId="162CAB81">
      <w:pPr>
        <w:pStyle w:val="5"/>
        <w:spacing w:line="265" w:lineRule="auto"/>
        <w:rPr>
          <w:color w:val="auto"/>
        </w:rPr>
      </w:pPr>
    </w:p>
    <w:p w14:paraId="210E304B">
      <w:pPr>
        <w:pStyle w:val="5"/>
        <w:spacing w:line="266" w:lineRule="auto"/>
        <w:rPr>
          <w:color w:val="auto"/>
        </w:rPr>
      </w:pPr>
    </w:p>
    <w:p w14:paraId="122394EB">
      <w:pPr>
        <w:pStyle w:val="5"/>
        <w:spacing w:line="266" w:lineRule="auto"/>
        <w:rPr>
          <w:color w:val="auto"/>
        </w:rPr>
      </w:pPr>
    </w:p>
    <w:p w14:paraId="37BAD24D">
      <w:pPr>
        <w:spacing w:before="101" w:line="230" w:lineRule="auto"/>
        <w:ind w:left="14"/>
        <w:outlineLvl w:val="1"/>
        <w:rPr>
          <w:rFonts w:ascii="黑体" w:hAnsi="黑体" w:eastAsia="黑体" w:cs="黑体"/>
          <w:color w:val="auto"/>
          <w:sz w:val="31"/>
          <w:szCs w:val="31"/>
        </w:rPr>
      </w:pPr>
      <w:bookmarkStart w:id="231" w:name="_Toc14347"/>
      <w:r>
        <w:rPr>
          <w:rFonts w:ascii="黑体" w:hAnsi="黑体" w:eastAsia="黑体" w:cs="黑体"/>
          <w:color w:val="auto"/>
          <w:spacing w:val="-1"/>
          <w:sz w:val="31"/>
          <w:szCs w:val="31"/>
          <w14:textOutline w14:w="5793" w14:cap="sq" w14:cmpd="sng">
            <w14:solidFill>
              <w14:srgbClr w14:val="000000"/>
            </w14:solidFill>
            <w14:prstDash w14:val="solid"/>
            <w14:bevel/>
          </w14:textOutline>
        </w:rPr>
        <w:t>附件6:</w:t>
      </w:r>
      <w:bookmarkEnd w:id="231"/>
    </w:p>
    <w:p w14:paraId="70F55AE9">
      <w:pPr>
        <w:pStyle w:val="5"/>
        <w:spacing w:line="252" w:lineRule="auto"/>
        <w:rPr>
          <w:color w:val="auto"/>
        </w:rPr>
      </w:pPr>
    </w:p>
    <w:p w14:paraId="355C6C67">
      <w:pPr>
        <w:pStyle w:val="5"/>
        <w:spacing w:line="252" w:lineRule="auto"/>
        <w:rPr>
          <w:color w:val="auto"/>
        </w:rPr>
      </w:pPr>
    </w:p>
    <w:p w14:paraId="017F0FC2">
      <w:pPr>
        <w:pStyle w:val="5"/>
        <w:spacing w:line="253" w:lineRule="auto"/>
        <w:rPr>
          <w:color w:val="auto"/>
        </w:rPr>
      </w:pPr>
    </w:p>
    <w:p w14:paraId="04418658">
      <w:pPr>
        <w:spacing w:before="100" w:line="226" w:lineRule="auto"/>
        <w:ind w:left="2575"/>
        <w:outlineLvl w:val="1"/>
        <w:rPr>
          <w:rFonts w:ascii="黑体" w:hAnsi="黑体" w:eastAsia="黑体" w:cs="黑体"/>
          <w:color w:val="auto"/>
          <w:sz w:val="31"/>
          <w:szCs w:val="31"/>
        </w:rPr>
      </w:pPr>
      <w:bookmarkStart w:id="232" w:name="_Toc3756"/>
      <w:r>
        <w:rPr>
          <w:rFonts w:ascii="黑体" w:hAnsi="黑体" w:eastAsia="黑体" w:cs="黑体"/>
          <w:color w:val="auto"/>
          <w:spacing w:val="15"/>
          <w:sz w:val="31"/>
          <w:szCs w:val="31"/>
          <w14:textOutline w14:w="5793" w14:cap="sq" w14:cmpd="sng">
            <w14:solidFill>
              <w14:srgbClr w14:val="000000"/>
            </w14:solidFill>
            <w14:prstDash w14:val="solid"/>
            <w14:bevel/>
          </w14:textOutline>
        </w:rPr>
        <w:t>无重大违法记录的书面声明</w:t>
      </w:r>
      <w:bookmarkEnd w:id="232"/>
    </w:p>
    <w:p w14:paraId="24EE3BC1">
      <w:pPr>
        <w:pStyle w:val="5"/>
        <w:spacing w:line="306" w:lineRule="auto"/>
        <w:rPr>
          <w:color w:val="auto"/>
        </w:rPr>
      </w:pPr>
    </w:p>
    <w:p w14:paraId="374F1B5E">
      <w:pPr>
        <w:spacing w:before="78" w:line="569" w:lineRule="exact"/>
        <w:jc w:val="right"/>
        <w:rPr>
          <w:rFonts w:ascii="黑体" w:hAnsi="黑体" w:eastAsia="黑体" w:cs="黑体"/>
          <w:color w:val="auto"/>
          <w:sz w:val="24"/>
          <w:szCs w:val="24"/>
        </w:rPr>
      </w:pPr>
      <w:r>
        <w:rPr>
          <w:rFonts w:ascii="黑体" w:hAnsi="黑体" w:eastAsia="黑体" w:cs="黑体"/>
          <w:color w:val="auto"/>
          <w:spacing w:val="5"/>
          <w:position w:val="25"/>
          <w:sz w:val="24"/>
          <w:szCs w:val="24"/>
        </w:rPr>
        <w:t>供应商应当提供参加政府采购活动前3年内在</w:t>
      </w:r>
      <w:r>
        <w:rPr>
          <w:rFonts w:ascii="黑体" w:hAnsi="黑体" w:eastAsia="黑体" w:cs="黑体"/>
          <w:color w:val="auto"/>
          <w:spacing w:val="4"/>
          <w:position w:val="25"/>
          <w:sz w:val="24"/>
          <w:szCs w:val="24"/>
        </w:rPr>
        <w:t>经营活动中没有重大违法记录的书</w:t>
      </w:r>
    </w:p>
    <w:p w14:paraId="25027252">
      <w:pPr>
        <w:spacing w:before="1" w:line="220" w:lineRule="auto"/>
        <w:rPr>
          <w:rFonts w:ascii="黑体" w:hAnsi="黑体" w:eastAsia="黑体" w:cs="黑体"/>
          <w:color w:val="auto"/>
          <w:sz w:val="24"/>
          <w:szCs w:val="24"/>
        </w:rPr>
      </w:pPr>
      <w:r>
        <w:rPr>
          <w:rFonts w:ascii="黑体" w:hAnsi="黑体" w:eastAsia="黑体" w:cs="黑体"/>
          <w:color w:val="auto"/>
          <w:spacing w:val="-1"/>
          <w:sz w:val="24"/>
          <w:szCs w:val="24"/>
        </w:rPr>
        <w:t>面声明。</w:t>
      </w:r>
    </w:p>
    <w:p w14:paraId="774A9E04">
      <w:pPr>
        <w:spacing w:line="220" w:lineRule="auto"/>
        <w:rPr>
          <w:rFonts w:ascii="黑体" w:hAnsi="黑体" w:eastAsia="黑体" w:cs="黑体"/>
          <w:color w:val="auto"/>
          <w:sz w:val="24"/>
          <w:szCs w:val="24"/>
        </w:rPr>
        <w:sectPr>
          <w:footerReference r:id="rId36" w:type="default"/>
          <w:pgSz w:w="11906" w:h="16839"/>
          <w:pgMar w:top="1440" w:right="1080" w:bottom="1440" w:left="1080" w:header="0" w:footer="850" w:gutter="0"/>
          <w:pgNumType w:fmt="decimal"/>
          <w:cols w:space="720" w:num="1"/>
        </w:sectPr>
      </w:pPr>
    </w:p>
    <w:p w14:paraId="3E4BC36E">
      <w:pPr>
        <w:pStyle w:val="5"/>
        <w:spacing w:line="265" w:lineRule="auto"/>
        <w:rPr>
          <w:color w:val="auto"/>
        </w:rPr>
      </w:pPr>
    </w:p>
    <w:p w14:paraId="7204C6B4">
      <w:pPr>
        <w:pStyle w:val="5"/>
        <w:spacing w:line="265" w:lineRule="auto"/>
        <w:rPr>
          <w:color w:val="auto"/>
        </w:rPr>
      </w:pPr>
    </w:p>
    <w:p w14:paraId="626BE438">
      <w:pPr>
        <w:pStyle w:val="5"/>
        <w:spacing w:line="266" w:lineRule="auto"/>
        <w:rPr>
          <w:color w:val="auto"/>
        </w:rPr>
      </w:pPr>
    </w:p>
    <w:p w14:paraId="1C119DFE">
      <w:pPr>
        <w:pStyle w:val="5"/>
        <w:spacing w:line="266" w:lineRule="auto"/>
        <w:rPr>
          <w:color w:val="auto"/>
        </w:rPr>
      </w:pPr>
    </w:p>
    <w:p w14:paraId="64FDF4A9">
      <w:pPr>
        <w:spacing w:before="101" w:line="230" w:lineRule="auto"/>
        <w:ind w:left="22"/>
        <w:outlineLvl w:val="1"/>
        <w:rPr>
          <w:rFonts w:ascii="黑体" w:hAnsi="黑体" w:eastAsia="黑体" w:cs="黑体"/>
          <w:color w:val="auto"/>
          <w:sz w:val="31"/>
          <w:szCs w:val="31"/>
        </w:rPr>
      </w:pPr>
      <w:bookmarkStart w:id="233" w:name="_Toc19628"/>
      <w:r>
        <w:rPr>
          <w:rFonts w:ascii="黑体" w:hAnsi="黑体" w:eastAsia="黑体" w:cs="黑体"/>
          <w:color w:val="auto"/>
          <w:spacing w:val="-2"/>
          <w:sz w:val="31"/>
          <w:szCs w:val="31"/>
          <w14:textOutline w14:w="5793" w14:cap="sq" w14:cmpd="sng">
            <w14:solidFill>
              <w14:srgbClr w14:val="000000"/>
            </w14:solidFill>
            <w14:prstDash w14:val="solid"/>
            <w14:bevel/>
          </w14:textOutline>
        </w:rPr>
        <w:t>附件7:</w:t>
      </w:r>
      <w:bookmarkEnd w:id="233"/>
    </w:p>
    <w:p w14:paraId="4A128A7D">
      <w:pPr>
        <w:spacing w:before="255" w:line="222" w:lineRule="auto"/>
        <w:ind w:left="2886"/>
        <w:rPr>
          <w:rFonts w:hint="eastAsia" w:ascii="黑体" w:hAnsi="黑体" w:eastAsia="黑体" w:cs="黑体"/>
          <w:color w:val="auto"/>
          <w:sz w:val="28"/>
          <w:szCs w:val="28"/>
          <w:lang w:eastAsia="zh-CN"/>
        </w:rPr>
      </w:pPr>
      <w:r>
        <w:rPr>
          <w:rFonts w:ascii="黑体" w:hAnsi="黑体" w:eastAsia="黑体" w:cs="黑体"/>
          <w:color w:val="auto"/>
          <w:spacing w:val="2"/>
          <w:sz w:val="28"/>
          <w:szCs w:val="28"/>
          <w14:textOutline w14:w="5103" w14:cap="sq" w14:cmpd="sng">
            <w14:solidFill>
              <w14:srgbClr w14:val="000000"/>
            </w14:solidFill>
            <w14:prstDash w14:val="solid"/>
            <w14:bevel/>
          </w14:textOutline>
        </w:rPr>
        <w:t>财务审计报告</w:t>
      </w:r>
    </w:p>
    <w:p w14:paraId="69B56F28">
      <w:pPr>
        <w:pStyle w:val="5"/>
        <w:spacing w:line="332" w:lineRule="auto"/>
        <w:rPr>
          <w:color w:val="auto"/>
        </w:rPr>
      </w:pPr>
    </w:p>
    <w:p w14:paraId="6DD2BBF4">
      <w:pPr>
        <w:spacing w:before="78" w:line="568" w:lineRule="exact"/>
        <w:ind w:firstLine="508" w:firstLineChars="200"/>
        <w:jc w:val="left"/>
        <w:rPr>
          <w:rFonts w:ascii="黑体" w:hAnsi="黑体" w:eastAsia="黑体" w:cs="黑体"/>
          <w:color w:val="auto"/>
          <w:spacing w:val="7"/>
          <w:position w:val="25"/>
          <w:sz w:val="24"/>
          <w:szCs w:val="24"/>
        </w:rPr>
      </w:pPr>
      <w:r>
        <w:rPr>
          <w:rFonts w:ascii="黑体" w:hAnsi="黑体" w:eastAsia="黑体" w:cs="黑体"/>
          <w:color w:val="auto"/>
          <w:spacing w:val="7"/>
          <w:position w:val="25"/>
          <w:sz w:val="24"/>
          <w:szCs w:val="24"/>
        </w:rPr>
        <w:t>提供</w:t>
      </w:r>
      <w:r>
        <w:rPr>
          <w:rFonts w:hint="eastAsia" w:ascii="黑体" w:hAnsi="黑体" w:eastAsia="黑体" w:cs="黑体"/>
          <w:color w:val="auto"/>
          <w:spacing w:val="7"/>
          <w:position w:val="25"/>
          <w:sz w:val="24"/>
          <w:szCs w:val="24"/>
          <w:lang w:val="en-US" w:eastAsia="zh-CN"/>
        </w:rPr>
        <w:t>2024年度</w:t>
      </w:r>
      <w:r>
        <w:rPr>
          <w:rFonts w:ascii="黑体" w:hAnsi="黑体" w:eastAsia="黑体" w:cs="黑体"/>
          <w:color w:val="auto"/>
          <w:spacing w:val="7"/>
          <w:position w:val="25"/>
          <w:sz w:val="24"/>
          <w:szCs w:val="24"/>
        </w:rPr>
        <w:t>内经会计师事务所或财务审计机构出具的财务审计报告，包括资产负债表、利润表、现金流量表和财务情况说明书。</w:t>
      </w:r>
    </w:p>
    <w:p w14:paraId="62EC9EA8">
      <w:pPr>
        <w:rPr>
          <w:color w:val="auto"/>
        </w:rPr>
      </w:pPr>
      <w:r>
        <w:rPr>
          <w:color w:val="auto"/>
        </w:rPr>
        <w:br w:type="page"/>
      </w:r>
    </w:p>
    <w:p w14:paraId="6C89973A">
      <w:pPr>
        <w:pStyle w:val="5"/>
        <w:spacing w:line="265" w:lineRule="auto"/>
        <w:rPr>
          <w:color w:val="auto"/>
        </w:rPr>
      </w:pPr>
    </w:p>
    <w:p w14:paraId="06185126">
      <w:pPr>
        <w:pStyle w:val="5"/>
        <w:spacing w:line="265" w:lineRule="auto"/>
        <w:rPr>
          <w:color w:val="auto"/>
        </w:rPr>
      </w:pPr>
    </w:p>
    <w:p w14:paraId="64EAF6F5">
      <w:pPr>
        <w:pStyle w:val="5"/>
        <w:spacing w:line="266" w:lineRule="auto"/>
        <w:rPr>
          <w:color w:val="auto"/>
        </w:rPr>
      </w:pPr>
    </w:p>
    <w:p w14:paraId="2454F21F">
      <w:pPr>
        <w:pStyle w:val="5"/>
        <w:spacing w:line="266" w:lineRule="auto"/>
        <w:rPr>
          <w:color w:val="auto"/>
        </w:rPr>
      </w:pPr>
    </w:p>
    <w:p w14:paraId="17A3C494">
      <w:pPr>
        <w:spacing w:before="101" w:line="230" w:lineRule="auto"/>
        <w:ind w:left="29"/>
        <w:rPr>
          <w:rFonts w:ascii="黑体" w:hAnsi="黑体" w:eastAsia="黑体" w:cs="黑体"/>
          <w:color w:val="auto"/>
          <w:sz w:val="31"/>
          <w:szCs w:val="31"/>
        </w:rPr>
      </w:pPr>
      <w:r>
        <w:rPr>
          <w:rFonts w:ascii="黑体" w:hAnsi="黑体" w:eastAsia="黑体" w:cs="黑体"/>
          <w:color w:val="auto"/>
          <w:spacing w:val="-1"/>
          <w:sz w:val="31"/>
          <w:szCs w:val="31"/>
          <w14:textOutline w14:w="5793" w14:cap="sq" w14:cmpd="sng">
            <w14:solidFill>
              <w14:srgbClr w14:val="000000"/>
            </w14:solidFill>
            <w14:prstDash w14:val="solid"/>
            <w14:bevel/>
          </w14:textOutline>
        </w:rPr>
        <w:t>附件8:</w:t>
      </w:r>
    </w:p>
    <w:p w14:paraId="4E04CEA0">
      <w:pPr>
        <w:spacing w:before="237" w:line="227" w:lineRule="auto"/>
        <w:ind w:left="2597"/>
        <w:outlineLvl w:val="1"/>
        <w:rPr>
          <w:rFonts w:ascii="黑体" w:hAnsi="黑体" w:eastAsia="黑体" w:cs="黑体"/>
          <w:color w:val="auto"/>
          <w:sz w:val="31"/>
          <w:szCs w:val="31"/>
        </w:rPr>
      </w:pPr>
      <w:bookmarkStart w:id="234" w:name="_Toc32497"/>
      <w:r>
        <w:rPr>
          <w:rFonts w:ascii="黑体" w:hAnsi="黑体" w:eastAsia="黑体" w:cs="黑体"/>
          <w:color w:val="auto"/>
          <w:spacing w:val="14"/>
          <w:sz w:val="31"/>
          <w:szCs w:val="31"/>
          <w14:textOutline w14:w="5793" w14:cap="sq" w14:cmpd="sng">
            <w14:solidFill>
              <w14:srgbClr w14:val="000000"/>
            </w14:solidFill>
            <w14:prstDash w14:val="solid"/>
            <w14:bevel/>
          </w14:textOutline>
        </w:rPr>
        <w:t>“重法纪、讲诚信”承诺书</w:t>
      </w:r>
      <w:bookmarkEnd w:id="234"/>
    </w:p>
    <w:p w14:paraId="6859E8DF">
      <w:pPr>
        <w:pStyle w:val="5"/>
        <w:spacing w:line="304" w:lineRule="auto"/>
        <w:rPr>
          <w:color w:val="auto"/>
        </w:rPr>
      </w:pPr>
    </w:p>
    <w:p w14:paraId="71C6270B">
      <w:pPr>
        <w:tabs>
          <w:tab w:val="left" w:pos="145"/>
        </w:tabs>
        <w:spacing w:before="78" w:line="222" w:lineRule="auto"/>
        <w:rPr>
          <w:rFonts w:ascii="黑体" w:hAnsi="黑体" w:eastAsia="黑体" w:cs="黑体"/>
          <w:color w:val="auto"/>
          <w:sz w:val="24"/>
          <w:szCs w:val="24"/>
        </w:rPr>
      </w:pPr>
      <w:r>
        <w:rPr>
          <w:rFonts w:ascii="黑体" w:hAnsi="黑体" w:eastAsia="黑体" w:cs="黑体"/>
          <w:color w:val="auto"/>
          <w:sz w:val="24"/>
          <w:szCs w:val="24"/>
          <w:u w:val="single" w:color="auto"/>
        </w:rPr>
        <w:tab/>
      </w:r>
      <w:r>
        <w:rPr>
          <w:rFonts w:ascii="黑体" w:hAnsi="黑体" w:eastAsia="黑体" w:cs="黑体"/>
          <w:color w:val="auto"/>
          <w:spacing w:val="-20"/>
          <w:sz w:val="24"/>
          <w:szCs w:val="24"/>
          <w:u w:val="single" w:color="auto"/>
        </w:rPr>
        <w:t>（采购人名称</w:t>
      </w:r>
      <w:r>
        <w:rPr>
          <w:rFonts w:ascii="黑体" w:hAnsi="黑体" w:eastAsia="黑体" w:cs="黑体"/>
          <w:color w:val="auto"/>
          <w:spacing w:val="7"/>
          <w:sz w:val="24"/>
          <w:szCs w:val="24"/>
          <w:u w:val="single" w:color="auto"/>
        </w:rPr>
        <w:t>）</w:t>
      </w:r>
      <w:r>
        <w:rPr>
          <w:rFonts w:ascii="黑体" w:hAnsi="黑体" w:eastAsia="黑体" w:cs="黑体"/>
          <w:color w:val="auto"/>
          <w:spacing w:val="7"/>
          <w:sz w:val="24"/>
          <w:szCs w:val="24"/>
        </w:rPr>
        <w:t>：</w:t>
      </w:r>
    </w:p>
    <w:p w14:paraId="3B7C473D">
      <w:pPr>
        <w:spacing w:before="100" w:line="360" w:lineRule="auto"/>
        <w:ind w:left="7" w:firstLine="499"/>
        <w:rPr>
          <w:rFonts w:ascii="黑体" w:hAnsi="黑体" w:eastAsia="黑体" w:cs="黑体"/>
          <w:color w:val="auto"/>
          <w:sz w:val="24"/>
          <w:szCs w:val="24"/>
        </w:rPr>
      </w:pPr>
      <w:r>
        <w:rPr>
          <w:rFonts w:ascii="黑体" w:hAnsi="黑体" w:eastAsia="黑体" w:cs="黑体"/>
          <w:color w:val="auto"/>
          <w:spacing w:val="8"/>
          <w:sz w:val="24"/>
          <w:szCs w:val="24"/>
        </w:rPr>
        <w:t>为积极配合防范和遏制招投标活动中不公平竞争和违规违纪行为的发生，确保</w:t>
      </w:r>
      <w:r>
        <w:rPr>
          <w:rFonts w:ascii="黑体" w:hAnsi="黑体" w:eastAsia="黑体" w:cs="黑体"/>
          <w:color w:val="auto"/>
          <w:spacing w:val="7"/>
          <w:sz w:val="24"/>
          <w:szCs w:val="24"/>
        </w:rPr>
        <w:t>采购工作公平、公正、公开、有序进行，我公司在参与贵公司</w:t>
      </w:r>
      <w:r>
        <w:rPr>
          <w:rFonts w:ascii="黑体" w:hAnsi="黑体" w:eastAsia="黑体" w:cs="黑体"/>
          <w:color w:val="auto"/>
          <w:spacing w:val="7"/>
          <w:sz w:val="24"/>
          <w:szCs w:val="24"/>
          <w:u w:val="single" w:color="auto"/>
        </w:rPr>
        <w:t>（项目名称）</w:t>
      </w:r>
      <w:r>
        <w:rPr>
          <w:rFonts w:ascii="黑体" w:hAnsi="黑体" w:eastAsia="黑体" w:cs="黑体"/>
          <w:color w:val="auto"/>
          <w:spacing w:val="7"/>
          <w:sz w:val="24"/>
          <w:szCs w:val="24"/>
        </w:rPr>
        <w:t>采购活动中，保证自觉遵守《中华人民共和国政府采购</w:t>
      </w:r>
      <w:r>
        <w:rPr>
          <w:rFonts w:ascii="黑体" w:hAnsi="黑体" w:eastAsia="黑体" w:cs="黑体"/>
          <w:color w:val="auto"/>
          <w:spacing w:val="6"/>
          <w:sz w:val="24"/>
          <w:szCs w:val="24"/>
        </w:rPr>
        <w:t>法》、《中华人民共和国政府</w:t>
      </w:r>
      <w:r>
        <w:rPr>
          <w:rFonts w:ascii="黑体" w:hAnsi="黑体" w:eastAsia="黑体" w:cs="黑体"/>
          <w:color w:val="auto"/>
          <w:spacing w:val="8"/>
          <w:sz w:val="24"/>
          <w:szCs w:val="24"/>
        </w:rPr>
        <w:t>采购法实施条例》等国家法律法规以及廉洁自律有关规章制度，并向贵公司承诺如</w:t>
      </w:r>
    </w:p>
    <w:p w14:paraId="4E6B272D">
      <w:pPr>
        <w:spacing w:before="1" w:line="221" w:lineRule="auto"/>
        <w:ind w:left="15"/>
        <w:rPr>
          <w:rFonts w:ascii="黑体" w:hAnsi="黑体" w:eastAsia="黑体" w:cs="黑体"/>
          <w:color w:val="auto"/>
          <w:sz w:val="24"/>
          <w:szCs w:val="24"/>
        </w:rPr>
      </w:pPr>
      <w:r>
        <w:rPr>
          <w:rFonts w:ascii="黑体" w:hAnsi="黑体" w:eastAsia="黑体" w:cs="黑体"/>
          <w:color w:val="auto"/>
          <w:spacing w:val="-1"/>
          <w:sz w:val="24"/>
          <w:szCs w:val="24"/>
        </w:rPr>
        <w:t>下事项：</w:t>
      </w:r>
    </w:p>
    <w:p w14:paraId="6914EAC5">
      <w:pPr>
        <w:spacing w:before="180" w:line="468" w:lineRule="exact"/>
        <w:ind w:right="2"/>
        <w:jc w:val="right"/>
        <w:rPr>
          <w:rFonts w:ascii="黑体" w:hAnsi="黑体" w:eastAsia="黑体" w:cs="黑体"/>
          <w:color w:val="auto"/>
          <w:sz w:val="24"/>
          <w:szCs w:val="24"/>
        </w:rPr>
      </w:pPr>
      <w:r>
        <w:rPr>
          <w:rFonts w:ascii="黑体" w:hAnsi="黑体" w:eastAsia="黑体" w:cs="黑体"/>
          <w:color w:val="auto"/>
          <w:spacing w:val="3"/>
          <w:position w:val="17"/>
          <w:sz w:val="24"/>
          <w:szCs w:val="24"/>
        </w:rPr>
        <w:t>1.不以任何形式通过社会上的“代理”、“中介”、“掮客”等采取不正当手段</w:t>
      </w:r>
    </w:p>
    <w:p w14:paraId="420FE577">
      <w:pPr>
        <w:spacing w:before="1" w:line="212" w:lineRule="auto"/>
        <w:ind w:left="14"/>
        <w:rPr>
          <w:rFonts w:ascii="黑体" w:hAnsi="黑体" w:eastAsia="黑体" w:cs="黑体"/>
          <w:color w:val="auto"/>
          <w:sz w:val="24"/>
          <w:szCs w:val="24"/>
        </w:rPr>
      </w:pPr>
      <w:r>
        <w:rPr>
          <w:rFonts w:ascii="黑体" w:hAnsi="黑体" w:eastAsia="黑体" w:cs="黑体"/>
          <w:color w:val="auto"/>
          <w:sz w:val="24"/>
          <w:szCs w:val="24"/>
        </w:rPr>
        <w:t>谋取中标；</w:t>
      </w:r>
    </w:p>
    <w:p w14:paraId="2A95EB3D">
      <w:pPr>
        <w:spacing w:before="191" w:line="468" w:lineRule="exact"/>
        <w:ind w:right="2"/>
        <w:jc w:val="right"/>
        <w:rPr>
          <w:rFonts w:ascii="黑体" w:hAnsi="黑体" w:eastAsia="黑体" w:cs="黑体"/>
          <w:color w:val="auto"/>
          <w:sz w:val="24"/>
          <w:szCs w:val="24"/>
        </w:rPr>
      </w:pPr>
      <w:r>
        <w:rPr>
          <w:rFonts w:ascii="黑体" w:hAnsi="黑体" w:eastAsia="黑体" w:cs="黑体"/>
          <w:color w:val="auto"/>
          <w:spacing w:val="12"/>
          <w:position w:val="17"/>
          <w:sz w:val="24"/>
          <w:szCs w:val="24"/>
        </w:rPr>
        <w:t>2.不以任何形式打着领导及其亲友旗号或冒充</w:t>
      </w:r>
      <w:r>
        <w:rPr>
          <w:rFonts w:ascii="黑体" w:hAnsi="黑体" w:eastAsia="黑体" w:cs="黑体"/>
          <w:color w:val="auto"/>
          <w:spacing w:val="11"/>
          <w:position w:val="17"/>
          <w:sz w:val="24"/>
          <w:szCs w:val="24"/>
        </w:rPr>
        <w:t>领导及其亲友等采取不正当手段</w:t>
      </w:r>
    </w:p>
    <w:p w14:paraId="646D81CA">
      <w:pPr>
        <w:spacing w:before="2" w:line="212" w:lineRule="auto"/>
        <w:ind w:left="14"/>
        <w:rPr>
          <w:rFonts w:ascii="黑体" w:hAnsi="黑体" w:eastAsia="黑体" w:cs="黑体"/>
          <w:color w:val="auto"/>
          <w:sz w:val="24"/>
          <w:szCs w:val="24"/>
        </w:rPr>
      </w:pPr>
      <w:r>
        <w:rPr>
          <w:rFonts w:ascii="黑体" w:hAnsi="黑体" w:eastAsia="黑体" w:cs="黑体"/>
          <w:color w:val="auto"/>
          <w:sz w:val="24"/>
          <w:szCs w:val="24"/>
        </w:rPr>
        <w:t>谋取中标；</w:t>
      </w:r>
    </w:p>
    <w:p w14:paraId="16593E0A">
      <w:pPr>
        <w:spacing w:before="191" w:line="360" w:lineRule="auto"/>
        <w:ind w:left="7" w:right="11" w:firstLine="493"/>
        <w:rPr>
          <w:rFonts w:ascii="黑体" w:hAnsi="黑体" w:eastAsia="黑体" w:cs="黑体"/>
          <w:color w:val="auto"/>
          <w:sz w:val="24"/>
          <w:szCs w:val="24"/>
        </w:rPr>
      </w:pPr>
      <w:r>
        <w:rPr>
          <w:rFonts w:ascii="黑体" w:hAnsi="黑体" w:eastAsia="黑体" w:cs="黑体"/>
          <w:color w:val="auto"/>
          <w:spacing w:val="4"/>
          <w:sz w:val="24"/>
          <w:szCs w:val="24"/>
        </w:rPr>
        <w:t>3.不以任何名义向参与采购活动、评标工作的有关人员赠送回扣、红包、礼金、</w:t>
      </w:r>
      <w:r>
        <w:rPr>
          <w:rFonts w:ascii="黑体" w:hAnsi="黑体" w:eastAsia="黑体" w:cs="黑体"/>
          <w:color w:val="auto"/>
          <w:spacing w:val="3"/>
          <w:sz w:val="24"/>
          <w:szCs w:val="24"/>
        </w:rPr>
        <w:t>购物卡、有价证券、贵重物品和好处费、感谢费等；不以任何名义向参与采购活动、</w:t>
      </w:r>
    </w:p>
    <w:p w14:paraId="7C41BB95">
      <w:pPr>
        <w:spacing w:before="1" w:line="212" w:lineRule="auto"/>
        <w:ind w:left="8"/>
        <w:rPr>
          <w:rFonts w:ascii="黑体" w:hAnsi="黑体" w:eastAsia="黑体" w:cs="黑体"/>
          <w:color w:val="auto"/>
          <w:sz w:val="24"/>
          <w:szCs w:val="24"/>
        </w:rPr>
      </w:pPr>
      <w:r>
        <w:rPr>
          <w:rFonts w:ascii="黑体" w:hAnsi="黑体" w:eastAsia="黑体" w:cs="黑体"/>
          <w:color w:val="auto"/>
          <w:spacing w:val="5"/>
          <w:sz w:val="24"/>
          <w:szCs w:val="24"/>
        </w:rPr>
        <w:t>评标工作的有关人员提供高消费宴请及娱乐活动；</w:t>
      </w:r>
    </w:p>
    <w:p w14:paraId="7DDF86EA">
      <w:pPr>
        <w:spacing w:before="191" w:line="468" w:lineRule="exact"/>
        <w:jc w:val="right"/>
        <w:rPr>
          <w:rFonts w:ascii="黑体" w:hAnsi="黑体" w:eastAsia="黑体" w:cs="黑体"/>
          <w:color w:val="auto"/>
          <w:sz w:val="24"/>
          <w:szCs w:val="24"/>
        </w:rPr>
      </w:pPr>
      <w:r>
        <w:rPr>
          <w:rFonts w:ascii="黑体" w:hAnsi="黑体" w:eastAsia="黑体" w:cs="黑体"/>
          <w:color w:val="auto"/>
          <w:spacing w:val="4"/>
          <w:position w:val="17"/>
          <w:sz w:val="24"/>
          <w:szCs w:val="24"/>
        </w:rPr>
        <w:t>4.不以任何名义为参与采购活动、评标工作的有关人员报销应由参与采购活动、</w:t>
      </w:r>
    </w:p>
    <w:p w14:paraId="5B05FD2F">
      <w:pPr>
        <w:spacing w:before="1" w:line="212" w:lineRule="auto"/>
        <w:ind w:left="8"/>
        <w:rPr>
          <w:rFonts w:ascii="黑体" w:hAnsi="黑体" w:eastAsia="黑体" w:cs="黑体"/>
          <w:color w:val="auto"/>
          <w:sz w:val="24"/>
          <w:szCs w:val="24"/>
        </w:rPr>
      </w:pPr>
      <w:r>
        <w:rPr>
          <w:rFonts w:ascii="黑体" w:hAnsi="黑体" w:eastAsia="黑体" w:cs="黑体"/>
          <w:color w:val="auto"/>
          <w:spacing w:val="4"/>
          <w:sz w:val="24"/>
          <w:szCs w:val="24"/>
        </w:rPr>
        <w:t>评标工作的有关人员支付的任何费用；</w:t>
      </w:r>
    </w:p>
    <w:p w14:paraId="63F05239">
      <w:pPr>
        <w:spacing w:before="192" w:line="468" w:lineRule="exact"/>
        <w:ind w:right="2"/>
        <w:jc w:val="right"/>
        <w:rPr>
          <w:rFonts w:ascii="黑体" w:hAnsi="黑体" w:eastAsia="黑体" w:cs="黑体"/>
          <w:color w:val="auto"/>
          <w:sz w:val="24"/>
          <w:szCs w:val="24"/>
        </w:rPr>
      </w:pPr>
      <w:r>
        <w:rPr>
          <w:rFonts w:ascii="黑体" w:hAnsi="黑体" w:eastAsia="黑体" w:cs="黑体"/>
          <w:color w:val="auto"/>
          <w:spacing w:val="5"/>
          <w:position w:val="17"/>
          <w:sz w:val="24"/>
          <w:szCs w:val="24"/>
        </w:rPr>
        <w:t>5.不以谋取非正当利益为目的，与参与采购活动、评标工</w:t>
      </w:r>
      <w:r>
        <w:rPr>
          <w:rFonts w:ascii="黑体" w:hAnsi="黑体" w:eastAsia="黑体" w:cs="黑体"/>
          <w:color w:val="auto"/>
          <w:spacing w:val="4"/>
          <w:position w:val="17"/>
          <w:sz w:val="24"/>
          <w:szCs w:val="24"/>
        </w:rPr>
        <w:t>作的有关人员就业务问</w:t>
      </w:r>
    </w:p>
    <w:p w14:paraId="3BC52792">
      <w:pPr>
        <w:spacing w:before="1" w:line="212" w:lineRule="auto"/>
        <w:ind w:left="7"/>
        <w:rPr>
          <w:rFonts w:ascii="黑体" w:hAnsi="黑体" w:eastAsia="黑体" w:cs="黑体"/>
          <w:color w:val="auto"/>
          <w:sz w:val="24"/>
          <w:szCs w:val="24"/>
        </w:rPr>
      </w:pPr>
      <w:r>
        <w:rPr>
          <w:rFonts w:ascii="黑体" w:hAnsi="黑体" w:eastAsia="黑体" w:cs="黑体"/>
          <w:color w:val="auto"/>
          <w:spacing w:val="4"/>
          <w:sz w:val="24"/>
          <w:szCs w:val="24"/>
        </w:rPr>
        <w:t>题进行私下商谈或者达成利益默契；</w:t>
      </w:r>
    </w:p>
    <w:p w14:paraId="08648771">
      <w:pPr>
        <w:spacing w:before="191" w:line="468" w:lineRule="exact"/>
        <w:jc w:val="right"/>
        <w:rPr>
          <w:rFonts w:ascii="黑体" w:hAnsi="黑体" w:eastAsia="黑体" w:cs="黑体"/>
          <w:color w:val="auto"/>
          <w:sz w:val="24"/>
          <w:szCs w:val="24"/>
        </w:rPr>
      </w:pPr>
      <w:r>
        <w:rPr>
          <w:rFonts w:ascii="黑体" w:hAnsi="黑体" w:eastAsia="黑体" w:cs="黑体"/>
          <w:color w:val="auto"/>
          <w:spacing w:val="5"/>
          <w:position w:val="17"/>
          <w:sz w:val="24"/>
          <w:szCs w:val="24"/>
        </w:rPr>
        <w:t>6.不以任何名义接受或暗示为参与采购活动、</w:t>
      </w:r>
      <w:r>
        <w:rPr>
          <w:rFonts w:ascii="黑体" w:hAnsi="黑体" w:eastAsia="黑体" w:cs="黑体"/>
          <w:color w:val="auto"/>
          <w:spacing w:val="4"/>
          <w:position w:val="17"/>
          <w:sz w:val="24"/>
          <w:szCs w:val="24"/>
        </w:rPr>
        <w:t>评标工作的有关人员装修住房、婚</w:t>
      </w:r>
    </w:p>
    <w:p w14:paraId="01818222">
      <w:pPr>
        <w:spacing w:before="1" w:line="212" w:lineRule="auto"/>
        <w:ind w:left="9"/>
        <w:rPr>
          <w:rFonts w:ascii="黑体" w:hAnsi="黑体" w:eastAsia="黑体" w:cs="黑体"/>
          <w:color w:val="auto"/>
          <w:sz w:val="24"/>
          <w:szCs w:val="24"/>
        </w:rPr>
      </w:pPr>
      <w:r>
        <w:rPr>
          <w:rFonts w:ascii="黑体" w:hAnsi="黑体" w:eastAsia="黑体" w:cs="黑体"/>
          <w:color w:val="auto"/>
          <w:spacing w:val="4"/>
          <w:sz w:val="24"/>
          <w:szCs w:val="24"/>
        </w:rPr>
        <w:t>丧嫁娶以及境内外旅游等提供方便；</w:t>
      </w:r>
    </w:p>
    <w:p w14:paraId="1F878D29">
      <w:pPr>
        <w:spacing w:before="191" w:line="468" w:lineRule="exact"/>
        <w:ind w:right="2"/>
        <w:jc w:val="right"/>
        <w:rPr>
          <w:rFonts w:ascii="黑体" w:hAnsi="黑体" w:eastAsia="黑体" w:cs="黑体"/>
          <w:color w:val="auto"/>
          <w:sz w:val="24"/>
          <w:szCs w:val="24"/>
        </w:rPr>
      </w:pPr>
      <w:r>
        <w:rPr>
          <w:rFonts w:ascii="黑体" w:hAnsi="黑体" w:eastAsia="黑体" w:cs="黑体"/>
          <w:color w:val="auto"/>
          <w:spacing w:val="5"/>
          <w:position w:val="17"/>
          <w:sz w:val="24"/>
          <w:szCs w:val="24"/>
        </w:rPr>
        <w:t>7.不与采购人、采购代理机构工作人员串</w:t>
      </w:r>
      <w:r>
        <w:rPr>
          <w:rFonts w:ascii="黑体" w:hAnsi="黑体" w:eastAsia="黑体" w:cs="黑体"/>
          <w:color w:val="auto"/>
          <w:spacing w:val="4"/>
          <w:position w:val="17"/>
          <w:sz w:val="24"/>
          <w:szCs w:val="24"/>
        </w:rPr>
        <w:t>通投标，损害国家利益、企业利益以及</w:t>
      </w:r>
    </w:p>
    <w:p w14:paraId="353F6109">
      <w:pPr>
        <w:spacing w:before="2" w:line="212" w:lineRule="auto"/>
        <w:ind w:left="11"/>
        <w:rPr>
          <w:rFonts w:ascii="黑体" w:hAnsi="黑体" w:eastAsia="黑体" w:cs="黑体"/>
          <w:color w:val="auto"/>
          <w:sz w:val="24"/>
          <w:szCs w:val="24"/>
        </w:rPr>
      </w:pPr>
      <w:r>
        <w:rPr>
          <w:rFonts w:ascii="黑体" w:hAnsi="黑体" w:eastAsia="黑体" w:cs="黑体"/>
          <w:color w:val="auto"/>
          <w:spacing w:val="3"/>
          <w:sz w:val="24"/>
          <w:szCs w:val="24"/>
        </w:rPr>
        <w:t>他人的合法利益；</w:t>
      </w:r>
    </w:p>
    <w:p w14:paraId="357DA84A">
      <w:pPr>
        <w:spacing w:before="191" w:line="468" w:lineRule="exact"/>
        <w:ind w:right="2"/>
        <w:jc w:val="right"/>
        <w:rPr>
          <w:rFonts w:ascii="黑体" w:hAnsi="黑体" w:eastAsia="黑体" w:cs="黑体"/>
          <w:color w:val="auto"/>
          <w:sz w:val="24"/>
          <w:szCs w:val="24"/>
        </w:rPr>
      </w:pPr>
      <w:r>
        <w:rPr>
          <w:rFonts w:ascii="黑体" w:hAnsi="黑体" w:eastAsia="黑体" w:cs="黑体"/>
          <w:color w:val="auto"/>
          <w:spacing w:val="5"/>
          <w:position w:val="17"/>
          <w:sz w:val="24"/>
          <w:szCs w:val="24"/>
        </w:rPr>
        <w:t>8.不以任何方式与其他供应商相互串通投标，不排</w:t>
      </w:r>
      <w:r>
        <w:rPr>
          <w:rFonts w:ascii="黑体" w:hAnsi="黑体" w:eastAsia="黑体" w:cs="黑体"/>
          <w:color w:val="auto"/>
          <w:spacing w:val="4"/>
          <w:position w:val="17"/>
          <w:sz w:val="24"/>
          <w:szCs w:val="24"/>
        </w:rPr>
        <w:t>挤其他供应商，不损害采购人</w:t>
      </w:r>
    </w:p>
    <w:p w14:paraId="72B95816">
      <w:pPr>
        <w:spacing w:before="1" w:line="212" w:lineRule="auto"/>
        <w:ind w:left="14"/>
        <w:rPr>
          <w:rFonts w:ascii="黑体" w:hAnsi="黑体" w:eastAsia="黑体" w:cs="黑体"/>
          <w:color w:val="auto"/>
          <w:sz w:val="24"/>
          <w:szCs w:val="24"/>
        </w:rPr>
      </w:pPr>
      <w:r>
        <w:rPr>
          <w:rFonts w:ascii="黑体" w:hAnsi="黑体" w:eastAsia="黑体" w:cs="黑体"/>
          <w:color w:val="auto"/>
          <w:spacing w:val="3"/>
          <w:sz w:val="24"/>
          <w:szCs w:val="24"/>
        </w:rPr>
        <w:t>或其他供应商的合法权益；</w:t>
      </w:r>
    </w:p>
    <w:p w14:paraId="740E2ADF">
      <w:pPr>
        <w:spacing w:before="191" w:line="468" w:lineRule="exact"/>
        <w:jc w:val="right"/>
        <w:rPr>
          <w:rFonts w:ascii="黑体" w:hAnsi="黑体" w:eastAsia="黑体" w:cs="黑体"/>
          <w:color w:val="auto"/>
          <w:sz w:val="24"/>
          <w:szCs w:val="24"/>
        </w:rPr>
      </w:pPr>
      <w:r>
        <w:rPr>
          <w:rFonts w:ascii="黑体" w:hAnsi="黑体" w:eastAsia="黑体" w:cs="黑体"/>
          <w:color w:val="auto"/>
          <w:spacing w:val="4"/>
          <w:position w:val="17"/>
          <w:sz w:val="24"/>
          <w:szCs w:val="24"/>
        </w:rPr>
        <w:t>9.不采取捏造事实或者提供虚假投诉材料，恶意投诉、诋毁、排挤其他供应商；</w:t>
      </w:r>
    </w:p>
    <w:p w14:paraId="56EE47F4">
      <w:pPr>
        <w:spacing w:before="1" w:line="220" w:lineRule="auto"/>
        <w:ind w:left="513"/>
        <w:rPr>
          <w:rFonts w:ascii="黑体" w:hAnsi="黑体" w:eastAsia="黑体" w:cs="黑体"/>
          <w:color w:val="auto"/>
          <w:sz w:val="24"/>
          <w:szCs w:val="24"/>
        </w:rPr>
      </w:pPr>
      <w:r>
        <w:rPr>
          <w:rFonts w:ascii="黑体" w:hAnsi="黑体" w:eastAsia="黑体" w:cs="黑体"/>
          <w:color w:val="auto"/>
          <w:spacing w:val="4"/>
          <w:sz w:val="24"/>
          <w:szCs w:val="24"/>
        </w:rPr>
        <w:t>10.参与采购活动时不以任何形式提供任何虚假信息或证明文件。</w:t>
      </w:r>
    </w:p>
    <w:p w14:paraId="572E3F49">
      <w:pPr>
        <w:spacing w:before="181" w:line="468" w:lineRule="exact"/>
        <w:jc w:val="right"/>
        <w:rPr>
          <w:rFonts w:ascii="黑体" w:hAnsi="黑体" w:eastAsia="黑体" w:cs="黑体"/>
          <w:color w:val="auto"/>
          <w:sz w:val="24"/>
          <w:szCs w:val="24"/>
        </w:rPr>
      </w:pPr>
      <w:r>
        <w:rPr>
          <w:rFonts w:ascii="黑体" w:hAnsi="黑体" w:eastAsia="黑体" w:cs="黑体"/>
          <w:color w:val="auto"/>
          <w:spacing w:val="5"/>
          <w:position w:val="17"/>
          <w:sz w:val="24"/>
          <w:szCs w:val="24"/>
        </w:rPr>
        <w:t>贵单位既可根据国家有关单位的判决、裁定等有效文书认定我</w:t>
      </w:r>
      <w:r>
        <w:rPr>
          <w:rFonts w:ascii="黑体" w:hAnsi="黑体" w:eastAsia="黑体" w:cs="黑体"/>
          <w:color w:val="auto"/>
          <w:spacing w:val="4"/>
          <w:position w:val="17"/>
          <w:sz w:val="24"/>
          <w:szCs w:val="24"/>
        </w:rPr>
        <w:t>公司是否违反承诺，也</w:t>
      </w:r>
    </w:p>
    <w:p w14:paraId="50796482">
      <w:pPr>
        <w:spacing w:before="1" w:line="212" w:lineRule="auto"/>
        <w:jc w:val="right"/>
        <w:rPr>
          <w:rFonts w:ascii="黑体" w:hAnsi="黑体" w:eastAsia="黑体" w:cs="黑体"/>
          <w:color w:val="auto"/>
          <w:sz w:val="24"/>
          <w:szCs w:val="24"/>
        </w:rPr>
      </w:pPr>
      <w:r>
        <w:rPr>
          <w:rFonts w:ascii="黑体" w:hAnsi="黑体" w:eastAsia="黑体" w:cs="黑体"/>
          <w:color w:val="auto"/>
          <w:spacing w:val="5"/>
          <w:sz w:val="24"/>
          <w:szCs w:val="24"/>
        </w:rPr>
        <w:t>有权通过对贵公司相关人员的调查来认定我公司是否违反承诺</w:t>
      </w:r>
      <w:r>
        <w:rPr>
          <w:rFonts w:ascii="黑体" w:hAnsi="黑体" w:eastAsia="黑体" w:cs="黑体"/>
          <w:color w:val="auto"/>
          <w:spacing w:val="4"/>
          <w:sz w:val="24"/>
          <w:szCs w:val="24"/>
        </w:rPr>
        <w:t>。如违反以上承诺，我</w:t>
      </w:r>
    </w:p>
    <w:p w14:paraId="363C6480">
      <w:pPr>
        <w:spacing w:line="212" w:lineRule="auto"/>
        <w:rPr>
          <w:rFonts w:ascii="黑体" w:hAnsi="黑体" w:eastAsia="黑体" w:cs="黑体"/>
          <w:color w:val="auto"/>
          <w:sz w:val="24"/>
          <w:szCs w:val="24"/>
        </w:rPr>
        <w:sectPr>
          <w:footerReference r:id="rId37" w:type="default"/>
          <w:pgSz w:w="11906" w:h="16839"/>
          <w:pgMar w:top="1440" w:right="1080" w:bottom="1440" w:left="1080" w:header="0" w:footer="850" w:gutter="0"/>
          <w:pgNumType w:fmt="decimal"/>
          <w:cols w:space="720" w:num="1"/>
        </w:sectPr>
      </w:pPr>
    </w:p>
    <w:p w14:paraId="7E0107E4">
      <w:pPr>
        <w:pStyle w:val="5"/>
        <w:spacing w:line="261" w:lineRule="auto"/>
        <w:rPr>
          <w:color w:val="auto"/>
        </w:rPr>
      </w:pPr>
    </w:p>
    <w:p w14:paraId="141317B7">
      <w:pPr>
        <w:pStyle w:val="5"/>
        <w:spacing w:line="262" w:lineRule="auto"/>
        <w:rPr>
          <w:color w:val="auto"/>
        </w:rPr>
      </w:pPr>
    </w:p>
    <w:p w14:paraId="54FA01C7">
      <w:pPr>
        <w:pStyle w:val="5"/>
        <w:spacing w:line="262" w:lineRule="auto"/>
        <w:rPr>
          <w:color w:val="auto"/>
        </w:rPr>
      </w:pPr>
    </w:p>
    <w:p w14:paraId="4C538CA3">
      <w:pPr>
        <w:pStyle w:val="5"/>
        <w:spacing w:line="262" w:lineRule="auto"/>
        <w:rPr>
          <w:color w:val="auto"/>
        </w:rPr>
      </w:pPr>
    </w:p>
    <w:p w14:paraId="6A4DB3B6">
      <w:pPr>
        <w:spacing w:before="78" w:line="468" w:lineRule="exact"/>
        <w:jc w:val="right"/>
        <w:rPr>
          <w:rFonts w:ascii="黑体" w:hAnsi="黑体" w:eastAsia="黑体" w:cs="黑体"/>
          <w:color w:val="auto"/>
          <w:sz w:val="24"/>
          <w:szCs w:val="24"/>
        </w:rPr>
      </w:pPr>
      <w:r>
        <w:rPr>
          <w:rFonts w:ascii="黑体" w:hAnsi="黑体" w:eastAsia="黑体" w:cs="黑体"/>
          <w:color w:val="auto"/>
          <w:spacing w:val="5"/>
          <w:position w:val="17"/>
          <w:sz w:val="24"/>
          <w:szCs w:val="24"/>
        </w:rPr>
        <w:t>公司自愿接受贵公司依据有关规定对我公司的处理（包括但</w:t>
      </w:r>
      <w:r>
        <w:rPr>
          <w:rFonts w:ascii="黑体" w:hAnsi="黑体" w:eastAsia="黑体" w:cs="黑体"/>
          <w:color w:val="auto"/>
          <w:spacing w:val="4"/>
          <w:position w:val="17"/>
          <w:sz w:val="24"/>
          <w:szCs w:val="24"/>
        </w:rPr>
        <w:t>不限于实施市场禁入、取</w:t>
      </w:r>
    </w:p>
    <w:p w14:paraId="25626728">
      <w:pPr>
        <w:spacing w:before="1" w:line="212" w:lineRule="auto"/>
        <w:rPr>
          <w:rFonts w:ascii="黑体" w:hAnsi="黑体" w:eastAsia="黑体" w:cs="黑体"/>
          <w:color w:val="auto"/>
          <w:sz w:val="24"/>
          <w:szCs w:val="24"/>
        </w:rPr>
      </w:pPr>
      <w:r>
        <w:rPr>
          <w:rFonts w:ascii="黑体" w:hAnsi="黑体" w:eastAsia="黑体" w:cs="黑体"/>
          <w:color w:val="auto"/>
          <w:spacing w:val="4"/>
          <w:sz w:val="24"/>
          <w:szCs w:val="24"/>
        </w:rPr>
        <w:t>消投、中标资格以及终止合同等</w:t>
      </w:r>
      <w:r>
        <w:rPr>
          <w:rFonts w:ascii="黑体" w:hAnsi="黑体" w:eastAsia="黑体" w:cs="黑体"/>
          <w:color w:val="auto"/>
          <w:spacing w:val="23"/>
          <w:sz w:val="24"/>
          <w:szCs w:val="24"/>
        </w:rPr>
        <w:t>），</w:t>
      </w:r>
      <w:r>
        <w:rPr>
          <w:rFonts w:ascii="黑体" w:hAnsi="黑体" w:eastAsia="黑体" w:cs="黑体"/>
          <w:color w:val="auto"/>
          <w:spacing w:val="4"/>
          <w:sz w:val="24"/>
          <w:szCs w:val="24"/>
        </w:rPr>
        <w:t>给贵公司造成损失的，予以赔偿。</w:t>
      </w:r>
    </w:p>
    <w:p w14:paraId="6CA39D99">
      <w:pPr>
        <w:spacing w:before="191" w:line="468" w:lineRule="exact"/>
        <w:jc w:val="right"/>
        <w:rPr>
          <w:rFonts w:ascii="黑体" w:hAnsi="黑体" w:eastAsia="黑体" w:cs="黑体"/>
          <w:color w:val="auto"/>
          <w:sz w:val="24"/>
          <w:szCs w:val="24"/>
        </w:rPr>
      </w:pPr>
      <w:r>
        <w:rPr>
          <w:rFonts w:ascii="黑体" w:hAnsi="黑体" w:eastAsia="黑体" w:cs="黑体"/>
          <w:color w:val="auto"/>
          <w:spacing w:val="5"/>
          <w:position w:val="17"/>
          <w:sz w:val="24"/>
          <w:szCs w:val="24"/>
        </w:rPr>
        <w:t>本承诺函为我公司应答此次采购项目正式文件的附件</w:t>
      </w:r>
      <w:r>
        <w:rPr>
          <w:rFonts w:ascii="黑体" w:hAnsi="黑体" w:eastAsia="黑体" w:cs="黑体"/>
          <w:color w:val="auto"/>
          <w:spacing w:val="4"/>
          <w:position w:val="17"/>
          <w:sz w:val="24"/>
          <w:szCs w:val="24"/>
        </w:rPr>
        <w:t>，与其他响应文件具有同等</w:t>
      </w:r>
    </w:p>
    <w:p w14:paraId="1B8E08E7">
      <w:pPr>
        <w:spacing w:before="1" w:line="212" w:lineRule="auto"/>
        <w:ind w:left="1"/>
        <w:rPr>
          <w:rFonts w:ascii="黑体" w:hAnsi="黑体" w:eastAsia="黑体" w:cs="黑体"/>
          <w:color w:val="auto"/>
          <w:sz w:val="24"/>
          <w:szCs w:val="24"/>
        </w:rPr>
      </w:pPr>
      <w:r>
        <w:rPr>
          <w:rFonts w:ascii="黑体" w:hAnsi="黑体" w:eastAsia="黑体" w:cs="黑体"/>
          <w:color w:val="auto"/>
          <w:spacing w:val="4"/>
          <w:sz w:val="24"/>
          <w:szCs w:val="24"/>
        </w:rPr>
        <w:t>法律效力，经我公司盖章后立即生效。</w:t>
      </w:r>
    </w:p>
    <w:p w14:paraId="5BBF2EC7">
      <w:pPr>
        <w:pStyle w:val="5"/>
        <w:spacing w:line="284" w:lineRule="auto"/>
        <w:rPr>
          <w:color w:val="auto"/>
        </w:rPr>
      </w:pPr>
    </w:p>
    <w:p w14:paraId="60C2032C">
      <w:pPr>
        <w:pStyle w:val="5"/>
        <w:spacing w:line="284" w:lineRule="auto"/>
        <w:rPr>
          <w:color w:val="auto"/>
        </w:rPr>
      </w:pPr>
    </w:p>
    <w:p w14:paraId="34F01DFD">
      <w:pPr>
        <w:pStyle w:val="5"/>
        <w:spacing w:line="285" w:lineRule="auto"/>
        <w:rPr>
          <w:color w:val="auto"/>
        </w:rPr>
      </w:pPr>
    </w:p>
    <w:p w14:paraId="3E5DC825">
      <w:pPr>
        <w:pStyle w:val="5"/>
        <w:spacing w:line="285" w:lineRule="auto"/>
        <w:rPr>
          <w:color w:val="auto"/>
        </w:rPr>
      </w:pPr>
    </w:p>
    <w:p w14:paraId="68860C92">
      <w:pPr>
        <w:pStyle w:val="5"/>
        <w:spacing w:line="285" w:lineRule="auto"/>
        <w:rPr>
          <w:color w:val="auto"/>
        </w:rPr>
      </w:pPr>
    </w:p>
    <w:p w14:paraId="2BF63426">
      <w:pPr>
        <w:spacing w:before="78" w:line="222" w:lineRule="auto"/>
        <w:ind w:left="3551" w:firstLine="992" w:firstLineChars="400"/>
        <w:rPr>
          <w:rFonts w:ascii="黑体" w:hAnsi="黑体" w:eastAsia="黑体" w:cs="黑体"/>
          <w:color w:val="auto"/>
          <w:sz w:val="24"/>
          <w:szCs w:val="24"/>
        </w:rPr>
      </w:pPr>
      <w:r>
        <w:rPr>
          <w:rFonts w:ascii="黑体" w:hAnsi="黑体" w:eastAsia="黑体" w:cs="黑体"/>
          <w:color w:val="auto"/>
          <w:spacing w:val="4"/>
          <w:sz w:val="24"/>
          <w:szCs w:val="24"/>
        </w:rPr>
        <w:t>供应商名称（盖章</w:t>
      </w:r>
      <w:r>
        <w:rPr>
          <w:rFonts w:ascii="黑体" w:hAnsi="黑体" w:eastAsia="黑体" w:cs="黑体"/>
          <w:color w:val="auto"/>
          <w:sz w:val="24"/>
          <w:szCs w:val="24"/>
        </w:rPr>
        <w:t>）：</w:t>
      </w:r>
    </w:p>
    <w:p w14:paraId="6EC105AF">
      <w:pPr>
        <w:spacing w:before="280" w:line="222" w:lineRule="auto"/>
        <w:ind w:right="12"/>
        <w:jc w:val="right"/>
        <w:rPr>
          <w:rFonts w:ascii="黑体" w:hAnsi="黑体" w:eastAsia="黑体" w:cs="黑体"/>
          <w:color w:val="auto"/>
          <w:sz w:val="24"/>
          <w:szCs w:val="24"/>
        </w:rPr>
      </w:pPr>
      <w:r>
        <w:rPr>
          <w:rFonts w:ascii="黑体" w:hAnsi="黑体" w:eastAsia="黑体" w:cs="黑体"/>
          <w:color w:val="auto"/>
          <w:spacing w:val="4"/>
          <w:sz w:val="24"/>
          <w:szCs w:val="24"/>
        </w:rPr>
        <w:t>法定代表人或委托代理人（签字或盖章</w:t>
      </w:r>
      <w:r>
        <w:rPr>
          <w:rFonts w:ascii="黑体" w:hAnsi="黑体" w:eastAsia="黑体" w:cs="黑体"/>
          <w:color w:val="auto"/>
          <w:spacing w:val="7"/>
          <w:sz w:val="24"/>
          <w:szCs w:val="24"/>
        </w:rPr>
        <w:t>）：</w:t>
      </w:r>
    </w:p>
    <w:p w14:paraId="664465C8">
      <w:pPr>
        <w:spacing w:before="283" w:line="223" w:lineRule="auto"/>
        <w:jc w:val="right"/>
        <w:outlineLvl w:val="1"/>
        <w:rPr>
          <w:rFonts w:ascii="黑体" w:hAnsi="黑体" w:eastAsia="黑体" w:cs="黑体"/>
          <w:color w:val="auto"/>
          <w:sz w:val="24"/>
          <w:szCs w:val="24"/>
        </w:rPr>
      </w:pPr>
      <w:bookmarkStart w:id="235" w:name="_Toc19843"/>
      <w:r>
        <w:rPr>
          <w:rFonts w:ascii="黑体" w:hAnsi="黑体" w:eastAsia="黑体" w:cs="黑体"/>
          <w:color w:val="auto"/>
          <w:spacing w:val="-20"/>
          <w:sz w:val="24"/>
          <w:szCs w:val="24"/>
        </w:rPr>
        <w:t>日期：年月日</w:t>
      </w:r>
      <w:bookmarkEnd w:id="235"/>
    </w:p>
    <w:p w14:paraId="358A243D">
      <w:pPr>
        <w:spacing w:line="223" w:lineRule="auto"/>
        <w:rPr>
          <w:rFonts w:ascii="黑体" w:hAnsi="黑体" w:eastAsia="黑体" w:cs="黑体"/>
          <w:color w:val="auto"/>
          <w:sz w:val="24"/>
          <w:szCs w:val="24"/>
        </w:rPr>
        <w:sectPr>
          <w:footerReference r:id="rId38" w:type="default"/>
          <w:pgSz w:w="11906" w:h="16839"/>
          <w:pgMar w:top="1440" w:right="1080" w:bottom="1440" w:left="1080" w:header="0" w:footer="850" w:gutter="0"/>
          <w:pgNumType w:fmt="decimal"/>
          <w:cols w:space="720" w:num="1"/>
        </w:sectPr>
      </w:pPr>
    </w:p>
    <w:p w14:paraId="6A8B659C">
      <w:pPr>
        <w:pStyle w:val="5"/>
        <w:spacing w:line="265" w:lineRule="auto"/>
        <w:rPr>
          <w:color w:val="auto"/>
        </w:rPr>
      </w:pPr>
    </w:p>
    <w:p w14:paraId="59642BA2">
      <w:pPr>
        <w:pStyle w:val="5"/>
        <w:spacing w:line="265" w:lineRule="auto"/>
        <w:rPr>
          <w:color w:val="auto"/>
        </w:rPr>
      </w:pPr>
    </w:p>
    <w:p w14:paraId="2EC3C48C">
      <w:pPr>
        <w:pStyle w:val="5"/>
        <w:spacing w:line="266" w:lineRule="auto"/>
        <w:rPr>
          <w:color w:val="auto"/>
        </w:rPr>
      </w:pPr>
    </w:p>
    <w:p w14:paraId="09C98182">
      <w:pPr>
        <w:pStyle w:val="5"/>
        <w:spacing w:line="266" w:lineRule="auto"/>
        <w:rPr>
          <w:color w:val="auto"/>
        </w:rPr>
      </w:pPr>
    </w:p>
    <w:p w14:paraId="6FD6DE6D">
      <w:pPr>
        <w:spacing w:before="101" w:line="230" w:lineRule="auto"/>
        <w:ind w:left="19"/>
        <w:rPr>
          <w:rFonts w:ascii="黑体" w:hAnsi="黑体" w:eastAsia="黑体" w:cs="黑体"/>
          <w:color w:val="auto"/>
          <w:sz w:val="31"/>
          <w:szCs w:val="31"/>
        </w:rPr>
      </w:pPr>
      <w:r>
        <w:rPr>
          <w:rFonts w:ascii="黑体" w:hAnsi="黑体" w:eastAsia="黑体" w:cs="黑体"/>
          <w:color w:val="auto"/>
          <w:spacing w:val="1"/>
          <w:sz w:val="31"/>
          <w:szCs w:val="31"/>
          <w14:textOutline w14:w="5793" w14:cap="sq" w14:cmpd="sng">
            <w14:solidFill>
              <w14:srgbClr w14:val="000000"/>
            </w14:solidFill>
            <w14:prstDash w14:val="solid"/>
            <w14:bevel/>
          </w14:textOutline>
        </w:rPr>
        <w:t>附件9:</w:t>
      </w:r>
    </w:p>
    <w:p w14:paraId="7DE122CE">
      <w:pPr>
        <w:spacing w:before="237" w:line="227" w:lineRule="auto"/>
        <w:ind w:left="3232"/>
        <w:outlineLvl w:val="1"/>
        <w:rPr>
          <w:rFonts w:ascii="黑体" w:hAnsi="黑体" w:eastAsia="黑体" w:cs="黑体"/>
          <w:color w:val="auto"/>
          <w:sz w:val="31"/>
          <w:szCs w:val="31"/>
        </w:rPr>
      </w:pPr>
      <w:bookmarkStart w:id="236" w:name="_Toc29465"/>
      <w:r>
        <w:rPr>
          <w:rFonts w:ascii="黑体" w:hAnsi="黑体" w:eastAsia="黑体" w:cs="黑体"/>
          <w:color w:val="auto"/>
          <w:spacing w:val="14"/>
          <w:sz w:val="31"/>
          <w:szCs w:val="31"/>
          <w14:textOutline w14:w="5793" w14:cap="sq" w14:cmpd="sng">
            <w14:solidFill>
              <w14:srgbClr w14:val="000000"/>
            </w14:solidFill>
            <w14:prstDash w14:val="solid"/>
            <w14:bevel/>
          </w14:textOutline>
        </w:rPr>
        <w:t>反商业贿赂承诺书</w:t>
      </w:r>
      <w:bookmarkEnd w:id="236"/>
    </w:p>
    <w:p w14:paraId="23C4C22F">
      <w:pPr>
        <w:pStyle w:val="5"/>
        <w:spacing w:line="290" w:lineRule="auto"/>
        <w:rPr>
          <w:color w:val="auto"/>
        </w:rPr>
      </w:pPr>
    </w:p>
    <w:p w14:paraId="3402AC6D">
      <w:pPr>
        <w:pStyle w:val="5"/>
        <w:spacing w:line="290" w:lineRule="auto"/>
        <w:rPr>
          <w:color w:val="auto"/>
        </w:rPr>
      </w:pPr>
    </w:p>
    <w:p w14:paraId="479FC253">
      <w:pPr>
        <w:pStyle w:val="5"/>
        <w:spacing w:line="290" w:lineRule="auto"/>
        <w:rPr>
          <w:color w:val="auto"/>
        </w:rPr>
      </w:pPr>
    </w:p>
    <w:p w14:paraId="6E468F85">
      <w:pPr>
        <w:spacing w:before="78" w:line="571" w:lineRule="exact"/>
        <w:ind w:right="2"/>
        <w:jc w:val="right"/>
        <w:rPr>
          <w:rFonts w:ascii="黑体" w:hAnsi="黑体" w:eastAsia="黑体" w:cs="黑体"/>
          <w:color w:val="auto"/>
          <w:sz w:val="24"/>
          <w:szCs w:val="24"/>
        </w:rPr>
      </w:pPr>
      <w:r>
        <w:rPr>
          <w:rFonts w:ascii="黑体" w:hAnsi="黑体" w:eastAsia="黑体" w:cs="黑体"/>
          <w:color w:val="auto"/>
          <w:spacing w:val="4"/>
          <w:position w:val="25"/>
          <w:sz w:val="24"/>
          <w:szCs w:val="24"/>
        </w:rPr>
        <w:t>为了从源头上防治腐败，杜绝商业贿赂行为的发生，更好地配合采购代理机构的</w:t>
      </w:r>
    </w:p>
    <w:p w14:paraId="7C3B4EEC">
      <w:pPr>
        <w:spacing w:before="1" w:line="212" w:lineRule="auto"/>
        <w:rPr>
          <w:rFonts w:ascii="黑体" w:hAnsi="黑体" w:eastAsia="黑体" w:cs="黑体"/>
          <w:color w:val="auto"/>
          <w:sz w:val="24"/>
          <w:szCs w:val="24"/>
        </w:rPr>
      </w:pPr>
      <w:r>
        <w:rPr>
          <w:rFonts w:ascii="黑体" w:hAnsi="黑体" w:eastAsia="黑体" w:cs="黑体"/>
          <w:color w:val="auto"/>
          <w:spacing w:val="4"/>
          <w:sz w:val="24"/>
          <w:szCs w:val="24"/>
        </w:rPr>
        <w:t>工作，我们供应商承诺如下：</w:t>
      </w:r>
    </w:p>
    <w:p w14:paraId="27E9E9CC">
      <w:pPr>
        <w:spacing w:before="292" w:line="221" w:lineRule="auto"/>
        <w:ind w:left="503"/>
        <w:rPr>
          <w:rFonts w:ascii="黑体" w:hAnsi="黑体" w:eastAsia="黑体" w:cs="黑体"/>
          <w:color w:val="auto"/>
          <w:sz w:val="24"/>
          <w:szCs w:val="24"/>
        </w:rPr>
      </w:pPr>
      <w:r>
        <w:rPr>
          <w:rFonts w:ascii="黑体" w:hAnsi="黑体" w:eastAsia="黑体" w:cs="黑体"/>
          <w:color w:val="auto"/>
          <w:spacing w:val="5"/>
          <w:sz w:val="24"/>
          <w:szCs w:val="24"/>
        </w:rPr>
        <w:t>1、不以各种名义给采购代理工作人员借或送现金、</w:t>
      </w:r>
      <w:r>
        <w:rPr>
          <w:rFonts w:ascii="黑体" w:hAnsi="黑体" w:eastAsia="黑体" w:cs="黑体"/>
          <w:color w:val="auto"/>
          <w:spacing w:val="4"/>
          <w:sz w:val="24"/>
          <w:szCs w:val="24"/>
        </w:rPr>
        <w:t>有价证券及物品。</w:t>
      </w:r>
    </w:p>
    <w:p w14:paraId="722D67D8">
      <w:pPr>
        <w:spacing w:before="284" w:line="569" w:lineRule="exact"/>
        <w:ind w:left="489"/>
        <w:rPr>
          <w:rFonts w:ascii="黑体" w:hAnsi="黑体" w:eastAsia="黑体" w:cs="黑体"/>
          <w:color w:val="auto"/>
          <w:sz w:val="24"/>
          <w:szCs w:val="24"/>
        </w:rPr>
      </w:pPr>
      <w:r>
        <w:rPr>
          <w:rFonts w:ascii="黑体" w:hAnsi="黑体" w:eastAsia="黑体" w:cs="黑体"/>
          <w:color w:val="auto"/>
          <w:spacing w:val="5"/>
          <w:position w:val="25"/>
          <w:sz w:val="24"/>
          <w:szCs w:val="24"/>
        </w:rPr>
        <w:t>2、不以个人名义邀请采购代理工作人员参与考察旅游活动和宴请活动。</w:t>
      </w:r>
    </w:p>
    <w:p w14:paraId="10F141BC">
      <w:pPr>
        <w:spacing w:before="1" w:line="220" w:lineRule="auto"/>
        <w:ind w:left="491"/>
        <w:rPr>
          <w:rFonts w:ascii="黑体" w:hAnsi="黑体" w:eastAsia="黑体" w:cs="黑体"/>
          <w:color w:val="auto"/>
          <w:sz w:val="24"/>
          <w:szCs w:val="24"/>
        </w:rPr>
      </w:pPr>
      <w:r>
        <w:rPr>
          <w:rFonts w:ascii="黑体" w:hAnsi="黑体" w:eastAsia="黑体" w:cs="黑体"/>
          <w:color w:val="auto"/>
          <w:spacing w:val="4"/>
          <w:sz w:val="24"/>
          <w:szCs w:val="24"/>
        </w:rPr>
        <w:t>3、不发生与采购事项有关的其他违规违纪行为。</w:t>
      </w:r>
    </w:p>
    <w:p w14:paraId="38779FD5">
      <w:pPr>
        <w:spacing w:before="284" w:line="569" w:lineRule="exact"/>
        <w:ind w:right="26"/>
        <w:jc w:val="right"/>
        <w:rPr>
          <w:rFonts w:ascii="黑体" w:hAnsi="黑体" w:eastAsia="黑体" w:cs="黑体"/>
          <w:color w:val="auto"/>
          <w:sz w:val="24"/>
          <w:szCs w:val="24"/>
        </w:rPr>
      </w:pPr>
      <w:r>
        <w:rPr>
          <w:rFonts w:ascii="黑体" w:hAnsi="黑体" w:eastAsia="黑体" w:cs="黑体"/>
          <w:color w:val="auto"/>
          <w:spacing w:val="6"/>
          <w:position w:val="25"/>
          <w:sz w:val="24"/>
          <w:szCs w:val="24"/>
        </w:rPr>
        <w:t>4、如违反其中一项，同意将我公司列入政府</w:t>
      </w:r>
      <w:r>
        <w:rPr>
          <w:rFonts w:ascii="黑体" w:hAnsi="黑体" w:eastAsia="黑体" w:cs="黑体"/>
          <w:color w:val="auto"/>
          <w:spacing w:val="5"/>
          <w:position w:val="25"/>
          <w:sz w:val="24"/>
          <w:szCs w:val="24"/>
        </w:rPr>
        <w:t>采购黑名单并终止投标资格，今后</w:t>
      </w:r>
    </w:p>
    <w:p w14:paraId="13EE4046">
      <w:pPr>
        <w:spacing w:before="1" w:line="212" w:lineRule="auto"/>
        <w:ind w:left="1"/>
        <w:rPr>
          <w:rFonts w:ascii="黑体" w:hAnsi="黑体" w:eastAsia="黑体" w:cs="黑体"/>
          <w:color w:val="auto"/>
          <w:sz w:val="24"/>
          <w:szCs w:val="24"/>
        </w:rPr>
      </w:pPr>
      <w:r>
        <w:rPr>
          <w:rFonts w:ascii="黑体" w:hAnsi="黑体" w:eastAsia="黑体" w:cs="黑体"/>
          <w:color w:val="auto"/>
          <w:spacing w:val="5"/>
          <w:sz w:val="24"/>
          <w:szCs w:val="24"/>
        </w:rPr>
        <w:t>不得参与我市政府采购活动，触犯法律由司法部门处</w:t>
      </w:r>
      <w:r>
        <w:rPr>
          <w:rFonts w:ascii="黑体" w:hAnsi="黑体" w:eastAsia="黑体" w:cs="黑体"/>
          <w:color w:val="auto"/>
          <w:spacing w:val="4"/>
          <w:sz w:val="24"/>
          <w:szCs w:val="24"/>
        </w:rPr>
        <w:t>理。</w:t>
      </w:r>
    </w:p>
    <w:p w14:paraId="3F3967D9">
      <w:pPr>
        <w:pStyle w:val="5"/>
        <w:spacing w:line="272" w:lineRule="auto"/>
        <w:rPr>
          <w:color w:val="auto"/>
        </w:rPr>
      </w:pPr>
    </w:p>
    <w:p w14:paraId="0F2C007D">
      <w:pPr>
        <w:pStyle w:val="5"/>
        <w:spacing w:line="272" w:lineRule="auto"/>
        <w:rPr>
          <w:color w:val="auto"/>
        </w:rPr>
      </w:pPr>
    </w:p>
    <w:p w14:paraId="7A6E6A02">
      <w:pPr>
        <w:pStyle w:val="5"/>
        <w:spacing w:line="272" w:lineRule="auto"/>
        <w:rPr>
          <w:color w:val="auto"/>
        </w:rPr>
      </w:pPr>
    </w:p>
    <w:p w14:paraId="1FAC493F">
      <w:pPr>
        <w:pStyle w:val="5"/>
        <w:spacing w:line="273" w:lineRule="auto"/>
        <w:rPr>
          <w:color w:val="auto"/>
        </w:rPr>
      </w:pPr>
    </w:p>
    <w:p w14:paraId="21297287">
      <w:pPr>
        <w:spacing w:before="79" w:line="222" w:lineRule="auto"/>
        <w:ind w:left="4411"/>
        <w:rPr>
          <w:rFonts w:ascii="黑体" w:hAnsi="黑体" w:eastAsia="黑体" w:cs="黑体"/>
          <w:color w:val="auto"/>
          <w:sz w:val="24"/>
          <w:szCs w:val="24"/>
        </w:rPr>
      </w:pPr>
      <w:r>
        <w:rPr>
          <w:rFonts w:ascii="黑体" w:hAnsi="黑体" w:eastAsia="黑体" w:cs="黑体"/>
          <w:color w:val="auto"/>
          <w:spacing w:val="4"/>
          <w:sz w:val="24"/>
          <w:szCs w:val="24"/>
        </w:rPr>
        <w:t>供应商名称（盖章</w:t>
      </w:r>
      <w:r>
        <w:rPr>
          <w:rFonts w:ascii="黑体" w:hAnsi="黑体" w:eastAsia="黑体" w:cs="黑体"/>
          <w:color w:val="auto"/>
          <w:sz w:val="24"/>
          <w:szCs w:val="24"/>
        </w:rPr>
        <w:t>）：</w:t>
      </w:r>
    </w:p>
    <w:p w14:paraId="0ED92C5B">
      <w:pPr>
        <w:spacing w:before="282" w:line="222" w:lineRule="auto"/>
        <w:ind w:right="12"/>
        <w:jc w:val="right"/>
        <w:rPr>
          <w:rFonts w:ascii="黑体" w:hAnsi="黑体" w:eastAsia="黑体" w:cs="黑体"/>
          <w:color w:val="auto"/>
          <w:sz w:val="24"/>
          <w:szCs w:val="24"/>
        </w:rPr>
      </w:pPr>
      <w:r>
        <w:rPr>
          <w:rFonts w:ascii="黑体" w:hAnsi="黑体" w:eastAsia="黑体" w:cs="黑体"/>
          <w:color w:val="auto"/>
          <w:spacing w:val="4"/>
          <w:sz w:val="24"/>
          <w:szCs w:val="24"/>
        </w:rPr>
        <w:t>法定代表人或委托代理人（签字或盖章</w:t>
      </w:r>
      <w:r>
        <w:rPr>
          <w:rFonts w:ascii="黑体" w:hAnsi="黑体" w:eastAsia="黑体" w:cs="黑体"/>
          <w:color w:val="auto"/>
          <w:spacing w:val="7"/>
          <w:sz w:val="24"/>
          <w:szCs w:val="24"/>
        </w:rPr>
        <w:t>）：</w:t>
      </w:r>
    </w:p>
    <w:p w14:paraId="1A2FB6A1">
      <w:pPr>
        <w:spacing w:before="281" w:line="223" w:lineRule="auto"/>
        <w:jc w:val="right"/>
        <w:rPr>
          <w:rFonts w:ascii="黑体" w:hAnsi="黑体" w:eastAsia="黑体" w:cs="黑体"/>
          <w:color w:val="auto"/>
          <w:sz w:val="24"/>
          <w:szCs w:val="24"/>
        </w:rPr>
      </w:pPr>
      <w:r>
        <w:rPr>
          <w:rFonts w:ascii="黑体" w:hAnsi="黑体" w:eastAsia="黑体" w:cs="黑体"/>
          <w:color w:val="auto"/>
          <w:spacing w:val="-20"/>
          <w:sz w:val="24"/>
          <w:szCs w:val="24"/>
        </w:rPr>
        <w:t>日期：年月日</w:t>
      </w:r>
    </w:p>
    <w:p w14:paraId="1D13EDB9">
      <w:pPr>
        <w:spacing w:line="223" w:lineRule="auto"/>
        <w:rPr>
          <w:rFonts w:ascii="黑体" w:hAnsi="黑体" w:eastAsia="黑体" w:cs="黑体"/>
          <w:color w:val="auto"/>
          <w:sz w:val="24"/>
          <w:szCs w:val="24"/>
        </w:rPr>
        <w:sectPr>
          <w:footerReference r:id="rId39" w:type="default"/>
          <w:pgSz w:w="11906" w:h="16839"/>
          <w:pgMar w:top="1440" w:right="1080" w:bottom="1440" w:left="1080" w:header="0" w:footer="850" w:gutter="0"/>
          <w:pgNumType w:fmt="decimal"/>
          <w:cols w:space="720" w:num="1"/>
        </w:sectPr>
      </w:pPr>
    </w:p>
    <w:p w14:paraId="6DD75E84">
      <w:pPr>
        <w:spacing w:before="101" w:line="230" w:lineRule="auto"/>
        <w:ind w:left="615"/>
        <w:rPr>
          <w:rFonts w:ascii="黑体" w:hAnsi="黑体" w:eastAsia="黑体" w:cs="黑体"/>
          <w:color w:val="auto"/>
          <w:sz w:val="31"/>
          <w:szCs w:val="31"/>
        </w:rPr>
      </w:pPr>
      <w:r>
        <w:rPr>
          <w:rFonts w:ascii="黑体" w:hAnsi="黑体" w:eastAsia="黑体" w:cs="黑体"/>
          <w:color w:val="auto"/>
          <w:spacing w:val="-3"/>
          <w:sz w:val="31"/>
          <w:szCs w:val="31"/>
          <w14:textOutline w14:w="5793" w14:cap="sq" w14:cmpd="sng">
            <w14:solidFill>
              <w14:srgbClr w14:val="000000"/>
            </w14:solidFill>
            <w14:prstDash w14:val="solid"/>
            <w14:bevel/>
          </w14:textOutline>
        </w:rPr>
        <w:t>附件10:</w:t>
      </w:r>
    </w:p>
    <w:p w14:paraId="3A2983E5">
      <w:pPr>
        <w:spacing w:before="238" w:line="226" w:lineRule="auto"/>
        <w:ind w:left="4000"/>
        <w:outlineLvl w:val="2"/>
        <w:rPr>
          <w:rFonts w:ascii="黑体" w:hAnsi="黑体" w:eastAsia="黑体" w:cs="黑体"/>
          <w:color w:val="auto"/>
          <w:sz w:val="31"/>
          <w:szCs w:val="31"/>
        </w:rPr>
      </w:pPr>
      <w:bookmarkStart w:id="237" w:name="_Toc18981"/>
      <w:r>
        <w:rPr>
          <w:rFonts w:ascii="黑体" w:hAnsi="黑体" w:eastAsia="黑体" w:cs="黑体"/>
          <w:color w:val="auto"/>
          <w:spacing w:val="12"/>
          <w:sz w:val="31"/>
          <w:szCs w:val="31"/>
          <w14:textOutline w14:w="5793" w14:cap="sq" w14:cmpd="sng">
            <w14:solidFill>
              <w14:srgbClr w14:val="000000"/>
            </w14:solidFill>
            <w14:prstDash w14:val="solid"/>
            <w14:bevel/>
          </w14:textOutline>
        </w:rPr>
        <w:t>商务条款偏离表</w:t>
      </w:r>
      <w:bookmarkEnd w:id="237"/>
    </w:p>
    <w:p w14:paraId="615220AD">
      <w:pPr>
        <w:spacing w:before="268" w:line="222" w:lineRule="auto"/>
        <w:ind w:left="703"/>
        <w:rPr>
          <w:rFonts w:ascii="黑体" w:hAnsi="黑体" w:eastAsia="黑体" w:cs="黑体"/>
          <w:color w:val="auto"/>
          <w:sz w:val="24"/>
          <w:szCs w:val="24"/>
        </w:rPr>
      </w:pPr>
      <w:r>
        <w:rPr>
          <w:rFonts w:ascii="黑体" w:hAnsi="黑体" w:eastAsia="黑体" w:cs="黑体"/>
          <w:color w:val="auto"/>
          <w:spacing w:val="1"/>
          <w:sz w:val="24"/>
          <w:szCs w:val="24"/>
        </w:rPr>
        <w:t>项目名称：</w:t>
      </w:r>
    </w:p>
    <w:p w14:paraId="78520E1D">
      <w:pPr>
        <w:spacing w:line="14" w:lineRule="exact"/>
        <w:rPr>
          <w:color w:val="auto"/>
        </w:rPr>
      </w:pPr>
    </w:p>
    <w:tbl>
      <w:tblPr>
        <w:tblStyle w:val="19"/>
        <w:tblW w:w="10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1668"/>
        <w:gridCol w:w="2263"/>
        <w:gridCol w:w="2194"/>
        <w:gridCol w:w="1427"/>
        <w:gridCol w:w="1893"/>
      </w:tblGrid>
      <w:tr w14:paraId="79602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95" w:type="dxa"/>
            <w:vAlign w:val="top"/>
          </w:tcPr>
          <w:p w14:paraId="0B7999D9">
            <w:pPr>
              <w:spacing w:line="242" w:lineRule="auto"/>
              <w:rPr>
                <w:rFonts w:ascii="Arial"/>
                <w:color w:val="auto"/>
                <w:sz w:val="21"/>
              </w:rPr>
            </w:pPr>
          </w:p>
          <w:p w14:paraId="0948A932">
            <w:pPr>
              <w:pStyle w:val="20"/>
              <w:spacing w:before="78" w:line="223" w:lineRule="auto"/>
              <w:ind w:left="158"/>
              <w:rPr>
                <w:color w:val="auto"/>
              </w:rPr>
            </w:pPr>
            <w:r>
              <w:rPr>
                <w:color w:val="auto"/>
                <w:spacing w:val="-3"/>
              </w:rPr>
              <w:t>序号</w:t>
            </w:r>
          </w:p>
        </w:tc>
        <w:tc>
          <w:tcPr>
            <w:tcW w:w="1668" w:type="dxa"/>
            <w:vAlign w:val="top"/>
          </w:tcPr>
          <w:p w14:paraId="4E203FC4">
            <w:pPr>
              <w:pStyle w:val="20"/>
              <w:spacing w:before="165" w:line="222" w:lineRule="auto"/>
              <w:ind w:left="345"/>
              <w:rPr>
                <w:color w:val="auto"/>
              </w:rPr>
            </w:pPr>
            <w:r>
              <w:rPr>
                <w:color w:val="auto"/>
                <w:spacing w:val="2"/>
              </w:rPr>
              <w:t>采购文件</w:t>
            </w:r>
          </w:p>
          <w:p w14:paraId="390C2298">
            <w:pPr>
              <w:pStyle w:val="20"/>
              <w:spacing w:before="23" w:line="223" w:lineRule="auto"/>
              <w:ind w:left="470"/>
              <w:rPr>
                <w:color w:val="auto"/>
              </w:rPr>
            </w:pPr>
            <w:r>
              <w:rPr>
                <w:color w:val="auto"/>
              </w:rPr>
              <w:t>条目号</w:t>
            </w:r>
          </w:p>
        </w:tc>
        <w:tc>
          <w:tcPr>
            <w:tcW w:w="2263" w:type="dxa"/>
            <w:vAlign w:val="top"/>
          </w:tcPr>
          <w:p w14:paraId="09279E2E">
            <w:pPr>
              <w:pStyle w:val="20"/>
              <w:spacing w:before="165"/>
              <w:ind w:left="645"/>
              <w:rPr>
                <w:color w:val="auto"/>
              </w:rPr>
            </w:pPr>
            <w:r>
              <w:rPr>
                <w:color w:val="auto"/>
                <w:spacing w:val="2"/>
              </w:rPr>
              <w:t>采购文件</w:t>
            </w:r>
          </w:p>
          <w:p w14:paraId="36E21C9A">
            <w:pPr>
              <w:pStyle w:val="20"/>
              <w:spacing w:before="1" w:line="220" w:lineRule="auto"/>
              <w:ind w:left="535"/>
              <w:rPr>
                <w:color w:val="auto"/>
              </w:rPr>
            </w:pPr>
            <w:r>
              <w:rPr>
                <w:color w:val="auto"/>
              </w:rPr>
              <w:t>的商务条款</w:t>
            </w:r>
          </w:p>
        </w:tc>
        <w:tc>
          <w:tcPr>
            <w:tcW w:w="2194" w:type="dxa"/>
            <w:vAlign w:val="top"/>
          </w:tcPr>
          <w:p w14:paraId="038E06C9">
            <w:pPr>
              <w:pStyle w:val="20"/>
              <w:spacing w:before="165"/>
              <w:ind w:left="609"/>
              <w:rPr>
                <w:color w:val="auto"/>
              </w:rPr>
            </w:pPr>
            <w:r>
              <w:rPr>
                <w:color w:val="auto"/>
                <w:spacing w:val="2"/>
              </w:rPr>
              <w:t>投标文件</w:t>
            </w:r>
          </w:p>
          <w:p w14:paraId="4F6CD3DD">
            <w:pPr>
              <w:pStyle w:val="20"/>
              <w:spacing w:before="1" w:line="220" w:lineRule="auto"/>
              <w:ind w:left="502"/>
              <w:rPr>
                <w:color w:val="auto"/>
              </w:rPr>
            </w:pPr>
            <w:r>
              <w:rPr>
                <w:color w:val="auto"/>
              </w:rPr>
              <w:t>的商务条款</w:t>
            </w:r>
          </w:p>
        </w:tc>
        <w:tc>
          <w:tcPr>
            <w:tcW w:w="1427" w:type="dxa"/>
            <w:vAlign w:val="top"/>
          </w:tcPr>
          <w:p w14:paraId="4C8AE072">
            <w:pPr>
              <w:spacing w:line="242" w:lineRule="auto"/>
              <w:rPr>
                <w:rFonts w:ascii="Arial"/>
                <w:color w:val="auto"/>
                <w:sz w:val="21"/>
              </w:rPr>
            </w:pPr>
          </w:p>
          <w:p w14:paraId="6E5953CC">
            <w:pPr>
              <w:pStyle w:val="20"/>
              <w:spacing w:before="78" w:line="222" w:lineRule="auto"/>
              <w:ind w:left="230"/>
              <w:rPr>
                <w:color w:val="auto"/>
              </w:rPr>
            </w:pPr>
            <w:r>
              <w:rPr>
                <w:color w:val="auto"/>
                <w:spacing w:val="1"/>
              </w:rPr>
              <w:t>有无偏离</w:t>
            </w:r>
          </w:p>
        </w:tc>
        <w:tc>
          <w:tcPr>
            <w:tcW w:w="1893" w:type="dxa"/>
            <w:vAlign w:val="top"/>
          </w:tcPr>
          <w:p w14:paraId="4D7C16DE">
            <w:pPr>
              <w:spacing w:line="241" w:lineRule="auto"/>
              <w:rPr>
                <w:rFonts w:ascii="Arial"/>
                <w:color w:val="auto"/>
                <w:sz w:val="21"/>
              </w:rPr>
            </w:pPr>
          </w:p>
          <w:p w14:paraId="4F5551D1">
            <w:pPr>
              <w:pStyle w:val="20"/>
              <w:spacing w:before="78" w:line="221" w:lineRule="auto"/>
              <w:ind w:left="459"/>
              <w:rPr>
                <w:color w:val="auto"/>
              </w:rPr>
            </w:pPr>
            <w:r>
              <w:rPr>
                <w:color w:val="auto"/>
                <w:spacing w:val="2"/>
              </w:rPr>
              <w:t>偏离说明</w:t>
            </w:r>
          </w:p>
        </w:tc>
      </w:tr>
      <w:tr w14:paraId="0111C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2D3996A3">
            <w:pPr>
              <w:jc w:val="both"/>
              <w:rPr>
                <w:rFonts w:hint="eastAsia" w:ascii="Arial" w:eastAsia="宋体"/>
                <w:color w:val="auto"/>
                <w:sz w:val="21"/>
                <w:lang w:val="en-US" w:eastAsia="zh-CN"/>
              </w:rPr>
            </w:pPr>
            <w:r>
              <w:rPr>
                <w:rFonts w:hint="eastAsia" w:eastAsia="宋体"/>
                <w:color w:val="auto"/>
                <w:sz w:val="21"/>
                <w:lang w:val="en-US" w:eastAsia="zh-CN"/>
              </w:rPr>
              <w:t>1</w:t>
            </w:r>
          </w:p>
        </w:tc>
        <w:tc>
          <w:tcPr>
            <w:tcW w:w="1668" w:type="dxa"/>
            <w:vAlign w:val="center"/>
          </w:tcPr>
          <w:p w14:paraId="73F24DA3">
            <w:pPr>
              <w:jc w:val="both"/>
              <w:rPr>
                <w:rFonts w:ascii="Arial"/>
                <w:color w:val="auto"/>
                <w:sz w:val="21"/>
              </w:rPr>
            </w:pPr>
          </w:p>
        </w:tc>
        <w:tc>
          <w:tcPr>
            <w:tcW w:w="2263" w:type="dxa"/>
            <w:vAlign w:val="center"/>
          </w:tcPr>
          <w:p w14:paraId="58682994">
            <w:pPr>
              <w:jc w:val="both"/>
              <w:rPr>
                <w:rFonts w:hint="eastAsia" w:ascii="Arial" w:eastAsia="宋体"/>
                <w:color w:val="auto"/>
                <w:sz w:val="21"/>
                <w:lang w:val="en-US" w:eastAsia="zh-CN"/>
              </w:rPr>
            </w:pPr>
            <w:r>
              <w:rPr>
                <w:rFonts w:hint="eastAsia" w:eastAsia="宋体"/>
                <w:color w:val="auto"/>
                <w:sz w:val="21"/>
                <w:lang w:val="en-US" w:eastAsia="zh-CN"/>
              </w:rPr>
              <w:t>营业执照</w:t>
            </w:r>
          </w:p>
        </w:tc>
        <w:tc>
          <w:tcPr>
            <w:tcW w:w="2194" w:type="dxa"/>
            <w:vAlign w:val="top"/>
          </w:tcPr>
          <w:p w14:paraId="490456E5">
            <w:pPr>
              <w:rPr>
                <w:rFonts w:ascii="Arial"/>
                <w:color w:val="auto"/>
                <w:sz w:val="21"/>
              </w:rPr>
            </w:pPr>
          </w:p>
        </w:tc>
        <w:tc>
          <w:tcPr>
            <w:tcW w:w="1427" w:type="dxa"/>
            <w:vAlign w:val="top"/>
          </w:tcPr>
          <w:p w14:paraId="7326B58B">
            <w:pPr>
              <w:rPr>
                <w:rFonts w:ascii="Arial"/>
                <w:color w:val="auto"/>
                <w:sz w:val="21"/>
              </w:rPr>
            </w:pPr>
          </w:p>
        </w:tc>
        <w:tc>
          <w:tcPr>
            <w:tcW w:w="1893" w:type="dxa"/>
            <w:vAlign w:val="top"/>
          </w:tcPr>
          <w:p w14:paraId="01EC4AD3">
            <w:pPr>
              <w:rPr>
                <w:rFonts w:ascii="Arial"/>
                <w:color w:val="auto"/>
                <w:sz w:val="21"/>
              </w:rPr>
            </w:pPr>
          </w:p>
        </w:tc>
      </w:tr>
      <w:tr w14:paraId="47A58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39D19E47">
            <w:pPr>
              <w:jc w:val="both"/>
              <w:rPr>
                <w:rFonts w:hint="eastAsia" w:ascii="Arial" w:eastAsia="宋体"/>
                <w:color w:val="auto"/>
                <w:sz w:val="21"/>
                <w:lang w:val="en-US" w:eastAsia="zh-CN"/>
              </w:rPr>
            </w:pPr>
            <w:r>
              <w:rPr>
                <w:rFonts w:hint="eastAsia" w:eastAsia="宋体"/>
                <w:color w:val="auto"/>
                <w:sz w:val="21"/>
                <w:lang w:val="en-US" w:eastAsia="zh-CN"/>
              </w:rPr>
              <w:t>2</w:t>
            </w:r>
          </w:p>
        </w:tc>
        <w:tc>
          <w:tcPr>
            <w:tcW w:w="1668" w:type="dxa"/>
            <w:vAlign w:val="center"/>
          </w:tcPr>
          <w:p w14:paraId="281469E5">
            <w:pPr>
              <w:jc w:val="both"/>
              <w:rPr>
                <w:rFonts w:ascii="Arial"/>
                <w:color w:val="auto"/>
                <w:sz w:val="21"/>
              </w:rPr>
            </w:pPr>
          </w:p>
        </w:tc>
        <w:tc>
          <w:tcPr>
            <w:tcW w:w="2263" w:type="dxa"/>
            <w:vAlign w:val="center"/>
          </w:tcPr>
          <w:p w14:paraId="1FE4CF55">
            <w:pPr>
              <w:jc w:val="both"/>
              <w:rPr>
                <w:rFonts w:hint="default" w:ascii="Arial" w:eastAsia="宋体"/>
                <w:color w:val="auto"/>
                <w:sz w:val="21"/>
                <w:lang w:val="en-US" w:eastAsia="zh-CN"/>
              </w:rPr>
            </w:pPr>
            <w:r>
              <w:rPr>
                <w:rFonts w:hint="eastAsia" w:eastAsia="宋体"/>
                <w:color w:val="auto"/>
                <w:sz w:val="21"/>
                <w:lang w:val="en-US" w:eastAsia="zh-CN"/>
              </w:rPr>
              <w:t>资质证书</w:t>
            </w:r>
          </w:p>
        </w:tc>
        <w:tc>
          <w:tcPr>
            <w:tcW w:w="2194" w:type="dxa"/>
            <w:vAlign w:val="top"/>
          </w:tcPr>
          <w:p w14:paraId="3D3D4F94">
            <w:pPr>
              <w:rPr>
                <w:rFonts w:ascii="Arial"/>
                <w:color w:val="auto"/>
                <w:sz w:val="21"/>
              </w:rPr>
            </w:pPr>
          </w:p>
        </w:tc>
        <w:tc>
          <w:tcPr>
            <w:tcW w:w="1427" w:type="dxa"/>
            <w:vAlign w:val="top"/>
          </w:tcPr>
          <w:p w14:paraId="160A4892">
            <w:pPr>
              <w:rPr>
                <w:rFonts w:ascii="Arial"/>
                <w:color w:val="auto"/>
                <w:sz w:val="21"/>
              </w:rPr>
            </w:pPr>
          </w:p>
        </w:tc>
        <w:tc>
          <w:tcPr>
            <w:tcW w:w="1893" w:type="dxa"/>
            <w:vAlign w:val="top"/>
          </w:tcPr>
          <w:p w14:paraId="62DDF39D">
            <w:pPr>
              <w:rPr>
                <w:rFonts w:ascii="Arial"/>
                <w:color w:val="auto"/>
                <w:sz w:val="21"/>
              </w:rPr>
            </w:pPr>
          </w:p>
        </w:tc>
      </w:tr>
      <w:tr w14:paraId="18EFE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61CEB00E">
            <w:pPr>
              <w:jc w:val="both"/>
              <w:rPr>
                <w:rFonts w:hint="eastAsia" w:ascii="Arial" w:eastAsia="宋体"/>
                <w:color w:val="auto"/>
                <w:sz w:val="21"/>
                <w:lang w:val="en-US" w:eastAsia="zh-CN"/>
              </w:rPr>
            </w:pPr>
            <w:r>
              <w:rPr>
                <w:rFonts w:hint="eastAsia" w:eastAsia="宋体"/>
                <w:color w:val="auto"/>
                <w:sz w:val="21"/>
                <w:lang w:val="en-US" w:eastAsia="zh-CN"/>
              </w:rPr>
              <w:t>3</w:t>
            </w:r>
          </w:p>
        </w:tc>
        <w:tc>
          <w:tcPr>
            <w:tcW w:w="1668" w:type="dxa"/>
            <w:vAlign w:val="center"/>
          </w:tcPr>
          <w:p w14:paraId="1C485495">
            <w:pPr>
              <w:jc w:val="both"/>
              <w:rPr>
                <w:rFonts w:ascii="Arial"/>
                <w:color w:val="auto"/>
                <w:sz w:val="21"/>
              </w:rPr>
            </w:pPr>
          </w:p>
        </w:tc>
        <w:tc>
          <w:tcPr>
            <w:tcW w:w="2263" w:type="dxa"/>
            <w:vAlign w:val="center"/>
          </w:tcPr>
          <w:p w14:paraId="4DB149F6">
            <w:pPr>
              <w:jc w:val="both"/>
              <w:rPr>
                <w:rFonts w:hint="default" w:ascii="Arial" w:eastAsia="宋体"/>
                <w:color w:val="auto"/>
                <w:sz w:val="21"/>
                <w:lang w:val="en-US" w:eastAsia="zh-CN"/>
              </w:rPr>
            </w:pPr>
            <w:r>
              <w:rPr>
                <w:rFonts w:hint="eastAsia" w:eastAsia="宋体"/>
                <w:color w:val="auto"/>
                <w:sz w:val="21"/>
                <w:lang w:val="en-US" w:eastAsia="zh-CN"/>
              </w:rPr>
              <w:t>安全生产许可证</w:t>
            </w:r>
          </w:p>
        </w:tc>
        <w:tc>
          <w:tcPr>
            <w:tcW w:w="2194" w:type="dxa"/>
            <w:vAlign w:val="top"/>
          </w:tcPr>
          <w:p w14:paraId="458ABC5D">
            <w:pPr>
              <w:rPr>
                <w:rFonts w:ascii="Arial"/>
                <w:color w:val="auto"/>
                <w:sz w:val="21"/>
              </w:rPr>
            </w:pPr>
          </w:p>
        </w:tc>
        <w:tc>
          <w:tcPr>
            <w:tcW w:w="1427" w:type="dxa"/>
            <w:vAlign w:val="top"/>
          </w:tcPr>
          <w:p w14:paraId="3FF846E9">
            <w:pPr>
              <w:rPr>
                <w:rFonts w:ascii="Arial"/>
                <w:color w:val="auto"/>
                <w:sz w:val="21"/>
              </w:rPr>
            </w:pPr>
          </w:p>
        </w:tc>
        <w:tc>
          <w:tcPr>
            <w:tcW w:w="1893" w:type="dxa"/>
            <w:vAlign w:val="top"/>
          </w:tcPr>
          <w:p w14:paraId="30B34D3A">
            <w:pPr>
              <w:rPr>
                <w:rFonts w:ascii="Arial"/>
                <w:color w:val="auto"/>
                <w:sz w:val="21"/>
              </w:rPr>
            </w:pPr>
          </w:p>
        </w:tc>
      </w:tr>
      <w:tr w14:paraId="7D27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95" w:type="dxa"/>
            <w:vAlign w:val="center"/>
          </w:tcPr>
          <w:p w14:paraId="71D66C36">
            <w:pPr>
              <w:jc w:val="both"/>
              <w:rPr>
                <w:rFonts w:hint="eastAsia" w:ascii="Arial" w:eastAsia="宋体"/>
                <w:color w:val="auto"/>
                <w:sz w:val="21"/>
                <w:lang w:val="en-US" w:eastAsia="zh-CN"/>
              </w:rPr>
            </w:pPr>
            <w:r>
              <w:rPr>
                <w:rFonts w:hint="eastAsia" w:eastAsia="宋体"/>
                <w:color w:val="auto"/>
                <w:sz w:val="21"/>
                <w:lang w:val="en-US" w:eastAsia="zh-CN"/>
              </w:rPr>
              <w:t>4</w:t>
            </w:r>
          </w:p>
        </w:tc>
        <w:tc>
          <w:tcPr>
            <w:tcW w:w="1668" w:type="dxa"/>
            <w:vAlign w:val="center"/>
          </w:tcPr>
          <w:p w14:paraId="24B843FE">
            <w:pPr>
              <w:jc w:val="both"/>
              <w:rPr>
                <w:rFonts w:ascii="Arial"/>
                <w:color w:val="auto"/>
                <w:sz w:val="21"/>
              </w:rPr>
            </w:pPr>
          </w:p>
        </w:tc>
        <w:tc>
          <w:tcPr>
            <w:tcW w:w="2263" w:type="dxa"/>
            <w:vAlign w:val="center"/>
          </w:tcPr>
          <w:p w14:paraId="708925C1">
            <w:pPr>
              <w:jc w:val="both"/>
              <w:rPr>
                <w:rFonts w:hint="default" w:ascii="Arial" w:eastAsia="宋体"/>
                <w:color w:val="auto"/>
                <w:sz w:val="21"/>
                <w:lang w:val="en-US" w:eastAsia="zh-CN"/>
              </w:rPr>
            </w:pPr>
            <w:r>
              <w:rPr>
                <w:rFonts w:hint="eastAsia" w:eastAsia="宋体"/>
                <w:color w:val="auto"/>
                <w:sz w:val="21"/>
                <w:lang w:val="en-US" w:eastAsia="zh-CN"/>
              </w:rPr>
              <w:t>项目负责人职称证、执业资格证书、安全生产考核合格证书</w:t>
            </w:r>
          </w:p>
        </w:tc>
        <w:tc>
          <w:tcPr>
            <w:tcW w:w="2194" w:type="dxa"/>
            <w:vAlign w:val="top"/>
          </w:tcPr>
          <w:p w14:paraId="09F0671C">
            <w:pPr>
              <w:rPr>
                <w:rFonts w:ascii="Arial"/>
                <w:color w:val="auto"/>
                <w:sz w:val="21"/>
              </w:rPr>
            </w:pPr>
          </w:p>
        </w:tc>
        <w:tc>
          <w:tcPr>
            <w:tcW w:w="1427" w:type="dxa"/>
            <w:vAlign w:val="top"/>
          </w:tcPr>
          <w:p w14:paraId="7BF9195F">
            <w:pPr>
              <w:rPr>
                <w:rFonts w:ascii="Arial"/>
                <w:color w:val="auto"/>
                <w:sz w:val="21"/>
              </w:rPr>
            </w:pPr>
          </w:p>
        </w:tc>
        <w:tc>
          <w:tcPr>
            <w:tcW w:w="1893" w:type="dxa"/>
            <w:vAlign w:val="top"/>
          </w:tcPr>
          <w:p w14:paraId="0E73EF40">
            <w:pPr>
              <w:rPr>
                <w:rFonts w:ascii="Arial"/>
                <w:color w:val="auto"/>
                <w:sz w:val="21"/>
              </w:rPr>
            </w:pPr>
          </w:p>
        </w:tc>
      </w:tr>
      <w:tr w14:paraId="277C7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62998E3A">
            <w:pPr>
              <w:jc w:val="both"/>
              <w:rPr>
                <w:rFonts w:hint="eastAsia" w:ascii="Arial" w:eastAsia="宋体"/>
                <w:color w:val="auto"/>
                <w:sz w:val="21"/>
                <w:lang w:val="en-US" w:eastAsia="zh-CN"/>
              </w:rPr>
            </w:pPr>
            <w:r>
              <w:rPr>
                <w:rFonts w:hint="eastAsia" w:eastAsia="宋体"/>
                <w:color w:val="auto"/>
                <w:sz w:val="21"/>
                <w:lang w:val="en-US" w:eastAsia="zh-CN"/>
              </w:rPr>
              <w:t>5</w:t>
            </w:r>
          </w:p>
        </w:tc>
        <w:tc>
          <w:tcPr>
            <w:tcW w:w="1668" w:type="dxa"/>
            <w:vAlign w:val="center"/>
          </w:tcPr>
          <w:p w14:paraId="0ED6D758">
            <w:pPr>
              <w:jc w:val="both"/>
              <w:rPr>
                <w:rFonts w:hint="eastAsia" w:eastAsia="宋体"/>
                <w:color w:val="auto"/>
                <w:sz w:val="21"/>
                <w:lang w:val="en-US" w:eastAsia="zh-CN"/>
              </w:rPr>
            </w:pPr>
          </w:p>
        </w:tc>
        <w:tc>
          <w:tcPr>
            <w:tcW w:w="2263" w:type="dxa"/>
            <w:vAlign w:val="center"/>
          </w:tcPr>
          <w:p w14:paraId="7E99A83C">
            <w:pPr>
              <w:jc w:val="both"/>
              <w:rPr>
                <w:rFonts w:hint="default" w:eastAsia="宋体"/>
                <w:color w:val="auto"/>
                <w:sz w:val="21"/>
                <w:lang w:val="en-US" w:eastAsia="zh-CN"/>
              </w:rPr>
            </w:pPr>
            <w:r>
              <w:rPr>
                <w:rFonts w:hint="eastAsia" w:eastAsia="宋体"/>
                <w:color w:val="auto"/>
                <w:sz w:val="21"/>
                <w:lang w:val="en-US" w:eastAsia="zh-CN"/>
              </w:rPr>
              <w:t>企业信用查询</w:t>
            </w:r>
          </w:p>
        </w:tc>
        <w:tc>
          <w:tcPr>
            <w:tcW w:w="2194" w:type="dxa"/>
            <w:vAlign w:val="top"/>
          </w:tcPr>
          <w:p w14:paraId="028A156E">
            <w:pPr>
              <w:rPr>
                <w:rFonts w:ascii="Arial"/>
                <w:color w:val="auto"/>
                <w:sz w:val="21"/>
              </w:rPr>
            </w:pPr>
          </w:p>
        </w:tc>
        <w:tc>
          <w:tcPr>
            <w:tcW w:w="1427" w:type="dxa"/>
            <w:vAlign w:val="top"/>
          </w:tcPr>
          <w:p w14:paraId="271D7AD2">
            <w:pPr>
              <w:rPr>
                <w:rFonts w:ascii="Arial"/>
                <w:color w:val="auto"/>
                <w:sz w:val="21"/>
              </w:rPr>
            </w:pPr>
          </w:p>
        </w:tc>
        <w:tc>
          <w:tcPr>
            <w:tcW w:w="1893" w:type="dxa"/>
            <w:vAlign w:val="top"/>
          </w:tcPr>
          <w:p w14:paraId="61909039">
            <w:pPr>
              <w:rPr>
                <w:rFonts w:ascii="Arial"/>
                <w:color w:val="auto"/>
                <w:sz w:val="21"/>
              </w:rPr>
            </w:pPr>
          </w:p>
        </w:tc>
      </w:tr>
      <w:tr w14:paraId="63F4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95" w:type="dxa"/>
            <w:vAlign w:val="top"/>
          </w:tcPr>
          <w:p w14:paraId="2E1308D6">
            <w:pPr>
              <w:pStyle w:val="20"/>
              <w:spacing w:before="220" w:line="96" w:lineRule="exact"/>
              <w:ind w:left="126"/>
              <w:rPr>
                <w:color w:val="auto"/>
              </w:rPr>
            </w:pPr>
            <w:r>
              <w:rPr>
                <w:color w:val="auto"/>
                <w:spacing w:val="1"/>
                <w:position w:val="1"/>
              </w:rPr>
              <w:t>...</w:t>
            </w:r>
          </w:p>
        </w:tc>
        <w:tc>
          <w:tcPr>
            <w:tcW w:w="1668" w:type="dxa"/>
            <w:vAlign w:val="top"/>
          </w:tcPr>
          <w:p w14:paraId="7681B39E">
            <w:pPr>
              <w:rPr>
                <w:rFonts w:ascii="Arial"/>
                <w:color w:val="auto"/>
                <w:sz w:val="21"/>
              </w:rPr>
            </w:pPr>
          </w:p>
        </w:tc>
        <w:tc>
          <w:tcPr>
            <w:tcW w:w="2263" w:type="dxa"/>
            <w:vAlign w:val="top"/>
          </w:tcPr>
          <w:p w14:paraId="221DB856">
            <w:pPr>
              <w:rPr>
                <w:rFonts w:ascii="Arial"/>
                <w:color w:val="auto"/>
                <w:sz w:val="21"/>
              </w:rPr>
            </w:pPr>
          </w:p>
        </w:tc>
        <w:tc>
          <w:tcPr>
            <w:tcW w:w="2194" w:type="dxa"/>
            <w:vAlign w:val="top"/>
          </w:tcPr>
          <w:p w14:paraId="34E1AFD8">
            <w:pPr>
              <w:rPr>
                <w:rFonts w:ascii="Arial"/>
                <w:color w:val="auto"/>
                <w:sz w:val="21"/>
              </w:rPr>
            </w:pPr>
          </w:p>
        </w:tc>
        <w:tc>
          <w:tcPr>
            <w:tcW w:w="1427" w:type="dxa"/>
            <w:vAlign w:val="top"/>
          </w:tcPr>
          <w:p w14:paraId="3237ABF0">
            <w:pPr>
              <w:rPr>
                <w:rFonts w:ascii="Arial"/>
                <w:color w:val="auto"/>
                <w:sz w:val="21"/>
              </w:rPr>
            </w:pPr>
          </w:p>
        </w:tc>
        <w:tc>
          <w:tcPr>
            <w:tcW w:w="1893" w:type="dxa"/>
            <w:vAlign w:val="top"/>
          </w:tcPr>
          <w:p w14:paraId="2E4A9BA8">
            <w:pPr>
              <w:rPr>
                <w:rFonts w:ascii="Arial"/>
                <w:color w:val="auto"/>
                <w:sz w:val="21"/>
              </w:rPr>
            </w:pPr>
          </w:p>
        </w:tc>
      </w:tr>
    </w:tbl>
    <w:p w14:paraId="043822F7">
      <w:pPr>
        <w:spacing w:before="296" w:line="569" w:lineRule="exact"/>
        <w:ind w:left="598"/>
        <w:rPr>
          <w:rFonts w:ascii="黑体" w:hAnsi="黑体" w:eastAsia="黑体" w:cs="黑体"/>
          <w:color w:val="auto"/>
          <w:sz w:val="24"/>
          <w:szCs w:val="24"/>
        </w:rPr>
      </w:pPr>
      <w:r>
        <w:rPr>
          <w:rFonts w:ascii="黑体" w:hAnsi="黑体" w:eastAsia="黑体" w:cs="黑体"/>
          <w:color w:val="auto"/>
          <w:spacing w:val="7"/>
          <w:position w:val="25"/>
          <w:sz w:val="24"/>
          <w:szCs w:val="24"/>
        </w:rPr>
        <w:t>注:若有偏离,请将具体偏离条款在“偏离”一栏中详细说明;若</w:t>
      </w:r>
      <w:r>
        <w:rPr>
          <w:rFonts w:ascii="黑体" w:hAnsi="黑体" w:eastAsia="黑体" w:cs="黑体"/>
          <w:color w:val="auto"/>
          <w:spacing w:val="6"/>
          <w:position w:val="25"/>
          <w:sz w:val="24"/>
          <w:szCs w:val="24"/>
        </w:rPr>
        <w:t>无偏离,请在“偏离”</w:t>
      </w:r>
    </w:p>
    <w:p w14:paraId="716BCC11">
      <w:pPr>
        <w:spacing w:line="221" w:lineRule="auto"/>
        <w:ind w:left="599"/>
        <w:rPr>
          <w:rFonts w:ascii="黑体" w:hAnsi="黑体" w:eastAsia="黑体" w:cs="黑体"/>
          <w:color w:val="auto"/>
          <w:sz w:val="24"/>
          <w:szCs w:val="24"/>
        </w:rPr>
      </w:pPr>
      <w:r>
        <w:rPr>
          <w:rFonts w:ascii="黑体" w:hAnsi="黑体" w:eastAsia="黑体" w:cs="黑体"/>
          <w:color w:val="auto"/>
          <w:spacing w:val="3"/>
          <w:sz w:val="24"/>
          <w:szCs w:val="24"/>
        </w:rPr>
        <w:t>一栏中标注“无”字样。</w:t>
      </w:r>
    </w:p>
    <w:p w14:paraId="7C5BF6EE">
      <w:pPr>
        <w:pStyle w:val="5"/>
        <w:spacing w:line="283" w:lineRule="auto"/>
        <w:rPr>
          <w:color w:val="auto"/>
        </w:rPr>
      </w:pPr>
    </w:p>
    <w:p w14:paraId="7D8BFBB0">
      <w:pPr>
        <w:pStyle w:val="5"/>
        <w:spacing w:line="283" w:lineRule="auto"/>
        <w:rPr>
          <w:color w:val="auto"/>
        </w:rPr>
      </w:pPr>
    </w:p>
    <w:p w14:paraId="72068F69">
      <w:pPr>
        <w:pStyle w:val="5"/>
        <w:spacing w:line="283" w:lineRule="auto"/>
        <w:rPr>
          <w:color w:val="auto"/>
        </w:rPr>
      </w:pPr>
    </w:p>
    <w:p w14:paraId="7B77755A">
      <w:pPr>
        <w:pStyle w:val="5"/>
        <w:spacing w:line="284" w:lineRule="auto"/>
        <w:rPr>
          <w:color w:val="auto"/>
        </w:rPr>
      </w:pPr>
    </w:p>
    <w:p w14:paraId="780BA14C">
      <w:pPr>
        <w:spacing w:before="78" w:line="222" w:lineRule="auto"/>
        <w:ind w:left="5007"/>
        <w:rPr>
          <w:rFonts w:ascii="黑体" w:hAnsi="黑体" w:eastAsia="黑体" w:cs="黑体"/>
          <w:color w:val="auto"/>
          <w:sz w:val="24"/>
          <w:szCs w:val="24"/>
        </w:rPr>
      </w:pPr>
      <w:r>
        <w:rPr>
          <w:rFonts w:ascii="黑体" w:hAnsi="黑体" w:eastAsia="黑体" w:cs="黑体"/>
          <w:color w:val="auto"/>
          <w:spacing w:val="4"/>
          <w:sz w:val="24"/>
          <w:szCs w:val="24"/>
        </w:rPr>
        <w:t>供应商名称（盖章</w:t>
      </w:r>
      <w:r>
        <w:rPr>
          <w:rFonts w:ascii="黑体" w:hAnsi="黑体" w:eastAsia="黑体" w:cs="黑体"/>
          <w:color w:val="auto"/>
          <w:sz w:val="24"/>
          <w:szCs w:val="24"/>
        </w:rPr>
        <w:t>）：</w:t>
      </w:r>
    </w:p>
    <w:p w14:paraId="6A1CCD91">
      <w:pPr>
        <w:spacing w:before="280" w:line="222" w:lineRule="auto"/>
        <w:ind w:left="4996"/>
        <w:rPr>
          <w:rFonts w:ascii="黑体" w:hAnsi="黑体" w:eastAsia="黑体" w:cs="黑体"/>
          <w:color w:val="auto"/>
          <w:sz w:val="24"/>
          <w:szCs w:val="24"/>
        </w:rPr>
      </w:pPr>
      <w:r>
        <w:rPr>
          <w:rFonts w:ascii="黑体" w:hAnsi="黑体" w:eastAsia="黑体" w:cs="黑体"/>
          <w:color w:val="auto"/>
          <w:spacing w:val="4"/>
          <w:sz w:val="24"/>
          <w:szCs w:val="24"/>
        </w:rPr>
        <w:t>法定代表人或委托代理人（签字或盖章</w:t>
      </w:r>
      <w:r>
        <w:rPr>
          <w:rFonts w:ascii="黑体" w:hAnsi="黑体" w:eastAsia="黑体" w:cs="黑体"/>
          <w:color w:val="auto"/>
          <w:spacing w:val="7"/>
          <w:sz w:val="24"/>
          <w:szCs w:val="24"/>
        </w:rPr>
        <w:t>）：</w:t>
      </w:r>
    </w:p>
    <w:p w14:paraId="03D6ACC1">
      <w:pPr>
        <w:spacing w:before="283" w:line="223" w:lineRule="auto"/>
        <w:ind w:left="6877"/>
        <w:rPr>
          <w:rFonts w:ascii="黑体" w:hAnsi="黑体" w:eastAsia="黑体" w:cs="黑体"/>
          <w:color w:val="auto"/>
          <w:sz w:val="24"/>
          <w:szCs w:val="24"/>
        </w:rPr>
      </w:pPr>
      <w:r>
        <w:rPr>
          <w:rFonts w:ascii="黑体" w:hAnsi="黑体" w:eastAsia="黑体" w:cs="黑体"/>
          <w:color w:val="auto"/>
          <w:spacing w:val="-12"/>
          <w:sz w:val="24"/>
          <w:szCs w:val="24"/>
        </w:rPr>
        <w:t>日期：年月日</w:t>
      </w:r>
    </w:p>
    <w:p w14:paraId="5A74652A">
      <w:pPr>
        <w:spacing w:line="223" w:lineRule="auto"/>
        <w:rPr>
          <w:rFonts w:ascii="黑体" w:hAnsi="黑体" w:eastAsia="黑体" w:cs="黑体"/>
          <w:color w:val="auto"/>
          <w:sz w:val="24"/>
          <w:szCs w:val="24"/>
        </w:rPr>
        <w:sectPr>
          <w:footerReference r:id="rId40" w:type="default"/>
          <w:pgSz w:w="11906" w:h="16839"/>
          <w:pgMar w:top="1440" w:right="1080" w:bottom="1440" w:left="1080" w:header="0" w:footer="850" w:gutter="0"/>
          <w:pgNumType w:fmt="decimal"/>
          <w:cols w:space="720" w:num="1"/>
        </w:sectPr>
      </w:pPr>
    </w:p>
    <w:p w14:paraId="11CC61D6">
      <w:pPr>
        <w:spacing w:before="101" w:line="230" w:lineRule="auto"/>
        <w:ind w:left="58"/>
        <w:outlineLvl w:val="1"/>
        <w:rPr>
          <w:rFonts w:ascii="黑体" w:hAnsi="黑体" w:eastAsia="黑体" w:cs="黑体"/>
          <w:color w:val="auto"/>
          <w:sz w:val="31"/>
          <w:szCs w:val="31"/>
        </w:rPr>
      </w:pPr>
      <w:bookmarkStart w:id="238" w:name="_Toc14983"/>
      <w:r>
        <w:rPr>
          <w:rFonts w:ascii="黑体" w:hAnsi="黑体" w:eastAsia="黑体" w:cs="黑体"/>
          <w:color w:val="auto"/>
          <w:spacing w:val="-4"/>
          <w:sz w:val="31"/>
          <w:szCs w:val="31"/>
          <w14:textOutline w14:w="5793" w14:cap="sq" w14:cmpd="sng">
            <w14:solidFill>
              <w14:srgbClr w14:val="000000"/>
            </w14:solidFill>
            <w14:prstDash w14:val="solid"/>
            <w14:bevel/>
          </w14:textOutline>
        </w:rPr>
        <w:t>附件11:</w:t>
      </w:r>
      <w:bookmarkEnd w:id="238"/>
    </w:p>
    <w:p w14:paraId="39521DDA">
      <w:pPr>
        <w:spacing w:before="238" w:line="226" w:lineRule="auto"/>
        <w:ind w:firstLine="1670" w:firstLineChars="500"/>
        <w:outlineLvl w:val="1"/>
        <w:rPr>
          <w:rFonts w:hint="eastAsia" w:ascii="黑体" w:hAnsi="黑体" w:eastAsia="黑体" w:cs="黑体"/>
          <w:color w:val="auto"/>
          <w:spacing w:val="12"/>
          <w:sz w:val="31"/>
          <w:szCs w:val="31"/>
          <w:lang w:eastAsia="zh-CN"/>
          <w14:textOutline w14:w="5793" w14:cap="sq" w14:cmpd="sng">
            <w14:solidFill>
              <w14:srgbClr w14:val="000000"/>
            </w14:solidFill>
            <w14:prstDash w14:val="solid"/>
            <w14:bevel/>
          </w14:textOutline>
        </w:rPr>
      </w:pPr>
      <w:bookmarkStart w:id="239" w:name="_Toc25092"/>
      <w:r>
        <w:rPr>
          <w:rFonts w:ascii="黑体" w:hAnsi="黑体" w:eastAsia="黑体" w:cs="黑体"/>
          <w:color w:val="auto"/>
          <w:spacing w:val="12"/>
          <w:sz w:val="31"/>
          <w:szCs w:val="31"/>
          <w14:textOutline w14:w="5793" w14:cap="sq" w14:cmpd="sng">
            <w14:solidFill>
              <w14:srgbClr w14:val="000000"/>
            </w14:solidFill>
            <w14:prstDash w14:val="solid"/>
            <w14:bevel/>
          </w14:textOutline>
        </w:rPr>
        <w:t>近</w:t>
      </w:r>
      <w:r>
        <w:rPr>
          <w:rFonts w:hint="eastAsia" w:ascii="黑体" w:hAnsi="黑体" w:eastAsia="黑体" w:cs="黑体"/>
          <w:color w:val="auto"/>
          <w:spacing w:val="12"/>
          <w:sz w:val="31"/>
          <w:szCs w:val="31"/>
          <w:lang w:val="en-US" w:eastAsia="zh-CN"/>
          <w14:textOutline w14:w="5793" w14:cap="sq" w14:cmpd="sng">
            <w14:solidFill>
              <w14:srgbClr w14:val="000000"/>
            </w14:solidFill>
            <w14:prstDash w14:val="solid"/>
            <w14:bevel/>
          </w14:textOutline>
        </w:rPr>
        <w:t>三</w:t>
      </w:r>
      <w:r>
        <w:rPr>
          <w:rFonts w:ascii="黑体" w:hAnsi="黑体" w:eastAsia="黑体" w:cs="黑体"/>
          <w:color w:val="auto"/>
          <w:spacing w:val="12"/>
          <w:sz w:val="31"/>
          <w:szCs w:val="31"/>
          <w14:textOutline w14:w="5793" w14:cap="sq" w14:cmpd="sng">
            <w14:solidFill>
              <w14:srgbClr w14:val="000000"/>
            </w14:solidFill>
            <w14:prstDash w14:val="solid"/>
            <w14:bevel/>
          </w14:textOutline>
        </w:rPr>
        <w:t>年同类项目业绩表</w:t>
      </w:r>
      <w:r>
        <w:rPr>
          <w:rFonts w:hint="eastAsia" w:ascii="黑体" w:hAnsi="黑体" w:eastAsia="黑体" w:cs="黑体"/>
          <w:color w:val="auto"/>
          <w:spacing w:val="12"/>
          <w:sz w:val="31"/>
          <w:szCs w:val="31"/>
          <w:lang w:eastAsia="zh-CN"/>
          <w14:textOutline w14:w="5793" w14:cap="sq" w14:cmpd="sng">
            <w14:solidFill>
              <w14:srgbClr w14:val="000000"/>
            </w14:solidFill>
            <w14:prstDash w14:val="solid"/>
            <w14:bevel/>
          </w14:textOutline>
        </w:rPr>
        <w:t>（</w:t>
      </w:r>
      <w:r>
        <w:rPr>
          <w:rFonts w:hint="eastAsia" w:ascii="黑体" w:hAnsi="黑体" w:eastAsia="黑体" w:cs="黑体"/>
          <w:color w:val="auto"/>
          <w:spacing w:val="12"/>
          <w:sz w:val="31"/>
          <w:szCs w:val="31"/>
          <w:lang w:val="en-US" w:eastAsia="zh-CN"/>
          <w14:textOutline w14:w="5793" w14:cap="sq" w14:cmpd="sng">
            <w14:solidFill>
              <w14:srgbClr w14:val="000000"/>
            </w14:solidFill>
            <w14:prstDash w14:val="solid"/>
            <w14:bevel/>
          </w14:textOutline>
        </w:rPr>
        <w:t>2022年1月至今</w:t>
      </w:r>
      <w:r>
        <w:rPr>
          <w:rFonts w:hint="eastAsia" w:ascii="黑体" w:hAnsi="黑体" w:eastAsia="黑体" w:cs="黑体"/>
          <w:color w:val="auto"/>
          <w:spacing w:val="12"/>
          <w:sz w:val="31"/>
          <w:szCs w:val="31"/>
          <w:lang w:eastAsia="zh-CN"/>
          <w14:textOutline w14:w="5793" w14:cap="sq" w14:cmpd="sng">
            <w14:solidFill>
              <w14:srgbClr w14:val="000000"/>
            </w14:solidFill>
            <w14:prstDash w14:val="solid"/>
            <w14:bevel/>
          </w14:textOutline>
        </w:rPr>
        <w:t>）</w:t>
      </w:r>
      <w:bookmarkEnd w:id="239"/>
    </w:p>
    <w:p w14:paraId="652A0C16">
      <w:pPr>
        <w:spacing w:line="90" w:lineRule="exact"/>
        <w:rPr>
          <w:color w:val="auto"/>
        </w:rPr>
      </w:pPr>
    </w:p>
    <w:tbl>
      <w:tblPr>
        <w:tblStyle w:val="19"/>
        <w:tblW w:w="94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849"/>
        <w:gridCol w:w="1803"/>
        <w:gridCol w:w="1394"/>
        <w:gridCol w:w="1799"/>
        <w:gridCol w:w="1698"/>
      </w:tblGrid>
      <w:tr w14:paraId="41D7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864" w:type="dxa"/>
            <w:tcBorders>
              <w:top w:val="single" w:color="000000" w:sz="2" w:space="0"/>
              <w:left w:val="single" w:color="000000" w:sz="2" w:space="0"/>
              <w:bottom w:val="single" w:color="000000" w:sz="2" w:space="0"/>
            </w:tcBorders>
            <w:vAlign w:val="top"/>
          </w:tcPr>
          <w:p w14:paraId="3663EE11">
            <w:pPr>
              <w:pStyle w:val="20"/>
              <w:spacing w:before="300" w:line="208" w:lineRule="auto"/>
              <w:ind w:left="196"/>
              <w:rPr>
                <w:color w:val="auto"/>
              </w:rPr>
            </w:pPr>
            <w:r>
              <w:rPr>
                <w:color w:val="auto"/>
                <w:spacing w:val="-4"/>
              </w:rPr>
              <w:t>序号</w:t>
            </w:r>
          </w:p>
        </w:tc>
        <w:tc>
          <w:tcPr>
            <w:tcW w:w="1849" w:type="dxa"/>
            <w:tcBorders>
              <w:top w:val="single" w:color="000000" w:sz="2" w:space="0"/>
            </w:tcBorders>
            <w:vAlign w:val="top"/>
          </w:tcPr>
          <w:p w14:paraId="1C306ED5">
            <w:pPr>
              <w:pStyle w:val="20"/>
              <w:spacing w:before="300" w:line="208" w:lineRule="auto"/>
              <w:ind w:left="443"/>
              <w:rPr>
                <w:color w:val="auto"/>
              </w:rPr>
            </w:pPr>
            <w:r>
              <w:rPr>
                <w:color w:val="auto"/>
                <w:spacing w:val="-1"/>
              </w:rPr>
              <w:t>项目名称</w:t>
            </w:r>
          </w:p>
        </w:tc>
        <w:tc>
          <w:tcPr>
            <w:tcW w:w="1803" w:type="dxa"/>
            <w:tcBorders>
              <w:top w:val="single" w:color="000000" w:sz="2" w:space="0"/>
            </w:tcBorders>
            <w:vAlign w:val="top"/>
          </w:tcPr>
          <w:p w14:paraId="20332225">
            <w:pPr>
              <w:pStyle w:val="20"/>
              <w:spacing w:before="300" w:line="208" w:lineRule="auto"/>
              <w:ind w:left="420"/>
              <w:rPr>
                <w:color w:val="auto"/>
              </w:rPr>
            </w:pPr>
            <w:r>
              <w:rPr>
                <w:color w:val="auto"/>
                <w:spacing w:val="-1"/>
              </w:rPr>
              <w:t>完成时间</w:t>
            </w:r>
          </w:p>
        </w:tc>
        <w:tc>
          <w:tcPr>
            <w:tcW w:w="1394" w:type="dxa"/>
            <w:tcBorders>
              <w:top w:val="single" w:color="000000" w:sz="2" w:space="0"/>
            </w:tcBorders>
            <w:vAlign w:val="top"/>
          </w:tcPr>
          <w:p w14:paraId="74A921AB">
            <w:pPr>
              <w:pStyle w:val="20"/>
              <w:spacing w:before="300" w:line="208" w:lineRule="auto"/>
              <w:ind w:left="217"/>
              <w:rPr>
                <w:color w:val="auto"/>
              </w:rPr>
            </w:pPr>
            <w:r>
              <w:rPr>
                <w:color w:val="auto"/>
                <w:spacing w:val="-1"/>
              </w:rPr>
              <w:t>合同金额</w:t>
            </w:r>
          </w:p>
        </w:tc>
        <w:tc>
          <w:tcPr>
            <w:tcW w:w="1799" w:type="dxa"/>
            <w:tcBorders>
              <w:top w:val="single" w:color="000000" w:sz="2" w:space="0"/>
            </w:tcBorders>
            <w:vAlign w:val="top"/>
          </w:tcPr>
          <w:p w14:paraId="567B9FBC">
            <w:pPr>
              <w:pStyle w:val="20"/>
              <w:spacing w:before="300" w:line="208" w:lineRule="auto"/>
              <w:ind w:left="296"/>
              <w:rPr>
                <w:color w:val="auto"/>
              </w:rPr>
            </w:pPr>
            <w:r>
              <w:rPr>
                <w:color w:val="auto"/>
              </w:rPr>
              <w:t>采购人名称</w:t>
            </w:r>
          </w:p>
        </w:tc>
        <w:tc>
          <w:tcPr>
            <w:tcW w:w="1698" w:type="dxa"/>
            <w:tcBorders>
              <w:top w:val="single" w:color="000000" w:sz="2" w:space="0"/>
              <w:right w:val="single" w:color="000000" w:sz="2" w:space="0"/>
            </w:tcBorders>
            <w:vAlign w:val="top"/>
          </w:tcPr>
          <w:p w14:paraId="5F739A03">
            <w:pPr>
              <w:pStyle w:val="20"/>
              <w:spacing w:before="300" w:line="208" w:lineRule="auto"/>
              <w:ind w:left="611"/>
              <w:rPr>
                <w:color w:val="auto"/>
              </w:rPr>
            </w:pPr>
            <w:r>
              <w:rPr>
                <w:color w:val="auto"/>
                <w:spacing w:val="-4"/>
              </w:rPr>
              <w:t>备注</w:t>
            </w:r>
          </w:p>
        </w:tc>
      </w:tr>
      <w:tr w14:paraId="0E6A9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3A068AE9">
            <w:pPr>
              <w:rPr>
                <w:rFonts w:ascii="Arial"/>
                <w:color w:val="auto"/>
                <w:sz w:val="21"/>
              </w:rPr>
            </w:pPr>
          </w:p>
        </w:tc>
        <w:tc>
          <w:tcPr>
            <w:tcW w:w="1849" w:type="dxa"/>
            <w:vAlign w:val="top"/>
          </w:tcPr>
          <w:p w14:paraId="5AF03E5E">
            <w:pPr>
              <w:rPr>
                <w:rFonts w:ascii="Arial"/>
                <w:color w:val="auto"/>
                <w:sz w:val="21"/>
              </w:rPr>
            </w:pPr>
          </w:p>
        </w:tc>
        <w:tc>
          <w:tcPr>
            <w:tcW w:w="1803" w:type="dxa"/>
            <w:vAlign w:val="top"/>
          </w:tcPr>
          <w:p w14:paraId="411F6DD3">
            <w:pPr>
              <w:rPr>
                <w:rFonts w:ascii="Arial"/>
                <w:color w:val="auto"/>
                <w:sz w:val="21"/>
              </w:rPr>
            </w:pPr>
          </w:p>
        </w:tc>
        <w:tc>
          <w:tcPr>
            <w:tcW w:w="1394" w:type="dxa"/>
            <w:vAlign w:val="top"/>
          </w:tcPr>
          <w:p w14:paraId="1EEE8814">
            <w:pPr>
              <w:rPr>
                <w:rFonts w:ascii="Arial"/>
                <w:color w:val="auto"/>
                <w:sz w:val="21"/>
              </w:rPr>
            </w:pPr>
          </w:p>
        </w:tc>
        <w:tc>
          <w:tcPr>
            <w:tcW w:w="1799" w:type="dxa"/>
            <w:vAlign w:val="top"/>
          </w:tcPr>
          <w:p w14:paraId="7CB1C2F4">
            <w:pPr>
              <w:rPr>
                <w:rFonts w:ascii="Arial"/>
                <w:color w:val="auto"/>
                <w:sz w:val="21"/>
              </w:rPr>
            </w:pPr>
          </w:p>
        </w:tc>
        <w:tc>
          <w:tcPr>
            <w:tcW w:w="1698" w:type="dxa"/>
            <w:tcBorders>
              <w:right w:val="single" w:color="000000" w:sz="2" w:space="0"/>
            </w:tcBorders>
            <w:vAlign w:val="top"/>
          </w:tcPr>
          <w:p w14:paraId="7752CC2B">
            <w:pPr>
              <w:rPr>
                <w:rFonts w:ascii="Arial"/>
                <w:color w:val="auto"/>
                <w:sz w:val="21"/>
              </w:rPr>
            </w:pPr>
          </w:p>
        </w:tc>
      </w:tr>
      <w:tr w14:paraId="48EE5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2B318FBE">
            <w:pPr>
              <w:rPr>
                <w:rFonts w:ascii="Arial"/>
                <w:color w:val="auto"/>
                <w:sz w:val="21"/>
              </w:rPr>
            </w:pPr>
          </w:p>
        </w:tc>
        <w:tc>
          <w:tcPr>
            <w:tcW w:w="1849" w:type="dxa"/>
            <w:vAlign w:val="top"/>
          </w:tcPr>
          <w:p w14:paraId="231E2D45">
            <w:pPr>
              <w:rPr>
                <w:rFonts w:ascii="Arial"/>
                <w:color w:val="auto"/>
                <w:sz w:val="21"/>
              </w:rPr>
            </w:pPr>
          </w:p>
        </w:tc>
        <w:tc>
          <w:tcPr>
            <w:tcW w:w="1803" w:type="dxa"/>
            <w:vAlign w:val="top"/>
          </w:tcPr>
          <w:p w14:paraId="41982E1B">
            <w:pPr>
              <w:rPr>
                <w:rFonts w:ascii="Arial"/>
                <w:color w:val="auto"/>
                <w:sz w:val="21"/>
              </w:rPr>
            </w:pPr>
          </w:p>
        </w:tc>
        <w:tc>
          <w:tcPr>
            <w:tcW w:w="1394" w:type="dxa"/>
            <w:vAlign w:val="top"/>
          </w:tcPr>
          <w:p w14:paraId="659FA915">
            <w:pPr>
              <w:rPr>
                <w:rFonts w:ascii="Arial"/>
                <w:color w:val="auto"/>
                <w:sz w:val="21"/>
              </w:rPr>
            </w:pPr>
          </w:p>
        </w:tc>
        <w:tc>
          <w:tcPr>
            <w:tcW w:w="1799" w:type="dxa"/>
            <w:vAlign w:val="top"/>
          </w:tcPr>
          <w:p w14:paraId="58C3F39C">
            <w:pPr>
              <w:rPr>
                <w:rFonts w:ascii="Arial"/>
                <w:color w:val="auto"/>
                <w:sz w:val="21"/>
              </w:rPr>
            </w:pPr>
          </w:p>
        </w:tc>
        <w:tc>
          <w:tcPr>
            <w:tcW w:w="1698" w:type="dxa"/>
            <w:tcBorders>
              <w:right w:val="single" w:color="000000" w:sz="2" w:space="0"/>
            </w:tcBorders>
            <w:vAlign w:val="top"/>
          </w:tcPr>
          <w:p w14:paraId="2736C367">
            <w:pPr>
              <w:rPr>
                <w:rFonts w:ascii="Arial"/>
                <w:color w:val="auto"/>
                <w:sz w:val="21"/>
              </w:rPr>
            </w:pPr>
          </w:p>
        </w:tc>
      </w:tr>
      <w:tr w14:paraId="67A3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41BFD082">
            <w:pPr>
              <w:rPr>
                <w:rFonts w:ascii="Arial"/>
                <w:color w:val="auto"/>
                <w:sz w:val="21"/>
              </w:rPr>
            </w:pPr>
          </w:p>
        </w:tc>
        <w:tc>
          <w:tcPr>
            <w:tcW w:w="1849" w:type="dxa"/>
            <w:vAlign w:val="top"/>
          </w:tcPr>
          <w:p w14:paraId="5F3EB652">
            <w:pPr>
              <w:rPr>
                <w:rFonts w:ascii="Arial"/>
                <w:color w:val="auto"/>
                <w:sz w:val="21"/>
              </w:rPr>
            </w:pPr>
          </w:p>
        </w:tc>
        <w:tc>
          <w:tcPr>
            <w:tcW w:w="1803" w:type="dxa"/>
            <w:vAlign w:val="top"/>
          </w:tcPr>
          <w:p w14:paraId="114A6480">
            <w:pPr>
              <w:rPr>
                <w:rFonts w:ascii="Arial"/>
                <w:color w:val="auto"/>
                <w:sz w:val="21"/>
              </w:rPr>
            </w:pPr>
          </w:p>
        </w:tc>
        <w:tc>
          <w:tcPr>
            <w:tcW w:w="1394" w:type="dxa"/>
            <w:vAlign w:val="top"/>
          </w:tcPr>
          <w:p w14:paraId="3D702090">
            <w:pPr>
              <w:rPr>
                <w:rFonts w:ascii="Arial"/>
                <w:color w:val="auto"/>
                <w:sz w:val="21"/>
              </w:rPr>
            </w:pPr>
          </w:p>
        </w:tc>
        <w:tc>
          <w:tcPr>
            <w:tcW w:w="1799" w:type="dxa"/>
            <w:vAlign w:val="top"/>
          </w:tcPr>
          <w:p w14:paraId="067C5000">
            <w:pPr>
              <w:rPr>
                <w:rFonts w:ascii="Arial"/>
                <w:color w:val="auto"/>
                <w:sz w:val="21"/>
              </w:rPr>
            </w:pPr>
          </w:p>
        </w:tc>
        <w:tc>
          <w:tcPr>
            <w:tcW w:w="1698" w:type="dxa"/>
            <w:tcBorders>
              <w:right w:val="single" w:color="000000" w:sz="2" w:space="0"/>
            </w:tcBorders>
            <w:vAlign w:val="top"/>
          </w:tcPr>
          <w:p w14:paraId="1ECE6BE4">
            <w:pPr>
              <w:rPr>
                <w:rFonts w:ascii="Arial"/>
                <w:color w:val="auto"/>
                <w:sz w:val="21"/>
              </w:rPr>
            </w:pPr>
          </w:p>
        </w:tc>
      </w:tr>
      <w:tr w14:paraId="7176D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48766D0A">
            <w:pPr>
              <w:rPr>
                <w:rFonts w:ascii="Arial"/>
                <w:color w:val="auto"/>
                <w:sz w:val="21"/>
              </w:rPr>
            </w:pPr>
          </w:p>
        </w:tc>
        <w:tc>
          <w:tcPr>
            <w:tcW w:w="1849" w:type="dxa"/>
            <w:vAlign w:val="top"/>
          </w:tcPr>
          <w:p w14:paraId="7046B208">
            <w:pPr>
              <w:rPr>
                <w:rFonts w:ascii="Arial"/>
                <w:color w:val="auto"/>
                <w:sz w:val="21"/>
              </w:rPr>
            </w:pPr>
          </w:p>
        </w:tc>
        <w:tc>
          <w:tcPr>
            <w:tcW w:w="1803" w:type="dxa"/>
            <w:vAlign w:val="top"/>
          </w:tcPr>
          <w:p w14:paraId="7C067A05">
            <w:pPr>
              <w:rPr>
                <w:rFonts w:ascii="Arial"/>
                <w:color w:val="auto"/>
                <w:sz w:val="21"/>
              </w:rPr>
            </w:pPr>
          </w:p>
        </w:tc>
        <w:tc>
          <w:tcPr>
            <w:tcW w:w="1394" w:type="dxa"/>
            <w:vAlign w:val="top"/>
          </w:tcPr>
          <w:p w14:paraId="13FACF58">
            <w:pPr>
              <w:rPr>
                <w:rFonts w:ascii="Arial"/>
                <w:color w:val="auto"/>
                <w:sz w:val="21"/>
              </w:rPr>
            </w:pPr>
          </w:p>
        </w:tc>
        <w:tc>
          <w:tcPr>
            <w:tcW w:w="1799" w:type="dxa"/>
            <w:vAlign w:val="top"/>
          </w:tcPr>
          <w:p w14:paraId="0801D61B">
            <w:pPr>
              <w:rPr>
                <w:rFonts w:ascii="Arial"/>
                <w:color w:val="auto"/>
                <w:sz w:val="21"/>
              </w:rPr>
            </w:pPr>
          </w:p>
        </w:tc>
        <w:tc>
          <w:tcPr>
            <w:tcW w:w="1698" w:type="dxa"/>
            <w:tcBorders>
              <w:right w:val="single" w:color="000000" w:sz="2" w:space="0"/>
            </w:tcBorders>
            <w:vAlign w:val="top"/>
          </w:tcPr>
          <w:p w14:paraId="5C0FA3DE">
            <w:pPr>
              <w:rPr>
                <w:rFonts w:ascii="Arial"/>
                <w:color w:val="auto"/>
                <w:sz w:val="21"/>
              </w:rPr>
            </w:pPr>
          </w:p>
        </w:tc>
      </w:tr>
      <w:tr w14:paraId="50665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6230CC8B">
            <w:pPr>
              <w:rPr>
                <w:rFonts w:ascii="Arial"/>
                <w:color w:val="auto"/>
                <w:sz w:val="21"/>
              </w:rPr>
            </w:pPr>
          </w:p>
        </w:tc>
        <w:tc>
          <w:tcPr>
            <w:tcW w:w="1849" w:type="dxa"/>
            <w:vAlign w:val="top"/>
          </w:tcPr>
          <w:p w14:paraId="79020750">
            <w:pPr>
              <w:rPr>
                <w:rFonts w:ascii="Arial"/>
                <w:color w:val="auto"/>
                <w:sz w:val="21"/>
              </w:rPr>
            </w:pPr>
          </w:p>
        </w:tc>
        <w:tc>
          <w:tcPr>
            <w:tcW w:w="1803" w:type="dxa"/>
            <w:vAlign w:val="top"/>
          </w:tcPr>
          <w:p w14:paraId="3E62055C">
            <w:pPr>
              <w:rPr>
                <w:rFonts w:ascii="Arial"/>
                <w:color w:val="auto"/>
                <w:sz w:val="21"/>
              </w:rPr>
            </w:pPr>
          </w:p>
        </w:tc>
        <w:tc>
          <w:tcPr>
            <w:tcW w:w="1394" w:type="dxa"/>
            <w:vAlign w:val="top"/>
          </w:tcPr>
          <w:p w14:paraId="6B289BCF">
            <w:pPr>
              <w:rPr>
                <w:rFonts w:ascii="Arial"/>
                <w:color w:val="auto"/>
                <w:sz w:val="21"/>
              </w:rPr>
            </w:pPr>
          </w:p>
        </w:tc>
        <w:tc>
          <w:tcPr>
            <w:tcW w:w="1799" w:type="dxa"/>
            <w:vAlign w:val="top"/>
          </w:tcPr>
          <w:p w14:paraId="397D76AD">
            <w:pPr>
              <w:rPr>
                <w:rFonts w:ascii="Arial"/>
                <w:color w:val="auto"/>
                <w:sz w:val="21"/>
              </w:rPr>
            </w:pPr>
          </w:p>
        </w:tc>
        <w:tc>
          <w:tcPr>
            <w:tcW w:w="1698" w:type="dxa"/>
            <w:tcBorders>
              <w:right w:val="single" w:color="000000" w:sz="2" w:space="0"/>
            </w:tcBorders>
            <w:vAlign w:val="top"/>
          </w:tcPr>
          <w:p w14:paraId="16D5F8B6">
            <w:pPr>
              <w:rPr>
                <w:rFonts w:ascii="Arial"/>
                <w:color w:val="auto"/>
                <w:sz w:val="21"/>
              </w:rPr>
            </w:pPr>
          </w:p>
        </w:tc>
      </w:tr>
      <w:tr w14:paraId="67EA4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4" w:type="dxa"/>
            <w:tcBorders>
              <w:top w:val="single" w:color="000000" w:sz="2" w:space="0"/>
              <w:left w:val="single" w:color="000000" w:sz="2" w:space="0"/>
              <w:bottom w:val="single" w:color="000000" w:sz="2" w:space="0"/>
            </w:tcBorders>
            <w:vAlign w:val="top"/>
          </w:tcPr>
          <w:p w14:paraId="322C1B48">
            <w:pPr>
              <w:spacing w:line="398" w:lineRule="auto"/>
              <w:rPr>
                <w:rFonts w:ascii="Arial"/>
                <w:color w:val="auto"/>
                <w:sz w:val="21"/>
              </w:rPr>
            </w:pPr>
          </w:p>
          <w:p w14:paraId="65EBF57D">
            <w:pPr>
              <w:pStyle w:val="20"/>
              <w:spacing w:before="78" w:line="89" w:lineRule="exact"/>
              <w:ind w:left="265"/>
              <w:rPr>
                <w:color w:val="auto"/>
              </w:rPr>
            </w:pPr>
            <w:r>
              <w:rPr>
                <w:color w:val="auto"/>
                <w:position w:val="1"/>
              </w:rPr>
              <w:t>...</w:t>
            </w:r>
          </w:p>
        </w:tc>
        <w:tc>
          <w:tcPr>
            <w:tcW w:w="1849" w:type="dxa"/>
            <w:tcBorders>
              <w:bottom w:val="single" w:color="000000" w:sz="2" w:space="0"/>
            </w:tcBorders>
            <w:vAlign w:val="top"/>
          </w:tcPr>
          <w:p w14:paraId="59931988">
            <w:pPr>
              <w:rPr>
                <w:rFonts w:ascii="Arial"/>
                <w:color w:val="auto"/>
                <w:sz w:val="21"/>
              </w:rPr>
            </w:pPr>
          </w:p>
        </w:tc>
        <w:tc>
          <w:tcPr>
            <w:tcW w:w="1803" w:type="dxa"/>
            <w:tcBorders>
              <w:bottom w:val="single" w:color="000000" w:sz="2" w:space="0"/>
            </w:tcBorders>
            <w:vAlign w:val="top"/>
          </w:tcPr>
          <w:p w14:paraId="0E3C699E">
            <w:pPr>
              <w:rPr>
                <w:rFonts w:ascii="Arial"/>
                <w:color w:val="auto"/>
                <w:sz w:val="21"/>
              </w:rPr>
            </w:pPr>
          </w:p>
        </w:tc>
        <w:tc>
          <w:tcPr>
            <w:tcW w:w="1394" w:type="dxa"/>
            <w:tcBorders>
              <w:bottom w:val="single" w:color="000000" w:sz="2" w:space="0"/>
            </w:tcBorders>
            <w:vAlign w:val="top"/>
          </w:tcPr>
          <w:p w14:paraId="727B6950">
            <w:pPr>
              <w:rPr>
                <w:rFonts w:ascii="Arial"/>
                <w:color w:val="auto"/>
                <w:sz w:val="21"/>
              </w:rPr>
            </w:pPr>
          </w:p>
        </w:tc>
        <w:tc>
          <w:tcPr>
            <w:tcW w:w="1799" w:type="dxa"/>
            <w:tcBorders>
              <w:bottom w:val="single" w:color="000000" w:sz="2" w:space="0"/>
            </w:tcBorders>
            <w:vAlign w:val="top"/>
          </w:tcPr>
          <w:p w14:paraId="3008264F">
            <w:pPr>
              <w:rPr>
                <w:rFonts w:ascii="Arial"/>
                <w:color w:val="auto"/>
                <w:sz w:val="21"/>
              </w:rPr>
            </w:pPr>
          </w:p>
        </w:tc>
        <w:tc>
          <w:tcPr>
            <w:tcW w:w="1698" w:type="dxa"/>
            <w:tcBorders>
              <w:bottom w:val="single" w:color="000000" w:sz="2" w:space="0"/>
              <w:right w:val="single" w:color="000000" w:sz="2" w:space="0"/>
            </w:tcBorders>
            <w:vAlign w:val="top"/>
          </w:tcPr>
          <w:p w14:paraId="4BC781F7">
            <w:pPr>
              <w:rPr>
                <w:rFonts w:ascii="Arial"/>
                <w:color w:val="auto"/>
                <w:sz w:val="21"/>
              </w:rPr>
            </w:pPr>
          </w:p>
        </w:tc>
      </w:tr>
    </w:tbl>
    <w:p w14:paraId="644617F6">
      <w:pPr>
        <w:spacing w:before="294" w:line="213" w:lineRule="auto"/>
        <w:ind w:left="40"/>
        <w:outlineLvl w:val="1"/>
        <w:rPr>
          <w:rFonts w:ascii="黑体" w:hAnsi="黑体" w:eastAsia="黑体" w:cs="黑体"/>
          <w:color w:val="auto"/>
          <w:sz w:val="24"/>
          <w:szCs w:val="24"/>
        </w:rPr>
      </w:pPr>
      <w:bookmarkStart w:id="240" w:name="_Toc13845"/>
      <w:r>
        <w:rPr>
          <w:rFonts w:ascii="黑体" w:hAnsi="黑体" w:eastAsia="黑体" w:cs="黑体"/>
          <w:color w:val="auto"/>
          <w:spacing w:val="1"/>
          <w:sz w:val="24"/>
          <w:szCs w:val="24"/>
        </w:rPr>
        <w:t>注：附业绩证明资料（提供施工合同</w:t>
      </w:r>
      <w:r>
        <w:rPr>
          <w:rFonts w:hint="eastAsia" w:ascii="黑体" w:hAnsi="黑体" w:eastAsia="黑体" w:cs="黑体"/>
          <w:color w:val="auto"/>
          <w:spacing w:val="1"/>
          <w:sz w:val="24"/>
          <w:szCs w:val="24"/>
          <w:lang w:eastAsia="zh-CN"/>
        </w:rPr>
        <w:t>、</w:t>
      </w:r>
      <w:r>
        <w:rPr>
          <w:rFonts w:hint="eastAsia" w:ascii="黑体" w:hAnsi="黑体" w:eastAsia="黑体" w:cs="黑体"/>
          <w:color w:val="auto"/>
          <w:spacing w:val="1"/>
          <w:sz w:val="24"/>
          <w:szCs w:val="24"/>
          <w:lang w:val="en-US" w:eastAsia="zh-CN"/>
        </w:rPr>
        <w:t>中标通知书</w:t>
      </w:r>
      <w:r>
        <w:rPr>
          <w:rFonts w:ascii="黑体" w:hAnsi="黑体" w:eastAsia="黑体" w:cs="黑体"/>
          <w:color w:val="auto"/>
          <w:spacing w:val="1"/>
          <w:sz w:val="24"/>
          <w:szCs w:val="24"/>
        </w:rPr>
        <w:t>和竣工验收报告）</w:t>
      </w:r>
      <w:bookmarkEnd w:id="240"/>
    </w:p>
    <w:p w14:paraId="1CC5CD96">
      <w:pPr>
        <w:pStyle w:val="5"/>
        <w:spacing w:line="276" w:lineRule="auto"/>
        <w:rPr>
          <w:color w:val="auto"/>
        </w:rPr>
      </w:pPr>
    </w:p>
    <w:p w14:paraId="6038CF90">
      <w:pPr>
        <w:pStyle w:val="5"/>
        <w:spacing w:line="276" w:lineRule="auto"/>
        <w:rPr>
          <w:color w:val="auto"/>
        </w:rPr>
      </w:pPr>
    </w:p>
    <w:p w14:paraId="7B04E699">
      <w:pPr>
        <w:pStyle w:val="5"/>
        <w:spacing w:line="276" w:lineRule="auto"/>
        <w:rPr>
          <w:color w:val="auto"/>
        </w:rPr>
      </w:pPr>
    </w:p>
    <w:p w14:paraId="5B25E0ED">
      <w:pPr>
        <w:pStyle w:val="5"/>
        <w:spacing w:line="276" w:lineRule="auto"/>
        <w:rPr>
          <w:color w:val="auto"/>
        </w:rPr>
      </w:pPr>
    </w:p>
    <w:p w14:paraId="1942581E">
      <w:pPr>
        <w:pStyle w:val="5"/>
        <w:spacing w:line="276" w:lineRule="auto"/>
        <w:rPr>
          <w:color w:val="auto"/>
        </w:rPr>
      </w:pPr>
    </w:p>
    <w:p w14:paraId="5B198B98">
      <w:pPr>
        <w:pStyle w:val="5"/>
        <w:spacing w:line="277" w:lineRule="auto"/>
        <w:rPr>
          <w:color w:val="auto"/>
        </w:rPr>
      </w:pPr>
    </w:p>
    <w:p w14:paraId="4BB7FC7B">
      <w:pPr>
        <w:spacing w:before="79" w:line="222" w:lineRule="auto"/>
        <w:ind w:left="4837"/>
        <w:rPr>
          <w:rFonts w:ascii="黑体" w:hAnsi="黑体" w:eastAsia="黑体" w:cs="黑体"/>
          <w:color w:val="auto"/>
          <w:sz w:val="24"/>
          <w:szCs w:val="24"/>
        </w:rPr>
      </w:pPr>
      <w:r>
        <w:rPr>
          <w:rFonts w:ascii="黑体" w:hAnsi="黑体" w:eastAsia="黑体" w:cs="黑体"/>
          <w:color w:val="auto"/>
          <w:spacing w:val="1"/>
          <w:sz w:val="24"/>
          <w:szCs w:val="24"/>
        </w:rPr>
        <w:t>供应商名称（盖章</w:t>
      </w:r>
      <w:r>
        <w:rPr>
          <w:rFonts w:ascii="黑体" w:hAnsi="黑体" w:eastAsia="黑体" w:cs="黑体"/>
          <w:color w:val="auto"/>
          <w:sz w:val="24"/>
          <w:szCs w:val="24"/>
        </w:rPr>
        <w:t>）：</w:t>
      </w:r>
    </w:p>
    <w:p w14:paraId="3FCB80B3">
      <w:pPr>
        <w:spacing w:before="280" w:line="222" w:lineRule="auto"/>
        <w:ind w:right="36"/>
        <w:jc w:val="right"/>
        <w:rPr>
          <w:rFonts w:ascii="黑体" w:hAnsi="黑体" w:eastAsia="黑体" w:cs="黑体"/>
          <w:color w:val="auto"/>
          <w:sz w:val="24"/>
          <w:szCs w:val="24"/>
        </w:rPr>
      </w:pPr>
      <w:r>
        <w:rPr>
          <w:rFonts w:ascii="黑体" w:hAnsi="黑体" w:eastAsia="黑体" w:cs="黑体"/>
          <w:color w:val="auto"/>
          <w:spacing w:val="1"/>
          <w:sz w:val="24"/>
          <w:szCs w:val="24"/>
        </w:rPr>
        <w:t>法定代表人或委托代理人（签字或盖章</w:t>
      </w:r>
      <w:r>
        <w:rPr>
          <w:rFonts w:ascii="黑体" w:hAnsi="黑体" w:eastAsia="黑体" w:cs="黑体"/>
          <w:color w:val="auto"/>
          <w:spacing w:val="5"/>
          <w:sz w:val="24"/>
          <w:szCs w:val="24"/>
        </w:rPr>
        <w:t>）：</w:t>
      </w:r>
    </w:p>
    <w:p w14:paraId="0F57D485">
      <w:pPr>
        <w:spacing w:before="283" w:line="223" w:lineRule="auto"/>
        <w:jc w:val="right"/>
        <w:rPr>
          <w:rFonts w:ascii="黑体" w:hAnsi="黑体" w:eastAsia="黑体" w:cs="黑体"/>
          <w:color w:val="auto"/>
          <w:sz w:val="24"/>
          <w:szCs w:val="24"/>
        </w:rPr>
      </w:pPr>
      <w:r>
        <w:rPr>
          <w:rFonts w:ascii="黑体" w:hAnsi="黑体" w:eastAsia="黑体" w:cs="黑体"/>
          <w:color w:val="auto"/>
          <w:spacing w:val="-20"/>
          <w:sz w:val="24"/>
          <w:szCs w:val="24"/>
        </w:rPr>
        <w:t>日期：年月日</w:t>
      </w:r>
    </w:p>
    <w:p w14:paraId="33D98D0F">
      <w:pPr>
        <w:spacing w:line="223" w:lineRule="auto"/>
        <w:rPr>
          <w:rFonts w:ascii="黑体" w:hAnsi="黑体" w:eastAsia="黑体" w:cs="黑体"/>
          <w:color w:val="auto"/>
          <w:sz w:val="24"/>
          <w:szCs w:val="24"/>
        </w:rPr>
        <w:sectPr>
          <w:footerReference r:id="rId41" w:type="default"/>
          <w:pgSz w:w="11906" w:h="16839"/>
          <w:pgMar w:top="1440" w:right="1080" w:bottom="1440" w:left="1080" w:header="0" w:footer="850" w:gutter="0"/>
          <w:pgNumType w:fmt="decimal"/>
          <w:cols w:space="720" w:num="1"/>
        </w:sectPr>
      </w:pPr>
    </w:p>
    <w:p w14:paraId="765F2B68">
      <w:pPr>
        <w:pStyle w:val="5"/>
        <w:spacing w:line="266" w:lineRule="auto"/>
        <w:rPr>
          <w:color w:val="auto"/>
        </w:rPr>
      </w:pPr>
    </w:p>
    <w:p w14:paraId="02E4AA30">
      <w:pPr>
        <w:spacing w:before="101" w:line="230" w:lineRule="auto"/>
        <w:ind w:left="28"/>
        <w:rPr>
          <w:rFonts w:ascii="黑体" w:hAnsi="黑体" w:eastAsia="黑体" w:cs="黑体"/>
          <w:color w:val="auto"/>
          <w:sz w:val="31"/>
          <w:szCs w:val="31"/>
        </w:rPr>
      </w:pPr>
      <w:r>
        <w:rPr>
          <w:rFonts w:ascii="黑体" w:hAnsi="黑体" w:eastAsia="黑体" w:cs="黑体"/>
          <w:color w:val="auto"/>
          <w:spacing w:val="-4"/>
          <w:sz w:val="31"/>
          <w:szCs w:val="31"/>
          <w14:textOutline w14:w="5793" w14:cap="sq" w14:cmpd="sng">
            <w14:solidFill>
              <w14:srgbClr w14:val="000000"/>
            </w14:solidFill>
            <w14:prstDash w14:val="solid"/>
            <w14:bevel/>
          </w14:textOutline>
        </w:rPr>
        <w:t>附件12:</w:t>
      </w:r>
    </w:p>
    <w:p w14:paraId="2ED607BB">
      <w:pPr>
        <w:spacing w:before="238" w:line="226" w:lineRule="auto"/>
        <w:ind w:left="3071"/>
        <w:outlineLvl w:val="1"/>
        <w:rPr>
          <w:rFonts w:ascii="黑体" w:hAnsi="黑体" w:eastAsia="黑体" w:cs="黑体"/>
          <w:color w:val="auto"/>
          <w:sz w:val="31"/>
          <w:szCs w:val="31"/>
        </w:rPr>
      </w:pPr>
      <w:bookmarkStart w:id="241" w:name="_Toc31991"/>
      <w:r>
        <w:rPr>
          <w:rFonts w:ascii="黑体" w:hAnsi="黑体" w:eastAsia="黑体" w:cs="黑体"/>
          <w:color w:val="auto"/>
          <w:spacing w:val="12"/>
          <w:sz w:val="31"/>
          <w:szCs w:val="31"/>
          <w14:textOutline w14:w="5793" w14:cap="sq" w14:cmpd="sng">
            <w14:solidFill>
              <w14:srgbClr w14:val="000000"/>
            </w14:solidFill>
            <w14:prstDash w14:val="solid"/>
            <w14:bevel/>
          </w14:textOutline>
        </w:rPr>
        <w:t>拟派项目负责人简历表</w:t>
      </w:r>
      <w:bookmarkEnd w:id="241"/>
    </w:p>
    <w:p w14:paraId="4F20C439">
      <w:pPr>
        <w:spacing w:line="90" w:lineRule="exact"/>
        <w:rPr>
          <w:color w:val="auto"/>
        </w:rPr>
      </w:pPr>
    </w:p>
    <w:tbl>
      <w:tblPr>
        <w:tblStyle w:val="19"/>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323"/>
        <w:gridCol w:w="1002"/>
        <w:gridCol w:w="930"/>
        <w:gridCol w:w="388"/>
        <w:gridCol w:w="1407"/>
        <w:gridCol w:w="3056"/>
        <w:gridCol w:w="1209"/>
      </w:tblGrid>
      <w:tr w14:paraId="1D65E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12" w:type="dxa"/>
            <w:vAlign w:val="top"/>
          </w:tcPr>
          <w:p w14:paraId="7A536581">
            <w:pPr>
              <w:pStyle w:val="20"/>
              <w:spacing w:before="299" w:line="207" w:lineRule="auto"/>
              <w:ind w:left="269"/>
              <w:rPr>
                <w:color w:val="auto"/>
              </w:rPr>
            </w:pPr>
            <w:r>
              <w:rPr>
                <w:color w:val="auto"/>
                <w:spacing w:val="-4"/>
              </w:rPr>
              <w:t>姓名</w:t>
            </w:r>
          </w:p>
        </w:tc>
        <w:tc>
          <w:tcPr>
            <w:tcW w:w="1325" w:type="dxa"/>
            <w:gridSpan w:val="2"/>
            <w:vAlign w:val="top"/>
          </w:tcPr>
          <w:p w14:paraId="62C476EF">
            <w:pPr>
              <w:rPr>
                <w:rFonts w:ascii="Arial"/>
                <w:color w:val="auto"/>
                <w:sz w:val="21"/>
              </w:rPr>
            </w:pPr>
          </w:p>
        </w:tc>
        <w:tc>
          <w:tcPr>
            <w:tcW w:w="1318" w:type="dxa"/>
            <w:gridSpan w:val="2"/>
            <w:vAlign w:val="top"/>
          </w:tcPr>
          <w:p w14:paraId="75F0CDCA">
            <w:pPr>
              <w:pStyle w:val="20"/>
              <w:spacing w:before="299" w:line="207" w:lineRule="auto"/>
              <w:ind w:left="421"/>
              <w:rPr>
                <w:color w:val="auto"/>
              </w:rPr>
            </w:pPr>
            <w:r>
              <w:rPr>
                <w:color w:val="auto"/>
                <w:spacing w:val="-4"/>
              </w:rPr>
              <w:t>性别</w:t>
            </w:r>
          </w:p>
        </w:tc>
        <w:tc>
          <w:tcPr>
            <w:tcW w:w="1407" w:type="dxa"/>
            <w:vAlign w:val="top"/>
          </w:tcPr>
          <w:p w14:paraId="6C65932F">
            <w:pPr>
              <w:rPr>
                <w:rFonts w:ascii="Arial"/>
                <w:color w:val="auto"/>
                <w:sz w:val="21"/>
              </w:rPr>
            </w:pPr>
          </w:p>
        </w:tc>
        <w:tc>
          <w:tcPr>
            <w:tcW w:w="3056" w:type="dxa"/>
            <w:vAlign w:val="top"/>
          </w:tcPr>
          <w:p w14:paraId="2BE43074">
            <w:pPr>
              <w:pStyle w:val="20"/>
              <w:spacing w:before="299" w:line="207" w:lineRule="auto"/>
              <w:ind w:left="1294"/>
              <w:rPr>
                <w:color w:val="auto"/>
              </w:rPr>
            </w:pPr>
            <w:r>
              <w:rPr>
                <w:color w:val="auto"/>
                <w:spacing w:val="-4"/>
              </w:rPr>
              <w:t>年龄</w:t>
            </w:r>
          </w:p>
        </w:tc>
        <w:tc>
          <w:tcPr>
            <w:tcW w:w="1209" w:type="dxa"/>
            <w:vAlign w:val="top"/>
          </w:tcPr>
          <w:p w14:paraId="4D425B4B">
            <w:pPr>
              <w:rPr>
                <w:rFonts w:ascii="Arial"/>
                <w:color w:val="auto"/>
                <w:sz w:val="21"/>
              </w:rPr>
            </w:pPr>
          </w:p>
        </w:tc>
      </w:tr>
      <w:tr w14:paraId="4B580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12" w:type="dxa"/>
            <w:vAlign w:val="top"/>
          </w:tcPr>
          <w:p w14:paraId="7A8355CA">
            <w:pPr>
              <w:pStyle w:val="20"/>
              <w:spacing w:before="296" w:line="206" w:lineRule="auto"/>
              <w:ind w:left="269"/>
              <w:rPr>
                <w:color w:val="auto"/>
              </w:rPr>
            </w:pPr>
            <w:r>
              <w:rPr>
                <w:color w:val="auto"/>
                <w:spacing w:val="-4"/>
              </w:rPr>
              <w:t>职务</w:t>
            </w:r>
          </w:p>
        </w:tc>
        <w:tc>
          <w:tcPr>
            <w:tcW w:w="1325" w:type="dxa"/>
            <w:gridSpan w:val="2"/>
            <w:vAlign w:val="top"/>
          </w:tcPr>
          <w:p w14:paraId="7179B0B4">
            <w:pPr>
              <w:rPr>
                <w:rFonts w:ascii="Arial"/>
                <w:color w:val="auto"/>
                <w:sz w:val="21"/>
              </w:rPr>
            </w:pPr>
          </w:p>
        </w:tc>
        <w:tc>
          <w:tcPr>
            <w:tcW w:w="1318" w:type="dxa"/>
            <w:gridSpan w:val="2"/>
            <w:vAlign w:val="top"/>
          </w:tcPr>
          <w:p w14:paraId="13F11B31">
            <w:pPr>
              <w:pStyle w:val="20"/>
              <w:spacing w:before="296" w:line="206" w:lineRule="auto"/>
              <w:ind w:left="421"/>
              <w:rPr>
                <w:color w:val="auto"/>
              </w:rPr>
            </w:pPr>
            <w:r>
              <w:rPr>
                <w:color w:val="auto"/>
                <w:spacing w:val="-4"/>
              </w:rPr>
              <w:t>职称</w:t>
            </w:r>
          </w:p>
        </w:tc>
        <w:tc>
          <w:tcPr>
            <w:tcW w:w="1407" w:type="dxa"/>
            <w:vAlign w:val="top"/>
          </w:tcPr>
          <w:p w14:paraId="07A95F86">
            <w:pPr>
              <w:rPr>
                <w:rFonts w:ascii="Arial"/>
                <w:color w:val="auto"/>
                <w:sz w:val="21"/>
              </w:rPr>
            </w:pPr>
          </w:p>
        </w:tc>
        <w:tc>
          <w:tcPr>
            <w:tcW w:w="3056" w:type="dxa"/>
            <w:vAlign w:val="top"/>
          </w:tcPr>
          <w:p w14:paraId="6B5F49EB">
            <w:pPr>
              <w:pStyle w:val="20"/>
              <w:spacing w:before="296" w:line="206" w:lineRule="auto"/>
              <w:ind w:left="444"/>
              <w:rPr>
                <w:color w:val="auto"/>
              </w:rPr>
            </w:pPr>
            <w:r>
              <w:rPr>
                <w:color w:val="auto"/>
                <w:spacing w:val="1"/>
              </w:rPr>
              <w:t>拟在本项目担任职务</w:t>
            </w:r>
          </w:p>
        </w:tc>
        <w:tc>
          <w:tcPr>
            <w:tcW w:w="1209" w:type="dxa"/>
            <w:vAlign w:val="top"/>
          </w:tcPr>
          <w:p w14:paraId="451453E8">
            <w:pPr>
              <w:rPr>
                <w:rFonts w:ascii="Arial"/>
                <w:color w:val="auto"/>
                <w:sz w:val="21"/>
              </w:rPr>
            </w:pPr>
          </w:p>
        </w:tc>
      </w:tr>
      <w:tr w14:paraId="03063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337" w:type="dxa"/>
            <w:gridSpan w:val="3"/>
            <w:vAlign w:val="top"/>
          </w:tcPr>
          <w:p w14:paraId="4CED22DE">
            <w:pPr>
              <w:pStyle w:val="20"/>
              <w:spacing w:before="296" w:line="571" w:lineRule="exact"/>
              <w:ind w:left="568"/>
              <w:rPr>
                <w:color w:val="auto"/>
              </w:rPr>
            </w:pPr>
            <w:r>
              <w:rPr>
                <w:color w:val="auto"/>
                <w:position w:val="25"/>
              </w:rPr>
              <w:t>执业资格证</w:t>
            </w:r>
          </w:p>
          <w:p w14:paraId="5E7594EA">
            <w:pPr>
              <w:pStyle w:val="20"/>
              <w:spacing w:line="205" w:lineRule="auto"/>
              <w:ind w:left="574"/>
              <w:rPr>
                <w:color w:val="auto"/>
              </w:rPr>
            </w:pPr>
            <w:r>
              <w:rPr>
                <w:color w:val="auto"/>
                <w:spacing w:val="-1"/>
              </w:rPr>
              <w:t>或注册证书</w:t>
            </w:r>
          </w:p>
        </w:tc>
        <w:tc>
          <w:tcPr>
            <w:tcW w:w="2725" w:type="dxa"/>
            <w:gridSpan w:val="3"/>
            <w:vAlign w:val="top"/>
          </w:tcPr>
          <w:p w14:paraId="70FDB268">
            <w:pPr>
              <w:rPr>
                <w:rFonts w:ascii="Arial"/>
                <w:color w:val="auto"/>
                <w:sz w:val="21"/>
              </w:rPr>
            </w:pPr>
          </w:p>
        </w:tc>
        <w:tc>
          <w:tcPr>
            <w:tcW w:w="3056" w:type="dxa"/>
            <w:vAlign w:val="top"/>
          </w:tcPr>
          <w:p w14:paraId="66378990">
            <w:pPr>
              <w:spacing w:line="250" w:lineRule="auto"/>
              <w:rPr>
                <w:rFonts w:ascii="Arial"/>
                <w:color w:val="auto"/>
                <w:sz w:val="21"/>
              </w:rPr>
            </w:pPr>
          </w:p>
          <w:p w14:paraId="3D97868E">
            <w:pPr>
              <w:spacing w:line="250" w:lineRule="auto"/>
              <w:rPr>
                <w:rFonts w:ascii="Arial"/>
                <w:color w:val="auto"/>
                <w:sz w:val="21"/>
              </w:rPr>
            </w:pPr>
          </w:p>
          <w:p w14:paraId="5CBD86E9">
            <w:pPr>
              <w:pStyle w:val="20"/>
              <w:spacing w:before="78" w:line="221" w:lineRule="auto"/>
              <w:ind w:left="1050"/>
              <w:rPr>
                <w:color w:val="auto"/>
              </w:rPr>
            </w:pPr>
            <w:r>
              <w:rPr>
                <w:color w:val="auto"/>
                <w:spacing w:val="-1"/>
              </w:rPr>
              <w:t>证书编号</w:t>
            </w:r>
          </w:p>
        </w:tc>
        <w:tc>
          <w:tcPr>
            <w:tcW w:w="1209" w:type="dxa"/>
            <w:vAlign w:val="top"/>
          </w:tcPr>
          <w:p w14:paraId="3B27B283">
            <w:pPr>
              <w:rPr>
                <w:rFonts w:ascii="Arial"/>
                <w:color w:val="auto"/>
                <w:sz w:val="21"/>
              </w:rPr>
            </w:pPr>
          </w:p>
        </w:tc>
      </w:tr>
      <w:tr w14:paraId="1C64A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337" w:type="dxa"/>
            <w:gridSpan w:val="3"/>
            <w:vAlign w:val="top"/>
          </w:tcPr>
          <w:p w14:paraId="425D9EBE">
            <w:pPr>
              <w:pStyle w:val="20"/>
              <w:spacing w:before="296" w:line="206" w:lineRule="auto"/>
              <w:ind w:left="446"/>
              <w:rPr>
                <w:color w:val="auto"/>
              </w:rPr>
            </w:pPr>
            <w:r>
              <w:rPr>
                <w:color w:val="auto"/>
              </w:rPr>
              <w:t>参加工作时间</w:t>
            </w:r>
          </w:p>
        </w:tc>
        <w:tc>
          <w:tcPr>
            <w:tcW w:w="1318" w:type="dxa"/>
            <w:gridSpan w:val="2"/>
            <w:vAlign w:val="top"/>
          </w:tcPr>
          <w:p w14:paraId="7EAD4AFE">
            <w:pPr>
              <w:rPr>
                <w:rFonts w:ascii="Arial"/>
                <w:color w:val="auto"/>
                <w:sz w:val="21"/>
              </w:rPr>
            </w:pPr>
          </w:p>
        </w:tc>
        <w:tc>
          <w:tcPr>
            <w:tcW w:w="4463" w:type="dxa"/>
            <w:gridSpan w:val="2"/>
            <w:vAlign w:val="top"/>
          </w:tcPr>
          <w:p w14:paraId="4E9D5B92">
            <w:pPr>
              <w:pStyle w:val="20"/>
              <w:spacing w:before="296" w:line="206" w:lineRule="auto"/>
              <w:ind w:left="1147"/>
              <w:rPr>
                <w:color w:val="auto"/>
              </w:rPr>
            </w:pPr>
            <w:r>
              <w:rPr>
                <w:color w:val="auto"/>
                <w:spacing w:val="1"/>
              </w:rPr>
              <w:t>从事本专业工作时间</w:t>
            </w:r>
          </w:p>
        </w:tc>
        <w:tc>
          <w:tcPr>
            <w:tcW w:w="1209" w:type="dxa"/>
            <w:vAlign w:val="top"/>
          </w:tcPr>
          <w:p w14:paraId="65DEDCE6">
            <w:pPr>
              <w:rPr>
                <w:rFonts w:ascii="Arial"/>
                <w:color w:val="auto"/>
                <w:sz w:val="21"/>
              </w:rPr>
            </w:pPr>
          </w:p>
        </w:tc>
      </w:tr>
      <w:tr w14:paraId="678B7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327" w:type="dxa"/>
            <w:gridSpan w:val="8"/>
            <w:vAlign w:val="top"/>
          </w:tcPr>
          <w:p w14:paraId="4F249B79">
            <w:pPr>
              <w:pStyle w:val="20"/>
              <w:spacing w:before="298" w:line="205" w:lineRule="auto"/>
              <w:ind w:left="4189"/>
              <w:rPr>
                <w:color w:val="auto"/>
              </w:rPr>
            </w:pPr>
            <w:r>
              <w:rPr>
                <w:color w:val="auto"/>
                <w:spacing w:val="-7"/>
              </w:rPr>
              <w:t>经历</w:t>
            </w:r>
          </w:p>
        </w:tc>
      </w:tr>
      <w:tr w14:paraId="6138C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335" w:type="dxa"/>
            <w:gridSpan w:val="2"/>
            <w:vAlign w:val="top"/>
          </w:tcPr>
          <w:p w14:paraId="206D6232">
            <w:pPr>
              <w:spacing w:line="250" w:lineRule="auto"/>
              <w:rPr>
                <w:rFonts w:ascii="Arial"/>
                <w:color w:val="auto"/>
                <w:sz w:val="21"/>
              </w:rPr>
            </w:pPr>
          </w:p>
          <w:p w14:paraId="456E996A">
            <w:pPr>
              <w:spacing w:line="251" w:lineRule="auto"/>
              <w:rPr>
                <w:rFonts w:ascii="Arial"/>
                <w:color w:val="auto"/>
                <w:sz w:val="21"/>
              </w:rPr>
            </w:pPr>
          </w:p>
          <w:p w14:paraId="7D10829F">
            <w:pPr>
              <w:pStyle w:val="20"/>
              <w:spacing w:before="78" w:line="223" w:lineRule="auto"/>
              <w:ind w:left="433"/>
              <w:rPr>
                <w:color w:val="auto"/>
              </w:rPr>
            </w:pPr>
            <w:r>
              <w:rPr>
                <w:color w:val="auto"/>
                <w:spacing w:val="-4"/>
              </w:rPr>
              <w:t>年份</w:t>
            </w:r>
          </w:p>
        </w:tc>
        <w:tc>
          <w:tcPr>
            <w:tcW w:w="1932" w:type="dxa"/>
            <w:gridSpan w:val="2"/>
            <w:vAlign w:val="top"/>
          </w:tcPr>
          <w:p w14:paraId="74E937B5">
            <w:pPr>
              <w:pStyle w:val="20"/>
              <w:spacing w:before="299" w:line="569" w:lineRule="exact"/>
              <w:ind w:left="487"/>
              <w:rPr>
                <w:color w:val="auto"/>
              </w:rPr>
            </w:pPr>
            <w:r>
              <w:rPr>
                <w:color w:val="auto"/>
                <w:spacing w:val="-1"/>
                <w:position w:val="25"/>
              </w:rPr>
              <w:t>参加过的</w:t>
            </w:r>
          </w:p>
          <w:p w14:paraId="6BF597EE">
            <w:pPr>
              <w:pStyle w:val="20"/>
              <w:spacing w:line="204" w:lineRule="auto"/>
              <w:ind w:left="487"/>
              <w:rPr>
                <w:color w:val="auto"/>
              </w:rPr>
            </w:pPr>
            <w:r>
              <w:rPr>
                <w:color w:val="auto"/>
                <w:spacing w:val="-1"/>
              </w:rPr>
              <w:t>项目名称</w:t>
            </w:r>
          </w:p>
        </w:tc>
        <w:tc>
          <w:tcPr>
            <w:tcW w:w="1795" w:type="dxa"/>
            <w:gridSpan w:val="2"/>
            <w:vAlign w:val="top"/>
          </w:tcPr>
          <w:p w14:paraId="69FE2523">
            <w:pPr>
              <w:spacing w:line="250" w:lineRule="auto"/>
              <w:rPr>
                <w:rFonts w:ascii="Arial"/>
                <w:color w:val="auto"/>
                <w:sz w:val="21"/>
              </w:rPr>
            </w:pPr>
          </w:p>
          <w:p w14:paraId="45237497">
            <w:pPr>
              <w:spacing w:line="251" w:lineRule="auto"/>
              <w:rPr>
                <w:rFonts w:ascii="Arial"/>
                <w:color w:val="auto"/>
                <w:sz w:val="21"/>
              </w:rPr>
            </w:pPr>
          </w:p>
          <w:p w14:paraId="0CAE4CF7">
            <w:pPr>
              <w:pStyle w:val="20"/>
              <w:spacing w:before="78" w:line="222" w:lineRule="auto"/>
              <w:ind w:left="418"/>
              <w:rPr>
                <w:color w:val="auto"/>
              </w:rPr>
            </w:pPr>
            <w:r>
              <w:rPr>
                <w:color w:val="auto"/>
                <w:spacing w:val="-1"/>
              </w:rPr>
              <w:t>采购内容</w:t>
            </w:r>
          </w:p>
        </w:tc>
        <w:tc>
          <w:tcPr>
            <w:tcW w:w="3056" w:type="dxa"/>
            <w:vAlign w:val="top"/>
          </w:tcPr>
          <w:p w14:paraId="3F5D0854">
            <w:pPr>
              <w:spacing w:line="250" w:lineRule="auto"/>
              <w:rPr>
                <w:rFonts w:ascii="Arial"/>
                <w:color w:val="auto"/>
                <w:sz w:val="21"/>
              </w:rPr>
            </w:pPr>
          </w:p>
          <w:p w14:paraId="48506E43">
            <w:pPr>
              <w:spacing w:line="251" w:lineRule="auto"/>
              <w:rPr>
                <w:rFonts w:ascii="Arial"/>
                <w:color w:val="auto"/>
                <w:sz w:val="21"/>
              </w:rPr>
            </w:pPr>
          </w:p>
          <w:p w14:paraId="1D9DF627">
            <w:pPr>
              <w:pStyle w:val="20"/>
              <w:spacing w:before="78" w:line="221" w:lineRule="auto"/>
              <w:ind w:left="1050"/>
              <w:rPr>
                <w:color w:val="auto"/>
              </w:rPr>
            </w:pPr>
            <w:r>
              <w:rPr>
                <w:color w:val="auto"/>
                <w:spacing w:val="-1"/>
              </w:rPr>
              <w:t>担任职务</w:t>
            </w:r>
          </w:p>
        </w:tc>
        <w:tc>
          <w:tcPr>
            <w:tcW w:w="1209" w:type="dxa"/>
            <w:vAlign w:val="top"/>
          </w:tcPr>
          <w:p w14:paraId="543DE264">
            <w:pPr>
              <w:spacing w:line="250" w:lineRule="auto"/>
              <w:rPr>
                <w:rFonts w:ascii="Arial"/>
                <w:color w:val="auto"/>
                <w:sz w:val="21"/>
              </w:rPr>
            </w:pPr>
          </w:p>
          <w:p w14:paraId="016E89DB">
            <w:pPr>
              <w:spacing w:line="250" w:lineRule="auto"/>
              <w:rPr>
                <w:rFonts w:ascii="Arial"/>
                <w:color w:val="auto"/>
                <w:sz w:val="21"/>
              </w:rPr>
            </w:pPr>
          </w:p>
          <w:p w14:paraId="6022C425">
            <w:pPr>
              <w:pStyle w:val="20"/>
              <w:spacing w:before="78" w:line="222" w:lineRule="auto"/>
              <w:ind w:left="368"/>
              <w:rPr>
                <w:color w:val="auto"/>
              </w:rPr>
            </w:pPr>
            <w:r>
              <w:rPr>
                <w:color w:val="auto"/>
                <w:spacing w:val="-4"/>
              </w:rPr>
              <w:t>备注</w:t>
            </w:r>
          </w:p>
        </w:tc>
      </w:tr>
      <w:tr w14:paraId="1DE68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0F3DBB0A">
            <w:pPr>
              <w:rPr>
                <w:rFonts w:ascii="Arial"/>
                <w:color w:val="auto"/>
                <w:sz w:val="21"/>
              </w:rPr>
            </w:pPr>
          </w:p>
        </w:tc>
        <w:tc>
          <w:tcPr>
            <w:tcW w:w="1932" w:type="dxa"/>
            <w:gridSpan w:val="2"/>
            <w:vAlign w:val="top"/>
          </w:tcPr>
          <w:p w14:paraId="6404529C">
            <w:pPr>
              <w:rPr>
                <w:rFonts w:ascii="Arial"/>
                <w:color w:val="auto"/>
                <w:sz w:val="21"/>
              </w:rPr>
            </w:pPr>
          </w:p>
        </w:tc>
        <w:tc>
          <w:tcPr>
            <w:tcW w:w="1795" w:type="dxa"/>
            <w:gridSpan w:val="2"/>
            <w:vAlign w:val="top"/>
          </w:tcPr>
          <w:p w14:paraId="3A87B9A4">
            <w:pPr>
              <w:rPr>
                <w:rFonts w:ascii="Arial"/>
                <w:color w:val="auto"/>
                <w:sz w:val="21"/>
              </w:rPr>
            </w:pPr>
          </w:p>
        </w:tc>
        <w:tc>
          <w:tcPr>
            <w:tcW w:w="3056" w:type="dxa"/>
            <w:vAlign w:val="top"/>
          </w:tcPr>
          <w:p w14:paraId="6E123F7D">
            <w:pPr>
              <w:rPr>
                <w:rFonts w:ascii="Arial"/>
                <w:color w:val="auto"/>
                <w:sz w:val="21"/>
              </w:rPr>
            </w:pPr>
          </w:p>
        </w:tc>
        <w:tc>
          <w:tcPr>
            <w:tcW w:w="1209" w:type="dxa"/>
            <w:vAlign w:val="top"/>
          </w:tcPr>
          <w:p w14:paraId="32E2A937">
            <w:pPr>
              <w:rPr>
                <w:rFonts w:ascii="Arial"/>
                <w:color w:val="auto"/>
                <w:sz w:val="21"/>
              </w:rPr>
            </w:pPr>
          </w:p>
        </w:tc>
      </w:tr>
      <w:tr w14:paraId="6B0B3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3D0A1081">
            <w:pPr>
              <w:rPr>
                <w:rFonts w:ascii="Arial"/>
                <w:color w:val="auto"/>
                <w:sz w:val="21"/>
              </w:rPr>
            </w:pPr>
          </w:p>
        </w:tc>
        <w:tc>
          <w:tcPr>
            <w:tcW w:w="1932" w:type="dxa"/>
            <w:gridSpan w:val="2"/>
            <w:vAlign w:val="top"/>
          </w:tcPr>
          <w:p w14:paraId="32AF57EC">
            <w:pPr>
              <w:rPr>
                <w:rFonts w:ascii="Arial"/>
                <w:color w:val="auto"/>
                <w:sz w:val="21"/>
              </w:rPr>
            </w:pPr>
          </w:p>
        </w:tc>
        <w:tc>
          <w:tcPr>
            <w:tcW w:w="1795" w:type="dxa"/>
            <w:gridSpan w:val="2"/>
            <w:vAlign w:val="top"/>
          </w:tcPr>
          <w:p w14:paraId="130B7A5B">
            <w:pPr>
              <w:rPr>
                <w:rFonts w:ascii="Arial"/>
                <w:color w:val="auto"/>
                <w:sz w:val="21"/>
              </w:rPr>
            </w:pPr>
          </w:p>
        </w:tc>
        <w:tc>
          <w:tcPr>
            <w:tcW w:w="3056" w:type="dxa"/>
            <w:vAlign w:val="top"/>
          </w:tcPr>
          <w:p w14:paraId="1799DB50">
            <w:pPr>
              <w:rPr>
                <w:rFonts w:ascii="Arial"/>
                <w:color w:val="auto"/>
                <w:sz w:val="21"/>
              </w:rPr>
            </w:pPr>
          </w:p>
        </w:tc>
        <w:tc>
          <w:tcPr>
            <w:tcW w:w="1209" w:type="dxa"/>
            <w:vAlign w:val="top"/>
          </w:tcPr>
          <w:p w14:paraId="144DED4F">
            <w:pPr>
              <w:rPr>
                <w:rFonts w:ascii="Arial"/>
                <w:color w:val="auto"/>
                <w:sz w:val="21"/>
              </w:rPr>
            </w:pPr>
          </w:p>
        </w:tc>
      </w:tr>
      <w:tr w14:paraId="026E0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1559BB52">
            <w:pPr>
              <w:rPr>
                <w:rFonts w:ascii="Arial"/>
                <w:color w:val="auto"/>
                <w:sz w:val="21"/>
              </w:rPr>
            </w:pPr>
          </w:p>
        </w:tc>
        <w:tc>
          <w:tcPr>
            <w:tcW w:w="1932" w:type="dxa"/>
            <w:gridSpan w:val="2"/>
            <w:vAlign w:val="top"/>
          </w:tcPr>
          <w:p w14:paraId="423E1030">
            <w:pPr>
              <w:rPr>
                <w:rFonts w:ascii="Arial"/>
                <w:color w:val="auto"/>
                <w:sz w:val="21"/>
              </w:rPr>
            </w:pPr>
          </w:p>
        </w:tc>
        <w:tc>
          <w:tcPr>
            <w:tcW w:w="1795" w:type="dxa"/>
            <w:gridSpan w:val="2"/>
            <w:vAlign w:val="top"/>
          </w:tcPr>
          <w:p w14:paraId="566D4B69">
            <w:pPr>
              <w:rPr>
                <w:rFonts w:ascii="Arial"/>
                <w:color w:val="auto"/>
                <w:sz w:val="21"/>
              </w:rPr>
            </w:pPr>
          </w:p>
        </w:tc>
        <w:tc>
          <w:tcPr>
            <w:tcW w:w="3056" w:type="dxa"/>
            <w:vAlign w:val="top"/>
          </w:tcPr>
          <w:p w14:paraId="5885CC81">
            <w:pPr>
              <w:rPr>
                <w:rFonts w:ascii="Arial"/>
                <w:color w:val="auto"/>
                <w:sz w:val="21"/>
              </w:rPr>
            </w:pPr>
          </w:p>
        </w:tc>
        <w:tc>
          <w:tcPr>
            <w:tcW w:w="1209" w:type="dxa"/>
            <w:vAlign w:val="top"/>
          </w:tcPr>
          <w:p w14:paraId="4DE60C33">
            <w:pPr>
              <w:rPr>
                <w:rFonts w:ascii="Arial"/>
                <w:color w:val="auto"/>
                <w:sz w:val="21"/>
              </w:rPr>
            </w:pPr>
          </w:p>
        </w:tc>
      </w:tr>
      <w:tr w14:paraId="067AC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02D7F863">
            <w:pPr>
              <w:rPr>
                <w:rFonts w:ascii="Arial"/>
                <w:color w:val="auto"/>
                <w:sz w:val="21"/>
              </w:rPr>
            </w:pPr>
          </w:p>
        </w:tc>
        <w:tc>
          <w:tcPr>
            <w:tcW w:w="1932" w:type="dxa"/>
            <w:gridSpan w:val="2"/>
            <w:vAlign w:val="top"/>
          </w:tcPr>
          <w:p w14:paraId="2E5A68DA">
            <w:pPr>
              <w:rPr>
                <w:rFonts w:ascii="Arial"/>
                <w:color w:val="auto"/>
                <w:sz w:val="21"/>
              </w:rPr>
            </w:pPr>
          </w:p>
        </w:tc>
        <w:tc>
          <w:tcPr>
            <w:tcW w:w="1795" w:type="dxa"/>
            <w:gridSpan w:val="2"/>
            <w:vAlign w:val="top"/>
          </w:tcPr>
          <w:p w14:paraId="63EC7AF9">
            <w:pPr>
              <w:rPr>
                <w:rFonts w:ascii="Arial"/>
                <w:color w:val="auto"/>
                <w:sz w:val="21"/>
              </w:rPr>
            </w:pPr>
          </w:p>
        </w:tc>
        <w:tc>
          <w:tcPr>
            <w:tcW w:w="3056" w:type="dxa"/>
            <w:vAlign w:val="top"/>
          </w:tcPr>
          <w:p w14:paraId="6F43C587">
            <w:pPr>
              <w:rPr>
                <w:rFonts w:ascii="Arial"/>
                <w:color w:val="auto"/>
                <w:sz w:val="21"/>
              </w:rPr>
            </w:pPr>
          </w:p>
        </w:tc>
        <w:tc>
          <w:tcPr>
            <w:tcW w:w="1209" w:type="dxa"/>
            <w:vAlign w:val="top"/>
          </w:tcPr>
          <w:p w14:paraId="69B31B18">
            <w:pPr>
              <w:rPr>
                <w:rFonts w:ascii="Arial"/>
                <w:color w:val="auto"/>
                <w:sz w:val="21"/>
              </w:rPr>
            </w:pPr>
          </w:p>
        </w:tc>
      </w:tr>
      <w:tr w14:paraId="4EF01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335" w:type="dxa"/>
            <w:gridSpan w:val="2"/>
            <w:vAlign w:val="top"/>
          </w:tcPr>
          <w:p w14:paraId="1F06761E">
            <w:pPr>
              <w:spacing w:line="401" w:lineRule="auto"/>
              <w:rPr>
                <w:rFonts w:ascii="Arial"/>
                <w:color w:val="auto"/>
                <w:sz w:val="21"/>
              </w:rPr>
            </w:pPr>
          </w:p>
          <w:p w14:paraId="1CDB9D83">
            <w:pPr>
              <w:pStyle w:val="20"/>
              <w:spacing w:before="78" w:line="87" w:lineRule="exact"/>
              <w:ind w:left="501"/>
              <w:rPr>
                <w:color w:val="auto"/>
              </w:rPr>
            </w:pPr>
            <w:r>
              <w:rPr>
                <w:color w:val="auto"/>
                <w:position w:val="1"/>
              </w:rPr>
              <w:t>...</w:t>
            </w:r>
          </w:p>
        </w:tc>
        <w:tc>
          <w:tcPr>
            <w:tcW w:w="1932" w:type="dxa"/>
            <w:gridSpan w:val="2"/>
            <w:vAlign w:val="top"/>
          </w:tcPr>
          <w:p w14:paraId="0875C02F">
            <w:pPr>
              <w:rPr>
                <w:rFonts w:ascii="Arial"/>
                <w:color w:val="auto"/>
                <w:sz w:val="21"/>
              </w:rPr>
            </w:pPr>
          </w:p>
        </w:tc>
        <w:tc>
          <w:tcPr>
            <w:tcW w:w="1795" w:type="dxa"/>
            <w:gridSpan w:val="2"/>
            <w:vAlign w:val="top"/>
          </w:tcPr>
          <w:p w14:paraId="4C58C668">
            <w:pPr>
              <w:rPr>
                <w:rFonts w:ascii="Arial"/>
                <w:color w:val="auto"/>
                <w:sz w:val="21"/>
              </w:rPr>
            </w:pPr>
          </w:p>
        </w:tc>
        <w:tc>
          <w:tcPr>
            <w:tcW w:w="3056" w:type="dxa"/>
            <w:vAlign w:val="top"/>
          </w:tcPr>
          <w:p w14:paraId="22DD0C74">
            <w:pPr>
              <w:rPr>
                <w:rFonts w:ascii="Arial"/>
                <w:color w:val="auto"/>
                <w:sz w:val="21"/>
              </w:rPr>
            </w:pPr>
          </w:p>
        </w:tc>
        <w:tc>
          <w:tcPr>
            <w:tcW w:w="1209" w:type="dxa"/>
            <w:vAlign w:val="top"/>
          </w:tcPr>
          <w:p w14:paraId="30B186A3">
            <w:pPr>
              <w:rPr>
                <w:rFonts w:ascii="Arial"/>
                <w:color w:val="auto"/>
                <w:sz w:val="21"/>
              </w:rPr>
            </w:pPr>
          </w:p>
        </w:tc>
      </w:tr>
    </w:tbl>
    <w:p w14:paraId="16CC64B8">
      <w:pPr>
        <w:spacing w:before="294" w:line="571" w:lineRule="exact"/>
        <w:ind w:right="2"/>
        <w:jc w:val="right"/>
        <w:rPr>
          <w:rFonts w:ascii="黑体" w:hAnsi="黑体" w:eastAsia="黑体" w:cs="黑体"/>
          <w:color w:val="auto"/>
          <w:sz w:val="24"/>
          <w:szCs w:val="24"/>
        </w:rPr>
      </w:pPr>
      <w:r>
        <w:rPr>
          <w:rFonts w:ascii="黑体" w:hAnsi="黑体" w:eastAsia="黑体" w:cs="黑体"/>
          <w:color w:val="auto"/>
          <w:spacing w:val="2"/>
          <w:position w:val="25"/>
          <w:sz w:val="24"/>
          <w:szCs w:val="24"/>
          <w14:textOutline w14:w="4358" w14:cap="sq" w14:cmpd="sng">
            <w14:solidFill>
              <w14:srgbClr w14:val="000000"/>
            </w14:solidFill>
            <w14:prstDash w14:val="solid"/>
            <w14:bevel/>
          </w14:textOutline>
        </w:rPr>
        <w:t>附项目负责人相关资料、社保缴纳凭证、业绩证明资料复印件（如成交通知书/中标通知</w:t>
      </w:r>
    </w:p>
    <w:p w14:paraId="4BC72836">
      <w:pPr>
        <w:spacing w:before="1" w:line="212" w:lineRule="auto"/>
        <w:ind w:left="15"/>
        <w:rPr>
          <w:rFonts w:ascii="黑体" w:hAnsi="黑体" w:eastAsia="黑体" w:cs="黑体"/>
          <w:color w:val="auto"/>
          <w:sz w:val="24"/>
          <w:szCs w:val="24"/>
        </w:rPr>
      </w:pPr>
      <w:r>
        <w:rPr>
          <w:rFonts w:ascii="黑体" w:hAnsi="黑体" w:eastAsia="黑体" w:cs="黑体"/>
          <w:color w:val="auto"/>
          <w:spacing w:val="1"/>
          <w:sz w:val="24"/>
          <w:szCs w:val="24"/>
          <w14:textOutline w14:w="4358" w14:cap="sq" w14:cmpd="sng">
            <w14:solidFill>
              <w14:srgbClr w14:val="000000"/>
            </w14:solidFill>
            <w14:prstDash w14:val="solid"/>
            <w14:bevel/>
          </w14:textOutline>
        </w:rPr>
        <w:t>书</w:t>
      </w:r>
      <w:r>
        <w:rPr>
          <w:rFonts w:hint="eastAsia" w:ascii="黑体" w:hAnsi="黑体" w:eastAsia="黑体" w:cs="黑体"/>
          <w:color w:val="auto"/>
          <w:spacing w:val="1"/>
          <w:sz w:val="24"/>
          <w:szCs w:val="24"/>
          <w:lang w:val="en-US" w:eastAsia="zh-CN"/>
          <w14:textOutline w14:w="4358" w14:cap="sq" w14:cmpd="sng">
            <w14:solidFill>
              <w14:srgbClr w14:val="000000"/>
            </w14:solidFill>
            <w14:prstDash w14:val="solid"/>
            <w14:bevel/>
          </w14:textOutline>
        </w:rPr>
        <w:t>及</w:t>
      </w:r>
      <w:r>
        <w:rPr>
          <w:rFonts w:ascii="黑体" w:hAnsi="黑体" w:eastAsia="黑体" w:cs="黑体"/>
          <w:color w:val="auto"/>
          <w:spacing w:val="1"/>
          <w:sz w:val="24"/>
          <w:szCs w:val="24"/>
          <w14:textOutline w14:w="4358" w14:cap="sq" w14:cmpd="sng">
            <w14:solidFill>
              <w14:srgbClr w14:val="000000"/>
            </w14:solidFill>
            <w14:prstDash w14:val="solid"/>
            <w14:bevel/>
          </w14:textOutline>
        </w:rPr>
        <w:t>合同复印件</w:t>
      </w:r>
      <w:r>
        <w:rPr>
          <w:rFonts w:ascii="黑体" w:hAnsi="黑体" w:eastAsia="黑体" w:cs="黑体"/>
          <w:color w:val="auto"/>
          <w:spacing w:val="9"/>
          <w:sz w:val="24"/>
          <w:szCs w:val="24"/>
          <w14:textOutline w14:w="4358" w14:cap="sq" w14:cmpd="sng">
            <w14:solidFill>
              <w14:srgbClr w14:val="000000"/>
            </w14:solidFill>
            <w14:prstDash w14:val="solid"/>
            <w14:bevel/>
          </w14:textOutline>
        </w:rPr>
        <w:t>），</w:t>
      </w:r>
      <w:r>
        <w:rPr>
          <w:rFonts w:ascii="黑体" w:hAnsi="黑体" w:eastAsia="黑体" w:cs="黑体"/>
          <w:color w:val="auto"/>
          <w:spacing w:val="1"/>
          <w:sz w:val="24"/>
          <w:szCs w:val="24"/>
          <w14:textOutline w14:w="4358" w14:cap="sq" w14:cmpd="sng">
            <w14:solidFill>
              <w14:srgbClr w14:val="000000"/>
            </w14:solidFill>
            <w14:prstDash w14:val="solid"/>
            <w14:bevel/>
          </w14:textOutline>
        </w:rPr>
        <w:t>作为本表的附件。</w:t>
      </w:r>
    </w:p>
    <w:p w14:paraId="4683B939">
      <w:pPr>
        <w:pStyle w:val="5"/>
        <w:spacing w:line="272" w:lineRule="auto"/>
        <w:rPr>
          <w:color w:val="auto"/>
        </w:rPr>
      </w:pPr>
    </w:p>
    <w:p w14:paraId="7A16F148">
      <w:pPr>
        <w:pStyle w:val="5"/>
        <w:spacing w:line="272" w:lineRule="auto"/>
        <w:rPr>
          <w:color w:val="auto"/>
        </w:rPr>
      </w:pPr>
    </w:p>
    <w:p w14:paraId="7B923DD5">
      <w:pPr>
        <w:pStyle w:val="5"/>
        <w:spacing w:line="272" w:lineRule="auto"/>
        <w:rPr>
          <w:color w:val="auto"/>
        </w:rPr>
      </w:pPr>
    </w:p>
    <w:p w14:paraId="25B5DF90">
      <w:pPr>
        <w:pStyle w:val="5"/>
        <w:spacing w:line="273" w:lineRule="auto"/>
        <w:rPr>
          <w:color w:val="auto"/>
        </w:rPr>
      </w:pPr>
    </w:p>
    <w:p w14:paraId="4535832D">
      <w:pPr>
        <w:spacing w:before="79" w:line="222" w:lineRule="auto"/>
        <w:ind w:left="4564"/>
        <w:rPr>
          <w:rFonts w:ascii="黑体" w:hAnsi="黑体" w:eastAsia="黑体" w:cs="黑体"/>
          <w:color w:val="auto"/>
          <w:sz w:val="24"/>
          <w:szCs w:val="24"/>
        </w:rPr>
      </w:pPr>
      <w:r>
        <w:rPr>
          <w:rFonts w:ascii="黑体" w:hAnsi="黑体" w:eastAsia="黑体" w:cs="黑体"/>
          <w:color w:val="auto"/>
          <w:spacing w:val="1"/>
          <w:sz w:val="24"/>
          <w:szCs w:val="24"/>
        </w:rPr>
        <w:t>供应商名称（盖章</w:t>
      </w:r>
      <w:r>
        <w:rPr>
          <w:rFonts w:ascii="黑体" w:hAnsi="黑体" w:eastAsia="黑体" w:cs="黑体"/>
          <w:color w:val="auto"/>
          <w:sz w:val="24"/>
          <w:szCs w:val="24"/>
        </w:rPr>
        <w:t>）：</w:t>
      </w:r>
    </w:p>
    <w:p w14:paraId="50660F27">
      <w:pPr>
        <w:spacing w:before="280" w:line="222" w:lineRule="auto"/>
        <w:ind w:right="4"/>
        <w:jc w:val="right"/>
        <w:rPr>
          <w:rFonts w:ascii="黑体" w:hAnsi="黑体" w:eastAsia="黑体" w:cs="黑体"/>
          <w:color w:val="auto"/>
          <w:sz w:val="24"/>
          <w:szCs w:val="24"/>
        </w:rPr>
      </w:pPr>
      <w:r>
        <w:rPr>
          <w:rFonts w:ascii="黑体" w:hAnsi="黑体" w:eastAsia="黑体" w:cs="黑体"/>
          <w:color w:val="auto"/>
          <w:spacing w:val="1"/>
          <w:sz w:val="24"/>
          <w:szCs w:val="24"/>
        </w:rPr>
        <w:t>法定代表人或委托代理人（签字或盖章</w:t>
      </w:r>
      <w:r>
        <w:rPr>
          <w:rFonts w:ascii="黑体" w:hAnsi="黑体" w:eastAsia="黑体" w:cs="黑体"/>
          <w:color w:val="auto"/>
          <w:spacing w:val="5"/>
          <w:sz w:val="24"/>
          <w:szCs w:val="24"/>
        </w:rPr>
        <w:t>）：</w:t>
      </w:r>
    </w:p>
    <w:p w14:paraId="5E1FC67F">
      <w:pPr>
        <w:spacing w:before="284" w:line="223" w:lineRule="auto"/>
        <w:jc w:val="right"/>
        <w:rPr>
          <w:rFonts w:ascii="黑体" w:hAnsi="黑体" w:eastAsia="黑体" w:cs="黑体"/>
          <w:color w:val="auto"/>
          <w:sz w:val="24"/>
          <w:szCs w:val="24"/>
        </w:rPr>
      </w:pPr>
      <w:r>
        <w:rPr>
          <w:rFonts w:ascii="黑体" w:hAnsi="黑体" w:eastAsia="黑体" w:cs="黑体"/>
          <w:color w:val="auto"/>
          <w:spacing w:val="-20"/>
          <w:sz w:val="24"/>
          <w:szCs w:val="24"/>
        </w:rPr>
        <w:t>日期：年月日</w:t>
      </w:r>
    </w:p>
    <w:p w14:paraId="51411907">
      <w:pPr>
        <w:spacing w:line="223" w:lineRule="auto"/>
        <w:rPr>
          <w:rFonts w:ascii="黑体" w:hAnsi="黑体" w:eastAsia="黑体" w:cs="黑体"/>
          <w:color w:val="auto"/>
          <w:sz w:val="24"/>
          <w:szCs w:val="24"/>
        </w:rPr>
        <w:sectPr>
          <w:footerReference r:id="rId42" w:type="default"/>
          <w:pgSz w:w="11906" w:h="16839"/>
          <w:pgMar w:top="1440" w:right="1080" w:bottom="1440" w:left="1080" w:header="0" w:footer="850" w:gutter="0"/>
          <w:pgNumType w:fmt="decimal"/>
          <w:cols w:space="720" w:num="1"/>
        </w:sectPr>
      </w:pPr>
    </w:p>
    <w:p w14:paraId="0AF88E9F">
      <w:pPr>
        <w:pStyle w:val="5"/>
        <w:spacing w:line="266" w:lineRule="auto"/>
        <w:rPr>
          <w:color w:val="auto"/>
        </w:rPr>
      </w:pPr>
    </w:p>
    <w:p w14:paraId="3A05C54A">
      <w:pPr>
        <w:spacing w:before="101" w:line="230" w:lineRule="auto"/>
        <w:rPr>
          <w:rFonts w:ascii="黑体" w:hAnsi="黑体" w:eastAsia="黑体" w:cs="黑体"/>
          <w:color w:val="auto"/>
          <w:sz w:val="31"/>
          <w:szCs w:val="31"/>
        </w:rPr>
      </w:pPr>
      <w:r>
        <w:rPr>
          <w:rFonts w:ascii="黑体" w:hAnsi="黑体" w:eastAsia="黑体" w:cs="黑体"/>
          <w:color w:val="auto"/>
          <w:spacing w:val="-4"/>
          <w:sz w:val="31"/>
          <w:szCs w:val="31"/>
          <w14:textOutline w14:w="5793" w14:cap="sq" w14:cmpd="sng">
            <w14:solidFill>
              <w14:srgbClr w14:val="000000"/>
            </w14:solidFill>
            <w14:prstDash w14:val="solid"/>
            <w14:bevel/>
          </w14:textOutline>
        </w:rPr>
        <w:t>附件13:</w:t>
      </w:r>
    </w:p>
    <w:p w14:paraId="44117F51">
      <w:pPr>
        <w:spacing w:before="238" w:line="226" w:lineRule="auto"/>
        <w:ind w:left="2718"/>
        <w:outlineLvl w:val="1"/>
        <w:rPr>
          <w:rFonts w:ascii="黑体" w:hAnsi="黑体" w:eastAsia="黑体" w:cs="黑体"/>
          <w:color w:val="auto"/>
          <w:sz w:val="31"/>
          <w:szCs w:val="31"/>
        </w:rPr>
      </w:pPr>
      <w:bookmarkStart w:id="242" w:name="_Toc14080"/>
      <w:r>
        <w:rPr>
          <w:rFonts w:ascii="黑体" w:hAnsi="黑体" w:eastAsia="黑体" w:cs="黑体"/>
          <w:color w:val="auto"/>
          <w:spacing w:val="12"/>
          <w:sz w:val="31"/>
          <w:szCs w:val="31"/>
          <w14:textOutline w14:w="5793" w14:cap="sq" w14:cmpd="sng">
            <w14:solidFill>
              <w14:srgbClr w14:val="000000"/>
            </w14:solidFill>
            <w14:prstDash w14:val="solid"/>
            <w14:bevel/>
          </w14:textOutline>
        </w:rPr>
        <w:t>拟派本项目人员配置情况表</w:t>
      </w:r>
      <w:bookmarkEnd w:id="242"/>
    </w:p>
    <w:p w14:paraId="5E4E79DE">
      <w:pPr>
        <w:spacing w:line="90" w:lineRule="exact"/>
        <w:rPr>
          <w:color w:val="auto"/>
        </w:rPr>
      </w:pPr>
    </w:p>
    <w:tbl>
      <w:tblPr>
        <w:tblStyle w:val="19"/>
        <w:tblW w:w="9198"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1148"/>
        <w:gridCol w:w="1185"/>
        <w:gridCol w:w="20"/>
        <w:gridCol w:w="1655"/>
        <w:gridCol w:w="20"/>
        <w:gridCol w:w="1110"/>
        <w:gridCol w:w="1110"/>
        <w:gridCol w:w="889"/>
        <w:gridCol w:w="929"/>
      </w:tblGrid>
      <w:tr w14:paraId="2BCE8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2" w:type="dxa"/>
            <w:tcBorders>
              <w:top w:val="single" w:color="000000" w:sz="6" w:space="0"/>
            </w:tcBorders>
            <w:vAlign w:val="top"/>
          </w:tcPr>
          <w:p w14:paraId="43339E5D">
            <w:pPr>
              <w:spacing w:line="258" w:lineRule="auto"/>
              <w:rPr>
                <w:rFonts w:ascii="Arial"/>
                <w:color w:val="auto"/>
                <w:sz w:val="21"/>
              </w:rPr>
            </w:pPr>
          </w:p>
          <w:p w14:paraId="3B347CEE">
            <w:pPr>
              <w:pStyle w:val="20"/>
              <w:spacing w:before="78" w:line="221" w:lineRule="auto"/>
              <w:ind w:left="331"/>
              <w:rPr>
                <w:color w:val="auto"/>
              </w:rPr>
            </w:pPr>
            <w:r>
              <w:rPr>
                <w:color w:val="auto"/>
                <w:spacing w:val="-4"/>
                <w14:textOutline w14:w="4358" w14:cap="sq" w14:cmpd="sng">
                  <w14:solidFill>
                    <w14:srgbClr w14:val="000000"/>
                  </w14:solidFill>
                  <w14:prstDash w14:val="solid"/>
                  <w14:bevel/>
                </w14:textOutline>
              </w:rPr>
              <w:t>职务</w:t>
            </w:r>
          </w:p>
        </w:tc>
        <w:tc>
          <w:tcPr>
            <w:tcW w:w="1148" w:type="dxa"/>
            <w:tcBorders>
              <w:top w:val="single" w:color="000000" w:sz="6" w:space="0"/>
              <w:right w:val="single" w:color="000000" w:sz="6" w:space="0"/>
            </w:tcBorders>
            <w:vAlign w:val="top"/>
          </w:tcPr>
          <w:p w14:paraId="1C69ACE1">
            <w:pPr>
              <w:spacing w:line="258" w:lineRule="auto"/>
              <w:rPr>
                <w:rFonts w:ascii="Arial"/>
                <w:color w:val="auto"/>
                <w:sz w:val="21"/>
              </w:rPr>
            </w:pPr>
          </w:p>
          <w:p w14:paraId="6FF00612">
            <w:pPr>
              <w:pStyle w:val="20"/>
              <w:spacing w:before="78" w:line="222" w:lineRule="auto"/>
              <w:ind w:left="336"/>
              <w:rPr>
                <w:color w:val="auto"/>
              </w:rPr>
            </w:pPr>
            <w:r>
              <w:rPr>
                <w:color w:val="auto"/>
                <w:spacing w:val="-4"/>
                <w14:textOutline w14:w="4358" w14:cap="sq" w14:cmpd="sng">
                  <w14:solidFill>
                    <w14:srgbClr w14:val="000000"/>
                  </w14:solidFill>
                  <w14:prstDash w14:val="solid"/>
                  <w14:bevel/>
                </w14:textOutline>
              </w:rPr>
              <w:t>姓名</w:t>
            </w:r>
          </w:p>
        </w:tc>
        <w:tc>
          <w:tcPr>
            <w:tcW w:w="1185" w:type="dxa"/>
            <w:tcBorders>
              <w:top w:val="single" w:color="000000" w:sz="6" w:space="0"/>
              <w:left w:val="single" w:color="000000" w:sz="6" w:space="0"/>
              <w:right w:val="single" w:color="000000" w:sz="6" w:space="0"/>
            </w:tcBorders>
            <w:vAlign w:val="top"/>
          </w:tcPr>
          <w:p w14:paraId="60352624">
            <w:pPr>
              <w:spacing w:line="257" w:lineRule="auto"/>
              <w:rPr>
                <w:rFonts w:ascii="Arial"/>
                <w:color w:val="auto"/>
                <w:sz w:val="21"/>
              </w:rPr>
            </w:pPr>
          </w:p>
          <w:p w14:paraId="1E1A8C7C">
            <w:pPr>
              <w:pStyle w:val="20"/>
              <w:spacing w:before="78" w:line="222" w:lineRule="auto"/>
              <w:ind w:left="362"/>
              <w:rPr>
                <w:color w:val="auto"/>
              </w:rPr>
            </w:pPr>
            <w:r>
              <w:rPr>
                <w:color w:val="auto"/>
                <w:spacing w:val="-4"/>
                <w14:textOutline w14:w="4358" w14:cap="sq" w14:cmpd="sng">
                  <w14:solidFill>
                    <w14:srgbClr w14:val="000000"/>
                  </w14:solidFill>
                  <w14:prstDash w14:val="solid"/>
                  <w14:bevel/>
                </w14:textOutline>
              </w:rPr>
              <w:t>职称</w:t>
            </w:r>
          </w:p>
        </w:tc>
        <w:tc>
          <w:tcPr>
            <w:tcW w:w="1675" w:type="dxa"/>
            <w:gridSpan w:val="2"/>
            <w:tcBorders>
              <w:top w:val="single" w:color="000000" w:sz="6" w:space="0"/>
              <w:left w:val="single" w:color="000000" w:sz="6" w:space="0"/>
              <w:right w:val="single" w:color="000000" w:sz="6" w:space="0"/>
            </w:tcBorders>
            <w:vAlign w:val="top"/>
          </w:tcPr>
          <w:p w14:paraId="31BC9BA5">
            <w:pPr>
              <w:spacing w:line="257" w:lineRule="auto"/>
              <w:rPr>
                <w:rFonts w:ascii="Arial"/>
                <w:color w:val="auto"/>
                <w:sz w:val="21"/>
              </w:rPr>
            </w:pPr>
          </w:p>
          <w:p w14:paraId="120B2A45">
            <w:pPr>
              <w:pStyle w:val="20"/>
              <w:spacing w:before="78" w:line="222" w:lineRule="auto"/>
              <w:ind w:left="373"/>
              <w:rPr>
                <w:color w:val="auto"/>
              </w:rPr>
            </w:pPr>
            <w:r>
              <w:rPr>
                <w:color w:val="auto"/>
                <w14:textOutline w14:w="4358" w14:cap="sq" w14:cmpd="sng">
                  <w14:solidFill>
                    <w14:srgbClr w14:val="000000"/>
                  </w14:solidFill>
                  <w14:prstDash w14:val="solid"/>
                  <w14:bevel/>
                </w14:textOutline>
              </w:rPr>
              <w:t>证书名称</w:t>
            </w:r>
          </w:p>
        </w:tc>
        <w:tc>
          <w:tcPr>
            <w:tcW w:w="1130" w:type="dxa"/>
            <w:gridSpan w:val="2"/>
            <w:tcBorders>
              <w:top w:val="single" w:color="000000" w:sz="6" w:space="0"/>
              <w:left w:val="single" w:color="000000" w:sz="6" w:space="0"/>
              <w:right w:val="single" w:color="000000" w:sz="6" w:space="0"/>
            </w:tcBorders>
            <w:vAlign w:val="top"/>
          </w:tcPr>
          <w:p w14:paraId="09A5D967">
            <w:pPr>
              <w:spacing w:line="258" w:lineRule="auto"/>
              <w:rPr>
                <w:rFonts w:ascii="Arial"/>
                <w:color w:val="auto"/>
                <w:sz w:val="21"/>
              </w:rPr>
            </w:pPr>
          </w:p>
          <w:p w14:paraId="79C4DD32">
            <w:pPr>
              <w:pStyle w:val="20"/>
              <w:spacing w:before="78" w:line="221" w:lineRule="auto"/>
              <w:ind w:left="338"/>
              <w:rPr>
                <w:color w:val="auto"/>
              </w:rPr>
            </w:pPr>
            <w:r>
              <w:rPr>
                <w:color w:val="auto"/>
                <w:spacing w:val="-5"/>
                <w14:textOutline w14:w="4358" w14:cap="sq" w14:cmpd="sng">
                  <w14:solidFill>
                    <w14:srgbClr w14:val="000000"/>
                  </w14:solidFill>
                  <w14:prstDash w14:val="solid"/>
                  <w14:bevel/>
                </w14:textOutline>
              </w:rPr>
              <w:t>级别</w:t>
            </w:r>
          </w:p>
        </w:tc>
        <w:tc>
          <w:tcPr>
            <w:tcW w:w="1110" w:type="dxa"/>
            <w:tcBorders>
              <w:top w:val="single" w:color="000000" w:sz="6" w:space="0"/>
              <w:left w:val="single" w:color="000000" w:sz="6" w:space="0"/>
              <w:right w:val="single" w:color="000000" w:sz="6" w:space="0"/>
            </w:tcBorders>
            <w:vAlign w:val="top"/>
          </w:tcPr>
          <w:p w14:paraId="4D897ED0">
            <w:pPr>
              <w:spacing w:line="258" w:lineRule="auto"/>
              <w:rPr>
                <w:rFonts w:ascii="Arial"/>
                <w:color w:val="auto"/>
                <w:sz w:val="21"/>
              </w:rPr>
            </w:pPr>
          </w:p>
          <w:p w14:paraId="71344A02">
            <w:pPr>
              <w:pStyle w:val="20"/>
              <w:spacing w:before="78" w:line="223" w:lineRule="auto"/>
              <w:ind w:left="316"/>
              <w:rPr>
                <w:color w:val="auto"/>
              </w:rPr>
            </w:pPr>
            <w:r>
              <w:rPr>
                <w:color w:val="auto"/>
                <w:spacing w:val="-4"/>
                <w14:textOutline w14:w="4358" w14:cap="sq" w14:cmpd="sng">
                  <w14:solidFill>
                    <w14:srgbClr w14:val="000000"/>
                  </w14:solidFill>
                  <w14:prstDash w14:val="solid"/>
                  <w14:bevel/>
                </w14:textOutline>
              </w:rPr>
              <w:t>证号</w:t>
            </w:r>
          </w:p>
        </w:tc>
        <w:tc>
          <w:tcPr>
            <w:tcW w:w="889" w:type="dxa"/>
            <w:tcBorders>
              <w:top w:val="single" w:color="000000" w:sz="6" w:space="0"/>
              <w:left w:val="single" w:color="000000" w:sz="6" w:space="0"/>
              <w:right w:val="single" w:color="000000" w:sz="6" w:space="0"/>
            </w:tcBorders>
            <w:vAlign w:val="top"/>
          </w:tcPr>
          <w:p w14:paraId="5115181A">
            <w:pPr>
              <w:spacing w:line="258" w:lineRule="auto"/>
              <w:rPr>
                <w:rFonts w:ascii="Arial"/>
                <w:color w:val="auto"/>
                <w:sz w:val="21"/>
              </w:rPr>
            </w:pPr>
          </w:p>
          <w:p w14:paraId="7847C6D1">
            <w:pPr>
              <w:pStyle w:val="20"/>
              <w:spacing w:before="78" w:line="224" w:lineRule="auto"/>
              <w:ind w:left="213"/>
              <w:rPr>
                <w:color w:val="auto"/>
              </w:rPr>
            </w:pPr>
            <w:r>
              <w:rPr>
                <w:color w:val="auto"/>
                <w:spacing w:val="-6"/>
                <w14:textOutline w14:w="4358" w14:cap="sq" w14:cmpd="sng">
                  <w14:solidFill>
                    <w14:srgbClr w14:val="000000"/>
                  </w14:solidFill>
                  <w14:prstDash w14:val="solid"/>
                  <w14:bevel/>
                </w14:textOutline>
              </w:rPr>
              <w:t>专业</w:t>
            </w:r>
          </w:p>
        </w:tc>
        <w:tc>
          <w:tcPr>
            <w:tcW w:w="929" w:type="dxa"/>
            <w:tcBorders>
              <w:top w:val="single" w:color="000000" w:sz="6" w:space="0"/>
              <w:left w:val="single" w:color="000000" w:sz="6" w:space="0"/>
              <w:right w:val="single" w:color="000000" w:sz="6" w:space="0"/>
            </w:tcBorders>
            <w:vAlign w:val="top"/>
          </w:tcPr>
          <w:p w14:paraId="5784F043">
            <w:pPr>
              <w:spacing w:line="257" w:lineRule="auto"/>
              <w:rPr>
                <w:rFonts w:ascii="Arial"/>
                <w:color w:val="auto"/>
                <w:sz w:val="21"/>
              </w:rPr>
            </w:pPr>
          </w:p>
          <w:p w14:paraId="33FB5679">
            <w:pPr>
              <w:pStyle w:val="20"/>
              <w:spacing w:before="78" w:line="222" w:lineRule="auto"/>
              <w:ind w:left="224"/>
              <w:rPr>
                <w:color w:val="auto"/>
              </w:rPr>
            </w:pPr>
            <w:r>
              <w:rPr>
                <w:color w:val="auto"/>
                <w:spacing w:val="-4"/>
                <w14:textOutline w14:w="4358" w14:cap="sq" w14:cmpd="sng">
                  <w14:solidFill>
                    <w14:srgbClr w14:val="000000"/>
                  </w14:solidFill>
                  <w14:prstDash w14:val="solid"/>
                  <w14:bevel/>
                </w14:textOutline>
              </w:rPr>
              <w:t>备注</w:t>
            </w:r>
          </w:p>
        </w:tc>
      </w:tr>
      <w:tr w14:paraId="5702E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3035A761">
            <w:pPr>
              <w:rPr>
                <w:rFonts w:ascii="Arial"/>
                <w:color w:val="auto"/>
                <w:sz w:val="21"/>
              </w:rPr>
            </w:pPr>
          </w:p>
        </w:tc>
        <w:tc>
          <w:tcPr>
            <w:tcW w:w="1148" w:type="dxa"/>
            <w:vAlign w:val="top"/>
          </w:tcPr>
          <w:p w14:paraId="15E9FEC3">
            <w:pPr>
              <w:rPr>
                <w:rFonts w:ascii="Arial"/>
                <w:color w:val="auto"/>
                <w:sz w:val="21"/>
              </w:rPr>
            </w:pPr>
          </w:p>
        </w:tc>
        <w:tc>
          <w:tcPr>
            <w:tcW w:w="1205" w:type="dxa"/>
            <w:gridSpan w:val="2"/>
            <w:vAlign w:val="top"/>
          </w:tcPr>
          <w:p w14:paraId="3176D87A">
            <w:pPr>
              <w:rPr>
                <w:rFonts w:ascii="Arial"/>
                <w:color w:val="auto"/>
                <w:sz w:val="21"/>
              </w:rPr>
            </w:pPr>
          </w:p>
        </w:tc>
        <w:tc>
          <w:tcPr>
            <w:tcW w:w="1675" w:type="dxa"/>
            <w:gridSpan w:val="2"/>
            <w:vAlign w:val="top"/>
          </w:tcPr>
          <w:p w14:paraId="5CDB9D45">
            <w:pPr>
              <w:rPr>
                <w:rFonts w:ascii="Arial"/>
                <w:color w:val="auto"/>
                <w:sz w:val="21"/>
              </w:rPr>
            </w:pPr>
          </w:p>
        </w:tc>
        <w:tc>
          <w:tcPr>
            <w:tcW w:w="1110" w:type="dxa"/>
            <w:vAlign w:val="top"/>
          </w:tcPr>
          <w:p w14:paraId="1F33E048">
            <w:pPr>
              <w:rPr>
                <w:rFonts w:ascii="Arial"/>
                <w:color w:val="auto"/>
                <w:sz w:val="21"/>
              </w:rPr>
            </w:pPr>
          </w:p>
        </w:tc>
        <w:tc>
          <w:tcPr>
            <w:tcW w:w="1110" w:type="dxa"/>
            <w:vAlign w:val="top"/>
          </w:tcPr>
          <w:p w14:paraId="0FA5976F">
            <w:pPr>
              <w:rPr>
                <w:rFonts w:ascii="Arial"/>
                <w:color w:val="auto"/>
                <w:sz w:val="21"/>
              </w:rPr>
            </w:pPr>
          </w:p>
        </w:tc>
        <w:tc>
          <w:tcPr>
            <w:tcW w:w="889" w:type="dxa"/>
            <w:tcBorders>
              <w:right w:val="single" w:color="000000" w:sz="6" w:space="0"/>
            </w:tcBorders>
            <w:vAlign w:val="top"/>
          </w:tcPr>
          <w:p w14:paraId="24059E33">
            <w:pPr>
              <w:rPr>
                <w:rFonts w:ascii="Arial"/>
                <w:color w:val="auto"/>
                <w:sz w:val="21"/>
              </w:rPr>
            </w:pPr>
          </w:p>
        </w:tc>
        <w:tc>
          <w:tcPr>
            <w:tcW w:w="929" w:type="dxa"/>
            <w:tcBorders>
              <w:left w:val="single" w:color="000000" w:sz="6" w:space="0"/>
              <w:right w:val="single" w:color="000000" w:sz="6" w:space="0"/>
            </w:tcBorders>
            <w:vAlign w:val="top"/>
          </w:tcPr>
          <w:p w14:paraId="5AE3052E">
            <w:pPr>
              <w:rPr>
                <w:rFonts w:ascii="Arial"/>
                <w:color w:val="auto"/>
                <w:sz w:val="21"/>
              </w:rPr>
            </w:pPr>
          </w:p>
        </w:tc>
      </w:tr>
      <w:tr w14:paraId="60190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3F7074BD">
            <w:pPr>
              <w:rPr>
                <w:rFonts w:ascii="Arial"/>
                <w:color w:val="auto"/>
                <w:sz w:val="21"/>
              </w:rPr>
            </w:pPr>
          </w:p>
        </w:tc>
        <w:tc>
          <w:tcPr>
            <w:tcW w:w="1148" w:type="dxa"/>
            <w:vAlign w:val="top"/>
          </w:tcPr>
          <w:p w14:paraId="636E08AD">
            <w:pPr>
              <w:rPr>
                <w:rFonts w:ascii="Arial"/>
                <w:color w:val="auto"/>
                <w:sz w:val="21"/>
              </w:rPr>
            </w:pPr>
          </w:p>
        </w:tc>
        <w:tc>
          <w:tcPr>
            <w:tcW w:w="1205" w:type="dxa"/>
            <w:gridSpan w:val="2"/>
            <w:vAlign w:val="top"/>
          </w:tcPr>
          <w:p w14:paraId="2B2BF525">
            <w:pPr>
              <w:rPr>
                <w:rFonts w:ascii="Arial"/>
                <w:color w:val="auto"/>
                <w:sz w:val="21"/>
              </w:rPr>
            </w:pPr>
          </w:p>
        </w:tc>
        <w:tc>
          <w:tcPr>
            <w:tcW w:w="1675" w:type="dxa"/>
            <w:gridSpan w:val="2"/>
            <w:vAlign w:val="top"/>
          </w:tcPr>
          <w:p w14:paraId="22E9862F">
            <w:pPr>
              <w:rPr>
                <w:rFonts w:ascii="Arial"/>
                <w:color w:val="auto"/>
                <w:sz w:val="21"/>
              </w:rPr>
            </w:pPr>
          </w:p>
        </w:tc>
        <w:tc>
          <w:tcPr>
            <w:tcW w:w="1110" w:type="dxa"/>
            <w:vAlign w:val="top"/>
          </w:tcPr>
          <w:p w14:paraId="5BA130A6">
            <w:pPr>
              <w:rPr>
                <w:rFonts w:ascii="Arial"/>
                <w:color w:val="auto"/>
                <w:sz w:val="21"/>
              </w:rPr>
            </w:pPr>
          </w:p>
        </w:tc>
        <w:tc>
          <w:tcPr>
            <w:tcW w:w="1110" w:type="dxa"/>
            <w:vAlign w:val="top"/>
          </w:tcPr>
          <w:p w14:paraId="09DEFD1F">
            <w:pPr>
              <w:rPr>
                <w:rFonts w:ascii="Arial"/>
                <w:color w:val="auto"/>
                <w:sz w:val="21"/>
              </w:rPr>
            </w:pPr>
          </w:p>
        </w:tc>
        <w:tc>
          <w:tcPr>
            <w:tcW w:w="889" w:type="dxa"/>
            <w:tcBorders>
              <w:right w:val="single" w:color="000000" w:sz="6" w:space="0"/>
            </w:tcBorders>
            <w:vAlign w:val="top"/>
          </w:tcPr>
          <w:p w14:paraId="53C95248">
            <w:pPr>
              <w:rPr>
                <w:rFonts w:ascii="Arial"/>
                <w:color w:val="auto"/>
                <w:sz w:val="21"/>
              </w:rPr>
            </w:pPr>
          </w:p>
        </w:tc>
        <w:tc>
          <w:tcPr>
            <w:tcW w:w="929" w:type="dxa"/>
            <w:tcBorders>
              <w:left w:val="single" w:color="000000" w:sz="6" w:space="0"/>
              <w:right w:val="single" w:color="000000" w:sz="6" w:space="0"/>
            </w:tcBorders>
            <w:vAlign w:val="top"/>
          </w:tcPr>
          <w:p w14:paraId="6BC92561">
            <w:pPr>
              <w:rPr>
                <w:rFonts w:ascii="Arial"/>
                <w:color w:val="auto"/>
                <w:sz w:val="21"/>
              </w:rPr>
            </w:pPr>
          </w:p>
        </w:tc>
      </w:tr>
      <w:tr w14:paraId="335D8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52DA9908">
            <w:pPr>
              <w:rPr>
                <w:rFonts w:ascii="Arial"/>
                <w:color w:val="auto"/>
                <w:sz w:val="21"/>
              </w:rPr>
            </w:pPr>
          </w:p>
        </w:tc>
        <w:tc>
          <w:tcPr>
            <w:tcW w:w="1148" w:type="dxa"/>
            <w:vAlign w:val="top"/>
          </w:tcPr>
          <w:p w14:paraId="3D5FD04F">
            <w:pPr>
              <w:rPr>
                <w:rFonts w:ascii="Arial"/>
                <w:color w:val="auto"/>
                <w:sz w:val="21"/>
              </w:rPr>
            </w:pPr>
          </w:p>
        </w:tc>
        <w:tc>
          <w:tcPr>
            <w:tcW w:w="1205" w:type="dxa"/>
            <w:gridSpan w:val="2"/>
            <w:vAlign w:val="top"/>
          </w:tcPr>
          <w:p w14:paraId="374A8A21">
            <w:pPr>
              <w:rPr>
                <w:rFonts w:ascii="Arial"/>
                <w:color w:val="auto"/>
                <w:sz w:val="21"/>
              </w:rPr>
            </w:pPr>
          </w:p>
        </w:tc>
        <w:tc>
          <w:tcPr>
            <w:tcW w:w="1675" w:type="dxa"/>
            <w:gridSpan w:val="2"/>
            <w:vAlign w:val="top"/>
          </w:tcPr>
          <w:p w14:paraId="64AA3305">
            <w:pPr>
              <w:rPr>
                <w:rFonts w:ascii="Arial"/>
                <w:color w:val="auto"/>
                <w:sz w:val="21"/>
              </w:rPr>
            </w:pPr>
          </w:p>
        </w:tc>
        <w:tc>
          <w:tcPr>
            <w:tcW w:w="1110" w:type="dxa"/>
            <w:vAlign w:val="top"/>
          </w:tcPr>
          <w:p w14:paraId="6C5B459F">
            <w:pPr>
              <w:rPr>
                <w:rFonts w:ascii="Arial"/>
                <w:color w:val="auto"/>
                <w:sz w:val="21"/>
              </w:rPr>
            </w:pPr>
          </w:p>
        </w:tc>
        <w:tc>
          <w:tcPr>
            <w:tcW w:w="1110" w:type="dxa"/>
            <w:vAlign w:val="top"/>
          </w:tcPr>
          <w:p w14:paraId="4EBA9655">
            <w:pPr>
              <w:rPr>
                <w:rFonts w:ascii="Arial"/>
                <w:color w:val="auto"/>
                <w:sz w:val="21"/>
              </w:rPr>
            </w:pPr>
          </w:p>
        </w:tc>
        <w:tc>
          <w:tcPr>
            <w:tcW w:w="889" w:type="dxa"/>
            <w:tcBorders>
              <w:right w:val="single" w:color="000000" w:sz="6" w:space="0"/>
            </w:tcBorders>
            <w:vAlign w:val="top"/>
          </w:tcPr>
          <w:p w14:paraId="4AC3774A">
            <w:pPr>
              <w:rPr>
                <w:rFonts w:ascii="Arial"/>
                <w:color w:val="auto"/>
                <w:sz w:val="21"/>
              </w:rPr>
            </w:pPr>
          </w:p>
        </w:tc>
        <w:tc>
          <w:tcPr>
            <w:tcW w:w="929" w:type="dxa"/>
            <w:tcBorders>
              <w:left w:val="single" w:color="000000" w:sz="6" w:space="0"/>
              <w:right w:val="single" w:color="000000" w:sz="6" w:space="0"/>
            </w:tcBorders>
            <w:vAlign w:val="top"/>
          </w:tcPr>
          <w:p w14:paraId="01087719">
            <w:pPr>
              <w:rPr>
                <w:rFonts w:ascii="Arial"/>
                <w:color w:val="auto"/>
                <w:sz w:val="21"/>
              </w:rPr>
            </w:pPr>
          </w:p>
        </w:tc>
      </w:tr>
      <w:tr w14:paraId="3C3B0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04CED502">
            <w:pPr>
              <w:rPr>
                <w:rFonts w:ascii="Arial"/>
                <w:color w:val="auto"/>
                <w:sz w:val="21"/>
              </w:rPr>
            </w:pPr>
          </w:p>
        </w:tc>
        <w:tc>
          <w:tcPr>
            <w:tcW w:w="1148" w:type="dxa"/>
            <w:vAlign w:val="top"/>
          </w:tcPr>
          <w:p w14:paraId="183CA403">
            <w:pPr>
              <w:rPr>
                <w:rFonts w:ascii="Arial"/>
                <w:color w:val="auto"/>
                <w:sz w:val="21"/>
              </w:rPr>
            </w:pPr>
          </w:p>
        </w:tc>
        <w:tc>
          <w:tcPr>
            <w:tcW w:w="1205" w:type="dxa"/>
            <w:gridSpan w:val="2"/>
            <w:vAlign w:val="top"/>
          </w:tcPr>
          <w:p w14:paraId="4864E4AF">
            <w:pPr>
              <w:rPr>
                <w:rFonts w:ascii="Arial"/>
                <w:color w:val="auto"/>
                <w:sz w:val="21"/>
              </w:rPr>
            </w:pPr>
          </w:p>
        </w:tc>
        <w:tc>
          <w:tcPr>
            <w:tcW w:w="1675" w:type="dxa"/>
            <w:gridSpan w:val="2"/>
            <w:vAlign w:val="top"/>
          </w:tcPr>
          <w:p w14:paraId="683B14BA">
            <w:pPr>
              <w:rPr>
                <w:rFonts w:ascii="Arial"/>
                <w:color w:val="auto"/>
                <w:sz w:val="21"/>
              </w:rPr>
            </w:pPr>
          </w:p>
        </w:tc>
        <w:tc>
          <w:tcPr>
            <w:tcW w:w="1110" w:type="dxa"/>
            <w:vAlign w:val="top"/>
          </w:tcPr>
          <w:p w14:paraId="64F90ACD">
            <w:pPr>
              <w:rPr>
                <w:rFonts w:ascii="Arial"/>
                <w:color w:val="auto"/>
                <w:sz w:val="21"/>
              </w:rPr>
            </w:pPr>
          </w:p>
        </w:tc>
        <w:tc>
          <w:tcPr>
            <w:tcW w:w="1110" w:type="dxa"/>
            <w:vAlign w:val="top"/>
          </w:tcPr>
          <w:p w14:paraId="4D0F72FC">
            <w:pPr>
              <w:rPr>
                <w:rFonts w:ascii="Arial"/>
                <w:color w:val="auto"/>
                <w:sz w:val="21"/>
              </w:rPr>
            </w:pPr>
          </w:p>
        </w:tc>
        <w:tc>
          <w:tcPr>
            <w:tcW w:w="889" w:type="dxa"/>
            <w:tcBorders>
              <w:right w:val="single" w:color="000000" w:sz="6" w:space="0"/>
            </w:tcBorders>
            <w:vAlign w:val="top"/>
          </w:tcPr>
          <w:p w14:paraId="388F9D50">
            <w:pPr>
              <w:rPr>
                <w:rFonts w:ascii="Arial"/>
                <w:color w:val="auto"/>
                <w:sz w:val="21"/>
              </w:rPr>
            </w:pPr>
          </w:p>
        </w:tc>
        <w:tc>
          <w:tcPr>
            <w:tcW w:w="929" w:type="dxa"/>
            <w:tcBorders>
              <w:left w:val="single" w:color="000000" w:sz="6" w:space="0"/>
              <w:right w:val="single" w:color="000000" w:sz="6" w:space="0"/>
            </w:tcBorders>
            <w:vAlign w:val="top"/>
          </w:tcPr>
          <w:p w14:paraId="14DEB34E">
            <w:pPr>
              <w:rPr>
                <w:rFonts w:ascii="Arial"/>
                <w:color w:val="auto"/>
                <w:sz w:val="21"/>
              </w:rPr>
            </w:pPr>
          </w:p>
        </w:tc>
      </w:tr>
      <w:tr w14:paraId="4D327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67340BD9">
            <w:pPr>
              <w:rPr>
                <w:rFonts w:ascii="Arial"/>
                <w:color w:val="auto"/>
                <w:sz w:val="21"/>
              </w:rPr>
            </w:pPr>
          </w:p>
        </w:tc>
        <w:tc>
          <w:tcPr>
            <w:tcW w:w="1148" w:type="dxa"/>
            <w:vAlign w:val="top"/>
          </w:tcPr>
          <w:p w14:paraId="799DBBE3">
            <w:pPr>
              <w:rPr>
                <w:rFonts w:ascii="Arial"/>
                <w:color w:val="auto"/>
                <w:sz w:val="21"/>
              </w:rPr>
            </w:pPr>
          </w:p>
        </w:tc>
        <w:tc>
          <w:tcPr>
            <w:tcW w:w="1205" w:type="dxa"/>
            <w:gridSpan w:val="2"/>
            <w:vAlign w:val="top"/>
          </w:tcPr>
          <w:p w14:paraId="7A19B2B2">
            <w:pPr>
              <w:rPr>
                <w:rFonts w:ascii="Arial"/>
                <w:color w:val="auto"/>
                <w:sz w:val="21"/>
              </w:rPr>
            </w:pPr>
          </w:p>
        </w:tc>
        <w:tc>
          <w:tcPr>
            <w:tcW w:w="1675" w:type="dxa"/>
            <w:gridSpan w:val="2"/>
            <w:vAlign w:val="top"/>
          </w:tcPr>
          <w:p w14:paraId="6C35EAD2">
            <w:pPr>
              <w:rPr>
                <w:rFonts w:ascii="Arial"/>
                <w:color w:val="auto"/>
                <w:sz w:val="21"/>
              </w:rPr>
            </w:pPr>
          </w:p>
        </w:tc>
        <w:tc>
          <w:tcPr>
            <w:tcW w:w="1110" w:type="dxa"/>
            <w:vAlign w:val="top"/>
          </w:tcPr>
          <w:p w14:paraId="04EBC105">
            <w:pPr>
              <w:rPr>
                <w:rFonts w:ascii="Arial"/>
                <w:color w:val="auto"/>
                <w:sz w:val="21"/>
              </w:rPr>
            </w:pPr>
          </w:p>
        </w:tc>
        <w:tc>
          <w:tcPr>
            <w:tcW w:w="1110" w:type="dxa"/>
            <w:vAlign w:val="top"/>
          </w:tcPr>
          <w:p w14:paraId="5462D881">
            <w:pPr>
              <w:rPr>
                <w:rFonts w:ascii="Arial"/>
                <w:color w:val="auto"/>
                <w:sz w:val="21"/>
              </w:rPr>
            </w:pPr>
          </w:p>
        </w:tc>
        <w:tc>
          <w:tcPr>
            <w:tcW w:w="889" w:type="dxa"/>
            <w:tcBorders>
              <w:right w:val="single" w:color="000000" w:sz="6" w:space="0"/>
            </w:tcBorders>
            <w:vAlign w:val="top"/>
          </w:tcPr>
          <w:p w14:paraId="741314D2">
            <w:pPr>
              <w:rPr>
                <w:rFonts w:ascii="Arial"/>
                <w:color w:val="auto"/>
                <w:sz w:val="21"/>
              </w:rPr>
            </w:pPr>
          </w:p>
        </w:tc>
        <w:tc>
          <w:tcPr>
            <w:tcW w:w="929" w:type="dxa"/>
            <w:tcBorders>
              <w:left w:val="single" w:color="000000" w:sz="6" w:space="0"/>
              <w:right w:val="single" w:color="000000" w:sz="6" w:space="0"/>
            </w:tcBorders>
            <w:vAlign w:val="top"/>
          </w:tcPr>
          <w:p w14:paraId="4A049F63">
            <w:pPr>
              <w:rPr>
                <w:rFonts w:ascii="Arial"/>
                <w:color w:val="auto"/>
                <w:sz w:val="21"/>
              </w:rPr>
            </w:pPr>
          </w:p>
        </w:tc>
      </w:tr>
      <w:tr w14:paraId="57B4B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658CD48A">
            <w:pPr>
              <w:rPr>
                <w:rFonts w:ascii="Arial"/>
                <w:color w:val="auto"/>
                <w:sz w:val="21"/>
              </w:rPr>
            </w:pPr>
          </w:p>
        </w:tc>
        <w:tc>
          <w:tcPr>
            <w:tcW w:w="1148" w:type="dxa"/>
            <w:vAlign w:val="top"/>
          </w:tcPr>
          <w:p w14:paraId="3E975213">
            <w:pPr>
              <w:rPr>
                <w:rFonts w:ascii="Arial"/>
                <w:color w:val="auto"/>
                <w:sz w:val="21"/>
              </w:rPr>
            </w:pPr>
          </w:p>
        </w:tc>
        <w:tc>
          <w:tcPr>
            <w:tcW w:w="1205" w:type="dxa"/>
            <w:gridSpan w:val="2"/>
            <w:vAlign w:val="top"/>
          </w:tcPr>
          <w:p w14:paraId="3C7F7399">
            <w:pPr>
              <w:rPr>
                <w:rFonts w:ascii="Arial"/>
                <w:color w:val="auto"/>
                <w:sz w:val="21"/>
              </w:rPr>
            </w:pPr>
          </w:p>
        </w:tc>
        <w:tc>
          <w:tcPr>
            <w:tcW w:w="1675" w:type="dxa"/>
            <w:gridSpan w:val="2"/>
            <w:vAlign w:val="top"/>
          </w:tcPr>
          <w:p w14:paraId="557E3CDB">
            <w:pPr>
              <w:rPr>
                <w:rFonts w:ascii="Arial"/>
                <w:color w:val="auto"/>
                <w:sz w:val="21"/>
              </w:rPr>
            </w:pPr>
          </w:p>
        </w:tc>
        <w:tc>
          <w:tcPr>
            <w:tcW w:w="1110" w:type="dxa"/>
            <w:vAlign w:val="top"/>
          </w:tcPr>
          <w:p w14:paraId="724E8BE3">
            <w:pPr>
              <w:rPr>
                <w:rFonts w:ascii="Arial"/>
                <w:color w:val="auto"/>
                <w:sz w:val="21"/>
              </w:rPr>
            </w:pPr>
          </w:p>
        </w:tc>
        <w:tc>
          <w:tcPr>
            <w:tcW w:w="1110" w:type="dxa"/>
            <w:vAlign w:val="top"/>
          </w:tcPr>
          <w:p w14:paraId="483A4690">
            <w:pPr>
              <w:rPr>
                <w:rFonts w:ascii="Arial"/>
                <w:color w:val="auto"/>
                <w:sz w:val="21"/>
              </w:rPr>
            </w:pPr>
          </w:p>
        </w:tc>
        <w:tc>
          <w:tcPr>
            <w:tcW w:w="889" w:type="dxa"/>
            <w:tcBorders>
              <w:right w:val="single" w:color="000000" w:sz="6" w:space="0"/>
            </w:tcBorders>
            <w:vAlign w:val="top"/>
          </w:tcPr>
          <w:p w14:paraId="4591A1E9">
            <w:pPr>
              <w:rPr>
                <w:rFonts w:ascii="Arial"/>
                <w:color w:val="auto"/>
                <w:sz w:val="21"/>
              </w:rPr>
            </w:pPr>
          </w:p>
        </w:tc>
        <w:tc>
          <w:tcPr>
            <w:tcW w:w="929" w:type="dxa"/>
            <w:tcBorders>
              <w:left w:val="single" w:color="000000" w:sz="6" w:space="0"/>
              <w:right w:val="single" w:color="000000" w:sz="6" w:space="0"/>
            </w:tcBorders>
            <w:vAlign w:val="top"/>
          </w:tcPr>
          <w:p w14:paraId="365F7842">
            <w:pPr>
              <w:rPr>
                <w:rFonts w:ascii="Arial"/>
                <w:color w:val="auto"/>
                <w:sz w:val="21"/>
              </w:rPr>
            </w:pPr>
          </w:p>
        </w:tc>
      </w:tr>
      <w:tr w14:paraId="76AC2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2ECD11A8">
            <w:pPr>
              <w:rPr>
                <w:rFonts w:ascii="Arial"/>
                <w:color w:val="auto"/>
                <w:sz w:val="21"/>
              </w:rPr>
            </w:pPr>
          </w:p>
        </w:tc>
        <w:tc>
          <w:tcPr>
            <w:tcW w:w="1148" w:type="dxa"/>
            <w:vAlign w:val="top"/>
          </w:tcPr>
          <w:p w14:paraId="43CBAFD0">
            <w:pPr>
              <w:rPr>
                <w:rFonts w:ascii="Arial"/>
                <w:color w:val="auto"/>
                <w:sz w:val="21"/>
              </w:rPr>
            </w:pPr>
          </w:p>
        </w:tc>
        <w:tc>
          <w:tcPr>
            <w:tcW w:w="1205" w:type="dxa"/>
            <w:gridSpan w:val="2"/>
            <w:vAlign w:val="top"/>
          </w:tcPr>
          <w:p w14:paraId="0A0C2EA2">
            <w:pPr>
              <w:rPr>
                <w:rFonts w:ascii="Arial"/>
                <w:color w:val="auto"/>
                <w:sz w:val="21"/>
              </w:rPr>
            </w:pPr>
          </w:p>
        </w:tc>
        <w:tc>
          <w:tcPr>
            <w:tcW w:w="1675" w:type="dxa"/>
            <w:gridSpan w:val="2"/>
            <w:vAlign w:val="top"/>
          </w:tcPr>
          <w:p w14:paraId="7193AABB">
            <w:pPr>
              <w:rPr>
                <w:rFonts w:ascii="Arial"/>
                <w:color w:val="auto"/>
                <w:sz w:val="21"/>
              </w:rPr>
            </w:pPr>
          </w:p>
        </w:tc>
        <w:tc>
          <w:tcPr>
            <w:tcW w:w="1110" w:type="dxa"/>
            <w:vAlign w:val="top"/>
          </w:tcPr>
          <w:p w14:paraId="3139815F">
            <w:pPr>
              <w:rPr>
                <w:rFonts w:ascii="Arial"/>
                <w:color w:val="auto"/>
                <w:sz w:val="21"/>
              </w:rPr>
            </w:pPr>
          </w:p>
        </w:tc>
        <w:tc>
          <w:tcPr>
            <w:tcW w:w="1110" w:type="dxa"/>
            <w:vAlign w:val="top"/>
          </w:tcPr>
          <w:p w14:paraId="3F5B9AEB">
            <w:pPr>
              <w:rPr>
                <w:rFonts w:ascii="Arial"/>
                <w:color w:val="auto"/>
                <w:sz w:val="21"/>
              </w:rPr>
            </w:pPr>
          </w:p>
        </w:tc>
        <w:tc>
          <w:tcPr>
            <w:tcW w:w="889" w:type="dxa"/>
            <w:tcBorders>
              <w:right w:val="single" w:color="000000" w:sz="6" w:space="0"/>
            </w:tcBorders>
            <w:vAlign w:val="top"/>
          </w:tcPr>
          <w:p w14:paraId="21F56244">
            <w:pPr>
              <w:rPr>
                <w:rFonts w:ascii="Arial"/>
                <w:color w:val="auto"/>
                <w:sz w:val="21"/>
              </w:rPr>
            </w:pPr>
          </w:p>
        </w:tc>
        <w:tc>
          <w:tcPr>
            <w:tcW w:w="929" w:type="dxa"/>
            <w:tcBorders>
              <w:left w:val="single" w:color="000000" w:sz="6" w:space="0"/>
              <w:right w:val="single" w:color="000000" w:sz="6" w:space="0"/>
            </w:tcBorders>
            <w:vAlign w:val="top"/>
          </w:tcPr>
          <w:p w14:paraId="32A6FDF0">
            <w:pPr>
              <w:rPr>
                <w:rFonts w:ascii="Arial"/>
                <w:color w:val="auto"/>
                <w:sz w:val="21"/>
              </w:rPr>
            </w:pPr>
          </w:p>
        </w:tc>
      </w:tr>
      <w:tr w14:paraId="34BA8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41D20F9E">
            <w:pPr>
              <w:rPr>
                <w:rFonts w:ascii="Arial"/>
                <w:color w:val="auto"/>
                <w:sz w:val="21"/>
              </w:rPr>
            </w:pPr>
          </w:p>
        </w:tc>
        <w:tc>
          <w:tcPr>
            <w:tcW w:w="1148" w:type="dxa"/>
            <w:vAlign w:val="top"/>
          </w:tcPr>
          <w:p w14:paraId="582BBF97">
            <w:pPr>
              <w:rPr>
                <w:rFonts w:ascii="Arial"/>
                <w:color w:val="auto"/>
                <w:sz w:val="21"/>
              </w:rPr>
            </w:pPr>
          </w:p>
        </w:tc>
        <w:tc>
          <w:tcPr>
            <w:tcW w:w="1205" w:type="dxa"/>
            <w:gridSpan w:val="2"/>
            <w:vAlign w:val="top"/>
          </w:tcPr>
          <w:p w14:paraId="18E2C94E">
            <w:pPr>
              <w:rPr>
                <w:rFonts w:ascii="Arial"/>
                <w:color w:val="auto"/>
                <w:sz w:val="21"/>
              </w:rPr>
            </w:pPr>
          </w:p>
        </w:tc>
        <w:tc>
          <w:tcPr>
            <w:tcW w:w="1675" w:type="dxa"/>
            <w:gridSpan w:val="2"/>
            <w:vAlign w:val="top"/>
          </w:tcPr>
          <w:p w14:paraId="584CF1AE">
            <w:pPr>
              <w:rPr>
                <w:rFonts w:ascii="Arial"/>
                <w:color w:val="auto"/>
                <w:sz w:val="21"/>
              </w:rPr>
            </w:pPr>
          </w:p>
        </w:tc>
        <w:tc>
          <w:tcPr>
            <w:tcW w:w="1110" w:type="dxa"/>
            <w:vAlign w:val="top"/>
          </w:tcPr>
          <w:p w14:paraId="3B8086D2">
            <w:pPr>
              <w:rPr>
                <w:rFonts w:ascii="Arial"/>
                <w:color w:val="auto"/>
                <w:sz w:val="21"/>
              </w:rPr>
            </w:pPr>
          </w:p>
        </w:tc>
        <w:tc>
          <w:tcPr>
            <w:tcW w:w="1110" w:type="dxa"/>
            <w:vAlign w:val="top"/>
          </w:tcPr>
          <w:p w14:paraId="204CE42A">
            <w:pPr>
              <w:rPr>
                <w:rFonts w:ascii="Arial"/>
                <w:color w:val="auto"/>
                <w:sz w:val="21"/>
              </w:rPr>
            </w:pPr>
          </w:p>
        </w:tc>
        <w:tc>
          <w:tcPr>
            <w:tcW w:w="889" w:type="dxa"/>
            <w:tcBorders>
              <w:right w:val="single" w:color="000000" w:sz="6" w:space="0"/>
            </w:tcBorders>
            <w:vAlign w:val="top"/>
          </w:tcPr>
          <w:p w14:paraId="204D61E9">
            <w:pPr>
              <w:rPr>
                <w:rFonts w:ascii="Arial"/>
                <w:color w:val="auto"/>
                <w:sz w:val="21"/>
              </w:rPr>
            </w:pPr>
          </w:p>
        </w:tc>
        <w:tc>
          <w:tcPr>
            <w:tcW w:w="929" w:type="dxa"/>
            <w:tcBorders>
              <w:left w:val="single" w:color="000000" w:sz="6" w:space="0"/>
              <w:right w:val="single" w:color="000000" w:sz="6" w:space="0"/>
            </w:tcBorders>
            <w:vAlign w:val="top"/>
          </w:tcPr>
          <w:p w14:paraId="01E5C29A">
            <w:pPr>
              <w:rPr>
                <w:rFonts w:ascii="Arial"/>
                <w:color w:val="auto"/>
                <w:sz w:val="21"/>
              </w:rPr>
            </w:pPr>
          </w:p>
        </w:tc>
      </w:tr>
      <w:tr w14:paraId="3EE15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2A9011CB">
            <w:pPr>
              <w:rPr>
                <w:rFonts w:ascii="Arial"/>
                <w:color w:val="auto"/>
                <w:sz w:val="21"/>
              </w:rPr>
            </w:pPr>
          </w:p>
        </w:tc>
        <w:tc>
          <w:tcPr>
            <w:tcW w:w="1148" w:type="dxa"/>
            <w:vAlign w:val="top"/>
          </w:tcPr>
          <w:p w14:paraId="3FA751BB">
            <w:pPr>
              <w:rPr>
                <w:rFonts w:ascii="Arial"/>
                <w:color w:val="auto"/>
                <w:sz w:val="21"/>
              </w:rPr>
            </w:pPr>
          </w:p>
        </w:tc>
        <w:tc>
          <w:tcPr>
            <w:tcW w:w="1205" w:type="dxa"/>
            <w:gridSpan w:val="2"/>
            <w:vAlign w:val="top"/>
          </w:tcPr>
          <w:p w14:paraId="176E35BF">
            <w:pPr>
              <w:rPr>
                <w:rFonts w:ascii="Arial"/>
                <w:color w:val="auto"/>
                <w:sz w:val="21"/>
              </w:rPr>
            </w:pPr>
          </w:p>
        </w:tc>
        <w:tc>
          <w:tcPr>
            <w:tcW w:w="1675" w:type="dxa"/>
            <w:gridSpan w:val="2"/>
            <w:vAlign w:val="top"/>
          </w:tcPr>
          <w:p w14:paraId="1F0124AD">
            <w:pPr>
              <w:rPr>
                <w:rFonts w:ascii="Arial"/>
                <w:color w:val="auto"/>
                <w:sz w:val="21"/>
              </w:rPr>
            </w:pPr>
          </w:p>
        </w:tc>
        <w:tc>
          <w:tcPr>
            <w:tcW w:w="1110" w:type="dxa"/>
            <w:vAlign w:val="top"/>
          </w:tcPr>
          <w:p w14:paraId="03AB08F2">
            <w:pPr>
              <w:rPr>
                <w:rFonts w:ascii="Arial"/>
                <w:color w:val="auto"/>
                <w:sz w:val="21"/>
              </w:rPr>
            </w:pPr>
          </w:p>
        </w:tc>
        <w:tc>
          <w:tcPr>
            <w:tcW w:w="1110" w:type="dxa"/>
            <w:vAlign w:val="top"/>
          </w:tcPr>
          <w:p w14:paraId="0EB53D21">
            <w:pPr>
              <w:rPr>
                <w:rFonts w:ascii="Arial"/>
                <w:color w:val="auto"/>
                <w:sz w:val="21"/>
              </w:rPr>
            </w:pPr>
          </w:p>
        </w:tc>
        <w:tc>
          <w:tcPr>
            <w:tcW w:w="889" w:type="dxa"/>
            <w:tcBorders>
              <w:right w:val="single" w:color="000000" w:sz="6" w:space="0"/>
            </w:tcBorders>
            <w:vAlign w:val="top"/>
          </w:tcPr>
          <w:p w14:paraId="4688135E">
            <w:pPr>
              <w:rPr>
                <w:rFonts w:ascii="Arial"/>
                <w:color w:val="auto"/>
                <w:sz w:val="21"/>
              </w:rPr>
            </w:pPr>
          </w:p>
        </w:tc>
        <w:tc>
          <w:tcPr>
            <w:tcW w:w="929" w:type="dxa"/>
            <w:tcBorders>
              <w:left w:val="single" w:color="000000" w:sz="6" w:space="0"/>
              <w:right w:val="single" w:color="000000" w:sz="6" w:space="0"/>
            </w:tcBorders>
            <w:vAlign w:val="top"/>
          </w:tcPr>
          <w:p w14:paraId="1A04B8D6">
            <w:pPr>
              <w:rPr>
                <w:rFonts w:ascii="Arial"/>
                <w:color w:val="auto"/>
                <w:sz w:val="21"/>
              </w:rPr>
            </w:pPr>
          </w:p>
        </w:tc>
      </w:tr>
      <w:tr w14:paraId="3BC3D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5E36083C">
            <w:pPr>
              <w:rPr>
                <w:rFonts w:ascii="Arial"/>
                <w:color w:val="auto"/>
                <w:sz w:val="21"/>
              </w:rPr>
            </w:pPr>
          </w:p>
        </w:tc>
        <w:tc>
          <w:tcPr>
            <w:tcW w:w="1148" w:type="dxa"/>
            <w:vAlign w:val="top"/>
          </w:tcPr>
          <w:p w14:paraId="73AFAC2B">
            <w:pPr>
              <w:rPr>
                <w:rFonts w:ascii="Arial"/>
                <w:color w:val="auto"/>
                <w:sz w:val="21"/>
              </w:rPr>
            </w:pPr>
          </w:p>
        </w:tc>
        <w:tc>
          <w:tcPr>
            <w:tcW w:w="1205" w:type="dxa"/>
            <w:gridSpan w:val="2"/>
            <w:vAlign w:val="top"/>
          </w:tcPr>
          <w:p w14:paraId="60ADFB1B">
            <w:pPr>
              <w:rPr>
                <w:rFonts w:ascii="Arial"/>
                <w:color w:val="auto"/>
                <w:sz w:val="21"/>
              </w:rPr>
            </w:pPr>
          </w:p>
        </w:tc>
        <w:tc>
          <w:tcPr>
            <w:tcW w:w="1675" w:type="dxa"/>
            <w:gridSpan w:val="2"/>
            <w:vAlign w:val="top"/>
          </w:tcPr>
          <w:p w14:paraId="55CA09A2">
            <w:pPr>
              <w:rPr>
                <w:rFonts w:ascii="Arial"/>
                <w:color w:val="auto"/>
                <w:sz w:val="21"/>
              </w:rPr>
            </w:pPr>
          </w:p>
        </w:tc>
        <w:tc>
          <w:tcPr>
            <w:tcW w:w="1110" w:type="dxa"/>
            <w:vAlign w:val="top"/>
          </w:tcPr>
          <w:p w14:paraId="6B394E37">
            <w:pPr>
              <w:rPr>
                <w:rFonts w:ascii="Arial"/>
                <w:color w:val="auto"/>
                <w:sz w:val="21"/>
              </w:rPr>
            </w:pPr>
          </w:p>
        </w:tc>
        <w:tc>
          <w:tcPr>
            <w:tcW w:w="1110" w:type="dxa"/>
            <w:vAlign w:val="top"/>
          </w:tcPr>
          <w:p w14:paraId="358F8EFB">
            <w:pPr>
              <w:rPr>
                <w:rFonts w:ascii="Arial"/>
                <w:color w:val="auto"/>
                <w:sz w:val="21"/>
              </w:rPr>
            </w:pPr>
          </w:p>
        </w:tc>
        <w:tc>
          <w:tcPr>
            <w:tcW w:w="889" w:type="dxa"/>
            <w:tcBorders>
              <w:right w:val="single" w:color="000000" w:sz="6" w:space="0"/>
            </w:tcBorders>
            <w:vAlign w:val="top"/>
          </w:tcPr>
          <w:p w14:paraId="0667001E">
            <w:pPr>
              <w:rPr>
                <w:rFonts w:ascii="Arial"/>
                <w:color w:val="auto"/>
                <w:sz w:val="21"/>
              </w:rPr>
            </w:pPr>
          </w:p>
        </w:tc>
        <w:tc>
          <w:tcPr>
            <w:tcW w:w="929" w:type="dxa"/>
            <w:tcBorders>
              <w:left w:val="single" w:color="000000" w:sz="6" w:space="0"/>
              <w:right w:val="single" w:color="000000" w:sz="6" w:space="0"/>
            </w:tcBorders>
            <w:vAlign w:val="top"/>
          </w:tcPr>
          <w:p w14:paraId="4A0C4558">
            <w:pPr>
              <w:rPr>
                <w:rFonts w:ascii="Arial"/>
                <w:color w:val="auto"/>
                <w:sz w:val="21"/>
              </w:rPr>
            </w:pPr>
          </w:p>
        </w:tc>
      </w:tr>
      <w:tr w14:paraId="05B6C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46E1F01C">
            <w:pPr>
              <w:rPr>
                <w:rFonts w:ascii="Arial"/>
                <w:color w:val="auto"/>
                <w:sz w:val="21"/>
              </w:rPr>
            </w:pPr>
          </w:p>
        </w:tc>
        <w:tc>
          <w:tcPr>
            <w:tcW w:w="1148" w:type="dxa"/>
            <w:vAlign w:val="top"/>
          </w:tcPr>
          <w:p w14:paraId="6E039600">
            <w:pPr>
              <w:rPr>
                <w:rFonts w:ascii="Arial"/>
                <w:color w:val="auto"/>
                <w:sz w:val="21"/>
              </w:rPr>
            </w:pPr>
          </w:p>
        </w:tc>
        <w:tc>
          <w:tcPr>
            <w:tcW w:w="1205" w:type="dxa"/>
            <w:gridSpan w:val="2"/>
            <w:vAlign w:val="top"/>
          </w:tcPr>
          <w:p w14:paraId="29545B1B">
            <w:pPr>
              <w:rPr>
                <w:rFonts w:ascii="Arial"/>
                <w:color w:val="auto"/>
                <w:sz w:val="21"/>
              </w:rPr>
            </w:pPr>
          </w:p>
        </w:tc>
        <w:tc>
          <w:tcPr>
            <w:tcW w:w="1675" w:type="dxa"/>
            <w:gridSpan w:val="2"/>
            <w:vAlign w:val="top"/>
          </w:tcPr>
          <w:p w14:paraId="259EB90E">
            <w:pPr>
              <w:rPr>
                <w:rFonts w:ascii="Arial"/>
                <w:color w:val="auto"/>
                <w:sz w:val="21"/>
              </w:rPr>
            </w:pPr>
          </w:p>
        </w:tc>
        <w:tc>
          <w:tcPr>
            <w:tcW w:w="1110" w:type="dxa"/>
            <w:vAlign w:val="top"/>
          </w:tcPr>
          <w:p w14:paraId="1658A648">
            <w:pPr>
              <w:rPr>
                <w:rFonts w:ascii="Arial"/>
                <w:color w:val="auto"/>
                <w:sz w:val="21"/>
              </w:rPr>
            </w:pPr>
          </w:p>
        </w:tc>
        <w:tc>
          <w:tcPr>
            <w:tcW w:w="1110" w:type="dxa"/>
            <w:vAlign w:val="top"/>
          </w:tcPr>
          <w:p w14:paraId="0189AD82">
            <w:pPr>
              <w:rPr>
                <w:rFonts w:ascii="Arial"/>
                <w:color w:val="auto"/>
                <w:sz w:val="21"/>
              </w:rPr>
            </w:pPr>
          </w:p>
        </w:tc>
        <w:tc>
          <w:tcPr>
            <w:tcW w:w="889" w:type="dxa"/>
            <w:tcBorders>
              <w:right w:val="single" w:color="000000" w:sz="6" w:space="0"/>
            </w:tcBorders>
            <w:vAlign w:val="top"/>
          </w:tcPr>
          <w:p w14:paraId="2493F1BC">
            <w:pPr>
              <w:rPr>
                <w:rFonts w:ascii="Arial"/>
                <w:color w:val="auto"/>
                <w:sz w:val="21"/>
              </w:rPr>
            </w:pPr>
          </w:p>
        </w:tc>
        <w:tc>
          <w:tcPr>
            <w:tcW w:w="929" w:type="dxa"/>
            <w:tcBorders>
              <w:left w:val="single" w:color="000000" w:sz="6" w:space="0"/>
              <w:right w:val="single" w:color="000000" w:sz="6" w:space="0"/>
            </w:tcBorders>
            <w:vAlign w:val="top"/>
          </w:tcPr>
          <w:p w14:paraId="13358EA0">
            <w:pPr>
              <w:rPr>
                <w:rFonts w:ascii="Arial"/>
                <w:color w:val="auto"/>
                <w:sz w:val="21"/>
              </w:rPr>
            </w:pPr>
          </w:p>
        </w:tc>
      </w:tr>
      <w:tr w14:paraId="269C6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198" w:type="dxa"/>
            <w:gridSpan w:val="10"/>
            <w:tcBorders>
              <w:right w:val="single" w:color="000000" w:sz="6" w:space="0"/>
            </w:tcBorders>
            <w:vAlign w:val="top"/>
          </w:tcPr>
          <w:p w14:paraId="0A6CFD55">
            <w:pPr>
              <w:pStyle w:val="20"/>
              <w:spacing w:before="101" w:line="226" w:lineRule="auto"/>
              <w:ind w:left="130" w:right="106" w:hanging="10"/>
              <w:outlineLvl w:val="0"/>
              <w:rPr>
                <w:color w:val="auto"/>
              </w:rPr>
            </w:pPr>
            <w:bookmarkStart w:id="243" w:name="_Toc5381"/>
            <w:r>
              <w:rPr>
                <w:color w:val="auto"/>
                <w:spacing w:val="2"/>
                <w14:textOutline w14:w="4358" w14:cap="sq" w14:cmpd="sng">
                  <w14:solidFill>
                    <w14:srgbClr w14:val="000000"/>
                  </w14:solidFill>
                  <w14:prstDash w14:val="solid"/>
                  <w14:bevel/>
                </w14:textOutline>
              </w:rPr>
              <w:t>注：人员资料由供应商自行考虑提供并附相关资料、社保缴纳凭证。所提供的资料均</w:t>
            </w:r>
            <w:r>
              <w:rPr>
                <w:color w:val="auto"/>
                <w:spacing w:val="1"/>
                <w14:textOutline w14:w="4358" w14:cap="sq" w14:cmpd="sng">
                  <w14:solidFill>
                    <w14:srgbClr w14:val="000000"/>
                  </w14:solidFill>
                  <w14:prstDash w14:val="solid"/>
                  <w14:bevel/>
                </w14:textOutline>
              </w:rPr>
              <w:t>附于本表后，作为本表的附件。</w:t>
            </w:r>
            <w:bookmarkEnd w:id="243"/>
          </w:p>
        </w:tc>
      </w:tr>
    </w:tbl>
    <w:p w14:paraId="57C11EAA">
      <w:pPr>
        <w:pStyle w:val="5"/>
        <w:spacing w:line="273" w:lineRule="auto"/>
        <w:rPr>
          <w:color w:val="auto"/>
        </w:rPr>
      </w:pPr>
    </w:p>
    <w:p w14:paraId="376F6EF1">
      <w:pPr>
        <w:pStyle w:val="5"/>
        <w:spacing w:line="273" w:lineRule="auto"/>
        <w:rPr>
          <w:color w:val="auto"/>
        </w:rPr>
      </w:pPr>
    </w:p>
    <w:p w14:paraId="76B372FF">
      <w:pPr>
        <w:pStyle w:val="5"/>
        <w:spacing w:line="273" w:lineRule="auto"/>
        <w:rPr>
          <w:color w:val="auto"/>
        </w:rPr>
      </w:pPr>
    </w:p>
    <w:p w14:paraId="4B245FA6">
      <w:pPr>
        <w:pStyle w:val="5"/>
        <w:spacing w:line="273" w:lineRule="auto"/>
        <w:rPr>
          <w:color w:val="auto"/>
        </w:rPr>
      </w:pPr>
    </w:p>
    <w:p w14:paraId="4D79C6CF">
      <w:pPr>
        <w:spacing w:before="78" w:line="222" w:lineRule="auto"/>
        <w:ind w:left="4536"/>
        <w:rPr>
          <w:rFonts w:ascii="黑体" w:hAnsi="黑体" w:eastAsia="黑体" w:cs="黑体"/>
          <w:color w:val="auto"/>
          <w:sz w:val="24"/>
          <w:szCs w:val="24"/>
        </w:rPr>
      </w:pPr>
      <w:r>
        <w:rPr>
          <w:rFonts w:ascii="黑体" w:hAnsi="黑体" w:eastAsia="黑体" w:cs="黑体"/>
          <w:color w:val="auto"/>
          <w:spacing w:val="1"/>
          <w:sz w:val="24"/>
          <w:szCs w:val="24"/>
        </w:rPr>
        <w:t>供应商名称（盖章</w:t>
      </w:r>
      <w:r>
        <w:rPr>
          <w:rFonts w:ascii="黑体" w:hAnsi="黑体" w:eastAsia="黑体" w:cs="黑体"/>
          <w:color w:val="auto"/>
          <w:sz w:val="24"/>
          <w:szCs w:val="24"/>
        </w:rPr>
        <w:t>）：</w:t>
      </w:r>
    </w:p>
    <w:p w14:paraId="0D20DAB1">
      <w:pPr>
        <w:spacing w:before="280" w:line="222" w:lineRule="auto"/>
        <w:ind w:right="4"/>
        <w:jc w:val="right"/>
        <w:rPr>
          <w:rFonts w:ascii="黑体" w:hAnsi="黑体" w:eastAsia="黑体" w:cs="黑体"/>
          <w:color w:val="auto"/>
          <w:sz w:val="24"/>
          <w:szCs w:val="24"/>
        </w:rPr>
      </w:pPr>
      <w:r>
        <w:rPr>
          <w:rFonts w:ascii="黑体" w:hAnsi="黑体" w:eastAsia="黑体" w:cs="黑体"/>
          <w:color w:val="auto"/>
          <w:spacing w:val="1"/>
          <w:sz w:val="24"/>
          <w:szCs w:val="24"/>
        </w:rPr>
        <w:t>法定代表人或委托代理人（签字或盖章</w:t>
      </w:r>
      <w:r>
        <w:rPr>
          <w:rFonts w:ascii="黑体" w:hAnsi="黑体" w:eastAsia="黑体" w:cs="黑体"/>
          <w:color w:val="auto"/>
          <w:spacing w:val="5"/>
          <w:sz w:val="24"/>
          <w:szCs w:val="24"/>
        </w:rPr>
        <w:t>）：</w:t>
      </w:r>
    </w:p>
    <w:p w14:paraId="57081832">
      <w:pPr>
        <w:spacing w:before="284" w:line="223" w:lineRule="auto"/>
        <w:jc w:val="right"/>
        <w:rPr>
          <w:rFonts w:ascii="黑体" w:hAnsi="黑体" w:eastAsia="黑体" w:cs="黑体"/>
          <w:color w:val="auto"/>
          <w:sz w:val="24"/>
          <w:szCs w:val="24"/>
        </w:rPr>
      </w:pPr>
      <w:r>
        <w:rPr>
          <w:rFonts w:ascii="黑体" w:hAnsi="黑体" w:eastAsia="黑体" w:cs="黑体"/>
          <w:color w:val="auto"/>
          <w:spacing w:val="-20"/>
          <w:sz w:val="24"/>
          <w:szCs w:val="24"/>
        </w:rPr>
        <w:t>日期：年月日</w:t>
      </w:r>
    </w:p>
    <w:p w14:paraId="0EC2FCC5">
      <w:pPr>
        <w:spacing w:line="223" w:lineRule="auto"/>
        <w:rPr>
          <w:rFonts w:ascii="黑体" w:hAnsi="黑体" w:eastAsia="黑体" w:cs="黑体"/>
          <w:color w:val="auto"/>
          <w:sz w:val="24"/>
          <w:szCs w:val="24"/>
        </w:rPr>
        <w:sectPr>
          <w:footerReference r:id="rId43" w:type="default"/>
          <w:pgSz w:w="11906" w:h="16839"/>
          <w:pgMar w:top="1440" w:right="1080" w:bottom="1440" w:left="1080" w:header="0" w:footer="850" w:gutter="0"/>
          <w:pgNumType w:fmt="decimal"/>
          <w:cols w:space="720" w:num="1"/>
        </w:sectPr>
      </w:pPr>
    </w:p>
    <w:p w14:paraId="099FA7EC">
      <w:pPr>
        <w:pStyle w:val="5"/>
        <w:spacing w:line="266" w:lineRule="auto"/>
        <w:rPr>
          <w:color w:val="auto"/>
        </w:rPr>
      </w:pPr>
    </w:p>
    <w:p w14:paraId="78479882">
      <w:pPr>
        <w:spacing w:before="101" w:line="230" w:lineRule="auto"/>
        <w:ind w:left="22"/>
        <w:rPr>
          <w:rFonts w:ascii="黑体" w:hAnsi="黑体" w:eastAsia="黑体" w:cs="黑体"/>
          <w:color w:val="auto"/>
          <w:sz w:val="31"/>
          <w:szCs w:val="31"/>
        </w:rPr>
      </w:pPr>
      <w:r>
        <w:rPr>
          <w:rFonts w:ascii="黑体" w:hAnsi="黑体" w:eastAsia="黑体" w:cs="黑体"/>
          <w:color w:val="auto"/>
          <w:spacing w:val="-4"/>
          <w:sz w:val="31"/>
          <w:szCs w:val="31"/>
          <w14:textOutline w14:w="5793" w14:cap="sq" w14:cmpd="sng">
            <w14:solidFill>
              <w14:srgbClr w14:val="000000"/>
            </w14:solidFill>
            <w14:prstDash w14:val="solid"/>
            <w14:bevel/>
          </w14:textOutline>
        </w:rPr>
        <w:t>附件14:</w:t>
      </w:r>
    </w:p>
    <w:p w14:paraId="175A8B11">
      <w:pPr>
        <w:spacing w:before="289" w:line="222" w:lineRule="auto"/>
        <w:ind w:left="3853"/>
        <w:rPr>
          <w:rFonts w:ascii="黑体" w:hAnsi="黑体" w:eastAsia="黑体" w:cs="黑体"/>
          <w:color w:val="auto"/>
          <w:sz w:val="28"/>
          <w:szCs w:val="28"/>
        </w:rPr>
      </w:pPr>
      <w:r>
        <w:rPr>
          <w:rFonts w:ascii="黑体" w:hAnsi="黑体" w:eastAsia="黑体" w:cs="黑体"/>
          <w:color w:val="auto"/>
          <w:spacing w:val="-2"/>
          <w:sz w:val="28"/>
          <w:szCs w:val="28"/>
        </w:rPr>
        <w:t>中小微企业声明函</w:t>
      </w:r>
    </w:p>
    <w:p w14:paraId="225DE5DC">
      <w:pPr>
        <w:pStyle w:val="5"/>
        <w:spacing w:line="245" w:lineRule="auto"/>
        <w:rPr>
          <w:color w:val="auto"/>
        </w:rPr>
      </w:pPr>
    </w:p>
    <w:p w14:paraId="77867C1C">
      <w:pPr>
        <w:pStyle w:val="5"/>
        <w:spacing w:line="245" w:lineRule="auto"/>
        <w:rPr>
          <w:color w:val="auto"/>
        </w:rPr>
      </w:pPr>
    </w:p>
    <w:p w14:paraId="39587E63">
      <w:pPr>
        <w:pStyle w:val="5"/>
        <w:spacing w:line="245" w:lineRule="auto"/>
        <w:rPr>
          <w:color w:val="auto"/>
        </w:rPr>
      </w:pPr>
    </w:p>
    <w:p w14:paraId="0DCFF480">
      <w:pPr>
        <w:spacing w:before="78" w:line="359" w:lineRule="auto"/>
        <w:ind w:firstLine="502"/>
        <w:rPr>
          <w:rFonts w:ascii="黑体" w:hAnsi="黑体" w:eastAsia="黑体" w:cs="黑体"/>
          <w:color w:val="auto"/>
          <w:sz w:val="24"/>
          <w:szCs w:val="24"/>
        </w:rPr>
      </w:pPr>
      <w:r>
        <w:rPr>
          <w:rFonts w:ascii="黑体" w:hAnsi="黑体" w:eastAsia="黑体" w:cs="黑体"/>
          <w:color w:val="auto"/>
          <w:spacing w:val="6"/>
          <w:sz w:val="24"/>
          <w:szCs w:val="24"/>
        </w:rPr>
        <w:t>本公司（联合体）郑重声明，根据《政府采购促进</w:t>
      </w:r>
      <w:r>
        <w:rPr>
          <w:rFonts w:ascii="黑体" w:hAnsi="黑体" w:eastAsia="黑体" w:cs="黑体"/>
          <w:color w:val="auto"/>
          <w:spacing w:val="5"/>
          <w:sz w:val="24"/>
          <w:szCs w:val="24"/>
        </w:rPr>
        <w:t>中小企业发展管理办法》（财库</w:t>
      </w:r>
      <w:r>
        <w:rPr>
          <w:rFonts w:ascii="黑体" w:hAnsi="黑体" w:eastAsia="黑体" w:cs="黑体"/>
          <w:color w:val="auto"/>
          <w:spacing w:val="-2"/>
          <w:sz w:val="24"/>
          <w:szCs w:val="24"/>
        </w:rPr>
        <w:t>﹝2020﹞46号）的规定，本公司（联合体）参加</w:t>
      </w:r>
      <w:r>
        <w:rPr>
          <w:rFonts w:ascii="黑体" w:hAnsi="黑体" w:eastAsia="黑体" w:cs="黑体"/>
          <w:color w:val="auto"/>
          <w:spacing w:val="-2"/>
          <w:sz w:val="24"/>
          <w:szCs w:val="24"/>
          <w:u w:val="single" w:color="auto"/>
        </w:rPr>
        <w:t>（单位名称）</w:t>
      </w:r>
      <w:r>
        <w:rPr>
          <w:rFonts w:ascii="黑体" w:hAnsi="黑体" w:eastAsia="黑体" w:cs="黑体"/>
          <w:color w:val="auto"/>
          <w:spacing w:val="-2"/>
          <w:sz w:val="24"/>
          <w:szCs w:val="24"/>
        </w:rPr>
        <w:t>的</w:t>
      </w:r>
      <w:r>
        <w:rPr>
          <w:rFonts w:ascii="黑体" w:hAnsi="黑体" w:eastAsia="黑体" w:cs="黑体"/>
          <w:color w:val="auto"/>
          <w:spacing w:val="-2"/>
          <w:sz w:val="24"/>
          <w:szCs w:val="24"/>
          <w:u w:val="single" w:color="auto"/>
        </w:rPr>
        <w:t>（项目名称）</w:t>
      </w:r>
      <w:r>
        <w:rPr>
          <w:rFonts w:ascii="黑体" w:hAnsi="黑体" w:eastAsia="黑体" w:cs="黑体"/>
          <w:color w:val="auto"/>
          <w:spacing w:val="-2"/>
          <w:sz w:val="24"/>
          <w:szCs w:val="24"/>
        </w:rPr>
        <w:t>采购活动，</w:t>
      </w:r>
      <w:r>
        <w:rPr>
          <w:rFonts w:ascii="黑体" w:hAnsi="黑体" w:eastAsia="黑体" w:cs="黑体"/>
          <w:color w:val="auto"/>
          <w:sz w:val="24"/>
          <w:szCs w:val="24"/>
        </w:rPr>
        <w:t>工程的施工单位全部为符合政策要求的中小企业（或</w:t>
      </w:r>
      <w:r>
        <w:rPr>
          <w:rFonts w:ascii="黑体" w:hAnsi="黑体" w:eastAsia="黑体" w:cs="黑体"/>
          <w:color w:val="auto"/>
          <w:spacing w:val="-1"/>
          <w:sz w:val="24"/>
          <w:szCs w:val="24"/>
        </w:rPr>
        <w:t>者：服务全部由符合政策要求的中小</w:t>
      </w:r>
      <w:r>
        <w:rPr>
          <w:rFonts w:ascii="黑体" w:hAnsi="黑体" w:eastAsia="黑体" w:cs="黑体"/>
          <w:color w:val="auto"/>
          <w:sz w:val="24"/>
          <w:szCs w:val="24"/>
        </w:rPr>
        <w:t>企业承接）。相关企业（含联合体中的中小企业、签</w:t>
      </w:r>
      <w:r>
        <w:rPr>
          <w:rFonts w:ascii="黑体" w:hAnsi="黑体" w:eastAsia="黑体" w:cs="黑体"/>
          <w:color w:val="auto"/>
          <w:spacing w:val="-1"/>
          <w:sz w:val="24"/>
          <w:szCs w:val="24"/>
        </w:rPr>
        <w:t>订分包意向协议的中小企业）的具体</w:t>
      </w:r>
    </w:p>
    <w:p w14:paraId="099CDD59">
      <w:pPr>
        <w:spacing w:line="223" w:lineRule="auto"/>
        <w:ind w:left="1"/>
        <w:rPr>
          <w:rFonts w:ascii="黑体" w:hAnsi="黑体" w:eastAsia="黑体" w:cs="黑体"/>
          <w:color w:val="auto"/>
          <w:sz w:val="24"/>
          <w:szCs w:val="24"/>
        </w:rPr>
      </w:pPr>
      <w:r>
        <w:rPr>
          <w:rFonts w:ascii="黑体" w:hAnsi="黑体" w:eastAsia="黑体" w:cs="黑体"/>
          <w:color w:val="auto"/>
          <w:spacing w:val="-1"/>
          <w:sz w:val="24"/>
          <w:szCs w:val="24"/>
        </w:rPr>
        <w:t>情况如下：</w:t>
      </w:r>
    </w:p>
    <w:p w14:paraId="77330E71">
      <w:pPr>
        <w:spacing w:before="178" w:line="358" w:lineRule="auto"/>
        <w:jc w:val="right"/>
        <w:rPr>
          <w:rFonts w:ascii="黑体" w:hAnsi="黑体" w:eastAsia="黑体" w:cs="黑体"/>
          <w:color w:val="auto"/>
          <w:sz w:val="24"/>
          <w:szCs w:val="24"/>
        </w:rPr>
      </w:pPr>
      <w:r>
        <w:rPr>
          <w:rFonts w:ascii="黑体" w:hAnsi="黑体" w:eastAsia="黑体" w:cs="黑体"/>
          <w:color w:val="auto"/>
          <w:spacing w:val="-7"/>
          <w:sz w:val="24"/>
          <w:szCs w:val="24"/>
        </w:rPr>
        <w:t>1.</w:t>
      </w:r>
      <w:r>
        <w:rPr>
          <w:rFonts w:ascii="黑体" w:hAnsi="黑体" w:eastAsia="黑体" w:cs="黑体"/>
          <w:color w:val="auto"/>
          <w:spacing w:val="-7"/>
          <w:sz w:val="24"/>
          <w:szCs w:val="24"/>
          <w:u w:val="single" w:color="auto"/>
        </w:rPr>
        <w:t>（标的名称</w:t>
      </w:r>
      <w:r>
        <w:rPr>
          <w:rFonts w:ascii="黑体" w:hAnsi="黑体" w:eastAsia="黑体" w:cs="黑体"/>
          <w:color w:val="auto"/>
          <w:spacing w:val="-33"/>
          <w:sz w:val="24"/>
          <w:szCs w:val="24"/>
          <w:u w:val="single" w:color="auto"/>
        </w:rPr>
        <w:t>）</w:t>
      </w:r>
      <w:r>
        <w:rPr>
          <w:rFonts w:ascii="黑体" w:hAnsi="黑体" w:eastAsia="黑体" w:cs="黑体"/>
          <w:color w:val="auto"/>
          <w:spacing w:val="-33"/>
          <w:sz w:val="24"/>
          <w:szCs w:val="24"/>
        </w:rPr>
        <w:t>，</w:t>
      </w:r>
      <w:r>
        <w:rPr>
          <w:rFonts w:ascii="黑体" w:hAnsi="黑体" w:eastAsia="黑体" w:cs="黑体"/>
          <w:color w:val="auto"/>
          <w:spacing w:val="-7"/>
          <w:sz w:val="24"/>
          <w:szCs w:val="24"/>
        </w:rPr>
        <w:t>属于</w:t>
      </w:r>
      <w:r>
        <w:rPr>
          <w:rFonts w:ascii="黑体" w:hAnsi="黑体" w:eastAsia="黑体" w:cs="黑体"/>
          <w:color w:val="auto"/>
          <w:spacing w:val="-7"/>
          <w:sz w:val="24"/>
          <w:szCs w:val="24"/>
          <w:u w:val="single" w:color="auto"/>
        </w:rPr>
        <w:t>建筑业</w:t>
      </w:r>
      <w:r>
        <w:rPr>
          <w:rFonts w:ascii="黑体" w:hAnsi="黑体" w:eastAsia="黑体" w:cs="黑体"/>
          <w:color w:val="auto"/>
          <w:spacing w:val="-7"/>
          <w:sz w:val="24"/>
          <w:szCs w:val="24"/>
        </w:rPr>
        <w:t>；承建（承接）企业</w:t>
      </w:r>
      <w:r>
        <w:rPr>
          <w:rFonts w:ascii="黑体" w:hAnsi="黑体" w:eastAsia="黑体" w:cs="黑体"/>
          <w:color w:val="auto"/>
          <w:spacing w:val="-8"/>
          <w:sz w:val="24"/>
          <w:szCs w:val="24"/>
        </w:rPr>
        <w:t>为</w:t>
      </w:r>
      <w:r>
        <w:rPr>
          <w:rFonts w:ascii="黑体" w:hAnsi="黑体" w:eastAsia="黑体" w:cs="黑体"/>
          <w:color w:val="auto"/>
          <w:spacing w:val="-8"/>
          <w:sz w:val="24"/>
          <w:szCs w:val="24"/>
          <w:u w:val="single" w:color="auto"/>
        </w:rPr>
        <w:t>（企业名称</w:t>
      </w:r>
      <w:r>
        <w:rPr>
          <w:rFonts w:ascii="黑体" w:hAnsi="黑体" w:eastAsia="黑体" w:cs="黑体"/>
          <w:color w:val="auto"/>
          <w:spacing w:val="-33"/>
          <w:sz w:val="24"/>
          <w:szCs w:val="24"/>
          <w:u w:val="single" w:color="auto"/>
        </w:rPr>
        <w:t>）</w:t>
      </w:r>
      <w:r>
        <w:rPr>
          <w:rFonts w:ascii="黑体" w:hAnsi="黑体" w:eastAsia="黑体" w:cs="黑体"/>
          <w:color w:val="auto"/>
          <w:spacing w:val="-33"/>
          <w:sz w:val="24"/>
          <w:szCs w:val="24"/>
        </w:rPr>
        <w:t>，</w:t>
      </w:r>
      <w:r>
        <w:rPr>
          <w:rFonts w:ascii="黑体" w:hAnsi="黑体" w:eastAsia="黑体" w:cs="黑体"/>
          <w:color w:val="auto"/>
          <w:spacing w:val="-8"/>
          <w:sz w:val="24"/>
          <w:szCs w:val="24"/>
        </w:rPr>
        <w:t>从业人员人，</w:t>
      </w:r>
    </w:p>
    <w:p w14:paraId="1BB14C5B">
      <w:pPr>
        <w:spacing w:before="1" w:line="212" w:lineRule="auto"/>
        <w:ind w:left="6"/>
        <w:rPr>
          <w:rFonts w:ascii="黑体" w:hAnsi="黑体" w:eastAsia="黑体" w:cs="黑体"/>
          <w:color w:val="auto"/>
          <w:sz w:val="24"/>
          <w:szCs w:val="24"/>
        </w:rPr>
      </w:pPr>
      <w:r>
        <w:rPr>
          <w:rFonts w:ascii="黑体" w:hAnsi="黑体" w:eastAsia="黑体" w:cs="黑体"/>
          <w:color w:val="auto"/>
          <w:spacing w:val="1"/>
          <w:sz w:val="24"/>
          <w:szCs w:val="24"/>
        </w:rPr>
        <w:t>营业收入为万元，资产总额为万元，属于</w:t>
      </w:r>
      <w:r>
        <w:rPr>
          <w:rFonts w:ascii="黑体" w:hAnsi="黑体" w:eastAsia="黑体" w:cs="黑体"/>
          <w:color w:val="auto"/>
          <w:spacing w:val="1"/>
          <w:sz w:val="24"/>
          <w:szCs w:val="24"/>
          <w:u w:val="single" w:color="auto"/>
        </w:rPr>
        <w:t>（中型企业、小型企业、微型企业</w:t>
      </w:r>
      <w:r>
        <w:rPr>
          <w:rFonts w:ascii="黑体" w:hAnsi="黑体" w:eastAsia="黑体" w:cs="黑体"/>
          <w:color w:val="auto"/>
          <w:sz w:val="24"/>
          <w:szCs w:val="24"/>
          <w:u w:val="single" w:color="auto"/>
        </w:rPr>
        <w:t>）</w:t>
      </w:r>
      <w:r>
        <w:rPr>
          <w:rFonts w:ascii="黑体" w:hAnsi="黑体" w:eastAsia="黑体" w:cs="黑体"/>
          <w:color w:val="auto"/>
          <w:sz w:val="24"/>
          <w:szCs w:val="24"/>
        </w:rPr>
        <w:t>；</w:t>
      </w:r>
    </w:p>
    <w:p w14:paraId="09041801">
      <w:pPr>
        <w:spacing w:before="188" w:line="360" w:lineRule="auto"/>
        <w:jc w:val="right"/>
        <w:rPr>
          <w:rFonts w:ascii="黑体" w:hAnsi="黑体" w:eastAsia="黑体" w:cs="黑体"/>
          <w:color w:val="auto"/>
          <w:sz w:val="24"/>
          <w:szCs w:val="24"/>
        </w:rPr>
      </w:pPr>
      <w:r>
        <w:rPr>
          <w:rFonts w:ascii="黑体" w:hAnsi="黑体" w:eastAsia="黑体" w:cs="黑体"/>
          <w:color w:val="auto"/>
          <w:spacing w:val="-6"/>
          <w:sz w:val="24"/>
          <w:szCs w:val="24"/>
        </w:rPr>
        <w:t>2.</w:t>
      </w:r>
      <w:r>
        <w:rPr>
          <w:rFonts w:ascii="黑体" w:hAnsi="黑体" w:eastAsia="黑体" w:cs="黑体"/>
          <w:color w:val="auto"/>
          <w:spacing w:val="-6"/>
          <w:sz w:val="24"/>
          <w:szCs w:val="24"/>
          <w:u w:val="single" w:color="auto"/>
        </w:rPr>
        <w:t>（标的名称</w:t>
      </w:r>
      <w:r>
        <w:rPr>
          <w:rFonts w:ascii="黑体" w:hAnsi="黑体" w:eastAsia="黑体" w:cs="黑体"/>
          <w:color w:val="auto"/>
          <w:spacing w:val="-20"/>
          <w:sz w:val="24"/>
          <w:szCs w:val="24"/>
          <w:u w:val="single" w:color="auto"/>
        </w:rPr>
        <w:t>）</w:t>
      </w:r>
      <w:r>
        <w:rPr>
          <w:rFonts w:ascii="黑体" w:hAnsi="黑体" w:eastAsia="黑体" w:cs="黑体"/>
          <w:color w:val="auto"/>
          <w:spacing w:val="-20"/>
          <w:sz w:val="24"/>
          <w:szCs w:val="24"/>
        </w:rPr>
        <w:t>，</w:t>
      </w:r>
      <w:r>
        <w:rPr>
          <w:rFonts w:ascii="黑体" w:hAnsi="黑体" w:eastAsia="黑体" w:cs="黑体"/>
          <w:color w:val="auto"/>
          <w:spacing w:val="-6"/>
          <w:sz w:val="24"/>
          <w:szCs w:val="24"/>
        </w:rPr>
        <w:t>属于</w:t>
      </w:r>
      <w:r>
        <w:rPr>
          <w:rFonts w:ascii="黑体" w:hAnsi="黑体" w:eastAsia="黑体" w:cs="黑体"/>
          <w:color w:val="auto"/>
          <w:spacing w:val="-6"/>
          <w:sz w:val="24"/>
          <w:szCs w:val="24"/>
          <w:u w:val="single" w:color="auto"/>
        </w:rPr>
        <w:t>建筑业</w:t>
      </w:r>
      <w:r>
        <w:rPr>
          <w:rFonts w:ascii="黑体" w:hAnsi="黑体" w:eastAsia="黑体" w:cs="黑体"/>
          <w:color w:val="auto"/>
          <w:spacing w:val="-6"/>
          <w:sz w:val="24"/>
          <w:szCs w:val="24"/>
        </w:rPr>
        <w:t>；承建（承接）企业为</w:t>
      </w:r>
      <w:r>
        <w:rPr>
          <w:rFonts w:ascii="黑体" w:hAnsi="黑体" w:eastAsia="黑体" w:cs="黑体"/>
          <w:color w:val="auto"/>
          <w:spacing w:val="-6"/>
          <w:sz w:val="24"/>
          <w:szCs w:val="24"/>
          <w:u w:val="single" w:color="auto"/>
        </w:rPr>
        <w:t>（企业名称</w:t>
      </w:r>
      <w:r>
        <w:rPr>
          <w:rFonts w:ascii="黑体" w:hAnsi="黑体" w:eastAsia="黑体" w:cs="黑体"/>
          <w:color w:val="auto"/>
          <w:spacing w:val="-20"/>
          <w:sz w:val="24"/>
          <w:szCs w:val="24"/>
          <w:u w:val="single" w:color="auto"/>
        </w:rPr>
        <w:t>）</w:t>
      </w:r>
      <w:r>
        <w:rPr>
          <w:rFonts w:ascii="黑体" w:hAnsi="黑体" w:eastAsia="黑体" w:cs="黑体"/>
          <w:color w:val="auto"/>
          <w:spacing w:val="-20"/>
          <w:sz w:val="24"/>
          <w:szCs w:val="24"/>
        </w:rPr>
        <w:t>，</w:t>
      </w:r>
      <w:r>
        <w:rPr>
          <w:rFonts w:ascii="黑体" w:hAnsi="黑体" w:eastAsia="黑体" w:cs="黑体"/>
          <w:color w:val="auto"/>
          <w:spacing w:val="-6"/>
          <w:sz w:val="24"/>
          <w:szCs w:val="24"/>
        </w:rPr>
        <w:t>从业人员人，</w:t>
      </w:r>
    </w:p>
    <w:p w14:paraId="1482FC04">
      <w:pPr>
        <w:spacing w:before="1" w:line="212" w:lineRule="auto"/>
        <w:ind w:left="6"/>
        <w:rPr>
          <w:rFonts w:ascii="黑体" w:hAnsi="黑体" w:eastAsia="黑体" w:cs="黑体"/>
          <w:color w:val="auto"/>
          <w:sz w:val="24"/>
          <w:szCs w:val="24"/>
        </w:rPr>
      </w:pPr>
      <w:r>
        <w:rPr>
          <w:rFonts w:ascii="黑体" w:hAnsi="黑体" w:eastAsia="黑体" w:cs="黑体"/>
          <w:color w:val="auto"/>
          <w:spacing w:val="1"/>
          <w:sz w:val="24"/>
          <w:szCs w:val="24"/>
        </w:rPr>
        <w:t>营业收入为万元，资产总额为万元，属于</w:t>
      </w:r>
      <w:r>
        <w:rPr>
          <w:rFonts w:ascii="黑体" w:hAnsi="黑体" w:eastAsia="黑体" w:cs="黑体"/>
          <w:color w:val="auto"/>
          <w:spacing w:val="1"/>
          <w:sz w:val="24"/>
          <w:szCs w:val="24"/>
          <w:u w:val="single" w:color="auto"/>
        </w:rPr>
        <w:t>（中型企业、小型企业、微型企业</w:t>
      </w:r>
      <w:r>
        <w:rPr>
          <w:rFonts w:ascii="黑体" w:hAnsi="黑体" w:eastAsia="黑体" w:cs="黑体"/>
          <w:color w:val="auto"/>
          <w:sz w:val="24"/>
          <w:szCs w:val="24"/>
          <w:u w:val="single" w:color="auto"/>
        </w:rPr>
        <w:t>）</w:t>
      </w:r>
      <w:r>
        <w:rPr>
          <w:rFonts w:ascii="黑体" w:hAnsi="黑体" w:eastAsia="黑体" w:cs="黑体"/>
          <w:color w:val="auto"/>
          <w:sz w:val="24"/>
          <w:szCs w:val="24"/>
        </w:rPr>
        <w:t>；</w:t>
      </w:r>
    </w:p>
    <w:p w14:paraId="26FBDF39">
      <w:pPr>
        <w:spacing w:before="189" w:line="382" w:lineRule="exact"/>
        <w:ind w:left="514"/>
        <w:rPr>
          <w:rFonts w:ascii="黑体" w:hAnsi="黑体" w:eastAsia="黑体" w:cs="黑体"/>
          <w:color w:val="auto"/>
          <w:sz w:val="24"/>
          <w:szCs w:val="24"/>
        </w:rPr>
      </w:pPr>
      <w:r>
        <w:rPr>
          <w:rFonts w:ascii="黑体" w:hAnsi="黑体" w:eastAsia="黑体" w:cs="黑体"/>
          <w:color w:val="auto"/>
          <w:spacing w:val="-11"/>
          <w:position w:val="3"/>
          <w:sz w:val="24"/>
          <w:szCs w:val="24"/>
        </w:rPr>
        <w:t>……</w:t>
      </w:r>
    </w:p>
    <w:p w14:paraId="165C7581">
      <w:pPr>
        <w:spacing w:before="86" w:line="468" w:lineRule="exact"/>
        <w:ind w:right="61"/>
        <w:jc w:val="right"/>
        <w:rPr>
          <w:rFonts w:ascii="黑体" w:hAnsi="黑体" w:eastAsia="黑体" w:cs="黑体"/>
          <w:color w:val="auto"/>
          <w:sz w:val="24"/>
          <w:szCs w:val="24"/>
        </w:rPr>
      </w:pPr>
      <w:r>
        <w:rPr>
          <w:rFonts w:ascii="黑体" w:hAnsi="黑体" w:eastAsia="黑体" w:cs="黑体"/>
          <w:color w:val="auto"/>
          <w:spacing w:val="-1"/>
          <w:position w:val="17"/>
          <w:sz w:val="24"/>
          <w:szCs w:val="24"/>
        </w:rPr>
        <w:t>以上企业，不属于大企业的分支机构，不存在控股</w:t>
      </w:r>
      <w:r>
        <w:rPr>
          <w:rFonts w:ascii="黑体" w:hAnsi="黑体" w:eastAsia="黑体" w:cs="黑体"/>
          <w:color w:val="auto"/>
          <w:spacing w:val="-2"/>
          <w:position w:val="17"/>
          <w:sz w:val="24"/>
          <w:szCs w:val="24"/>
        </w:rPr>
        <w:t>股东为大企业的情形，也不存在与</w:t>
      </w:r>
    </w:p>
    <w:p w14:paraId="430DF05F">
      <w:pPr>
        <w:spacing w:before="1" w:line="220" w:lineRule="auto"/>
        <w:rPr>
          <w:rFonts w:ascii="黑体" w:hAnsi="黑体" w:eastAsia="黑体" w:cs="黑体"/>
          <w:color w:val="auto"/>
          <w:sz w:val="24"/>
          <w:szCs w:val="24"/>
        </w:rPr>
      </w:pPr>
      <w:r>
        <w:rPr>
          <w:rFonts w:ascii="黑体" w:hAnsi="黑体" w:eastAsia="黑体" w:cs="黑体"/>
          <w:color w:val="auto"/>
          <w:spacing w:val="1"/>
          <w:sz w:val="24"/>
          <w:szCs w:val="24"/>
        </w:rPr>
        <w:t>大企业的负责人为同一人的情形。</w:t>
      </w:r>
    </w:p>
    <w:p w14:paraId="52DBC3F7">
      <w:pPr>
        <w:spacing w:before="291" w:line="213" w:lineRule="auto"/>
        <w:ind w:left="610"/>
        <w:rPr>
          <w:rFonts w:ascii="黑体" w:hAnsi="黑体" w:eastAsia="黑体" w:cs="黑体"/>
          <w:color w:val="auto"/>
          <w:sz w:val="24"/>
          <w:szCs w:val="24"/>
        </w:rPr>
      </w:pPr>
      <w:r>
        <w:rPr>
          <w:rFonts w:ascii="黑体" w:hAnsi="黑体" w:eastAsia="黑体" w:cs="黑体"/>
          <w:color w:val="auto"/>
          <w:spacing w:val="2"/>
          <w:sz w:val="24"/>
          <w:szCs w:val="24"/>
        </w:rPr>
        <w:t>本企业对上述声明内容的真实性负责。如有虚假，将依法承担相应责任。</w:t>
      </w:r>
    </w:p>
    <w:p w14:paraId="60876693">
      <w:pPr>
        <w:pStyle w:val="5"/>
        <w:spacing w:line="270" w:lineRule="auto"/>
        <w:rPr>
          <w:color w:val="auto"/>
        </w:rPr>
      </w:pPr>
    </w:p>
    <w:p w14:paraId="0F91F129">
      <w:pPr>
        <w:pStyle w:val="5"/>
        <w:spacing w:line="270" w:lineRule="auto"/>
        <w:rPr>
          <w:color w:val="auto"/>
        </w:rPr>
      </w:pPr>
    </w:p>
    <w:p w14:paraId="79195250">
      <w:pPr>
        <w:pStyle w:val="5"/>
        <w:spacing w:line="270" w:lineRule="auto"/>
        <w:rPr>
          <w:color w:val="auto"/>
        </w:rPr>
      </w:pPr>
    </w:p>
    <w:p w14:paraId="18107E83">
      <w:pPr>
        <w:spacing w:before="79" w:line="222" w:lineRule="auto"/>
        <w:ind w:left="608"/>
        <w:rPr>
          <w:rFonts w:ascii="黑体" w:hAnsi="黑体" w:eastAsia="黑体" w:cs="黑体"/>
          <w:color w:val="auto"/>
          <w:sz w:val="24"/>
          <w:szCs w:val="24"/>
        </w:rPr>
      </w:pPr>
      <w:r>
        <w:rPr>
          <w:rFonts w:ascii="黑体" w:hAnsi="黑体" w:eastAsia="黑体" w:cs="黑体"/>
          <w:color w:val="auto"/>
          <w:sz w:val="24"/>
          <w:szCs w:val="24"/>
        </w:rPr>
        <w:t>供应商（盖章</w:t>
      </w:r>
      <w:r>
        <w:rPr>
          <w:rFonts w:ascii="黑体" w:hAnsi="黑体" w:eastAsia="黑体" w:cs="黑体"/>
          <w:color w:val="auto"/>
          <w:spacing w:val="1"/>
          <w:sz w:val="24"/>
          <w:szCs w:val="24"/>
        </w:rPr>
        <w:t>）：</w:t>
      </w:r>
    </w:p>
    <w:p w14:paraId="57D5CECB">
      <w:pPr>
        <w:spacing w:before="297" w:line="224" w:lineRule="auto"/>
        <w:ind w:left="5496"/>
        <w:rPr>
          <w:rFonts w:ascii="黑体" w:hAnsi="黑体" w:eastAsia="黑体" w:cs="黑体"/>
          <w:color w:val="auto"/>
          <w:sz w:val="24"/>
          <w:szCs w:val="24"/>
        </w:rPr>
      </w:pPr>
      <w:r>
        <w:rPr>
          <w:rFonts w:ascii="黑体" w:hAnsi="黑体" w:eastAsia="黑体" w:cs="黑体"/>
          <w:color w:val="auto"/>
          <w:spacing w:val="-19"/>
          <w:sz w:val="24"/>
          <w:szCs w:val="24"/>
        </w:rPr>
        <w:t>日期：</w:t>
      </w:r>
    </w:p>
    <w:p w14:paraId="705FA3BF">
      <w:pPr>
        <w:pStyle w:val="5"/>
        <w:spacing w:line="265" w:lineRule="auto"/>
        <w:rPr>
          <w:color w:val="auto"/>
        </w:rPr>
      </w:pPr>
    </w:p>
    <w:p w14:paraId="52AC6EDC">
      <w:pPr>
        <w:pStyle w:val="5"/>
        <w:spacing w:line="266" w:lineRule="auto"/>
        <w:rPr>
          <w:color w:val="auto"/>
        </w:rPr>
      </w:pPr>
    </w:p>
    <w:p w14:paraId="14B2C381">
      <w:pPr>
        <w:pStyle w:val="5"/>
        <w:spacing w:line="266" w:lineRule="auto"/>
        <w:rPr>
          <w:color w:val="auto"/>
        </w:rPr>
      </w:pPr>
    </w:p>
    <w:p w14:paraId="501CDBA9">
      <w:pPr>
        <w:spacing w:before="79" w:line="213" w:lineRule="auto"/>
        <w:ind w:left="609"/>
        <w:rPr>
          <w:rFonts w:ascii="黑体" w:hAnsi="黑体" w:eastAsia="黑体" w:cs="黑体"/>
          <w:color w:val="auto"/>
          <w:sz w:val="24"/>
          <w:szCs w:val="24"/>
        </w:rPr>
      </w:pPr>
      <w:r>
        <w:rPr>
          <w:rFonts w:ascii="黑体" w:hAnsi="黑体" w:eastAsia="黑体" w:cs="黑体"/>
          <w:color w:val="auto"/>
          <w:spacing w:val="2"/>
          <w:sz w:val="24"/>
          <w:szCs w:val="24"/>
        </w:rPr>
        <w:t>从业人员、营业收入、资产总额填报上一年度数据，无上一年度数据的新成立</w:t>
      </w:r>
    </w:p>
    <w:p w14:paraId="69DEED17">
      <w:pPr>
        <w:spacing w:before="188" w:line="222" w:lineRule="auto"/>
        <w:ind w:left="120"/>
        <w:rPr>
          <w:rFonts w:ascii="黑体" w:hAnsi="黑体" w:eastAsia="黑体" w:cs="黑体"/>
          <w:color w:val="auto"/>
          <w:sz w:val="24"/>
          <w:szCs w:val="24"/>
        </w:rPr>
      </w:pPr>
      <w:r>
        <w:rPr>
          <w:rFonts w:ascii="黑体" w:hAnsi="黑体" w:eastAsia="黑体" w:cs="黑体"/>
          <w:color w:val="auto"/>
          <w:sz w:val="24"/>
          <w:szCs w:val="24"/>
        </w:rPr>
        <w:t>企业可不填报。</w:t>
      </w:r>
    </w:p>
    <w:p w14:paraId="2FBFF3CC">
      <w:pPr>
        <w:spacing w:before="300" w:line="213" w:lineRule="auto"/>
        <w:ind w:left="509"/>
        <w:rPr>
          <w:rFonts w:ascii="黑体" w:hAnsi="黑体" w:eastAsia="黑体" w:cs="黑体"/>
          <w:color w:val="auto"/>
          <w:sz w:val="24"/>
          <w:szCs w:val="24"/>
          <w:highlight w:val="red"/>
        </w:rPr>
      </w:pPr>
    </w:p>
    <w:p w14:paraId="74144953">
      <w:pPr>
        <w:spacing w:line="213" w:lineRule="auto"/>
        <w:rPr>
          <w:rFonts w:ascii="黑体" w:hAnsi="黑体" w:eastAsia="黑体" w:cs="黑体"/>
          <w:color w:val="auto"/>
          <w:sz w:val="24"/>
          <w:szCs w:val="24"/>
        </w:rPr>
        <w:sectPr>
          <w:footerReference r:id="rId44" w:type="default"/>
          <w:pgSz w:w="11906" w:h="16839"/>
          <w:pgMar w:top="1440" w:right="1080" w:bottom="1440" w:left="1080" w:header="0" w:footer="850" w:gutter="0"/>
          <w:pgNumType w:fmt="decimal"/>
          <w:cols w:space="720" w:num="1"/>
        </w:sectPr>
      </w:pPr>
    </w:p>
    <w:p w14:paraId="5749090C">
      <w:pPr>
        <w:pStyle w:val="5"/>
        <w:spacing w:line="270" w:lineRule="auto"/>
        <w:rPr>
          <w:color w:val="auto"/>
        </w:rPr>
      </w:pPr>
    </w:p>
    <w:p w14:paraId="09B9A47D">
      <w:pPr>
        <w:spacing w:before="78" w:line="221" w:lineRule="auto"/>
        <w:ind w:left="2708"/>
        <w:rPr>
          <w:rFonts w:ascii="黑体" w:hAnsi="黑体" w:eastAsia="黑体" w:cs="黑体"/>
          <w:color w:val="auto"/>
          <w:sz w:val="24"/>
          <w:szCs w:val="24"/>
        </w:rPr>
      </w:pPr>
      <w:r>
        <w:rPr>
          <w:rFonts w:ascii="黑体" w:hAnsi="黑体" w:eastAsia="黑体" w:cs="黑体"/>
          <w:color w:val="auto"/>
          <w:spacing w:val="1"/>
          <w:sz w:val="24"/>
          <w:szCs w:val="24"/>
        </w:rPr>
        <w:t>监狱企业声明函（符合本声明函填写）</w:t>
      </w:r>
    </w:p>
    <w:p w14:paraId="00595527">
      <w:pPr>
        <w:spacing w:before="298" w:line="221" w:lineRule="auto"/>
        <w:ind w:left="3850"/>
        <w:rPr>
          <w:rFonts w:ascii="黑体" w:hAnsi="黑体" w:eastAsia="黑体" w:cs="黑体"/>
          <w:color w:val="auto"/>
          <w:sz w:val="24"/>
          <w:szCs w:val="24"/>
        </w:rPr>
      </w:pPr>
      <w:r>
        <w:rPr>
          <w:rFonts w:ascii="黑体" w:hAnsi="黑体" w:eastAsia="黑体" w:cs="黑体"/>
          <w:color w:val="auto"/>
          <w:spacing w:val="-2"/>
          <w:sz w:val="24"/>
          <w:szCs w:val="24"/>
        </w:rPr>
        <w:t>（监狱企业适用）</w:t>
      </w:r>
    </w:p>
    <w:p w14:paraId="733735D5">
      <w:pPr>
        <w:pStyle w:val="5"/>
        <w:spacing w:line="267" w:lineRule="auto"/>
        <w:rPr>
          <w:color w:val="auto"/>
        </w:rPr>
      </w:pPr>
    </w:p>
    <w:p w14:paraId="75A6BF36">
      <w:pPr>
        <w:pStyle w:val="5"/>
        <w:spacing w:line="267" w:lineRule="auto"/>
        <w:rPr>
          <w:color w:val="auto"/>
        </w:rPr>
      </w:pPr>
    </w:p>
    <w:p w14:paraId="6E1B31AE">
      <w:pPr>
        <w:pStyle w:val="5"/>
        <w:spacing w:line="267" w:lineRule="auto"/>
        <w:rPr>
          <w:color w:val="auto"/>
        </w:rPr>
      </w:pPr>
    </w:p>
    <w:p w14:paraId="6E9183B1">
      <w:pPr>
        <w:spacing w:before="78" w:line="463" w:lineRule="exact"/>
        <w:ind w:left="490"/>
        <w:rPr>
          <w:rFonts w:ascii="黑体" w:hAnsi="黑体" w:eastAsia="黑体" w:cs="黑体"/>
          <w:color w:val="auto"/>
          <w:sz w:val="24"/>
          <w:szCs w:val="24"/>
        </w:rPr>
      </w:pPr>
      <w:r>
        <w:rPr>
          <w:rFonts w:ascii="黑体" w:hAnsi="黑体" w:eastAsia="黑体" w:cs="黑体"/>
          <w:color w:val="auto"/>
          <w:spacing w:val="-1"/>
          <w:position w:val="17"/>
          <w:sz w:val="24"/>
          <w:szCs w:val="24"/>
        </w:rPr>
        <w:t>本公司郑重声明，根据《关于政府采购支持监狱企业发展有关问题的通知》（财库</w:t>
      </w:r>
    </w:p>
    <w:p w14:paraId="0744A50C">
      <w:pPr>
        <w:spacing w:before="1" w:line="212" w:lineRule="auto"/>
        <w:ind w:left="39"/>
        <w:rPr>
          <w:rFonts w:ascii="黑体" w:hAnsi="黑体" w:eastAsia="黑体" w:cs="黑体"/>
          <w:color w:val="auto"/>
          <w:sz w:val="24"/>
          <w:szCs w:val="24"/>
        </w:rPr>
      </w:pPr>
      <w:r>
        <w:rPr>
          <w:rFonts w:ascii="黑体" w:hAnsi="黑体" w:eastAsia="黑体" w:cs="黑体"/>
          <w:color w:val="auto"/>
          <w:spacing w:val="-1"/>
          <w:sz w:val="24"/>
          <w:szCs w:val="24"/>
        </w:rPr>
        <w:t>[2014]68号）的规定，本公司为监狱企业。</w:t>
      </w:r>
    </w:p>
    <w:p w14:paraId="39D0428E">
      <w:pPr>
        <w:spacing w:before="311" w:line="356" w:lineRule="auto"/>
        <w:ind w:left="490"/>
        <w:rPr>
          <w:rFonts w:ascii="黑体" w:hAnsi="黑体" w:eastAsia="黑体" w:cs="黑体"/>
          <w:color w:val="auto"/>
          <w:sz w:val="24"/>
          <w:szCs w:val="24"/>
        </w:rPr>
      </w:pPr>
      <w:r>
        <w:rPr>
          <w:rFonts w:ascii="黑体" w:hAnsi="黑体" w:eastAsia="黑体" w:cs="黑体"/>
          <w:color w:val="auto"/>
          <w:spacing w:val="1"/>
          <w:sz w:val="24"/>
          <w:szCs w:val="24"/>
        </w:rPr>
        <w:t>本公司参加单位的项目采购活动，采购活动提供本企业（</w:t>
      </w:r>
      <w:r>
        <w:rPr>
          <w:rFonts w:ascii="黑体" w:hAnsi="黑体" w:eastAsia="黑体" w:cs="黑体"/>
          <w:color w:val="auto"/>
          <w:sz w:val="24"/>
          <w:szCs w:val="24"/>
        </w:rPr>
        <w:t>填写制</w:t>
      </w:r>
    </w:p>
    <w:p w14:paraId="688436AA">
      <w:pPr>
        <w:spacing w:before="1" w:line="212" w:lineRule="auto"/>
        <w:rPr>
          <w:rFonts w:ascii="黑体" w:hAnsi="黑体" w:eastAsia="黑体" w:cs="黑体"/>
          <w:color w:val="auto"/>
          <w:sz w:val="24"/>
          <w:szCs w:val="24"/>
        </w:rPr>
      </w:pPr>
      <w:r>
        <w:rPr>
          <w:rFonts w:ascii="黑体" w:hAnsi="黑体" w:eastAsia="黑体" w:cs="黑体"/>
          <w:color w:val="auto"/>
          <w:spacing w:val="1"/>
          <w:sz w:val="24"/>
          <w:szCs w:val="24"/>
        </w:rPr>
        <w:t>造的货物，由本企业承担工程、提供服务）。</w:t>
      </w:r>
    </w:p>
    <w:p w14:paraId="55229EBA">
      <w:pPr>
        <w:spacing w:before="309" w:line="221" w:lineRule="auto"/>
        <w:ind w:left="490"/>
        <w:rPr>
          <w:rFonts w:ascii="黑体" w:hAnsi="黑体" w:eastAsia="黑体" w:cs="黑体"/>
          <w:color w:val="auto"/>
          <w:sz w:val="24"/>
          <w:szCs w:val="24"/>
        </w:rPr>
      </w:pPr>
      <w:r>
        <w:rPr>
          <w:rFonts w:ascii="黑体" w:hAnsi="黑体" w:eastAsia="黑体" w:cs="黑体"/>
          <w:color w:val="auto"/>
          <w:spacing w:val="2"/>
          <w:sz w:val="24"/>
          <w:szCs w:val="24"/>
        </w:rPr>
        <w:t>本条所称货物不包括使用大型企业注册商标的货物和服</w:t>
      </w:r>
      <w:r>
        <w:rPr>
          <w:rFonts w:ascii="黑体" w:hAnsi="黑体" w:eastAsia="黑体" w:cs="黑体"/>
          <w:color w:val="auto"/>
          <w:spacing w:val="1"/>
          <w:sz w:val="24"/>
          <w:szCs w:val="24"/>
        </w:rPr>
        <w:t>务。</w:t>
      </w:r>
    </w:p>
    <w:p w14:paraId="722DB383">
      <w:pPr>
        <w:spacing w:before="298" w:line="213" w:lineRule="auto"/>
        <w:ind w:left="490"/>
        <w:rPr>
          <w:rFonts w:ascii="黑体" w:hAnsi="黑体" w:eastAsia="黑体" w:cs="黑体"/>
          <w:color w:val="auto"/>
          <w:sz w:val="24"/>
          <w:szCs w:val="24"/>
        </w:rPr>
      </w:pPr>
      <w:r>
        <w:rPr>
          <w:rFonts w:ascii="黑体" w:hAnsi="黑体" w:eastAsia="黑体" w:cs="黑体"/>
          <w:color w:val="auto"/>
          <w:spacing w:val="2"/>
          <w:sz w:val="24"/>
          <w:szCs w:val="24"/>
        </w:rPr>
        <w:t>本公司对上述声明的真实性负责。如有虚假，将依法承担相应责任。</w:t>
      </w:r>
    </w:p>
    <w:p w14:paraId="3F87FA96">
      <w:pPr>
        <w:pStyle w:val="5"/>
        <w:spacing w:line="270" w:lineRule="auto"/>
        <w:rPr>
          <w:color w:val="auto"/>
        </w:rPr>
      </w:pPr>
    </w:p>
    <w:p w14:paraId="43547A8D">
      <w:pPr>
        <w:pStyle w:val="5"/>
        <w:spacing w:line="270" w:lineRule="auto"/>
        <w:rPr>
          <w:color w:val="auto"/>
        </w:rPr>
      </w:pPr>
    </w:p>
    <w:p w14:paraId="5C1057D9">
      <w:pPr>
        <w:pStyle w:val="5"/>
        <w:spacing w:line="270" w:lineRule="auto"/>
        <w:rPr>
          <w:color w:val="auto"/>
        </w:rPr>
      </w:pPr>
    </w:p>
    <w:p w14:paraId="73C40B85">
      <w:pPr>
        <w:spacing w:before="79" w:line="222" w:lineRule="auto"/>
        <w:ind w:left="488"/>
        <w:rPr>
          <w:rFonts w:ascii="黑体" w:hAnsi="黑体" w:eastAsia="黑体" w:cs="黑体"/>
          <w:color w:val="auto"/>
          <w:sz w:val="24"/>
          <w:szCs w:val="24"/>
        </w:rPr>
      </w:pPr>
      <w:r>
        <w:rPr>
          <w:rFonts w:ascii="黑体" w:hAnsi="黑体" w:eastAsia="黑体" w:cs="黑体"/>
          <w:color w:val="auto"/>
          <w:sz w:val="24"/>
          <w:szCs w:val="24"/>
        </w:rPr>
        <w:t>供应商（盖章</w:t>
      </w:r>
      <w:r>
        <w:rPr>
          <w:rFonts w:ascii="黑体" w:hAnsi="黑体" w:eastAsia="黑体" w:cs="黑体"/>
          <w:color w:val="auto"/>
          <w:spacing w:val="1"/>
          <w:sz w:val="24"/>
          <w:szCs w:val="24"/>
        </w:rPr>
        <w:t>）：</w:t>
      </w:r>
    </w:p>
    <w:p w14:paraId="0DCC14B2">
      <w:pPr>
        <w:spacing w:before="297" w:line="222" w:lineRule="auto"/>
        <w:ind w:left="491"/>
        <w:rPr>
          <w:rFonts w:ascii="黑体" w:hAnsi="黑体" w:eastAsia="黑体" w:cs="黑体"/>
          <w:color w:val="auto"/>
          <w:sz w:val="24"/>
          <w:szCs w:val="24"/>
        </w:rPr>
      </w:pPr>
      <w:r>
        <w:rPr>
          <w:rFonts w:ascii="黑体" w:hAnsi="黑体" w:eastAsia="黑体" w:cs="黑体"/>
          <w:color w:val="auto"/>
          <w:spacing w:val="1"/>
          <w:sz w:val="24"/>
          <w:szCs w:val="24"/>
        </w:rPr>
        <w:t>法定代表人或其被授权人（签字或盖章</w:t>
      </w:r>
      <w:r>
        <w:rPr>
          <w:rFonts w:ascii="黑体" w:hAnsi="黑体" w:eastAsia="黑体" w:cs="黑体"/>
          <w:color w:val="auto"/>
          <w:spacing w:val="5"/>
          <w:sz w:val="24"/>
          <w:szCs w:val="24"/>
        </w:rPr>
        <w:t>）：</w:t>
      </w:r>
    </w:p>
    <w:p w14:paraId="56354519">
      <w:pPr>
        <w:spacing w:before="297" w:line="224" w:lineRule="auto"/>
        <w:ind w:left="526"/>
        <w:rPr>
          <w:rFonts w:ascii="黑体" w:hAnsi="黑体" w:eastAsia="黑体" w:cs="黑体"/>
          <w:color w:val="auto"/>
          <w:sz w:val="24"/>
          <w:szCs w:val="24"/>
        </w:rPr>
      </w:pPr>
      <w:r>
        <w:rPr>
          <w:rFonts w:ascii="黑体" w:hAnsi="黑体" w:eastAsia="黑体" w:cs="黑体"/>
          <w:color w:val="auto"/>
          <w:spacing w:val="-15"/>
          <w:sz w:val="24"/>
          <w:szCs w:val="24"/>
        </w:rPr>
        <w:t>日期：</w:t>
      </w:r>
    </w:p>
    <w:p w14:paraId="4BCCB334">
      <w:pPr>
        <w:spacing w:before="295" w:line="221" w:lineRule="auto"/>
        <w:ind w:left="491"/>
        <w:rPr>
          <w:rFonts w:ascii="黑体" w:hAnsi="黑体" w:eastAsia="黑体" w:cs="黑体"/>
          <w:color w:val="auto"/>
          <w:sz w:val="24"/>
          <w:szCs w:val="24"/>
        </w:rPr>
      </w:pPr>
      <w:r>
        <w:rPr>
          <w:rFonts w:ascii="黑体" w:hAnsi="黑体" w:eastAsia="黑体" w:cs="黑体"/>
          <w:color w:val="auto"/>
          <w:spacing w:val="1"/>
          <w:sz w:val="24"/>
          <w:szCs w:val="24"/>
        </w:rPr>
        <w:t>注：后附监狱企业资格证明文件</w:t>
      </w:r>
    </w:p>
    <w:p w14:paraId="05BFB310">
      <w:pPr>
        <w:spacing w:before="298" w:line="463" w:lineRule="exact"/>
        <w:ind w:left="501"/>
        <w:rPr>
          <w:rFonts w:ascii="黑体" w:hAnsi="黑体" w:eastAsia="黑体" w:cs="黑体"/>
          <w:color w:val="auto"/>
          <w:sz w:val="24"/>
          <w:szCs w:val="24"/>
        </w:rPr>
      </w:pPr>
      <w:r>
        <w:rPr>
          <w:rFonts w:ascii="黑体" w:hAnsi="黑体" w:eastAsia="黑体" w:cs="黑体"/>
          <w:color w:val="auto"/>
          <w:spacing w:val="2"/>
          <w:position w:val="16"/>
          <w:sz w:val="24"/>
          <w:szCs w:val="24"/>
        </w:rPr>
        <w:t>1.省级以上监狱管理局、戒毒管理局（含新疆生产建设兵团</w:t>
      </w:r>
      <w:r>
        <w:rPr>
          <w:rFonts w:ascii="黑体" w:hAnsi="黑体" w:eastAsia="黑体" w:cs="黑体"/>
          <w:color w:val="auto"/>
          <w:spacing w:val="1"/>
          <w:position w:val="16"/>
          <w:sz w:val="24"/>
          <w:szCs w:val="24"/>
        </w:rPr>
        <w:t>）出具的属于监狱企</w:t>
      </w:r>
    </w:p>
    <w:p w14:paraId="78EC0FE3">
      <w:pPr>
        <w:spacing w:before="1" w:line="212" w:lineRule="auto"/>
        <w:ind w:left="4"/>
        <w:rPr>
          <w:rFonts w:ascii="黑体" w:hAnsi="黑体" w:eastAsia="黑体" w:cs="黑体"/>
          <w:color w:val="auto"/>
          <w:sz w:val="24"/>
          <w:szCs w:val="24"/>
        </w:rPr>
      </w:pPr>
      <w:r>
        <w:rPr>
          <w:rFonts w:ascii="黑体" w:hAnsi="黑体" w:eastAsia="黑体" w:cs="黑体"/>
          <w:color w:val="auto"/>
          <w:spacing w:val="-1"/>
          <w:sz w:val="24"/>
          <w:szCs w:val="24"/>
        </w:rPr>
        <w:t>业的证明文件；</w:t>
      </w:r>
    </w:p>
    <w:p w14:paraId="3FC61DD9">
      <w:pPr>
        <w:spacing w:before="311" w:line="221" w:lineRule="auto"/>
        <w:ind w:left="487"/>
        <w:rPr>
          <w:rFonts w:ascii="黑体" w:hAnsi="黑体" w:eastAsia="黑体" w:cs="黑体"/>
          <w:color w:val="auto"/>
          <w:sz w:val="24"/>
          <w:szCs w:val="24"/>
        </w:rPr>
      </w:pPr>
      <w:r>
        <w:rPr>
          <w:rFonts w:ascii="黑体" w:hAnsi="黑体" w:eastAsia="黑体" w:cs="黑体"/>
          <w:color w:val="auto"/>
          <w:spacing w:val="1"/>
          <w:sz w:val="24"/>
          <w:szCs w:val="24"/>
        </w:rPr>
        <w:t>2.证明材料加盖供应商公章。</w:t>
      </w:r>
    </w:p>
    <w:p w14:paraId="3FDE9362">
      <w:pPr>
        <w:spacing w:before="297" w:line="465" w:lineRule="exact"/>
        <w:jc w:val="right"/>
        <w:rPr>
          <w:rFonts w:ascii="黑体" w:hAnsi="黑体" w:eastAsia="黑体" w:cs="黑体"/>
          <w:color w:val="auto"/>
          <w:sz w:val="24"/>
          <w:szCs w:val="24"/>
        </w:rPr>
      </w:pPr>
      <w:r>
        <w:rPr>
          <w:rFonts w:ascii="黑体" w:hAnsi="黑体" w:eastAsia="黑体" w:cs="黑体"/>
          <w:color w:val="auto"/>
          <w:spacing w:val="1"/>
          <w:position w:val="17"/>
          <w:sz w:val="24"/>
          <w:szCs w:val="24"/>
        </w:rPr>
        <w:t>（若响应性文件中无上述证明文件，则在评审时不考</w:t>
      </w:r>
      <w:r>
        <w:rPr>
          <w:rFonts w:ascii="黑体" w:hAnsi="黑体" w:eastAsia="黑体" w:cs="黑体"/>
          <w:color w:val="auto"/>
          <w:position w:val="17"/>
          <w:sz w:val="24"/>
          <w:szCs w:val="24"/>
        </w:rPr>
        <w:t>虑对该监狱企业的相关优惠。</w:t>
      </w:r>
    </w:p>
    <w:p w14:paraId="26F9FCB7">
      <w:pPr>
        <w:spacing w:before="1" w:line="227" w:lineRule="auto"/>
        <w:ind w:left="19"/>
        <w:rPr>
          <w:rFonts w:ascii="黑体" w:hAnsi="黑体" w:eastAsia="黑体" w:cs="黑体"/>
          <w:color w:val="auto"/>
          <w:sz w:val="24"/>
          <w:szCs w:val="24"/>
        </w:rPr>
      </w:pPr>
      <w:r>
        <w:rPr>
          <w:rFonts w:ascii="黑体" w:hAnsi="黑体" w:eastAsia="黑体" w:cs="黑体"/>
          <w:color w:val="auto"/>
          <w:sz w:val="24"/>
          <w:szCs w:val="24"/>
        </w:rPr>
        <w:t>)</w:t>
      </w:r>
    </w:p>
    <w:p w14:paraId="70C99608">
      <w:pPr>
        <w:spacing w:line="227" w:lineRule="auto"/>
        <w:rPr>
          <w:rFonts w:ascii="黑体" w:hAnsi="黑体" w:eastAsia="黑体" w:cs="黑体"/>
          <w:color w:val="auto"/>
          <w:sz w:val="24"/>
          <w:szCs w:val="24"/>
        </w:rPr>
        <w:sectPr>
          <w:footerReference r:id="rId45" w:type="default"/>
          <w:pgSz w:w="11906" w:h="16839"/>
          <w:pgMar w:top="1440" w:right="1080" w:bottom="1440" w:left="1080" w:header="0" w:footer="850" w:gutter="0"/>
          <w:pgNumType w:fmt="decimal"/>
          <w:cols w:space="720" w:num="1"/>
        </w:sectPr>
      </w:pPr>
    </w:p>
    <w:p w14:paraId="0464724B">
      <w:pPr>
        <w:pStyle w:val="5"/>
        <w:spacing w:line="271" w:lineRule="auto"/>
        <w:rPr>
          <w:color w:val="auto"/>
        </w:rPr>
      </w:pPr>
    </w:p>
    <w:p w14:paraId="4F887707">
      <w:pPr>
        <w:pStyle w:val="5"/>
        <w:spacing w:line="271" w:lineRule="auto"/>
        <w:rPr>
          <w:color w:val="auto"/>
        </w:rPr>
      </w:pPr>
    </w:p>
    <w:p w14:paraId="6C0E87BF">
      <w:pPr>
        <w:spacing w:before="78" w:line="217" w:lineRule="auto"/>
        <w:jc w:val="center"/>
        <w:rPr>
          <w:rFonts w:ascii="黑体" w:hAnsi="黑体" w:eastAsia="黑体" w:cs="黑体"/>
          <w:color w:val="auto"/>
          <w:sz w:val="24"/>
          <w:szCs w:val="24"/>
        </w:rPr>
      </w:pPr>
      <w:r>
        <w:rPr>
          <w:rFonts w:ascii="黑体" w:hAnsi="黑体" w:eastAsia="黑体" w:cs="黑体"/>
          <w:color w:val="auto"/>
          <w:spacing w:val="1"/>
          <w:sz w:val="24"/>
          <w:szCs w:val="24"/>
        </w:rPr>
        <w:t>残疾人福利性单位声明函（符合本声明函填写）</w:t>
      </w:r>
    </w:p>
    <w:p w14:paraId="379B2AFD">
      <w:pPr>
        <w:spacing w:before="302" w:line="358" w:lineRule="auto"/>
        <w:ind w:firstLine="489"/>
        <w:jc w:val="both"/>
        <w:rPr>
          <w:rFonts w:ascii="黑体" w:hAnsi="黑体" w:eastAsia="黑体" w:cs="黑体"/>
          <w:color w:val="auto"/>
          <w:sz w:val="24"/>
          <w:szCs w:val="24"/>
        </w:rPr>
      </w:pPr>
      <w:r>
        <w:rPr>
          <w:rFonts w:ascii="黑体" w:hAnsi="黑体" w:eastAsia="黑体" w:cs="黑体"/>
          <w:color w:val="auto"/>
          <w:spacing w:val="-2"/>
          <w:sz w:val="24"/>
          <w:szCs w:val="24"/>
        </w:rPr>
        <w:t>本单位郑重声明，根据《财政部民政部中国残疾人联合会关于促进残疾人就业政</w:t>
      </w:r>
      <w:r>
        <w:rPr>
          <w:rFonts w:ascii="黑体" w:hAnsi="黑体" w:eastAsia="黑体" w:cs="黑体"/>
          <w:color w:val="auto"/>
          <w:spacing w:val="2"/>
          <w:sz w:val="24"/>
          <w:szCs w:val="24"/>
        </w:rPr>
        <w:t>府采购政策的通知》（财库〔2017〕141号）</w:t>
      </w:r>
      <w:r>
        <w:rPr>
          <w:rFonts w:ascii="黑体" w:hAnsi="黑体" w:eastAsia="黑体" w:cs="黑体"/>
          <w:color w:val="auto"/>
          <w:spacing w:val="1"/>
          <w:sz w:val="24"/>
          <w:szCs w:val="24"/>
        </w:rPr>
        <w:t>的规定，本单位为符合条件的残疾人福</w:t>
      </w:r>
      <w:r>
        <w:rPr>
          <w:rFonts w:ascii="黑体" w:hAnsi="黑体" w:eastAsia="黑体" w:cs="黑体"/>
          <w:color w:val="auto"/>
          <w:spacing w:val="-3"/>
          <w:sz w:val="24"/>
          <w:szCs w:val="24"/>
        </w:rPr>
        <w:t>利性单位，且本单位参加单位的项目采购活动提供本单位制造的</w:t>
      </w:r>
      <w:r>
        <w:rPr>
          <w:rFonts w:ascii="黑体" w:hAnsi="黑体" w:eastAsia="黑体" w:cs="黑体"/>
          <w:color w:val="auto"/>
          <w:spacing w:val="-4"/>
          <w:sz w:val="24"/>
          <w:szCs w:val="24"/>
        </w:rPr>
        <w:t>货物(</w:t>
      </w:r>
      <w:r>
        <w:rPr>
          <w:rFonts w:ascii="黑体" w:hAnsi="黑体" w:eastAsia="黑体" w:cs="黑体"/>
          <w:color w:val="auto"/>
          <w:spacing w:val="2"/>
          <w:sz w:val="24"/>
          <w:szCs w:val="24"/>
        </w:rPr>
        <w:t>由本单位承担工程/提供服务</w:t>
      </w:r>
      <w:r>
        <w:rPr>
          <w:rFonts w:ascii="黑体" w:hAnsi="黑体" w:eastAsia="黑体" w:cs="黑体"/>
          <w:color w:val="auto"/>
          <w:spacing w:val="10"/>
          <w:sz w:val="24"/>
          <w:szCs w:val="24"/>
        </w:rPr>
        <w:t>），</w:t>
      </w:r>
      <w:r>
        <w:rPr>
          <w:rFonts w:ascii="黑体" w:hAnsi="黑体" w:eastAsia="黑体" w:cs="黑体"/>
          <w:color w:val="auto"/>
          <w:spacing w:val="2"/>
          <w:sz w:val="24"/>
          <w:szCs w:val="24"/>
        </w:rPr>
        <w:t>或者提供其他残疾人福利性单</w:t>
      </w:r>
      <w:r>
        <w:rPr>
          <w:rFonts w:ascii="黑体" w:hAnsi="黑体" w:eastAsia="黑体" w:cs="黑体"/>
          <w:color w:val="auto"/>
          <w:spacing w:val="1"/>
          <w:sz w:val="24"/>
          <w:szCs w:val="24"/>
        </w:rPr>
        <w:t>位制造的货物（不包括使用非残疾人福利性单位注册商标的货物）。</w:t>
      </w:r>
    </w:p>
    <w:p w14:paraId="45D38A27">
      <w:pPr>
        <w:spacing w:before="304" w:line="213" w:lineRule="auto"/>
        <w:ind w:left="489"/>
        <w:rPr>
          <w:rFonts w:ascii="黑体" w:hAnsi="黑体" w:eastAsia="黑体" w:cs="黑体"/>
          <w:color w:val="auto"/>
          <w:sz w:val="24"/>
          <w:szCs w:val="24"/>
        </w:rPr>
      </w:pPr>
      <w:r>
        <w:rPr>
          <w:rFonts w:ascii="黑体" w:hAnsi="黑体" w:eastAsia="黑体" w:cs="黑体"/>
          <w:color w:val="auto"/>
          <w:spacing w:val="2"/>
          <w:sz w:val="24"/>
          <w:szCs w:val="24"/>
        </w:rPr>
        <w:t>本单位对上述声明的真实性负责。如有虚假，将依法承担相应责任。</w:t>
      </w:r>
    </w:p>
    <w:p w14:paraId="3C82E198">
      <w:pPr>
        <w:pStyle w:val="5"/>
        <w:spacing w:line="270" w:lineRule="auto"/>
        <w:rPr>
          <w:color w:val="auto"/>
        </w:rPr>
      </w:pPr>
    </w:p>
    <w:p w14:paraId="42F553F4">
      <w:pPr>
        <w:pStyle w:val="5"/>
        <w:spacing w:line="270" w:lineRule="auto"/>
        <w:rPr>
          <w:color w:val="auto"/>
        </w:rPr>
      </w:pPr>
    </w:p>
    <w:p w14:paraId="451116A6">
      <w:pPr>
        <w:pStyle w:val="5"/>
        <w:spacing w:line="270" w:lineRule="auto"/>
        <w:rPr>
          <w:color w:val="auto"/>
        </w:rPr>
      </w:pPr>
    </w:p>
    <w:p w14:paraId="6355F49E">
      <w:pPr>
        <w:spacing w:before="79" w:line="222" w:lineRule="auto"/>
        <w:ind w:left="5229"/>
        <w:rPr>
          <w:rFonts w:ascii="黑体" w:hAnsi="黑体" w:eastAsia="黑体" w:cs="黑体"/>
          <w:color w:val="auto"/>
          <w:sz w:val="24"/>
          <w:szCs w:val="24"/>
        </w:rPr>
      </w:pPr>
      <w:r>
        <w:rPr>
          <w:rFonts w:ascii="黑体" w:hAnsi="黑体" w:eastAsia="黑体" w:cs="黑体"/>
          <w:color w:val="auto"/>
          <w:spacing w:val="-1"/>
          <w:sz w:val="24"/>
          <w:szCs w:val="24"/>
        </w:rPr>
        <w:t>单位名称（盖章</w:t>
      </w:r>
      <w:r>
        <w:rPr>
          <w:rFonts w:ascii="黑体" w:hAnsi="黑体" w:eastAsia="黑体" w:cs="黑体"/>
          <w:color w:val="auto"/>
          <w:spacing w:val="2"/>
          <w:sz w:val="24"/>
          <w:szCs w:val="24"/>
        </w:rPr>
        <w:t>）：</w:t>
      </w:r>
    </w:p>
    <w:p w14:paraId="7D520329">
      <w:pPr>
        <w:spacing w:before="297" w:line="224" w:lineRule="auto"/>
        <w:ind w:firstLine="5252" w:firstLineChars="2600"/>
        <w:rPr>
          <w:rFonts w:ascii="黑体" w:hAnsi="黑体" w:eastAsia="黑体" w:cs="黑体"/>
          <w:color w:val="auto"/>
          <w:sz w:val="24"/>
          <w:szCs w:val="24"/>
        </w:rPr>
      </w:pPr>
      <w:r>
        <w:rPr>
          <w:rFonts w:ascii="黑体" w:hAnsi="黑体" w:eastAsia="黑体" w:cs="黑体"/>
          <w:color w:val="auto"/>
          <w:spacing w:val="-19"/>
          <w:sz w:val="24"/>
          <w:szCs w:val="24"/>
        </w:rPr>
        <w:t>日期：</w:t>
      </w:r>
    </w:p>
    <w:p w14:paraId="3FFD00D8">
      <w:pPr>
        <w:spacing w:line="224" w:lineRule="auto"/>
        <w:rPr>
          <w:rFonts w:ascii="黑体" w:hAnsi="黑体" w:eastAsia="黑体" w:cs="黑体"/>
          <w:color w:val="auto"/>
          <w:sz w:val="24"/>
          <w:szCs w:val="24"/>
        </w:rPr>
        <w:sectPr>
          <w:footerReference r:id="rId46" w:type="default"/>
          <w:pgSz w:w="11906" w:h="16839"/>
          <w:pgMar w:top="1440" w:right="1080" w:bottom="1440" w:left="1080" w:header="0" w:footer="850" w:gutter="0"/>
          <w:pgNumType w:fmt="decimal"/>
          <w:cols w:space="720" w:num="1"/>
        </w:sectPr>
      </w:pPr>
    </w:p>
    <w:p w14:paraId="0D6E7AE8">
      <w:pPr>
        <w:pStyle w:val="5"/>
        <w:spacing w:line="266" w:lineRule="auto"/>
        <w:rPr>
          <w:color w:val="auto"/>
        </w:rPr>
      </w:pPr>
    </w:p>
    <w:p w14:paraId="629AC04A">
      <w:pPr>
        <w:spacing w:before="101" w:line="230" w:lineRule="auto"/>
        <w:ind w:left="22"/>
        <w:outlineLvl w:val="1"/>
        <w:rPr>
          <w:rFonts w:ascii="黑体" w:hAnsi="黑体" w:eastAsia="黑体" w:cs="黑体"/>
          <w:color w:val="auto"/>
          <w:sz w:val="31"/>
          <w:szCs w:val="31"/>
        </w:rPr>
      </w:pPr>
      <w:bookmarkStart w:id="244" w:name="_Toc28170"/>
      <w:r>
        <w:rPr>
          <w:rFonts w:ascii="黑体" w:hAnsi="黑体" w:eastAsia="黑体" w:cs="黑体"/>
          <w:color w:val="auto"/>
          <w:spacing w:val="-4"/>
          <w:sz w:val="31"/>
          <w:szCs w:val="31"/>
          <w14:textOutline w14:w="5793" w14:cap="sq" w14:cmpd="sng">
            <w14:solidFill>
              <w14:srgbClr w14:val="000000"/>
            </w14:solidFill>
            <w14:prstDash w14:val="solid"/>
            <w14:bevel/>
          </w14:textOutline>
        </w:rPr>
        <w:t>附件15:</w:t>
      </w:r>
      <w:bookmarkEnd w:id="244"/>
    </w:p>
    <w:p w14:paraId="6382152F">
      <w:pPr>
        <w:pStyle w:val="5"/>
        <w:spacing w:line="300" w:lineRule="auto"/>
        <w:rPr>
          <w:color w:val="auto"/>
        </w:rPr>
      </w:pPr>
    </w:p>
    <w:p w14:paraId="1C654563">
      <w:pPr>
        <w:spacing w:before="78" w:line="569" w:lineRule="exact"/>
        <w:jc w:val="right"/>
        <w:rPr>
          <w:rFonts w:ascii="黑体" w:hAnsi="黑体" w:eastAsia="黑体" w:cs="黑体"/>
          <w:color w:val="auto"/>
          <w:sz w:val="24"/>
          <w:szCs w:val="24"/>
        </w:rPr>
      </w:pPr>
      <w:r>
        <w:rPr>
          <w:rFonts w:ascii="黑体" w:hAnsi="黑体" w:eastAsia="黑体" w:cs="黑体"/>
          <w:color w:val="auto"/>
          <w:spacing w:val="6"/>
          <w:position w:val="25"/>
          <w:sz w:val="24"/>
          <w:szCs w:val="24"/>
          <w14:textOutline w14:w="4358" w14:cap="sq" w14:cmpd="sng">
            <w14:solidFill>
              <w14:srgbClr w14:val="000000"/>
            </w14:solidFill>
            <w14:prstDash w14:val="solid"/>
            <w14:bevel/>
          </w14:textOutline>
        </w:rPr>
        <w:t>施工方案与技术措施、质量管理体系与措施、安全管理体系与措施、环</w:t>
      </w:r>
      <w:r>
        <w:rPr>
          <w:rFonts w:ascii="黑体" w:hAnsi="黑体" w:eastAsia="黑体" w:cs="黑体"/>
          <w:color w:val="auto"/>
          <w:spacing w:val="5"/>
          <w:position w:val="25"/>
          <w:sz w:val="24"/>
          <w:szCs w:val="24"/>
          <w14:textOutline w14:w="4358" w14:cap="sq" w14:cmpd="sng">
            <w14:solidFill>
              <w14:srgbClr w14:val="000000"/>
            </w14:solidFill>
            <w14:prstDash w14:val="solid"/>
            <w14:bevel/>
          </w14:textOutline>
        </w:rPr>
        <w:t>境保护管理体系</w:t>
      </w:r>
    </w:p>
    <w:p w14:paraId="6E926208">
      <w:pPr>
        <w:spacing w:before="1" w:line="212" w:lineRule="auto"/>
        <w:ind w:left="11"/>
        <w:rPr>
          <w:rFonts w:ascii="黑体" w:hAnsi="黑体" w:eastAsia="黑体" w:cs="黑体"/>
          <w:color w:val="auto"/>
          <w:sz w:val="24"/>
          <w:szCs w:val="24"/>
        </w:rPr>
      </w:pPr>
      <w:r>
        <w:rPr>
          <w:rFonts w:ascii="黑体" w:hAnsi="黑体" w:eastAsia="黑体" w:cs="黑体"/>
          <w:color w:val="auto"/>
          <w:spacing w:val="3"/>
          <w:sz w:val="24"/>
          <w:szCs w:val="24"/>
          <w14:textOutline w14:w="4358" w14:cap="sq" w14:cmpd="sng">
            <w14:solidFill>
              <w14:srgbClr w14:val="000000"/>
            </w14:solidFill>
            <w14:prstDash w14:val="solid"/>
            <w14:bevel/>
          </w14:textOutline>
        </w:rPr>
        <w:t>与措施、工程进度计划与措施（按照技术评审表内容编制</w:t>
      </w:r>
      <w:r>
        <w:rPr>
          <w:rFonts w:ascii="黑体" w:hAnsi="黑体" w:eastAsia="黑体" w:cs="黑体"/>
          <w:color w:val="auto"/>
          <w:spacing w:val="2"/>
          <w:sz w:val="24"/>
          <w:szCs w:val="24"/>
          <w14:textOutline w14:w="4358" w14:cap="sq" w14:cmpd="sng">
            <w14:solidFill>
              <w14:srgbClr w14:val="000000"/>
            </w14:solidFill>
            <w14:prstDash w14:val="solid"/>
            <w14:bevel/>
          </w14:textOutline>
        </w:rPr>
        <w:t>，格式供应商自拟）</w:t>
      </w:r>
    </w:p>
    <w:p w14:paraId="6A242E32">
      <w:pPr>
        <w:spacing w:line="212" w:lineRule="auto"/>
        <w:rPr>
          <w:rFonts w:ascii="黑体" w:hAnsi="黑体" w:eastAsia="黑体" w:cs="黑体"/>
          <w:color w:val="auto"/>
          <w:sz w:val="24"/>
          <w:szCs w:val="24"/>
        </w:rPr>
        <w:sectPr>
          <w:footerReference r:id="rId47" w:type="default"/>
          <w:pgSz w:w="11906" w:h="16839"/>
          <w:pgMar w:top="1440" w:right="1080" w:bottom="1440" w:left="1080" w:header="0" w:footer="850" w:gutter="0"/>
          <w:pgNumType w:fmt="decimal"/>
          <w:cols w:space="720" w:num="1"/>
        </w:sectPr>
      </w:pPr>
    </w:p>
    <w:p w14:paraId="35CE4CEA">
      <w:pPr>
        <w:pStyle w:val="5"/>
        <w:spacing w:line="266" w:lineRule="auto"/>
        <w:rPr>
          <w:color w:val="auto"/>
        </w:rPr>
      </w:pPr>
    </w:p>
    <w:p w14:paraId="1A0404E5">
      <w:pPr>
        <w:pStyle w:val="5"/>
        <w:spacing w:line="266" w:lineRule="auto"/>
        <w:rPr>
          <w:color w:val="auto"/>
        </w:rPr>
      </w:pPr>
    </w:p>
    <w:p w14:paraId="2DD43837">
      <w:pPr>
        <w:spacing w:before="101" w:line="230" w:lineRule="auto"/>
        <w:rPr>
          <w:rFonts w:ascii="黑体" w:hAnsi="黑体" w:eastAsia="黑体" w:cs="黑体"/>
          <w:color w:val="auto"/>
          <w:sz w:val="31"/>
          <w:szCs w:val="31"/>
        </w:rPr>
      </w:pPr>
      <w:r>
        <w:rPr>
          <w:rFonts w:ascii="黑体" w:hAnsi="黑体" w:eastAsia="黑体" w:cs="黑体"/>
          <w:color w:val="auto"/>
          <w:spacing w:val="-4"/>
          <w:sz w:val="31"/>
          <w:szCs w:val="31"/>
          <w14:textOutline w14:w="5793" w14:cap="sq" w14:cmpd="sng">
            <w14:solidFill>
              <w14:srgbClr w14:val="000000"/>
            </w14:solidFill>
            <w14:prstDash w14:val="solid"/>
            <w14:bevel/>
          </w14:textOutline>
        </w:rPr>
        <w:t>附件16:</w:t>
      </w:r>
    </w:p>
    <w:p w14:paraId="21DD8E9F">
      <w:pPr>
        <w:spacing w:before="288" w:line="226" w:lineRule="auto"/>
        <w:ind w:left="935"/>
        <w:outlineLvl w:val="0"/>
        <w:rPr>
          <w:rFonts w:ascii="黑体" w:hAnsi="黑体" w:eastAsia="黑体" w:cs="黑体"/>
          <w:color w:val="auto"/>
          <w:sz w:val="31"/>
          <w:szCs w:val="31"/>
        </w:rPr>
      </w:pPr>
      <w:bookmarkStart w:id="245" w:name="_Toc882"/>
      <w:r>
        <w:rPr>
          <w:rFonts w:ascii="黑体" w:hAnsi="黑体" w:eastAsia="黑体" w:cs="黑体"/>
          <w:color w:val="auto"/>
          <w:spacing w:val="13"/>
          <w:sz w:val="31"/>
          <w:szCs w:val="31"/>
          <w14:textOutline w14:w="5793" w14:cap="sq" w14:cmpd="sng">
            <w14:solidFill>
              <w14:srgbClr w14:val="000000"/>
            </w14:solidFill>
            <w14:prstDash w14:val="solid"/>
            <w14:bevel/>
          </w14:textOutline>
        </w:rPr>
        <w:t>要求提供的其它材料以及供应商认为需要提交的材料</w:t>
      </w:r>
      <w:bookmarkEnd w:id="245"/>
    </w:p>
    <w:sectPr>
      <w:footerReference r:id="rId48" w:type="default"/>
      <w:pgSz w:w="11906" w:h="16839"/>
      <w:pgMar w:top="1440" w:right="1080" w:bottom="1440" w:left="1080" w:header="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华文宋体">
    <w:altName w:val="宋体"/>
    <w:panose1 w:val="02010600040101010101"/>
    <w:charset w:val="86"/>
    <w:family w:val="roman"/>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2F48">
    <w:pPr>
      <w:spacing w:line="176" w:lineRule="auto"/>
      <w:ind w:left="44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1A869">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81A869">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61EA">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C27CA">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11C27CA">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A6B4F">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BB02B">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7CBB02B">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6267">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DBF90">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CDBF90">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98A2">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0EE68">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080EE68">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CFB3">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D7532">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44D7532">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1522">
    <w:pPr>
      <w:spacing w:line="176" w:lineRule="auto"/>
      <w:ind w:left="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2978D">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3B2978D">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DDCE">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DCBD0">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EADCBD0">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AA4F">
    <w:pPr>
      <w:spacing w:line="176" w:lineRule="auto"/>
      <w:ind w:left="46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1C967">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EC1C967">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7522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0EE04">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B40EE04">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E636">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01146">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0201146">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DBA5">
    <w:pPr>
      <w:spacing w:line="176" w:lineRule="auto"/>
      <w:ind w:left="51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DD76E">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BDD76E">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9DC49">
    <w:pPr>
      <w:spacing w:line="196" w:lineRule="auto"/>
      <w:jc w:val="both"/>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32E7B">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A732E7B">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5526">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A0565">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A2A0565">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068AC">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2B26C">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EB2B26C">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7FC7">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5DEB9">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115DEB9">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C491">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BFDE8">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9DBFDE8">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8A353">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CFFCA">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C3CFFCA">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BA86C">
    <w:pPr>
      <w:spacing w:line="176" w:lineRule="auto"/>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FD13B">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36FD13B">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6815F">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AD5AB">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6EAD5AB">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4A2B">
    <w:pPr>
      <w:spacing w:line="176" w:lineRule="auto"/>
      <w:ind w:left="44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C7377">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A9C7377">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2170">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5D9DC">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F55D9DC">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8EBF">
    <w:pPr>
      <w:spacing w:line="176" w:lineRule="auto"/>
      <w:ind w:left="44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0DC6A">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20DC6A">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E6B5">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5807D">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145807D">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5FF4">
    <w:pPr>
      <w:spacing w:line="176" w:lineRule="auto"/>
      <w:ind w:left="44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632AD">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9F632AD">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7F9">
    <w:pPr>
      <w:spacing w:line="173"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953F9">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58953F9">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D269">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6D787">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586D787">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D4C7">
    <w:pPr>
      <w:spacing w:line="173" w:lineRule="auto"/>
      <w:ind w:left="50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E3B01">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BBE3B01">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CE775">
    <w:pPr>
      <w:spacing w:line="176" w:lineRule="auto"/>
      <w:ind w:left="46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2DF6E">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C42DF6E">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BA9B">
    <w:pPr>
      <w:spacing w:line="176" w:lineRule="auto"/>
      <w:ind w:left="45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82FAD">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8182FAD">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84E9">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08281">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C308281">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9A22">
    <w:pPr>
      <w:spacing w:line="176" w:lineRule="auto"/>
      <w:ind w:left="45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9A5F4">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9F9A5F4">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3CE2">
    <w:pPr>
      <w:spacing w:line="176" w:lineRule="auto"/>
      <w:ind w:left="44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FB453">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3DFB453">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2E94">
    <w:pPr>
      <w:spacing w:line="176" w:lineRule="auto"/>
      <w:ind w:left="44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81126">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481126">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B833">
    <w:pPr>
      <w:spacing w:line="176" w:lineRule="auto"/>
      <w:ind w:left="44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9FF8C">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BA9FF8C">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3BCF">
    <w:pPr>
      <w:spacing w:line="176" w:lineRule="auto"/>
      <w:ind w:left="45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6495C">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5B6495C">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5E579">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06478">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3D06478">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690AB">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246DB">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3246DB">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D02C">
    <w:pPr>
      <w:spacing w:line="176" w:lineRule="auto"/>
      <w:ind w:left="44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BA544">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4BA544">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FA84">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E5A41">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00E5A41">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3956">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192D3">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BA192D3">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37228">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84A97">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184A97">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A5FD">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19C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F8BAB"/>
    <w:multiLevelType w:val="singleLevel"/>
    <w:tmpl w:val="93EF8BAB"/>
    <w:lvl w:ilvl="0" w:tentative="0">
      <w:start w:val="1"/>
      <w:numFmt w:val="decimal"/>
      <w:suff w:val="nothing"/>
      <w:lvlText w:val="（%1）"/>
      <w:lvlJc w:val="left"/>
    </w:lvl>
  </w:abstractNum>
  <w:abstractNum w:abstractNumId="1">
    <w:nsid w:val="EED21C6E"/>
    <w:multiLevelType w:val="singleLevel"/>
    <w:tmpl w:val="EED21C6E"/>
    <w:lvl w:ilvl="0" w:tentative="0">
      <w:start w:val="1"/>
      <w:numFmt w:val="decimal"/>
      <w:lvlText w:val="%1."/>
      <w:lvlJc w:val="left"/>
      <w:pPr>
        <w:tabs>
          <w:tab w:val="left" w:pos="312"/>
        </w:tabs>
      </w:pPr>
    </w:lvl>
  </w:abstractNum>
  <w:abstractNum w:abstractNumId="2">
    <w:nsid w:val="17F94F96"/>
    <w:multiLevelType w:val="multilevel"/>
    <w:tmpl w:val="17F94F96"/>
    <w:lvl w:ilvl="0" w:tentative="0">
      <w:start w:val="1"/>
      <w:numFmt w:val="chineseCountingThousand"/>
      <w:suff w:val="space"/>
      <w:lvlText w:val="第%1章"/>
      <w:lvlJc w:val="left"/>
      <w:pPr>
        <w:ind w:left="0" w:firstLine="0"/>
      </w:pPr>
      <w:rPr>
        <w:rFonts w:hint="default" w:ascii="Arial" w:hAnsi="Arial" w:eastAsia="黑体"/>
      </w:rPr>
    </w:lvl>
    <w:lvl w:ilvl="1" w:tentative="0">
      <w:start w:val="1"/>
      <w:numFmt w:val="decimal"/>
      <w:pStyle w:val="2"/>
      <w:isLgl/>
      <w:suff w:val="space"/>
      <w:lvlText w:val="%1.%2"/>
      <w:lvlJc w:val="left"/>
      <w:pPr>
        <w:ind w:left="0" w:firstLine="0"/>
      </w:pPr>
      <w:rPr>
        <w:rFonts w:hint="default" w:ascii="Arial" w:hAnsi="Arial" w:cs="Arial"/>
      </w:rPr>
    </w:lvl>
    <w:lvl w:ilvl="2" w:tentative="0">
      <w:start w:val="1"/>
      <w:numFmt w:val="decimal"/>
      <w:isLgl/>
      <w:suff w:val="space"/>
      <w:lvlText w:val="%1.%2.%3"/>
      <w:lvlJc w:val="left"/>
      <w:pPr>
        <w:ind w:left="1" w:firstLine="0"/>
      </w:pPr>
      <w:rPr>
        <w:rFonts w:hint="eastAsia"/>
        <w:color w:val="auto"/>
      </w:rPr>
    </w:lvl>
    <w:lvl w:ilvl="3" w:tentative="0">
      <w:start w:val="1"/>
      <w:numFmt w:val="decimal"/>
      <w:isLgl/>
      <w:suff w:val="space"/>
      <w:lvlText w:val="%1.%2.%3.%4"/>
      <w:lvlJc w:val="left"/>
      <w:pPr>
        <w:ind w:left="1" w:firstLine="0"/>
      </w:pPr>
      <w:rPr>
        <w:rFonts w:hint="default" w:ascii="Arial" w:hAnsi="Arial" w:cs="Arial"/>
      </w:rPr>
    </w:lvl>
    <w:lvl w:ilvl="4" w:tentative="0">
      <w:start w:val="1"/>
      <w:numFmt w:val="decimal"/>
      <w:isLgl/>
      <w:suff w:val="space"/>
      <w:lvlText w:val="%1.%2.%3.%4.%5"/>
      <w:lvlJc w:val="left"/>
      <w:pPr>
        <w:ind w:left="1" w:firstLine="0"/>
      </w:pPr>
      <w:rPr>
        <w:rFonts w:hint="default" w:ascii="Arial" w:hAnsi="Arial" w:cs="Arial"/>
        <w:b/>
        <w:bCs w:val="0"/>
      </w:rPr>
    </w:lvl>
    <w:lvl w:ilvl="5" w:tentative="0">
      <w:start w:val="1"/>
      <w:numFmt w:val="decimal"/>
      <w:isLgl/>
      <w:suff w:val="space"/>
      <w:lvlText w:val="%1.%2.%3.%4.%5.%6"/>
      <w:lvlJc w:val="left"/>
      <w:pPr>
        <w:ind w:left="1" w:firstLine="0"/>
      </w:pPr>
      <w:rPr>
        <w:rFonts w:hint="eastAsia"/>
      </w:rPr>
    </w:lvl>
    <w:lvl w:ilvl="6" w:tentative="0">
      <w:start w:val="1"/>
      <w:numFmt w:val="decimal"/>
      <w:isLgl/>
      <w:suff w:val="space"/>
      <w:lvlText w:val="%1.%2.%3.%4.%5.%6.%7"/>
      <w:lvlJc w:val="left"/>
      <w:pPr>
        <w:ind w:left="1" w:firstLine="0"/>
      </w:pPr>
      <w:rPr>
        <w:rFonts w:hint="default" w:ascii="Arial" w:hAnsi="Arial" w:eastAsia="黑体"/>
        <w:b/>
        <w:i w:val="0"/>
        <w:sz w:val="24"/>
        <w:szCs w:val="24"/>
      </w:rPr>
    </w:lvl>
    <w:lvl w:ilvl="7" w:tentative="0">
      <w:start w:val="1"/>
      <w:numFmt w:val="none"/>
      <w:suff w:val="nothing"/>
      <w:lvlText w:val=""/>
      <w:lvlJc w:val="left"/>
      <w:pPr>
        <w:ind w:left="1" w:firstLine="0"/>
      </w:pPr>
      <w:rPr>
        <w:rFonts w:hint="eastAsia"/>
      </w:rPr>
    </w:lvl>
    <w:lvl w:ilvl="8" w:tentative="0">
      <w:start w:val="1"/>
      <w:numFmt w:val="none"/>
      <w:suff w:val="nothing"/>
      <w:lvlText w:val=""/>
      <w:lvlJc w:val="left"/>
      <w:pPr>
        <w:ind w:left="1" w:firstLine="0"/>
      </w:pPr>
      <w:rPr>
        <w:rFonts w:hint="eastAsia"/>
      </w:rPr>
    </w:lvl>
  </w:abstractNum>
  <w:abstractNum w:abstractNumId="3">
    <w:nsid w:val="7B013B3A"/>
    <w:multiLevelType w:val="singleLevel"/>
    <w:tmpl w:val="7B013B3A"/>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RiOWQyMzVhMWZkZThhNGE2ZjBiMDczMTY2ZTRkOTUifQ=="/>
    <w:docVar w:name="KSO_WPS_MARK_KEY" w:val="67a560d1-53cf-4656-8b60-0a639b21f963"/>
  </w:docVars>
  <w:rsids>
    <w:rsidRoot w:val="00000000"/>
    <w:rsid w:val="01080FB7"/>
    <w:rsid w:val="01481C7A"/>
    <w:rsid w:val="015B538C"/>
    <w:rsid w:val="01934780"/>
    <w:rsid w:val="01CF32DE"/>
    <w:rsid w:val="01E94A98"/>
    <w:rsid w:val="0279149E"/>
    <w:rsid w:val="02E33CBB"/>
    <w:rsid w:val="0300236B"/>
    <w:rsid w:val="030D0562"/>
    <w:rsid w:val="03451AAA"/>
    <w:rsid w:val="047524AE"/>
    <w:rsid w:val="04AD3DAA"/>
    <w:rsid w:val="04BC5D9C"/>
    <w:rsid w:val="04E6504D"/>
    <w:rsid w:val="051200B1"/>
    <w:rsid w:val="05B46D16"/>
    <w:rsid w:val="05B57E60"/>
    <w:rsid w:val="06A02ACB"/>
    <w:rsid w:val="06B31A7F"/>
    <w:rsid w:val="070954E4"/>
    <w:rsid w:val="071C0D73"/>
    <w:rsid w:val="072608F4"/>
    <w:rsid w:val="07E90330"/>
    <w:rsid w:val="07EC28E9"/>
    <w:rsid w:val="07F62F82"/>
    <w:rsid w:val="083245C7"/>
    <w:rsid w:val="08634780"/>
    <w:rsid w:val="08AA23AF"/>
    <w:rsid w:val="08B55272"/>
    <w:rsid w:val="08CF1B6F"/>
    <w:rsid w:val="092B7994"/>
    <w:rsid w:val="098C5BAC"/>
    <w:rsid w:val="09CF72EA"/>
    <w:rsid w:val="09E721DD"/>
    <w:rsid w:val="0A014251"/>
    <w:rsid w:val="0A2A19F9"/>
    <w:rsid w:val="0AB2719C"/>
    <w:rsid w:val="0ADE6149"/>
    <w:rsid w:val="0AF618DB"/>
    <w:rsid w:val="0B04224A"/>
    <w:rsid w:val="0B1A1A6E"/>
    <w:rsid w:val="0BDF05C2"/>
    <w:rsid w:val="0BE81B6C"/>
    <w:rsid w:val="0C41302A"/>
    <w:rsid w:val="0C790A16"/>
    <w:rsid w:val="0C915D60"/>
    <w:rsid w:val="0CDE009C"/>
    <w:rsid w:val="0CE6161F"/>
    <w:rsid w:val="0CF65363"/>
    <w:rsid w:val="0D447276"/>
    <w:rsid w:val="0D6B65B1"/>
    <w:rsid w:val="0E43308A"/>
    <w:rsid w:val="0E8300DC"/>
    <w:rsid w:val="0EBE7FB9"/>
    <w:rsid w:val="0EC7031C"/>
    <w:rsid w:val="0ECF3C62"/>
    <w:rsid w:val="0F20786F"/>
    <w:rsid w:val="0F461BB7"/>
    <w:rsid w:val="0FA062BA"/>
    <w:rsid w:val="105477D0"/>
    <w:rsid w:val="106C2D6C"/>
    <w:rsid w:val="107439CE"/>
    <w:rsid w:val="1077526D"/>
    <w:rsid w:val="10D91A83"/>
    <w:rsid w:val="113B273E"/>
    <w:rsid w:val="11895257"/>
    <w:rsid w:val="11AE190F"/>
    <w:rsid w:val="11C24C0D"/>
    <w:rsid w:val="11C42702"/>
    <w:rsid w:val="11DB3201"/>
    <w:rsid w:val="120170E6"/>
    <w:rsid w:val="12061920"/>
    <w:rsid w:val="120C7C36"/>
    <w:rsid w:val="12647A72"/>
    <w:rsid w:val="12C80001"/>
    <w:rsid w:val="12DA1AE3"/>
    <w:rsid w:val="12F928B1"/>
    <w:rsid w:val="12FB03D7"/>
    <w:rsid w:val="130F5C30"/>
    <w:rsid w:val="135E2714"/>
    <w:rsid w:val="1398254E"/>
    <w:rsid w:val="13C10B14"/>
    <w:rsid w:val="1441006B"/>
    <w:rsid w:val="14EA0703"/>
    <w:rsid w:val="150C0679"/>
    <w:rsid w:val="152F25BA"/>
    <w:rsid w:val="15510782"/>
    <w:rsid w:val="15670A8D"/>
    <w:rsid w:val="15842905"/>
    <w:rsid w:val="159C2F5C"/>
    <w:rsid w:val="15E35233"/>
    <w:rsid w:val="1666102D"/>
    <w:rsid w:val="166D339A"/>
    <w:rsid w:val="169721C5"/>
    <w:rsid w:val="16A04E22"/>
    <w:rsid w:val="16C61609"/>
    <w:rsid w:val="173C4B1A"/>
    <w:rsid w:val="177327E2"/>
    <w:rsid w:val="17920BDE"/>
    <w:rsid w:val="179D7CAF"/>
    <w:rsid w:val="17EE6261"/>
    <w:rsid w:val="17FC7011"/>
    <w:rsid w:val="180513B0"/>
    <w:rsid w:val="180C273E"/>
    <w:rsid w:val="180E64B6"/>
    <w:rsid w:val="18602A8A"/>
    <w:rsid w:val="18A64941"/>
    <w:rsid w:val="19B34DCD"/>
    <w:rsid w:val="19D379B8"/>
    <w:rsid w:val="1A2E4BEE"/>
    <w:rsid w:val="1A7F5449"/>
    <w:rsid w:val="1ACE4623"/>
    <w:rsid w:val="1B1C713C"/>
    <w:rsid w:val="1BDE3446"/>
    <w:rsid w:val="1C2375E8"/>
    <w:rsid w:val="1C56667E"/>
    <w:rsid w:val="1D181B85"/>
    <w:rsid w:val="1D1A3B4F"/>
    <w:rsid w:val="1D1C3424"/>
    <w:rsid w:val="1D2642A2"/>
    <w:rsid w:val="1D4E37F9"/>
    <w:rsid w:val="1D88316C"/>
    <w:rsid w:val="1D927B8A"/>
    <w:rsid w:val="1DAA67CF"/>
    <w:rsid w:val="1E876FC3"/>
    <w:rsid w:val="1F1545CE"/>
    <w:rsid w:val="1F642E60"/>
    <w:rsid w:val="1FA3607E"/>
    <w:rsid w:val="20601879"/>
    <w:rsid w:val="2063580D"/>
    <w:rsid w:val="20D3029D"/>
    <w:rsid w:val="20F1663F"/>
    <w:rsid w:val="215533A8"/>
    <w:rsid w:val="21AD4F92"/>
    <w:rsid w:val="221D73E7"/>
    <w:rsid w:val="223905D4"/>
    <w:rsid w:val="223F70D1"/>
    <w:rsid w:val="226B3639"/>
    <w:rsid w:val="22C32593"/>
    <w:rsid w:val="22D94588"/>
    <w:rsid w:val="22F4274D"/>
    <w:rsid w:val="230C3F3A"/>
    <w:rsid w:val="23103A2A"/>
    <w:rsid w:val="235042D2"/>
    <w:rsid w:val="2378512C"/>
    <w:rsid w:val="237F4C00"/>
    <w:rsid w:val="24684F31"/>
    <w:rsid w:val="261455E0"/>
    <w:rsid w:val="26F86CAF"/>
    <w:rsid w:val="279A5284"/>
    <w:rsid w:val="27C546B8"/>
    <w:rsid w:val="27CC5A46"/>
    <w:rsid w:val="2845197C"/>
    <w:rsid w:val="284B72B3"/>
    <w:rsid w:val="28846321"/>
    <w:rsid w:val="28A80261"/>
    <w:rsid w:val="28E55011"/>
    <w:rsid w:val="28FC235B"/>
    <w:rsid w:val="29001E4B"/>
    <w:rsid w:val="29634188"/>
    <w:rsid w:val="299A22A0"/>
    <w:rsid w:val="29E947C1"/>
    <w:rsid w:val="2A377AEF"/>
    <w:rsid w:val="2A462267"/>
    <w:rsid w:val="2A741145"/>
    <w:rsid w:val="2A757D5A"/>
    <w:rsid w:val="2AD43703"/>
    <w:rsid w:val="2AD80B9E"/>
    <w:rsid w:val="2B0100FD"/>
    <w:rsid w:val="2B9D28FD"/>
    <w:rsid w:val="2BFC0FF0"/>
    <w:rsid w:val="2C05036B"/>
    <w:rsid w:val="2C3D33B6"/>
    <w:rsid w:val="2C566FB4"/>
    <w:rsid w:val="2D722AF1"/>
    <w:rsid w:val="2DA608F6"/>
    <w:rsid w:val="2DAB0B9C"/>
    <w:rsid w:val="2E2959A0"/>
    <w:rsid w:val="2E516CA5"/>
    <w:rsid w:val="2E60513A"/>
    <w:rsid w:val="2E6D42D9"/>
    <w:rsid w:val="2E9266E1"/>
    <w:rsid w:val="2ED2428A"/>
    <w:rsid w:val="2F4056F3"/>
    <w:rsid w:val="2F9257C7"/>
    <w:rsid w:val="2FF63FA8"/>
    <w:rsid w:val="305F7D9F"/>
    <w:rsid w:val="3098505F"/>
    <w:rsid w:val="30EC0F07"/>
    <w:rsid w:val="30ED53AB"/>
    <w:rsid w:val="31010E56"/>
    <w:rsid w:val="31AF440F"/>
    <w:rsid w:val="31FF3286"/>
    <w:rsid w:val="32761300"/>
    <w:rsid w:val="32D3237F"/>
    <w:rsid w:val="32E316A5"/>
    <w:rsid w:val="3333770A"/>
    <w:rsid w:val="334D3EDF"/>
    <w:rsid w:val="335E60EC"/>
    <w:rsid w:val="33C77A4D"/>
    <w:rsid w:val="33DA0E84"/>
    <w:rsid w:val="33E660E2"/>
    <w:rsid w:val="341F335E"/>
    <w:rsid w:val="344E794B"/>
    <w:rsid w:val="34594B05"/>
    <w:rsid w:val="34605E94"/>
    <w:rsid w:val="357C4F4F"/>
    <w:rsid w:val="35C30488"/>
    <w:rsid w:val="35EC7605"/>
    <w:rsid w:val="36732B45"/>
    <w:rsid w:val="36BE50F4"/>
    <w:rsid w:val="37677539"/>
    <w:rsid w:val="37985775"/>
    <w:rsid w:val="37A20571"/>
    <w:rsid w:val="37E66B23"/>
    <w:rsid w:val="37ED3EE3"/>
    <w:rsid w:val="385C1E94"/>
    <w:rsid w:val="385E2D25"/>
    <w:rsid w:val="387B504A"/>
    <w:rsid w:val="3884278B"/>
    <w:rsid w:val="388859B9"/>
    <w:rsid w:val="38A65E3F"/>
    <w:rsid w:val="38E56968"/>
    <w:rsid w:val="38FA1C97"/>
    <w:rsid w:val="391D07F7"/>
    <w:rsid w:val="3A2F07E2"/>
    <w:rsid w:val="3A4122C4"/>
    <w:rsid w:val="3A4B4EF0"/>
    <w:rsid w:val="3A7A0E91"/>
    <w:rsid w:val="3AC0143A"/>
    <w:rsid w:val="3ADB44C6"/>
    <w:rsid w:val="3AE3337B"/>
    <w:rsid w:val="3AE67596"/>
    <w:rsid w:val="3B4200A1"/>
    <w:rsid w:val="3B893F22"/>
    <w:rsid w:val="3C017F5D"/>
    <w:rsid w:val="3C067321"/>
    <w:rsid w:val="3C0A4D16"/>
    <w:rsid w:val="3C157564"/>
    <w:rsid w:val="3C410359"/>
    <w:rsid w:val="3C72210E"/>
    <w:rsid w:val="3D245AB3"/>
    <w:rsid w:val="3D2C2B7F"/>
    <w:rsid w:val="3D8E3A72"/>
    <w:rsid w:val="3DD75419"/>
    <w:rsid w:val="3E3E7246"/>
    <w:rsid w:val="3EAB0654"/>
    <w:rsid w:val="3EB72B54"/>
    <w:rsid w:val="3EDB4A95"/>
    <w:rsid w:val="3EE6343A"/>
    <w:rsid w:val="3F870779"/>
    <w:rsid w:val="3F874C1D"/>
    <w:rsid w:val="3FBD423D"/>
    <w:rsid w:val="3FDF6807"/>
    <w:rsid w:val="3FFF2FFA"/>
    <w:rsid w:val="401D732F"/>
    <w:rsid w:val="40477F08"/>
    <w:rsid w:val="409E3FCC"/>
    <w:rsid w:val="41594397"/>
    <w:rsid w:val="41D37CA5"/>
    <w:rsid w:val="41F83BB0"/>
    <w:rsid w:val="427A45C5"/>
    <w:rsid w:val="42A96C58"/>
    <w:rsid w:val="42C910A8"/>
    <w:rsid w:val="42E67EAC"/>
    <w:rsid w:val="43397FDC"/>
    <w:rsid w:val="4359242C"/>
    <w:rsid w:val="439D67BD"/>
    <w:rsid w:val="43F860E9"/>
    <w:rsid w:val="43FD7B08"/>
    <w:rsid w:val="44114AB5"/>
    <w:rsid w:val="44191BBB"/>
    <w:rsid w:val="441F3676"/>
    <w:rsid w:val="442D1450"/>
    <w:rsid w:val="44522282"/>
    <w:rsid w:val="449D054D"/>
    <w:rsid w:val="44C22F2C"/>
    <w:rsid w:val="456F4189"/>
    <w:rsid w:val="458F65D9"/>
    <w:rsid w:val="45BC6CA2"/>
    <w:rsid w:val="45C53251"/>
    <w:rsid w:val="45E61281"/>
    <w:rsid w:val="45EC7588"/>
    <w:rsid w:val="464F7B16"/>
    <w:rsid w:val="469320F9"/>
    <w:rsid w:val="46A811F3"/>
    <w:rsid w:val="46DC36BD"/>
    <w:rsid w:val="46DC3AA0"/>
    <w:rsid w:val="46F34219"/>
    <w:rsid w:val="4748112D"/>
    <w:rsid w:val="47555A7C"/>
    <w:rsid w:val="477B1935"/>
    <w:rsid w:val="47DE55F6"/>
    <w:rsid w:val="48651873"/>
    <w:rsid w:val="49373210"/>
    <w:rsid w:val="4968109B"/>
    <w:rsid w:val="4A5149A3"/>
    <w:rsid w:val="4A767D68"/>
    <w:rsid w:val="4B50680B"/>
    <w:rsid w:val="4B5A1437"/>
    <w:rsid w:val="4B7129EF"/>
    <w:rsid w:val="4BE56F53"/>
    <w:rsid w:val="4BF47196"/>
    <w:rsid w:val="4C51283A"/>
    <w:rsid w:val="4D185106"/>
    <w:rsid w:val="4D3D7270"/>
    <w:rsid w:val="4DC64B62"/>
    <w:rsid w:val="4DCF7EBB"/>
    <w:rsid w:val="4E1458CD"/>
    <w:rsid w:val="4E1C0478"/>
    <w:rsid w:val="4E742810"/>
    <w:rsid w:val="4ED533E9"/>
    <w:rsid w:val="4F161B19"/>
    <w:rsid w:val="4F9D5D96"/>
    <w:rsid w:val="4FE13ED5"/>
    <w:rsid w:val="50AA3F8E"/>
    <w:rsid w:val="50FD4D3F"/>
    <w:rsid w:val="51022355"/>
    <w:rsid w:val="51C35CE0"/>
    <w:rsid w:val="51D57A6A"/>
    <w:rsid w:val="51DA0BDC"/>
    <w:rsid w:val="520A4BFC"/>
    <w:rsid w:val="53212996"/>
    <w:rsid w:val="53262C56"/>
    <w:rsid w:val="536C61AC"/>
    <w:rsid w:val="53A97F67"/>
    <w:rsid w:val="53CB2ED2"/>
    <w:rsid w:val="54071A30"/>
    <w:rsid w:val="54A11E85"/>
    <w:rsid w:val="55010852"/>
    <w:rsid w:val="55425416"/>
    <w:rsid w:val="556A2E62"/>
    <w:rsid w:val="559A7000"/>
    <w:rsid w:val="55D307CA"/>
    <w:rsid w:val="5647080A"/>
    <w:rsid w:val="564F2EB5"/>
    <w:rsid w:val="566A14B2"/>
    <w:rsid w:val="57257220"/>
    <w:rsid w:val="57711FE2"/>
    <w:rsid w:val="57C93BCD"/>
    <w:rsid w:val="580860BD"/>
    <w:rsid w:val="58A41F44"/>
    <w:rsid w:val="58B77EC9"/>
    <w:rsid w:val="5A0802B0"/>
    <w:rsid w:val="5A454529"/>
    <w:rsid w:val="5A4F7C8D"/>
    <w:rsid w:val="5A7A1487"/>
    <w:rsid w:val="5AB126F6"/>
    <w:rsid w:val="5AC335F7"/>
    <w:rsid w:val="5AC467E7"/>
    <w:rsid w:val="5B21787C"/>
    <w:rsid w:val="5B43241F"/>
    <w:rsid w:val="5BA00CCF"/>
    <w:rsid w:val="5BD13381"/>
    <w:rsid w:val="5C136600"/>
    <w:rsid w:val="5C425CFC"/>
    <w:rsid w:val="5CDA23D8"/>
    <w:rsid w:val="5D34198C"/>
    <w:rsid w:val="5DDE1A54"/>
    <w:rsid w:val="5EB6652D"/>
    <w:rsid w:val="5EBD349F"/>
    <w:rsid w:val="5F334021"/>
    <w:rsid w:val="60480A13"/>
    <w:rsid w:val="605E1BFB"/>
    <w:rsid w:val="60883EF9"/>
    <w:rsid w:val="61077514"/>
    <w:rsid w:val="61415810"/>
    <w:rsid w:val="616E1341"/>
    <w:rsid w:val="61A66D2D"/>
    <w:rsid w:val="621B3277"/>
    <w:rsid w:val="62287742"/>
    <w:rsid w:val="627604AD"/>
    <w:rsid w:val="627A1C20"/>
    <w:rsid w:val="63352116"/>
    <w:rsid w:val="635A1717"/>
    <w:rsid w:val="638208CD"/>
    <w:rsid w:val="63BA6ABF"/>
    <w:rsid w:val="63BD3EBA"/>
    <w:rsid w:val="640413E9"/>
    <w:rsid w:val="64504D2E"/>
    <w:rsid w:val="645C1924"/>
    <w:rsid w:val="64A5151D"/>
    <w:rsid w:val="64AE36C7"/>
    <w:rsid w:val="64CF20F6"/>
    <w:rsid w:val="64D21BE7"/>
    <w:rsid w:val="64F14763"/>
    <w:rsid w:val="652F42A9"/>
    <w:rsid w:val="657B5DDA"/>
    <w:rsid w:val="65D67F72"/>
    <w:rsid w:val="65F53DDF"/>
    <w:rsid w:val="66692212"/>
    <w:rsid w:val="66721594"/>
    <w:rsid w:val="667A42E4"/>
    <w:rsid w:val="66D47E98"/>
    <w:rsid w:val="66DD3465"/>
    <w:rsid w:val="66DE79AA"/>
    <w:rsid w:val="672A540A"/>
    <w:rsid w:val="67395F4D"/>
    <w:rsid w:val="67937071"/>
    <w:rsid w:val="67B306BB"/>
    <w:rsid w:val="67D0065F"/>
    <w:rsid w:val="680C4A3A"/>
    <w:rsid w:val="682D3D04"/>
    <w:rsid w:val="68E121C6"/>
    <w:rsid w:val="694B014B"/>
    <w:rsid w:val="695452C0"/>
    <w:rsid w:val="6983287E"/>
    <w:rsid w:val="69A73642"/>
    <w:rsid w:val="69A753F0"/>
    <w:rsid w:val="69CB37D4"/>
    <w:rsid w:val="6A184540"/>
    <w:rsid w:val="6A4D41E9"/>
    <w:rsid w:val="6AA70963"/>
    <w:rsid w:val="6AAD6A36"/>
    <w:rsid w:val="6B362ECF"/>
    <w:rsid w:val="6B8974A3"/>
    <w:rsid w:val="6C133210"/>
    <w:rsid w:val="6C1453AB"/>
    <w:rsid w:val="6C2B3803"/>
    <w:rsid w:val="6C3E67C4"/>
    <w:rsid w:val="6C467142"/>
    <w:rsid w:val="6C537AB1"/>
    <w:rsid w:val="6C60619B"/>
    <w:rsid w:val="6CB06CB1"/>
    <w:rsid w:val="6D194857"/>
    <w:rsid w:val="6D6B46A2"/>
    <w:rsid w:val="6DDF4218"/>
    <w:rsid w:val="6DFB01D1"/>
    <w:rsid w:val="6E0A419F"/>
    <w:rsid w:val="6E374EF7"/>
    <w:rsid w:val="6E39342A"/>
    <w:rsid w:val="6E5A5326"/>
    <w:rsid w:val="6E881C94"/>
    <w:rsid w:val="6EA12D56"/>
    <w:rsid w:val="6EEE3583"/>
    <w:rsid w:val="6EFF7A7C"/>
    <w:rsid w:val="6F141779"/>
    <w:rsid w:val="6F20043A"/>
    <w:rsid w:val="6F241291"/>
    <w:rsid w:val="6F681AEC"/>
    <w:rsid w:val="6F8E178A"/>
    <w:rsid w:val="6FEF1F01"/>
    <w:rsid w:val="702E23C7"/>
    <w:rsid w:val="70A12E32"/>
    <w:rsid w:val="70A66401"/>
    <w:rsid w:val="70B07280"/>
    <w:rsid w:val="70B4359C"/>
    <w:rsid w:val="71125845"/>
    <w:rsid w:val="712368CF"/>
    <w:rsid w:val="7149542D"/>
    <w:rsid w:val="71FB277D"/>
    <w:rsid w:val="72175B47"/>
    <w:rsid w:val="72514A93"/>
    <w:rsid w:val="72EE51E1"/>
    <w:rsid w:val="738B18DE"/>
    <w:rsid w:val="73970283"/>
    <w:rsid w:val="73E0256E"/>
    <w:rsid w:val="73E334C8"/>
    <w:rsid w:val="73F456D6"/>
    <w:rsid w:val="741F5E60"/>
    <w:rsid w:val="74716D26"/>
    <w:rsid w:val="74736F42"/>
    <w:rsid w:val="74A3408D"/>
    <w:rsid w:val="74BA06CD"/>
    <w:rsid w:val="768F16E6"/>
    <w:rsid w:val="76D0242A"/>
    <w:rsid w:val="77534E09"/>
    <w:rsid w:val="775F555C"/>
    <w:rsid w:val="779058F7"/>
    <w:rsid w:val="780600CD"/>
    <w:rsid w:val="785C526E"/>
    <w:rsid w:val="78C37D6C"/>
    <w:rsid w:val="795D3A81"/>
    <w:rsid w:val="796450AB"/>
    <w:rsid w:val="79A13C0A"/>
    <w:rsid w:val="79B356C4"/>
    <w:rsid w:val="79CB0C87"/>
    <w:rsid w:val="79E902EB"/>
    <w:rsid w:val="7A192D1F"/>
    <w:rsid w:val="7A1D2859"/>
    <w:rsid w:val="7A2E1215"/>
    <w:rsid w:val="7A4360DF"/>
    <w:rsid w:val="7A580553"/>
    <w:rsid w:val="7ACE2A10"/>
    <w:rsid w:val="7AD149C3"/>
    <w:rsid w:val="7AD61FD9"/>
    <w:rsid w:val="7ADB139D"/>
    <w:rsid w:val="7B022DCE"/>
    <w:rsid w:val="7B5178B1"/>
    <w:rsid w:val="7BAB0D70"/>
    <w:rsid w:val="7BC41E31"/>
    <w:rsid w:val="7BD007D6"/>
    <w:rsid w:val="7C15268D"/>
    <w:rsid w:val="7C5F1B5A"/>
    <w:rsid w:val="7D2232B3"/>
    <w:rsid w:val="7D656FCC"/>
    <w:rsid w:val="7E817735"/>
    <w:rsid w:val="7F6F47AA"/>
    <w:rsid w:val="7FAF2DF8"/>
    <w:rsid w:val="7FBF3BA0"/>
    <w:rsid w:val="7FD05249"/>
    <w:rsid w:val="7FD66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99"/>
    <w:pPr>
      <w:keepNext/>
      <w:keepLines/>
      <w:numPr>
        <w:ilvl w:val="1"/>
        <w:numId w:val="1"/>
      </w:numPr>
      <w:spacing w:line="360" w:lineRule="auto"/>
      <w:outlineLvl w:val="1"/>
    </w:pPr>
    <w:rPr>
      <w:rFonts w:ascii="Arial" w:hAnsi="Arial" w:eastAsia="黑体"/>
      <w:b/>
      <w:bCs/>
      <w:sz w:val="30"/>
      <w:szCs w:val="32"/>
    </w:rPr>
  </w:style>
  <w:style w:type="paragraph" w:styleId="4">
    <w:name w:val="heading 3"/>
    <w:basedOn w:val="1"/>
    <w:next w:val="1"/>
    <w:qFormat/>
    <w:uiPriority w:val="0"/>
    <w:pPr>
      <w:keepNext/>
      <w:keepLines/>
      <w:spacing w:line="360" w:lineRule="auto"/>
      <w:outlineLvl w:val="2"/>
    </w:pPr>
    <w:rPr>
      <w:rFonts w:eastAsia="黑体"/>
      <w:b/>
      <w:bCs/>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0"/>
    <w:pPr>
      <w:ind w:firstLine="630"/>
    </w:pPr>
    <w:rPr>
      <w:rFonts w:ascii="Times New Roman" w:hAnsi="Times New Roman" w:eastAsia="宋体" w:cs="Times New Roman"/>
      <w:sz w:val="32"/>
      <w:szCs w:val="20"/>
    </w:rPr>
  </w:style>
  <w:style w:type="paragraph" w:styleId="7">
    <w:name w:val="envelope return"/>
    <w:basedOn w:val="1"/>
    <w:qFormat/>
    <w:uiPriority w:val="99"/>
    <w:pPr>
      <w:snapToGrid w:val="0"/>
    </w:pPr>
    <w:rPr>
      <w:rFonts w:ascii="Arial" w:hAnsi="Arial" w:cs="Arial"/>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eastAsia="华文宋体"/>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15">
    <w:name w:val="Body Text First Indent 2"/>
    <w:basedOn w:val="6"/>
    <w:next w:val="1"/>
    <w:qFormat/>
    <w:uiPriority w:val="0"/>
    <w:pPr>
      <w:ind w:firstLine="420"/>
    </w:pPr>
    <w:rPr>
      <w:rFonts w:ascii="Times New Roman" w:hAnsi="Times New Roman" w:eastAsia="宋体" w:cs="Times New Roman"/>
    </w:rPr>
  </w:style>
  <w:style w:type="paragraph" w:customStyle="1" w:styleId="18">
    <w:name w:val="Default"/>
    <w:basedOn w:val="14"/>
    <w:next w:val="1"/>
    <w:qFormat/>
    <w:uiPriority w:val="0"/>
    <w:pPr>
      <w:widowControl w:val="0"/>
      <w:autoSpaceDE w:val="0"/>
      <w:autoSpaceDN w:val="0"/>
      <w:adjustRightInd w:val="0"/>
    </w:pPr>
    <w:rPr>
      <w:rFonts w:ascii="黑体" w:hAnsi="Times New Roman" w:eastAsia="黑体" w:cs="Times New Roman"/>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黑体" w:hAnsi="黑体" w:eastAsia="黑体" w:cs="黑体"/>
      <w:sz w:val="24"/>
      <w:szCs w:val="24"/>
      <w:lang w:val="en-US" w:eastAsia="en-US" w:bidi="ar-SA"/>
    </w:rPr>
  </w:style>
  <w:style w:type="paragraph" w:customStyle="1" w:styleId="2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TOC 标题_0"/>
    <w:basedOn w:val="23"/>
    <w:next w:val="21"/>
    <w:unhideWhenUsed/>
    <w:qFormat/>
    <w:uiPriority w:val="0"/>
    <w:pPr>
      <w:outlineLvl w:val="9"/>
    </w:pPr>
    <w:rPr>
      <w:rFonts w:ascii="Calibri" w:hAnsi="Calibri"/>
    </w:rPr>
  </w:style>
  <w:style w:type="paragraph" w:customStyle="1" w:styleId="23">
    <w:name w:val="标题 1_0"/>
    <w:basedOn w:val="21"/>
    <w:next w:val="21"/>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4">
    <w:name w:val="正文_0_0"/>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25">
    <w:name w:val="标题 5_0_0"/>
    <w:basedOn w:val="24"/>
    <w:next w:val="24"/>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customStyle="1" w:styleId="2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header" Target="header2.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header" Target="header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14030</Words>
  <Characters>15290</Characters>
  <TotalTime>86</TotalTime>
  <ScaleCrop>false</ScaleCrop>
  <LinksUpToDate>false</LinksUpToDate>
  <CharactersWithSpaces>15440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2023-11-01T13:21:00Z</dcterms:created>
  <dc:creator>s</dc:creator>
  <cp:lastModifiedBy>穆嘉文13201305600</cp:lastModifiedBy>
  <dcterms:modified xsi:type="dcterms:W3CDTF">2025-07-15T09:20:36Z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2024-06-25T11:27:57Z</vt:filetime>
  </property>
  <property fmtid="{D5CDD505-2E9C-101B-9397-08002B2CF9AE}" pid="4" name="KSOProductBuildVer">
    <vt:lpwstr>2052-12.1.0.21915</vt:lpwstr>
  </property>
  <property fmtid="{D5CDD505-2E9C-101B-9397-08002B2CF9AE}" pid="5" name="ICV">
    <vt:lpwstr>5920FD9052F34D8D83BB1573B65A357F_13</vt:lpwstr>
  </property>
  <property fmtid="{D5CDD505-2E9C-101B-9397-08002B2CF9AE}" pid="6" name="KSOTemplateDocerSaveRecord">
    <vt:lpwstr>eyJoZGlkIjoiYmRkZTg0ZDg0N2Y2N2FlM2Y2ZTcxMDM1NGUwYTU0NjAiLCJ1c2VySWQiOiIxMjczOTI0OTk1In0=</vt:lpwstr>
  </property>
</Properties>
</file>