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05755">
      <w:pPr>
        <w:spacing w:line="720" w:lineRule="exact"/>
        <w:rPr>
          <w:rFonts w:ascii="宋体" w:hAnsi="宋体" w:cs="宋体"/>
          <w:b/>
          <w:bCs/>
          <w:sz w:val="44"/>
          <w:szCs w:val="44"/>
        </w:rPr>
      </w:pPr>
    </w:p>
    <w:p w14:paraId="08699161">
      <w:pPr>
        <w:jc w:val="center"/>
        <w:rPr>
          <w:rFonts w:hint="eastAsia" w:ascii="宋体" w:hAnsi="宋体" w:eastAsia="宋体" w:cs="宋体"/>
          <w:b/>
          <w:bCs/>
          <w:color w:val="auto"/>
          <w:sz w:val="56"/>
          <w:szCs w:val="72"/>
          <w:highlight w:val="none"/>
          <w:lang w:eastAsia="zh-CN"/>
        </w:rPr>
      </w:pPr>
      <w:r>
        <w:rPr>
          <w:rFonts w:hint="eastAsia" w:ascii="宋体" w:hAnsi="宋体" w:eastAsia="宋体" w:cs="宋体"/>
          <w:b/>
          <w:bCs/>
          <w:color w:val="auto"/>
          <w:sz w:val="56"/>
          <w:szCs w:val="72"/>
          <w:highlight w:val="none"/>
          <w:lang w:eastAsia="zh-CN"/>
        </w:rPr>
        <w:t>吉林工业职业技术学院AIC智能校园系统升级项目</w:t>
      </w:r>
    </w:p>
    <w:p w14:paraId="631BC86F">
      <w:pPr>
        <w:jc w:val="center"/>
        <w:rPr>
          <w:rFonts w:hint="eastAsia" w:ascii="宋体" w:hAnsi="宋体" w:eastAsia="宋体" w:cs="宋体"/>
          <w:b/>
          <w:bCs/>
          <w:color w:val="auto"/>
          <w:sz w:val="84"/>
          <w:szCs w:val="72"/>
          <w:highlight w:val="none"/>
        </w:rPr>
      </w:pPr>
    </w:p>
    <w:p w14:paraId="7999FF16">
      <w:pPr>
        <w:jc w:val="center"/>
        <w:rPr>
          <w:rFonts w:hint="eastAsia" w:ascii="宋体" w:hAnsi="宋体" w:cs="宋体"/>
          <w:b/>
          <w:sz w:val="52"/>
          <w:szCs w:val="52"/>
        </w:rPr>
      </w:pPr>
      <w:r>
        <w:rPr>
          <w:rFonts w:hint="eastAsia" w:ascii="宋体" w:hAnsi="宋体" w:eastAsia="宋体" w:cs="宋体"/>
          <w:b/>
          <w:bCs/>
          <w:color w:val="auto"/>
          <w:sz w:val="84"/>
          <w:szCs w:val="72"/>
          <w:highlight w:val="none"/>
        </w:rPr>
        <w:t>竞争性谈判文件</w:t>
      </w:r>
    </w:p>
    <w:p w14:paraId="048A7CE6">
      <w:pPr>
        <w:pStyle w:val="52"/>
      </w:pPr>
    </w:p>
    <w:p w14:paraId="23773B65">
      <w:pPr>
        <w:jc w:val="center"/>
        <w:rPr>
          <w:rFonts w:ascii="宋体" w:hAnsi="宋体" w:cs="宋体"/>
          <w:b/>
          <w:sz w:val="32"/>
          <w:szCs w:val="32"/>
        </w:rPr>
      </w:pPr>
    </w:p>
    <w:p w14:paraId="74D18098">
      <w:pPr>
        <w:jc w:val="center"/>
        <w:rPr>
          <w:rFonts w:hint="default" w:ascii="宋体" w:hAnsi="宋体" w:eastAsia="宋体" w:cs="宋体"/>
          <w:b/>
          <w:color w:val="FF0000"/>
          <w:sz w:val="32"/>
          <w:szCs w:val="32"/>
          <w:lang w:val="en-US" w:eastAsia="zh-CN"/>
        </w:rPr>
      </w:pPr>
      <w:r>
        <w:rPr>
          <w:rFonts w:hint="eastAsia" w:ascii="宋体" w:hAnsi="宋体" w:cs="宋体"/>
          <w:b/>
          <w:color w:val="000000"/>
          <w:sz w:val="32"/>
          <w:szCs w:val="32"/>
        </w:rPr>
        <w:t>项目编号: 采购计划-[2025]-05546号-00001</w:t>
      </w:r>
      <w:r>
        <w:rPr>
          <w:rFonts w:hint="eastAsia" w:ascii="宋体" w:hAnsi="宋体" w:cs="宋体"/>
          <w:b/>
          <w:color w:val="000000"/>
          <w:sz w:val="32"/>
          <w:szCs w:val="32"/>
          <w:lang w:val="en-US" w:eastAsia="zh-CN"/>
        </w:rPr>
        <w:t>-2次</w:t>
      </w:r>
    </w:p>
    <w:p w14:paraId="6BDB5F47">
      <w:pPr>
        <w:tabs>
          <w:tab w:val="left" w:pos="3630"/>
        </w:tabs>
        <w:jc w:val="center"/>
        <w:rPr>
          <w:rFonts w:ascii="宋体" w:hAnsi="宋体" w:cs="宋体"/>
          <w:b/>
          <w:color w:val="C00000"/>
          <w:sz w:val="28"/>
        </w:rPr>
      </w:pPr>
      <w:r>
        <w:rPr>
          <w:rFonts w:hint="eastAsia" w:ascii="宋体" w:hAnsi="宋体" w:eastAsia="宋体"/>
          <w:color w:val="auto"/>
          <w:szCs w:val="21"/>
          <w:highlight w:val="none"/>
          <w:lang w:eastAsia="zh-CN"/>
        </w:rPr>
        <w:drawing>
          <wp:anchor distT="0" distB="0" distL="114300" distR="114300" simplePos="0" relativeHeight="251659264" behindDoc="0" locked="0" layoutInCell="1" allowOverlap="1">
            <wp:simplePos x="0" y="0"/>
            <wp:positionH relativeFrom="column">
              <wp:posOffset>1515110</wp:posOffset>
            </wp:positionH>
            <wp:positionV relativeFrom="paragraph">
              <wp:posOffset>243205</wp:posOffset>
            </wp:positionV>
            <wp:extent cx="3305175" cy="2914015"/>
            <wp:effectExtent l="0" t="0" r="9525" b="635"/>
            <wp:wrapTopAndBottom/>
            <wp:docPr id="9"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1"/>
                    <pic:cNvPicPr>
                      <a:picLocks noChangeAspect="1"/>
                    </pic:cNvPicPr>
                  </pic:nvPicPr>
                  <pic:blipFill>
                    <a:blip r:embed="rId11"/>
                    <a:stretch>
                      <a:fillRect/>
                    </a:stretch>
                  </pic:blipFill>
                  <pic:spPr>
                    <a:xfrm>
                      <a:off x="0" y="0"/>
                      <a:ext cx="3305175" cy="2914015"/>
                    </a:xfrm>
                    <a:prstGeom prst="rect">
                      <a:avLst/>
                    </a:prstGeom>
                    <a:noFill/>
                    <a:ln>
                      <a:noFill/>
                    </a:ln>
                  </pic:spPr>
                </pic:pic>
              </a:graphicData>
            </a:graphic>
          </wp:anchor>
        </w:drawing>
      </w:r>
    </w:p>
    <w:p w14:paraId="4F1D1ECD">
      <w:pPr>
        <w:tabs>
          <w:tab w:val="left" w:pos="3630"/>
        </w:tabs>
        <w:jc w:val="center"/>
        <w:rPr>
          <w:rFonts w:ascii="宋体" w:hAnsi="宋体" w:cs="宋体"/>
          <w:b/>
          <w:sz w:val="28"/>
        </w:rPr>
      </w:pPr>
    </w:p>
    <w:p w14:paraId="2F588C95">
      <w:pPr>
        <w:tabs>
          <w:tab w:val="left" w:pos="3630"/>
        </w:tabs>
        <w:jc w:val="center"/>
        <w:rPr>
          <w:rFonts w:ascii="宋体" w:hAnsi="宋体" w:cs="宋体"/>
          <w:b/>
          <w:sz w:val="28"/>
        </w:rPr>
      </w:pPr>
    </w:p>
    <w:p w14:paraId="1370C0F8">
      <w:pPr>
        <w:tabs>
          <w:tab w:val="left" w:pos="3630"/>
        </w:tabs>
        <w:jc w:val="center"/>
        <w:rPr>
          <w:rFonts w:ascii="宋体" w:hAnsi="宋体" w:cs="宋体"/>
          <w:b/>
          <w:sz w:val="28"/>
        </w:rPr>
      </w:pPr>
    </w:p>
    <w:p w14:paraId="1BB0283C">
      <w:pPr>
        <w:tabs>
          <w:tab w:val="left" w:pos="3630"/>
        </w:tabs>
        <w:jc w:val="center"/>
        <w:rPr>
          <w:rFonts w:ascii="宋体" w:hAnsi="宋体" w:cs="宋体"/>
          <w:b/>
          <w:sz w:val="28"/>
        </w:rPr>
      </w:pPr>
    </w:p>
    <w:p w14:paraId="15D48AE2">
      <w:pPr>
        <w:tabs>
          <w:tab w:val="left" w:pos="7140"/>
        </w:tabs>
        <w:ind w:left="3005" w:leftChars="284" w:hanging="2409" w:hangingChars="800"/>
        <w:rPr>
          <w:rFonts w:ascii="宋体" w:hAnsi="宋体" w:cs="宋体"/>
          <w:b/>
          <w:bCs/>
          <w:color w:val="000000"/>
          <w:sz w:val="30"/>
          <w:szCs w:val="30"/>
        </w:rPr>
      </w:pPr>
    </w:p>
    <w:p w14:paraId="78F83643">
      <w:pPr>
        <w:tabs>
          <w:tab w:val="left" w:pos="7140"/>
        </w:tabs>
        <w:ind w:left="3005" w:leftChars="284" w:hanging="2409" w:hangingChars="800"/>
        <w:rPr>
          <w:rFonts w:ascii="宋体" w:hAnsi="宋体" w:cs="宋体"/>
          <w:b/>
          <w:bCs/>
          <w:color w:val="000000"/>
          <w:sz w:val="30"/>
          <w:szCs w:val="30"/>
        </w:rPr>
      </w:pPr>
    </w:p>
    <w:p w14:paraId="7968D2E0">
      <w:pPr>
        <w:tabs>
          <w:tab w:val="left" w:pos="7140"/>
        </w:tabs>
        <w:ind w:left="3005" w:leftChars="284" w:hanging="2409" w:hangingChars="800"/>
        <w:rPr>
          <w:rFonts w:ascii="宋体" w:hAnsi="宋体" w:cs="宋体"/>
          <w:b/>
          <w:bCs/>
          <w:color w:val="000000"/>
          <w:sz w:val="30"/>
          <w:szCs w:val="30"/>
        </w:rPr>
      </w:pPr>
    </w:p>
    <w:p w14:paraId="16036BC3">
      <w:pPr>
        <w:spacing w:line="288" w:lineRule="auto"/>
        <w:jc w:val="center"/>
        <w:rPr>
          <w:rFonts w:hint="default" w:ascii="宋体" w:hAnsi="宋体" w:eastAsia="宋体" w:cs="宋体"/>
          <w:b/>
          <w:color w:val="000000"/>
          <w:sz w:val="36"/>
          <w:szCs w:val="28"/>
          <w:highlight w:val="none"/>
          <w:lang w:val="en-US" w:eastAsia="zh-CN"/>
        </w:rPr>
      </w:pPr>
      <w:r>
        <w:rPr>
          <w:rFonts w:hint="eastAsia" w:ascii="宋体" w:hAnsi="宋体" w:eastAsia="宋体" w:cs="宋体"/>
          <w:b/>
          <w:color w:val="000000"/>
          <w:sz w:val="36"/>
          <w:szCs w:val="28"/>
          <w:highlight w:val="none"/>
          <w:lang w:val="en-US" w:eastAsia="zh-CN"/>
        </w:rPr>
        <w:t>中轩项目管理有限公司</w:t>
      </w:r>
    </w:p>
    <w:p w14:paraId="4D45B935">
      <w:pPr>
        <w:tabs>
          <w:tab w:val="left" w:pos="7140"/>
        </w:tabs>
        <w:jc w:val="center"/>
        <w:rPr>
          <w:rFonts w:ascii="宋体" w:hAnsi="宋体" w:cs="宋体"/>
          <w:b/>
          <w:bCs/>
          <w:color w:val="000000"/>
          <w:sz w:val="30"/>
          <w:szCs w:val="30"/>
        </w:rPr>
      </w:pPr>
      <w:r>
        <w:rPr>
          <w:rFonts w:hint="eastAsia" w:ascii="宋体" w:hAnsi="宋体" w:cs="宋体"/>
          <w:b/>
          <w:color w:val="000000"/>
          <w:sz w:val="36"/>
          <w:szCs w:val="28"/>
          <w:highlight w:val="none"/>
          <w:lang w:eastAsia="zh-CN"/>
        </w:rPr>
        <w:t>二○二</w:t>
      </w:r>
      <w:r>
        <w:rPr>
          <w:rFonts w:hint="eastAsia" w:ascii="宋体" w:hAnsi="宋体" w:cs="宋体"/>
          <w:b/>
          <w:color w:val="000000"/>
          <w:sz w:val="36"/>
          <w:szCs w:val="28"/>
          <w:highlight w:val="none"/>
          <w:lang w:val="en-US" w:eastAsia="zh-CN"/>
        </w:rPr>
        <w:t>五</w:t>
      </w:r>
      <w:r>
        <w:rPr>
          <w:rFonts w:hint="eastAsia" w:ascii="宋体" w:hAnsi="宋体" w:cs="宋体"/>
          <w:b/>
          <w:color w:val="000000"/>
          <w:sz w:val="36"/>
          <w:szCs w:val="28"/>
          <w:highlight w:val="none"/>
          <w:lang w:eastAsia="zh-CN"/>
        </w:rPr>
        <w:t>年</w:t>
      </w:r>
      <w:r>
        <w:rPr>
          <w:rFonts w:hint="eastAsia" w:ascii="宋体" w:hAnsi="宋体" w:cs="宋体"/>
          <w:b/>
          <w:color w:val="000000"/>
          <w:sz w:val="36"/>
          <w:szCs w:val="28"/>
          <w:highlight w:val="none"/>
          <w:lang w:val="en-US" w:eastAsia="zh-CN"/>
        </w:rPr>
        <w:t>七</w:t>
      </w:r>
      <w:r>
        <w:rPr>
          <w:rFonts w:hint="eastAsia" w:ascii="宋体" w:hAnsi="宋体" w:cs="宋体"/>
          <w:b/>
          <w:color w:val="000000"/>
          <w:sz w:val="36"/>
          <w:szCs w:val="28"/>
          <w:highlight w:val="none"/>
          <w:lang w:eastAsia="zh-CN"/>
        </w:rPr>
        <w:t>月</w:t>
      </w:r>
    </w:p>
    <w:p w14:paraId="21190989">
      <w:pPr>
        <w:tabs>
          <w:tab w:val="left" w:pos="7140"/>
        </w:tabs>
        <w:ind w:left="3005" w:leftChars="284" w:hanging="2409" w:hangingChars="800"/>
        <w:rPr>
          <w:rFonts w:ascii="宋体" w:hAnsi="宋体" w:cs="宋体"/>
          <w:b/>
          <w:bCs/>
          <w:color w:val="000000"/>
          <w:sz w:val="30"/>
          <w:szCs w:val="30"/>
        </w:rPr>
      </w:pPr>
    </w:p>
    <w:p w14:paraId="1BCBC43E">
      <w:pPr>
        <w:jc w:val="center"/>
        <w:rPr>
          <w:rFonts w:hint="eastAsia" w:ascii="宋体" w:hAnsi="宋体" w:eastAsia="宋体" w:cs="宋体"/>
          <w:b/>
          <w:bCs/>
          <w:color w:val="auto"/>
          <w:sz w:val="56"/>
          <w:szCs w:val="72"/>
          <w:highlight w:val="none"/>
          <w:lang w:eastAsia="zh-CN"/>
        </w:rPr>
      </w:pPr>
    </w:p>
    <w:p w14:paraId="6C7D60CD">
      <w:pPr>
        <w:jc w:val="center"/>
        <w:rPr>
          <w:rFonts w:hint="eastAsia" w:ascii="宋体" w:hAnsi="宋体" w:eastAsia="宋体" w:cs="宋体"/>
          <w:b/>
          <w:bCs/>
          <w:color w:val="auto"/>
          <w:sz w:val="56"/>
          <w:szCs w:val="72"/>
          <w:highlight w:val="none"/>
          <w:lang w:eastAsia="zh-CN"/>
        </w:rPr>
      </w:pPr>
      <w:r>
        <w:rPr>
          <w:rFonts w:hint="eastAsia" w:ascii="宋体" w:hAnsi="宋体" w:eastAsia="宋体" w:cs="宋体"/>
          <w:b/>
          <w:bCs/>
          <w:color w:val="auto"/>
          <w:sz w:val="56"/>
          <w:szCs w:val="72"/>
          <w:highlight w:val="none"/>
          <w:lang w:eastAsia="zh-CN"/>
        </w:rPr>
        <w:t>吉林工业职业技术学院AIC智能校园系统升级项目</w:t>
      </w:r>
    </w:p>
    <w:p w14:paraId="3CBBC9BE">
      <w:pPr>
        <w:jc w:val="center"/>
        <w:rPr>
          <w:rFonts w:hint="eastAsia" w:ascii="宋体" w:hAnsi="宋体" w:eastAsia="宋体" w:cs="宋体"/>
          <w:b/>
          <w:bCs/>
          <w:color w:val="auto"/>
          <w:sz w:val="84"/>
          <w:szCs w:val="72"/>
          <w:highlight w:val="none"/>
        </w:rPr>
      </w:pPr>
    </w:p>
    <w:p w14:paraId="6B06E2F4">
      <w:pPr>
        <w:jc w:val="center"/>
        <w:rPr>
          <w:rFonts w:hint="eastAsia" w:ascii="宋体" w:hAnsi="宋体" w:cs="宋体"/>
          <w:b/>
          <w:sz w:val="52"/>
          <w:szCs w:val="52"/>
        </w:rPr>
      </w:pPr>
      <w:r>
        <w:rPr>
          <w:rFonts w:hint="eastAsia" w:ascii="宋体" w:hAnsi="宋体" w:eastAsia="宋体" w:cs="宋体"/>
          <w:b/>
          <w:bCs/>
          <w:color w:val="auto"/>
          <w:sz w:val="84"/>
          <w:szCs w:val="72"/>
          <w:highlight w:val="none"/>
        </w:rPr>
        <w:t>竞争性谈判文件</w:t>
      </w:r>
    </w:p>
    <w:p w14:paraId="1B5BFADA">
      <w:pPr>
        <w:pStyle w:val="52"/>
      </w:pPr>
    </w:p>
    <w:p w14:paraId="45107A01">
      <w:pPr>
        <w:jc w:val="center"/>
        <w:rPr>
          <w:rFonts w:ascii="宋体" w:hAnsi="宋体" w:cs="宋体"/>
          <w:b/>
          <w:sz w:val="32"/>
          <w:szCs w:val="32"/>
        </w:rPr>
      </w:pPr>
    </w:p>
    <w:p w14:paraId="391449BC">
      <w:pPr>
        <w:jc w:val="center"/>
        <w:rPr>
          <w:rFonts w:hint="default" w:ascii="宋体" w:hAnsi="宋体" w:eastAsia="宋体" w:cs="宋体"/>
          <w:b/>
          <w:color w:val="FF0000"/>
          <w:sz w:val="32"/>
          <w:szCs w:val="32"/>
          <w:lang w:val="en-US" w:eastAsia="zh-CN"/>
        </w:rPr>
      </w:pPr>
      <w:r>
        <w:rPr>
          <w:rFonts w:hint="eastAsia" w:ascii="宋体" w:hAnsi="宋体" w:cs="宋体"/>
          <w:b/>
          <w:color w:val="000000"/>
          <w:sz w:val="32"/>
          <w:szCs w:val="32"/>
        </w:rPr>
        <w:t>项目编号: 采购计划-[2025]-05546号-00001</w:t>
      </w:r>
      <w:r>
        <w:rPr>
          <w:rFonts w:hint="eastAsia" w:ascii="宋体" w:hAnsi="宋体" w:cs="宋体"/>
          <w:b/>
          <w:color w:val="000000"/>
          <w:sz w:val="32"/>
          <w:szCs w:val="32"/>
          <w:lang w:val="en-US" w:eastAsia="zh-CN"/>
        </w:rPr>
        <w:t>-2次</w:t>
      </w:r>
    </w:p>
    <w:p w14:paraId="69B98551">
      <w:pPr>
        <w:tabs>
          <w:tab w:val="left" w:pos="3630"/>
        </w:tabs>
        <w:jc w:val="center"/>
        <w:rPr>
          <w:rFonts w:ascii="宋体" w:hAnsi="宋体" w:cs="宋体"/>
          <w:b/>
          <w:color w:val="C00000"/>
          <w:sz w:val="28"/>
        </w:rPr>
      </w:pPr>
      <w:r>
        <w:rPr>
          <w:rFonts w:hint="eastAsia" w:ascii="宋体" w:hAnsi="宋体" w:eastAsia="宋体"/>
          <w:color w:val="auto"/>
          <w:szCs w:val="21"/>
          <w:highlight w:val="none"/>
          <w:lang w:eastAsia="zh-CN"/>
        </w:rPr>
        <w:drawing>
          <wp:anchor distT="0" distB="0" distL="114300" distR="114300" simplePos="0" relativeHeight="251662336" behindDoc="0" locked="0" layoutInCell="1" allowOverlap="1">
            <wp:simplePos x="0" y="0"/>
            <wp:positionH relativeFrom="column">
              <wp:posOffset>1515110</wp:posOffset>
            </wp:positionH>
            <wp:positionV relativeFrom="paragraph">
              <wp:posOffset>243205</wp:posOffset>
            </wp:positionV>
            <wp:extent cx="3305175" cy="2914015"/>
            <wp:effectExtent l="0" t="0" r="9525" b="635"/>
            <wp:wrapTopAndBottom/>
            <wp:docPr id="10"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logo1"/>
                    <pic:cNvPicPr>
                      <a:picLocks noChangeAspect="1"/>
                    </pic:cNvPicPr>
                  </pic:nvPicPr>
                  <pic:blipFill>
                    <a:blip r:embed="rId11"/>
                    <a:stretch>
                      <a:fillRect/>
                    </a:stretch>
                  </pic:blipFill>
                  <pic:spPr>
                    <a:xfrm>
                      <a:off x="0" y="0"/>
                      <a:ext cx="3305175" cy="2914015"/>
                    </a:xfrm>
                    <a:prstGeom prst="rect">
                      <a:avLst/>
                    </a:prstGeom>
                    <a:noFill/>
                    <a:ln>
                      <a:noFill/>
                    </a:ln>
                  </pic:spPr>
                </pic:pic>
              </a:graphicData>
            </a:graphic>
          </wp:anchor>
        </w:drawing>
      </w:r>
    </w:p>
    <w:p w14:paraId="12F8B6CC">
      <w:pPr>
        <w:tabs>
          <w:tab w:val="left" w:pos="7140"/>
        </w:tabs>
        <w:ind w:firstLine="602" w:firstLineChars="200"/>
        <w:rPr>
          <w:rFonts w:hint="eastAsia" w:ascii="宋体" w:hAnsi="宋体" w:cs="宋体"/>
          <w:b/>
          <w:bCs/>
          <w:color w:val="000000"/>
          <w:sz w:val="30"/>
          <w:szCs w:val="30"/>
        </w:rPr>
      </w:pPr>
    </w:p>
    <w:p w14:paraId="37B21AAC">
      <w:pPr>
        <w:tabs>
          <w:tab w:val="left" w:pos="7140"/>
        </w:tabs>
        <w:ind w:firstLine="602" w:firstLineChars="200"/>
        <w:rPr>
          <w:rFonts w:hint="eastAsia" w:ascii="宋体" w:hAnsi="宋体" w:cs="宋体"/>
          <w:b/>
          <w:bCs/>
          <w:color w:val="000000"/>
          <w:sz w:val="30"/>
          <w:szCs w:val="30"/>
        </w:rPr>
      </w:pPr>
    </w:p>
    <w:p w14:paraId="395BD363">
      <w:pPr>
        <w:tabs>
          <w:tab w:val="left" w:pos="7140"/>
        </w:tabs>
        <w:ind w:firstLine="602" w:firstLineChars="200"/>
        <w:rPr>
          <w:rFonts w:hint="eastAsia" w:ascii="宋体" w:hAnsi="宋体" w:cs="宋体"/>
          <w:b/>
          <w:bCs/>
          <w:color w:val="000000"/>
          <w:sz w:val="30"/>
          <w:szCs w:val="30"/>
        </w:rPr>
      </w:pPr>
    </w:p>
    <w:p w14:paraId="5F3F0F20">
      <w:pPr>
        <w:tabs>
          <w:tab w:val="left" w:pos="7140"/>
        </w:tabs>
        <w:ind w:firstLine="602" w:firstLineChars="200"/>
        <w:rPr>
          <w:rFonts w:hint="eastAsia" w:ascii="宋体" w:hAnsi="宋体" w:cs="宋体"/>
          <w:b/>
          <w:bCs/>
          <w:color w:val="000000"/>
          <w:sz w:val="30"/>
          <w:szCs w:val="30"/>
        </w:rPr>
      </w:pPr>
    </w:p>
    <w:p w14:paraId="77485B91">
      <w:pPr>
        <w:tabs>
          <w:tab w:val="left" w:pos="7140"/>
        </w:tabs>
        <w:ind w:firstLine="643" w:firstLineChars="200"/>
        <w:rPr>
          <w:rFonts w:ascii="宋体" w:hAnsi="宋体" w:cs="宋体"/>
          <w:b/>
          <w:bCs/>
          <w:color w:val="000000"/>
          <w:sz w:val="32"/>
          <w:szCs w:val="32"/>
        </w:rPr>
      </w:pPr>
      <w:r>
        <w:rPr>
          <w:rFonts w:hint="eastAsia" w:ascii="宋体" w:hAnsi="宋体" w:cs="宋体"/>
          <w:b/>
          <w:bCs/>
          <w:color w:val="000000"/>
          <w:sz w:val="32"/>
          <w:szCs w:val="32"/>
        </w:rPr>
        <w:t>采   购   人 ：</w:t>
      </w:r>
      <w:r>
        <w:rPr>
          <w:rFonts w:hint="eastAsia" w:ascii="宋体" w:hAnsi="宋体" w:eastAsia="宋体" w:cs="宋体"/>
          <w:b/>
          <w:bCs/>
          <w:color w:val="000000"/>
          <w:sz w:val="32"/>
          <w:szCs w:val="32"/>
        </w:rPr>
        <w:t>吉林工业职业技术学院</w:t>
      </w:r>
    </w:p>
    <w:p w14:paraId="23A0648C">
      <w:pPr>
        <w:tabs>
          <w:tab w:val="left" w:pos="7140"/>
        </w:tabs>
        <w:ind w:left="3166" w:leftChars="284" w:hanging="2570" w:hangingChars="800"/>
        <w:rPr>
          <w:rFonts w:ascii="宋体" w:hAnsi="宋体" w:cs="宋体"/>
          <w:b/>
          <w:bCs/>
          <w:color w:val="000000"/>
          <w:sz w:val="32"/>
          <w:szCs w:val="32"/>
        </w:rPr>
      </w:pPr>
    </w:p>
    <w:p w14:paraId="7C099594">
      <w:pPr>
        <w:ind w:firstLine="643" w:firstLineChars="200"/>
        <w:rPr>
          <w:rFonts w:hint="eastAsia" w:ascii="宋体" w:hAnsi="宋体" w:cs="宋体"/>
          <w:b/>
          <w:bCs/>
          <w:color w:val="000000"/>
          <w:sz w:val="32"/>
          <w:szCs w:val="32"/>
        </w:rPr>
      </w:pPr>
    </w:p>
    <w:p w14:paraId="69098F1B">
      <w:pPr>
        <w:ind w:firstLine="643" w:firstLineChars="200"/>
        <w:rPr>
          <w:rFonts w:ascii="宋体" w:hAnsi="宋体" w:cs="宋体"/>
          <w:b/>
          <w:bCs/>
          <w:color w:val="000000"/>
          <w:sz w:val="36"/>
          <w:szCs w:val="28"/>
        </w:rPr>
      </w:pPr>
      <w:r>
        <w:rPr>
          <w:rFonts w:hint="eastAsia" w:ascii="宋体" w:hAnsi="宋体" w:cs="宋体"/>
          <w:b/>
          <w:bCs/>
          <w:color w:val="000000"/>
          <w:sz w:val="32"/>
          <w:szCs w:val="32"/>
        </w:rPr>
        <w:t>采购代理机构：中轩项目管理有限公司</w:t>
      </w:r>
    </w:p>
    <w:p w14:paraId="048C5EF5">
      <w:pPr>
        <w:jc w:val="both"/>
        <w:rPr>
          <w:rFonts w:ascii="宋体" w:hAnsi="宋体" w:cs="宋体"/>
          <w:b/>
          <w:bCs/>
          <w:sz w:val="36"/>
          <w:szCs w:val="36"/>
        </w:rPr>
        <w:sectPr>
          <w:headerReference r:id="rId3" w:type="default"/>
          <w:footerReference r:id="rId4" w:type="default"/>
          <w:pgSz w:w="11906" w:h="16838"/>
          <w:pgMar w:top="1134" w:right="992" w:bottom="1134" w:left="1134" w:header="851" w:footer="992" w:gutter="0"/>
          <w:pgNumType w:start="1"/>
          <w:cols w:space="720" w:num="1"/>
          <w:docGrid w:linePitch="312" w:charSpace="0"/>
        </w:sectPr>
      </w:pPr>
    </w:p>
    <w:sdt>
      <w:sdtPr>
        <w:rPr>
          <w:rFonts w:ascii="宋体" w:hAnsi="宋体" w:eastAsia="宋体" w:cs="Times New Roman"/>
          <w:kern w:val="2"/>
          <w:sz w:val="21"/>
          <w:szCs w:val="24"/>
          <w:lang w:val="en-US" w:eastAsia="zh-CN" w:bidi="ar-SA"/>
        </w:rPr>
        <w:id w:val="147475647"/>
        <w15:color w:val="DBDBDB"/>
        <w:docPartObj>
          <w:docPartGallery w:val="Table of Contents"/>
          <w:docPartUnique/>
        </w:docPartObj>
      </w:sdtPr>
      <w:sdtEndPr>
        <w:rPr>
          <w:rFonts w:ascii="宋体" w:hAnsi="宋体" w:eastAsia="宋体" w:cs="宋体"/>
          <w:kern w:val="2"/>
          <w:sz w:val="21"/>
          <w:szCs w:val="32"/>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rPr>
          </w:pPr>
          <w:r>
            <w:rPr>
              <w:rFonts w:ascii="宋体" w:hAnsi="宋体" w:eastAsia="宋体"/>
              <w:b/>
              <w:bCs/>
              <w:sz w:val="60"/>
              <w:szCs w:val="96"/>
            </w:rPr>
            <w:t>目录</w:t>
          </w:r>
        </w:p>
        <w:p w14:paraId="746392A8">
          <w:pPr>
            <w:pStyle w:val="23"/>
            <w:tabs>
              <w:tab w:val="right" w:leader="dot" w:pos="9780"/>
            </w:tabs>
            <w:spacing w:line="360" w:lineRule="auto"/>
            <w:rPr>
              <w:sz w:val="28"/>
              <w:szCs w:val="28"/>
            </w:rPr>
          </w:pPr>
          <w:r>
            <w:rPr>
              <w:rFonts w:ascii="宋体" w:hAnsi="宋体" w:eastAsia="宋体" w:cs="宋体"/>
              <w:kern w:val="2"/>
              <w:sz w:val="32"/>
              <w:szCs w:val="48"/>
              <w:lang w:val="en-US" w:eastAsia="zh-CN" w:bidi="ar-SA"/>
            </w:rPr>
            <w:fldChar w:fldCharType="begin"/>
          </w:r>
          <w:r>
            <w:rPr>
              <w:rFonts w:ascii="宋体" w:hAnsi="宋体" w:eastAsia="宋体" w:cs="宋体"/>
              <w:kern w:val="2"/>
              <w:sz w:val="32"/>
              <w:szCs w:val="48"/>
              <w:lang w:val="en-US" w:eastAsia="zh-CN" w:bidi="ar-SA"/>
            </w:rPr>
            <w:instrText xml:space="preserve">TOC \o "1-1" \h \u </w:instrText>
          </w:r>
          <w:r>
            <w:rPr>
              <w:rFonts w:ascii="宋体" w:hAnsi="宋体" w:eastAsia="宋体" w:cs="宋体"/>
              <w:kern w:val="2"/>
              <w:sz w:val="32"/>
              <w:szCs w:val="48"/>
              <w:lang w:val="en-US" w:eastAsia="zh-CN" w:bidi="ar-SA"/>
            </w:rPr>
            <w:fldChar w:fldCharType="separate"/>
          </w: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_Toc4175 </w:instrText>
          </w:r>
          <w:r>
            <w:rPr>
              <w:rFonts w:ascii="宋体" w:hAnsi="宋体" w:eastAsia="宋体" w:cs="宋体"/>
              <w:kern w:val="2"/>
              <w:sz w:val="28"/>
              <w:szCs w:val="48"/>
              <w:lang w:val="en-US" w:eastAsia="zh-CN" w:bidi="ar-SA"/>
            </w:rPr>
            <w:fldChar w:fldCharType="separate"/>
          </w:r>
          <w:r>
            <w:rPr>
              <w:rFonts w:hint="eastAsia"/>
              <w:sz w:val="28"/>
              <w:szCs w:val="52"/>
            </w:rPr>
            <w:t>第一章  竞争性谈判公告</w:t>
          </w:r>
          <w:r>
            <w:rPr>
              <w:sz w:val="28"/>
              <w:szCs w:val="28"/>
            </w:rPr>
            <w:tab/>
          </w:r>
          <w:r>
            <w:rPr>
              <w:sz w:val="28"/>
              <w:szCs w:val="28"/>
            </w:rPr>
            <w:fldChar w:fldCharType="begin"/>
          </w:r>
          <w:r>
            <w:rPr>
              <w:sz w:val="28"/>
              <w:szCs w:val="28"/>
            </w:rPr>
            <w:instrText xml:space="preserve"> PAGEREF _Toc4175 \h </w:instrText>
          </w:r>
          <w:r>
            <w:rPr>
              <w:sz w:val="28"/>
              <w:szCs w:val="28"/>
            </w:rPr>
            <w:fldChar w:fldCharType="separate"/>
          </w:r>
          <w:r>
            <w:rPr>
              <w:sz w:val="28"/>
              <w:szCs w:val="28"/>
            </w:rPr>
            <w:t>2</w:t>
          </w:r>
          <w:r>
            <w:rPr>
              <w:sz w:val="28"/>
              <w:szCs w:val="28"/>
            </w:rPr>
            <w:fldChar w:fldCharType="end"/>
          </w:r>
          <w:r>
            <w:rPr>
              <w:rFonts w:ascii="宋体" w:hAnsi="宋体" w:eastAsia="宋体" w:cs="宋体"/>
              <w:kern w:val="2"/>
              <w:sz w:val="28"/>
              <w:szCs w:val="48"/>
              <w:lang w:val="en-US" w:eastAsia="zh-CN" w:bidi="ar-SA"/>
            </w:rPr>
            <w:fldChar w:fldCharType="end"/>
          </w:r>
        </w:p>
        <w:p w14:paraId="76FA7325">
          <w:pPr>
            <w:pStyle w:val="23"/>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_Toc10155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第二章  供应商须知</w:t>
          </w:r>
          <w:r>
            <w:rPr>
              <w:sz w:val="28"/>
              <w:szCs w:val="28"/>
            </w:rPr>
            <w:tab/>
          </w:r>
          <w:r>
            <w:rPr>
              <w:sz w:val="28"/>
              <w:szCs w:val="28"/>
            </w:rPr>
            <w:fldChar w:fldCharType="begin"/>
          </w:r>
          <w:r>
            <w:rPr>
              <w:sz w:val="28"/>
              <w:szCs w:val="28"/>
            </w:rPr>
            <w:instrText xml:space="preserve"> PAGEREF _Toc10155 \h </w:instrText>
          </w:r>
          <w:r>
            <w:rPr>
              <w:sz w:val="28"/>
              <w:szCs w:val="28"/>
            </w:rPr>
            <w:fldChar w:fldCharType="separate"/>
          </w:r>
          <w:r>
            <w:rPr>
              <w:sz w:val="28"/>
              <w:szCs w:val="28"/>
            </w:rPr>
            <w:t>6</w:t>
          </w:r>
          <w:r>
            <w:rPr>
              <w:sz w:val="28"/>
              <w:szCs w:val="28"/>
            </w:rPr>
            <w:fldChar w:fldCharType="end"/>
          </w:r>
          <w:r>
            <w:rPr>
              <w:rFonts w:ascii="宋体" w:hAnsi="宋体" w:eastAsia="宋体" w:cs="宋体"/>
              <w:kern w:val="2"/>
              <w:sz w:val="28"/>
              <w:szCs w:val="48"/>
              <w:lang w:val="en-US" w:eastAsia="zh-CN" w:bidi="ar-SA"/>
            </w:rPr>
            <w:fldChar w:fldCharType="end"/>
          </w:r>
        </w:p>
        <w:p w14:paraId="743D8CBE">
          <w:pPr>
            <w:pStyle w:val="23"/>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_Toc693 </w:instrText>
          </w:r>
          <w:r>
            <w:rPr>
              <w:rFonts w:ascii="宋体" w:hAnsi="宋体" w:eastAsia="宋体" w:cs="宋体"/>
              <w:kern w:val="2"/>
              <w:sz w:val="28"/>
              <w:szCs w:val="48"/>
              <w:lang w:val="en-US" w:eastAsia="zh-CN" w:bidi="ar-SA"/>
            </w:rPr>
            <w:fldChar w:fldCharType="separate"/>
          </w:r>
          <w:r>
            <w:rPr>
              <w:rFonts w:hint="eastAsia"/>
              <w:sz w:val="28"/>
              <w:szCs w:val="52"/>
              <w:lang w:val="zh-CN"/>
            </w:rPr>
            <w:t xml:space="preserve">第三章 </w:t>
          </w:r>
          <w:r>
            <w:rPr>
              <w:rFonts w:hint="eastAsia"/>
              <w:sz w:val="28"/>
              <w:szCs w:val="52"/>
            </w:rPr>
            <w:t>货物采购</w:t>
          </w:r>
          <w:r>
            <w:rPr>
              <w:rFonts w:hint="eastAsia"/>
              <w:sz w:val="28"/>
              <w:szCs w:val="52"/>
              <w:lang w:val="zh-CN"/>
            </w:rPr>
            <w:t>需求</w:t>
          </w:r>
          <w:r>
            <w:rPr>
              <w:sz w:val="28"/>
              <w:szCs w:val="28"/>
            </w:rPr>
            <w:tab/>
          </w:r>
          <w:r>
            <w:rPr>
              <w:sz w:val="28"/>
              <w:szCs w:val="28"/>
            </w:rPr>
            <w:fldChar w:fldCharType="begin"/>
          </w:r>
          <w:r>
            <w:rPr>
              <w:sz w:val="28"/>
              <w:szCs w:val="28"/>
            </w:rPr>
            <w:instrText xml:space="preserve"> PAGEREF _Toc693 \h </w:instrText>
          </w:r>
          <w:r>
            <w:rPr>
              <w:sz w:val="28"/>
              <w:szCs w:val="28"/>
            </w:rPr>
            <w:fldChar w:fldCharType="separate"/>
          </w:r>
          <w:r>
            <w:rPr>
              <w:sz w:val="28"/>
              <w:szCs w:val="28"/>
            </w:rPr>
            <w:t>27</w:t>
          </w:r>
          <w:r>
            <w:rPr>
              <w:sz w:val="28"/>
              <w:szCs w:val="28"/>
            </w:rPr>
            <w:fldChar w:fldCharType="end"/>
          </w:r>
          <w:r>
            <w:rPr>
              <w:rFonts w:ascii="宋体" w:hAnsi="宋体" w:eastAsia="宋体" w:cs="宋体"/>
              <w:kern w:val="2"/>
              <w:sz w:val="28"/>
              <w:szCs w:val="48"/>
              <w:lang w:val="en-US" w:eastAsia="zh-CN" w:bidi="ar-SA"/>
            </w:rPr>
            <w:fldChar w:fldCharType="end"/>
          </w:r>
        </w:p>
        <w:p w14:paraId="2A8AA928">
          <w:pPr>
            <w:pStyle w:val="23"/>
            <w:tabs>
              <w:tab w:val="right" w:leader="dot" w:pos="9780"/>
            </w:tabs>
            <w:spacing w:line="360" w:lineRule="auto"/>
            <w:rPr>
              <w:rFonts w:hint="default"/>
              <w:sz w:val="28"/>
              <w:szCs w:val="28"/>
              <w:lang w:val="en-US"/>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_Toc19078 </w:instrText>
          </w:r>
          <w:r>
            <w:rPr>
              <w:rFonts w:ascii="宋体" w:hAnsi="宋体" w:eastAsia="宋体" w:cs="宋体"/>
              <w:kern w:val="2"/>
              <w:sz w:val="28"/>
              <w:szCs w:val="48"/>
              <w:lang w:val="en-US" w:eastAsia="zh-CN" w:bidi="ar-SA"/>
            </w:rPr>
            <w:fldChar w:fldCharType="separate"/>
          </w:r>
          <w:r>
            <w:rPr>
              <w:rFonts w:hint="eastAsia"/>
              <w:sz w:val="28"/>
              <w:szCs w:val="56"/>
            </w:rPr>
            <w:t>第四章  评审</w:t>
          </w:r>
          <w:r>
            <w:rPr>
              <w:rFonts w:hint="eastAsia"/>
              <w:sz w:val="28"/>
              <w:szCs w:val="56"/>
              <w:lang w:eastAsia="zh-CN"/>
            </w:rPr>
            <w:t>办</w:t>
          </w:r>
          <w:r>
            <w:rPr>
              <w:rFonts w:hint="eastAsia"/>
              <w:sz w:val="28"/>
              <w:szCs w:val="56"/>
            </w:rPr>
            <w:t>法</w:t>
          </w:r>
          <w:r>
            <w:rPr>
              <w:sz w:val="28"/>
              <w:szCs w:val="28"/>
            </w:rPr>
            <w:tab/>
          </w:r>
          <w:r>
            <w:rPr>
              <w:rFonts w:hint="eastAsia"/>
              <w:sz w:val="28"/>
              <w:szCs w:val="28"/>
              <w:lang w:val="en-US" w:eastAsia="zh-CN"/>
            </w:rPr>
            <w:t>1</w:t>
          </w:r>
          <w:r>
            <w:rPr>
              <w:rFonts w:ascii="宋体" w:hAnsi="宋体" w:eastAsia="宋体" w:cs="宋体"/>
              <w:kern w:val="2"/>
              <w:sz w:val="28"/>
              <w:szCs w:val="48"/>
              <w:lang w:val="en-US" w:eastAsia="zh-CN" w:bidi="ar-SA"/>
            </w:rPr>
            <w:fldChar w:fldCharType="end"/>
          </w:r>
          <w:r>
            <w:rPr>
              <w:rFonts w:hint="eastAsia" w:ascii="宋体" w:hAnsi="宋体" w:cs="宋体"/>
              <w:kern w:val="2"/>
              <w:sz w:val="28"/>
              <w:szCs w:val="48"/>
              <w:lang w:val="en-US" w:eastAsia="zh-CN" w:bidi="ar-SA"/>
            </w:rPr>
            <w:t>21</w:t>
          </w:r>
          <w:bookmarkStart w:id="106" w:name="_GoBack"/>
          <w:bookmarkEnd w:id="106"/>
        </w:p>
        <w:p w14:paraId="4CA6214B">
          <w:pPr>
            <w:pStyle w:val="23"/>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_Toc20340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第五章  合同主要条款及格式（仅供参考）</w:t>
          </w:r>
          <w:r>
            <w:rPr>
              <w:sz w:val="28"/>
              <w:szCs w:val="28"/>
            </w:rPr>
            <w:tab/>
          </w:r>
          <w:r>
            <w:rPr>
              <w:sz w:val="28"/>
              <w:szCs w:val="28"/>
            </w:rPr>
            <w:fldChar w:fldCharType="begin"/>
          </w:r>
          <w:r>
            <w:rPr>
              <w:sz w:val="28"/>
              <w:szCs w:val="28"/>
            </w:rPr>
            <w:instrText xml:space="preserve"> PAGEREF _Toc20340 \h </w:instrText>
          </w:r>
          <w:r>
            <w:rPr>
              <w:sz w:val="28"/>
              <w:szCs w:val="28"/>
            </w:rPr>
            <w:fldChar w:fldCharType="separate"/>
          </w:r>
          <w:r>
            <w:rPr>
              <w:sz w:val="28"/>
              <w:szCs w:val="28"/>
            </w:rPr>
            <w:t>126</w:t>
          </w:r>
          <w:r>
            <w:rPr>
              <w:sz w:val="28"/>
              <w:szCs w:val="28"/>
            </w:rPr>
            <w:fldChar w:fldCharType="end"/>
          </w:r>
          <w:r>
            <w:rPr>
              <w:rFonts w:ascii="宋体" w:hAnsi="宋体" w:eastAsia="宋体" w:cs="宋体"/>
              <w:kern w:val="2"/>
              <w:sz w:val="28"/>
              <w:szCs w:val="48"/>
              <w:lang w:val="en-US" w:eastAsia="zh-CN" w:bidi="ar-SA"/>
            </w:rPr>
            <w:fldChar w:fldCharType="end"/>
          </w:r>
        </w:p>
        <w:p w14:paraId="6708BEC1">
          <w:pPr>
            <w:pStyle w:val="23"/>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_Toc13817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8"/>
            </w:rPr>
            <w:t>第六章  响应文件格式</w:t>
          </w:r>
          <w:r>
            <w:rPr>
              <w:sz w:val="28"/>
              <w:szCs w:val="28"/>
            </w:rPr>
            <w:tab/>
          </w:r>
          <w:r>
            <w:rPr>
              <w:sz w:val="28"/>
              <w:szCs w:val="28"/>
            </w:rPr>
            <w:fldChar w:fldCharType="begin"/>
          </w:r>
          <w:r>
            <w:rPr>
              <w:sz w:val="28"/>
              <w:szCs w:val="28"/>
            </w:rPr>
            <w:instrText xml:space="preserve"> PAGEREF _Toc13817 \h </w:instrText>
          </w:r>
          <w:r>
            <w:rPr>
              <w:sz w:val="28"/>
              <w:szCs w:val="28"/>
            </w:rPr>
            <w:fldChar w:fldCharType="separate"/>
          </w:r>
          <w:r>
            <w:rPr>
              <w:sz w:val="28"/>
              <w:szCs w:val="28"/>
            </w:rPr>
            <w:t>142</w:t>
          </w:r>
          <w:r>
            <w:rPr>
              <w:sz w:val="28"/>
              <w:szCs w:val="28"/>
            </w:rPr>
            <w:fldChar w:fldCharType="end"/>
          </w:r>
          <w:r>
            <w:rPr>
              <w:rFonts w:ascii="宋体" w:hAnsi="宋体" w:eastAsia="宋体" w:cs="宋体"/>
              <w:kern w:val="2"/>
              <w:sz w:val="28"/>
              <w:szCs w:val="48"/>
              <w:lang w:val="en-US" w:eastAsia="zh-CN" w:bidi="ar-SA"/>
            </w:rPr>
            <w:fldChar w:fldCharType="end"/>
          </w:r>
        </w:p>
        <w:p w14:paraId="6790A83B">
          <w:pPr>
            <w:pStyle w:val="23"/>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_Toc17192 </w:instrText>
          </w:r>
          <w:r>
            <w:rPr>
              <w:rFonts w:ascii="宋体" w:hAnsi="宋体" w:eastAsia="宋体" w:cs="宋体"/>
              <w:kern w:val="2"/>
              <w:sz w:val="28"/>
              <w:szCs w:val="48"/>
              <w:lang w:val="en-US" w:eastAsia="zh-CN" w:bidi="ar-SA"/>
            </w:rPr>
            <w:fldChar w:fldCharType="separate"/>
          </w:r>
          <w:r>
            <w:rPr>
              <w:rFonts w:hint="eastAsia"/>
              <w:sz w:val="28"/>
              <w:szCs w:val="28"/>
            </w:rPr>
            <w:t>第七章 附件</w:t>
          </w:r>
          <w:r>
            <w:rPr>
              <w:sz w:val="28"/>
              <w:szCs w:val="28"/>
            </w:rPr>
            <w:tab/>
          </w:r>
          <w:r>
            <w:rPr>
              <w:sz w:val="28"/>
              <w:szCs w:val="28"/>
            </w:rPr>
            <w:fldChar w:fldCharType="begin"/>
          </w:r>
          <w:r>
            <w:rPr>
              <w:sz w:val="28"/>
              <w:szCs w:val="28"/>
            </w:rPr>
            <w:instrText xml:space="preserve"> PAGEREF _Toc17192 \h </w:instrText>
          </w:r>
          <w:r>
            <w:rPr>
              <w:sz w:val="28"/>
              <w:szCs w:val="28"/>
            </w:rPr>
            <w:fldChar w:fldCharType="separate"/>
          </w:r>
          <w:r>
            <w:rPr>
              <w:sz w:val="28"/>
              <w:szCs w:val="28"/>
            </w:rPr>
            <w:t>168</w:t>
          </w:r>
          <w:r>
            <w:rPr>
              <w:sz w:val="28"/>
              <w:szCs w:val="28"/>
            </w:rPr>
            <w:fldChar w:fldCharType="end"/>
          </w:r>
          <w:r>
            <w:rPr>
              <w:rFonts w:ascii="宋体" w:hAnsi="宋体" w:eastAsia="宋体" w:cs="宋体"/>
              <w:kern w:val="2"/>
              <w:sz w:val="28"/>
              <w:szCs w:val="48"/>
              <w:lang w:val="en-US" w:eastAsia="zh-CN" w:bidi="ar-SA"/>
            </w:rPr>
            <w:fldChar w:fldCharType="end"/>
          </w:r>
        </w:p>
        <w:p w14:paraId="615A2688">
          <w:pPr>
            <w:pStyle w:val="23"/>
            <w:tabs>
              <w:tab w:val="right" w:leader="dot" w:pos="9780"/>
            </w:tabs>
            <w:rPr>
              <w:sz w:val="28"/>
              <w:szCs w:val="28"/>
            </w:rPr>
          </w:pPr>
        </w:p>
        <w:p w14:paraId="7C14440D">
          <w:pPr>
            <w:jc w:val="center"/>
            <w:rPr>
              <w:rFonts w:ascii="宋体" w:hAnsi="宋体" w:eastAsia="宋体" w:cs="宋体"/>
              <w:kern w:val="2"/>
              <w:sz w:val="21"/>
              <w:szCs w:val="32"/>
              <w:lang w:val="en-US" w:eastAsia="zh-CN" w:bidi="ar-SA"/>
            </w:rPr>
          </w:pPr>
          <w:r>
            <w:rPr>
              <w:rFonts w:ascii="宋体" w:hAnsi="宋体" w:eastAsia="宋体" w:cs="宋体"/>
              <w:kern w:val="2"/>
              <w:sz w:val="32"/>
              <w:szCs w:val="48"/>
              <w:lang w:val="en-US" w:eastAsia="zh-CN" w:bidi="ar-SA"/>
            </w:rPr>
            <w:fldChar w:fldCharType="end"/>
          </w:r>
        </w:p>
      </w:sdtContent>
    </w:sdt>
    <w:p w14:paraId="6113956F">
      <w:pPr>
        <w:jc w:val="center"/>
        <w:rPr>
          <w:rFonts w:ascii="宋体" w:hAnsi="宋体" w:eastAsia="宋体" w:cs="宋体"/>
          <w:kern w:val="2"/>
          <w:sz w:val="21"/>
          <w:szCs w:val="32"/>
          <w:lang w:val="en-US" w:eastAsia="zh-CN" w:bidi="ar-SA"/>
        </w:rPr>
      </w:pPr>
    </w:p>
    <w:p w14:paraId="519E3E99">
      <w:pPr>
        <w:pStyle w:val="12"/>
        <w:rPr>
          <w:rFonts w:ascii="宋体" w:hAnsi="宋体" w:cs="宋体"/>
          <w:b/>
          <w:sz w:val="32"/>
          <w:szCs w:val="32"/>
        </w:rPr>
      </w:pPr>
    </w:p>
    <w:p w14:paraId="7EC80ABE">
      <w:pPr>
        <w:pStyle w:val="33"/>
        <w:rPr>
          <w:rFonts w:ascii="宋体" w:cs="宋体"/>
          <w:b/>
          <w:sz w:val="32"/>
          <w:szCs w:val="32"/>
        </w:rPr>
      </w:pPr>
    </w:p>
    <w:p w14:paraId="6F78AAC7">
      <w:pPr>
        <w:pStyle w:val="33"/>
        <w:rPr>
          <w:rFonts w:ascii="宋体" w:cs="宋体"/>
          <w:b/>
          <w:sz w:val="32"/>
          <w:szCs w:val="32"/>
        </w:rPr>
      </w:pPr>
    </w:p>
    <w:p w14:paraId="6F4BC781">
      <w:pPr>
        <w:pStyle w:val="33"/>
        <w:rPr>
          <w:rFonts w:ascii="宋体" w:cs="宋体"/>
          <w:b/>
          <w:sz w:val="32"/>
          <w:szCs w:val="32"/>
        </w:rPr>
      </w:pPr>
    </w:p>
    <w:p w14:paraId="1E6BA9BB">
      <w:pPr>
        <w:pStyle w:val="33"/>
        <w:rPr>
          <w:rFonts w:ascii="宋体" w:cs="宋体"/>
          <w:b/>
          <w:sz w:val="32"/>
          <w:szCs w:val="32"/>
        </w:rPr>
      </w:pPr>
    </w:p>
    <w:p w14:paraId="11A54B44">
      <w:pPr>
        <w:pStyle w:val="33"/>
        <w:rPr>
          <w:rFonts w:ascii="宋体" w:cs="宋体"/>
          <w:b/>
          <w:sz w:val="32"/>
          <w:szCs w:val="32"/>
        </w:rPr>
      </w:pPr>
    </w:p>
    <w:p w14:paraId="635A40AD">
      <w:pPr>
        <w:pStyle w:val="33"/>
        <w:rPr>
          <w:rFonts w:ascii="宋体" w:cs="宋体"/>
          <w:b/>
          <w:sz w:val="32"/>
          <w:szCs w:val="32"/>
        </w:rPr>
      </w:pPr>
    </w:p>
    <w:p w14:paraId="0EC9022F">
      <w:pPr>
        <w:pStyle w:val="33"/>
        <w:rPr>
          <w:rFonts w:ascii="宋体" w:cs="宋体"/>
          <w:b/>
          <w:sz w:val="32"/>
          <w:szCs w:val="32"/>
        </w:rPr>
      </w:pPr>
    </w:p>
    <w:p w14:paraId="15F7B5A5">
      <w:pPr>
        <w:pStyle w:val="33"/>
        <w:rPr>
          <w:rFonts w:ascii="宋体" w:cs="宋体"/>
          <w:b/>
          <w:sz w:val="32"/>
          <w:szCs w:val="32"/>
        </w:rPr>
      </w:pPr>
    </w:p>
    <w:p w14:paraId="2491B3F4">
      <w:pPr>
        <w:pStyle w:val="33"/>
        <w:rPr>
          <w:rFonts w:ascii="宋体" w:cs="宋体"/>
          <w:b/>
          <w:sz w:val="32"/>
          <w:szCs w:val="32"/>
        </w:rPr>
      </w:pPr>
    </w:p>
    <w:p w14:paraId="7BAC68C6">
      <w:pPr>
        <w:pStyle w:val="33"/>
        <w:rPr>
          <w:rFonts w:ascii="宋体" w:cs="宋体"/>
          <w:b/>
          <w:sz w:val="32"/>
          <w:szCs w:val="32"/>
        </w:rPr>
      </w:pPr>
    </w:p>
    <w:p w14:paraId="4D794396">
      <w:pPr>
        <w:pStyle w:val="33"/>
        <w:rPr>
          <w:rFonts w:ascii="宋体" w:cs="宋体"/>
          <w:b/>
          <w:sz w:val="32"/>
          <w:szCs w:val="32"/>
        </w:rPr>
      </w:pPr>
    </w:p>
    <w:p w14:paraId="1D2604D2">
      <w:pPr>
        <w:pStyle w:val="33"/>
        <w:rPr>
          <w:rFonts w:ascii="宋体" w:cs="宋体"/>
          <w:b/>
          <w:sz w:val="32"/>
          <w:szCs w:val="32"/>
        </w:rPr>
      </w:pPr>
    </w:p>
    <w:p w14:paraId="1BA0E818">
      <w:pPr>
        <w:pStyle w:val="33"/>
        <w:rPr>
          <w:rFonts w:ascii="宋体" w:cs="宋体"/>
          <w:b/>
          <w:sz w:val="32"/>
          <w:szCs w:val="32"/>
        </w:rPr>
      </w:pPr>
    </w:p>
    <w:p w14:paraId="6197BA9B">
      <w:pPr>
        <w:pStyle w:val="33"/>
        <w:rPr>
          <w:rFonts w:ascii="宋体" w:cs="宋体"/>
          <w:b/>
          <w:sz w:val="32"/>
          <w:szCs w:val="32"/>
        </w:rPr>
      </w:pPr>
    </w:p>
    <w:p w14:paraId="11D1A95B">
      <w:pPr>
        <w:jc w:val="center"/>
        <w:rPr>
          <w:rFonts w:ascii="宋体" w:hAnsi="宋体" w:cs="宋体"/>
          <w:b/>
          <w:sz w:val="32"/>
          <w:szCs w:val="32"/>
        </w:rPr>
        <w:sectPr>
          <w:footerReference r:id="rId5" w:type="default"/>
          <w:pgSz w:w="11906" w:h="16838"/>
          <w:pgMar w:top="1134" w:right="992" w:bottom="1134" w:left="1134" w:header="851" w:footer="992" w:gutter="0"/>
          <w:pgNumType w:start="1"/>
          <w:cols w:space="720" w:num="1"/>
          <w:docGrid w:linePitch="312" w:charSpace="0"/>
        </w:sectPr>
      </w:pPr>
    </w:p>
    <w:p w14:paraId="03F60F61">
      <w:pPr>
        <w:pStyle w:val="3"/>
        <w:bidi w:val="0"/>
        <w:spacing w:line="360" w:lineRule="auto"/>
        <w:jc w:val="center"/>
        <w:rPr>
          <w:sz w:val="36"/>
          <w:szCs w:val="36"/>
        </w:rPr>
      </w:pPr>
      <w:bookmarkStart w:id="0" w:name="_Toc4175"/>
      <w:r>
        <w:rPr>
          <w:rFonts w:hint="eastAsia"/>
          <w:sz w:val="36"/>
          <w:szCs w:val="36"/>
        </w:rPr>
        <w:t>第一章  竞争性谈判公告</w:t>
      </w:r>
      <w:bookmarkEnd w:id="0"/>
    </w:p>
    <w:p w14:paraId="3B86E44C">
      <w:pPr>
        <w:pStyle w:val="3"/>
        <w:bidi w:val="0"/>
        <w:spacing w:line="360" w:lineRule="auto"/>
        <w:jc w:val="center"/>
        <w:rPr>
          <w:rFonts w:hint="eastAsia" w:ascii="Times New Roman" w:hAnsi="Times New Roman" w:eastAsia="宋体" w:cs="Times New Roman"/>
          <w:sz w:val="36"/>
          <w:szCs w:val="36"/>
          <w:lang w:eastAsia="zh-CN"/>
        </w:rPr>
      </w:pPr>
      <w:bookmarkStart w:id="1" w:name="_Toc4648"/>
      <w:bookmarkStart w:id="2" w:name="_Toc20878"/>
      <w:r>
        <w:rPr>
          <w:rFonts w:hint="eastAsia" w:ascii="Times New Roman" w:hAnsi="Times New Roman" w:eastAsia="宋体" w:cs="Times New Roman"/>
          <w:sz w:val="36"/>
          <w:szCs w:val="36"/>
        </w:rPr>
        <w:t>吉林工业职业技术学院AIC智能校园系统升级项目</w:t>
      </w:r>
      <w:bookmarkEnd w:id="1"/>
      <w:bookmarkEnd w:id="2"/>
    </w:p>
    <w:p w14:paraId="7A78AE3D">
      <w:pPr>
        <w:pStyle w:val="3"/>
        <w:bidi w:val="0"/>
        <w:spacing w:line="360" w:lineRule="auto"/>
        <w:jc w:val="center"/>
        <w:rPr>
          <w:rFonts w:hint="eastAsia" w:ascii="宋体" w:hAnsi="宋体" w:eastAsia="宋体" w:cs="宋体"/>
          <w:b/>
          <w:bCs/>
          <w:color w:val="000000"/>
          <w:sz w:val="28"/>
          <w:szCs w:val="28"/>
          <w:highlight w:val="none"/>
          <w:lang w:val="zh-CN"/>
        </w:rPr>
      </w:pPr>
      <w:bookmarkStart w:id="3" w:name="_Toc31748"/>
      <w:bookmarkStart w:id="4" w:name="_Toc28675"/>
      <w:bookmarkStart w:id="5" w:name="_Toc18656"/>
      <w:r>
        <w:rPr>
          <w:rFonts w:hint="eastAsia"/>
          <w:sz w:val="36"/>
          <w:szCs w:val="36"/>
        </w:rPr>
        <w:t>竞争性</w:t>
      </w:r>
      <w:r>
        <w:rPr>
          <w:rFonts w:hint="eastAsia"/>
          <w:sz w:val="36"/>
          <w:szCs w:val="36"/>
          <w:lang w:eastAsia="zh-CN"/>
        </w:rPr>
        <w:t>谈判公告</w:t>
      </w:r>
      <w:bookmarkEnd w:id="3"/>
      <w:bookmarkEnd w:id="4"/>
      <w:bookmarkEnd w:id="5"/>
    </w:p>
    <w:tbl>
      <w:tblPr>
        <w:tblStyle w:val="35"/>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026D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33CC47AA">
            <w:pPr>
              <w:pStyle w:val="31"/>
              <w:wordWrap w:val="0"/>
              <w:adjustRightInd w:val="0"/>
              <w:snapToGrid w:val="0"/>
              <w:spacing w:before="15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15C4EA07">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吉林工业职业技术学院AIC智能校园系统升级项目的潜在</w:t>
            </w:r>
            <w:r>
              <w:rPr>
                <w:rFonts w:hint="eastAsia" w:cs="宋体"/>
                <w:color w:val="auto"/>
                <w:sz w:val="24"/>
                <w:szCs w:val="24"/>
                <w:lang w:eastAsia="zh-CN"/>
              </w:rPr>
              <w:t>供应商</w:t>
            </w:r>
            <w:r>
              <w:rPr>
                <w:rFonts w:hint="eastAsia" w:ascii="宋体" w:hAnsi="宋体" w:eastAsia="宋体" w:cs="宋体"/>
                <w:color w:val="auto"/>
                <w:sz w:val="24"/>
                <w:szCs w:val="24"/>
              </w:rPr>
              <w:t>应在</w:t>
            </w:r>
            <w:r>
              <w:rPr>
                <w:rFonts w:hint="eastAsia" w:ascii="宋体" w:hAnsi="宋体" w:eastAsia="宋体" w:cs="宋体"/>
                <w:color w:val="auto"/>
                <w:sz w:val="24"/>
                <w:szCs w:val="24"/>
                <w:lang w:eastAsia="zh-CN"/>
              </w:rPr>
              <w:t>“政采云”平台（https://www.zcygov.cn/）</w:t>
            </w:r>
            <w:r>
              <w:rPr>
                <w:rFonts w:hint="eastAsia" w:ascii="宋体" w:hAnsi="宋体" w:eastAsia="宋体" w:cs="宋体"/>
                <w:color w:val="auto"/>
                <w:sz w:val="24"/>
                <w:szCs w:val="24"/>
              </w:rPr>
              <w:t>获取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文件，并于</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cs="宋体"/>
                <w:color w:val="auto"/>
                <w:sz w:val="24"/>
                <w:szCs w:val="24"/>
                <w:lang w:val="en-US" w:eastAsia="zh-CN"/>
              </w:rPr>
              <w:t>30</w:t>
            </w:r>
            <w:r>
              <w:rPr>
                <w:rFonts w:hint="eastAsia" w:ascii="宋体" w:hAnsi="宋体" w:eastAsia="宋体" w:cs="宋体"/>
                <w:color w:val="auto"/>
                <w:sz w:val="24"/>
                <w:szCs w:val="24"/>
                <w:lang w:eastAsia="zh-CN"/>
              </w:rPr>
              <w:t>日</w:t>
            </w:r>
            <w:r>
              <w:rPr>
                <w:rFonts w:hint="eastAsia" w:cs="宋体"/>
                <w:color w:val="auto"/>
                <w:sz w:val="24"/>
                <w:szCs w:val="24"/>
                <w:lang w:val="en-US" w:eastAsia="zh-CN"/>
              </w:rPr>
              <w:t>14</w:t>
            </w:r>
            <w:r>
              <w:rPr>
                <w:rFonts w:hint="eastAsia" w:ascii="宋体" w:hAnsi="宋体" w:eastAsia="宋体" w:cs="宋体"/>
                <w:color w:val="auto"/>
                <w:sz w:val="24"/>
                <w:szCs w:val="24"/>
                <w:lang w:eastAsia="zh-CN"/>
              </w:rPr>
              <w:t>时</w:t>
            </w:r>
            <w:r>
              <w:rPr>
                <w:rFonts w:hint="eastAsia" w:cs="宋体"/>
                <w:color w:val="auto"/>
                <w:sz w:val="24"/>
                <w:szCs w:val="24"/>
                <w:lang w:val="en-US" w:eastAsia="zh-CN"/>
              </w:rPr>
              <w:t>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（北京时间）前</w:t>
            </w:r>
            <w:r>
              <w:rPr>
                <w:rFonts w:hint="eastAsia" w:ascii="宋体" w:hAnsi="宋体" w:eastAsia="宋体" w:cs="宋体"/>
                <w:color w:val="auto"/>
                <w:sz w:val="24"/>
                <w:szCs w:val="24"/>
                <w:lang w:eastAsia="zh-CN"/>
              </w:rPr>
              <w:t>提</w:t>
            </w:r>
            <w:r>
              <w:rPr>
                <w:rFonts w:hint="eastAsia" w:ascii="宋体" w:hAnsi="宋体" w:eastAsia="宋体" w:cs="宋体"/>
                <w:color w:val="auto"/>
                <w:sz w:val="24"/>
                <w:szCs w:val="24"/>
              </w:rPr>
              <w:t>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bl>
    <w:p w14:paraId="5C69270C">
      <w:pPr>
        <w:pStyle w:val="4"/>
        <w:widowControl/>
        <w:spacing w:before="0" w:after="0" w:line="360" w:lineRule="auto"/>
        <w:jc w:val="left"/>
        <w:rPr>
          <w:rFonts w:ascii="宋体" w:hAnsi="宋体" w:cs="宋体"/>
          <w:b w:val="0"/>
          <w:kern w:val="0"/>
          <w:sz w:val="24"/>
          <w:szCs w:val="24"/>
        </w:rPr>
      </w:pPr>
    </w:p>
    <w:p w14:paraId="0A404605">
      <w:pPr>
        <w:widowControl/>
        <w:spacing w:line="360" w:lineRule="auto"/>
        <w:rPr>
          <w:rFonts w:ascii="宋体" w:hAnsi="宋体" w:cs="宋体"/>
          <w:b/>
          <w:kern w:val="0"/>
          <w:sz w:val="24"/>
          <w:szCs w:val="24"/>
        </w:rPr>
      </w:pPr>
      <w:r>
        <w:rPr>
          <w:rFonts w:hint="eastAsia" w:ascii="宋体" w:hAnsi="宋体" w:cs="宋体"/>
          <w:b/>
          <w:kern w:val="0"/>
          <w:sz w:val="24"/>
          <w:szCs w:val="24"/>
        </w:rPr>
        <w:t>一、项目基本情况：</w:t>
      </w:r>
    </w:p>
    <w:p w14:paraId="5D59CDDB">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bCs/>
          <w:snapToGrid w:val="0"/>
          <w:sz w:val="24"/>
          <w:szCs w:val="24"/>
          <w:lang w:val="en-US" w:eastAsia="zh-CN"/>
        </w:rPr>
        <w:t>1.</w:t>
      </w:r>
      <w:r>
        <w:rPr>
          <w:rFonts w:hint="eastAsia" w:ascii="宋体" w:hAnsi="宋体" w:cs="宋体"/>
          <w:bCs/>
          <w:snapToGrid w:val="0"/>
          <w:sz w:val="24"/>
          <w:szCs w:val="24"/>
        </w:rPr>
        <w:t>采购</w:t>
      </w:r>
      <w:r>
        <w:rPr>
          <w:rFonts w:hint="eastAsia" w:ascii="宋体" w:hAnsi="宋体" w:cs="宋体"/>
          <w:kern w:val="0"/>
          <w:sz w:val="24"/>
          <w:szCs w:val="24"/>
        </w:rPr>
        <w:t>编号：采购计划-[2025]-05546号-00001</w:t>
      </w:r>
      <w:r>
        <w:rPr>
          <w:rFonts w:hint="eastAsia" w:ascii="宋体" w:hAnsi="宋体" w:cs="宋体"/>
          <w:kern w:val="0"/>
          <w:sz w:val="24"/>
          <w:szCs w:val="24"/>
          <w:lang w:val="en-US" w:eastAsia="zh-CN"/>
        </w:rPr>
        <w:t>-2次</w:t>
      </w:r>
    </w:p>
    <w:p w14:paraId="1B46FABB">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2.</w:t>
      </w:r>
      <w:r>
        <w:rPr>
          <w:rFonts w:hint="eastAsia" w:ascii="宋体" w:hAnsi="宋体" w:cs="宋体"/>
          <w:bCs/>
          <w:kern w:val="0"/>
          <w:sz w:val="24"/>
          <w:szCs w:val="24"/>
        </w:rPr>
        <w:t>项目名称：</w:t>
      </w:r>
      <w:r>
        <w:rPr>
          <w:sz w:val="24"/>
          <w:szCs w:val="24"/>
        </w:rPr>
        <w:fldChar w:fldCharType="begin"/>
      </w:r>
      <w:r>
        <w:rPr>
          <w:sz w:val="24"/>
          <w:szCs w:val="24"/>
        </w:rPr>
        <w:instrText xml:space="preserve"> HYPERLINK "https://www.zcygov.cn/project-center/_procurement_/project-detail-router/659d77b63503973a?utm=web-bid-inviting-front.5de658f6.0.0.94b432a0233d11f09268cd1ed9b570b6" \t "https://www.zcygov.cn/bid-inviting/_procurement_/purchaseFileMake/_blank" </w:instrText>
      </w:r>
      <w:r>
        <w:rPr>
          <w:sz w:val="24"/>
          <w:szCs w:val="24"/>
        </w:rPr>
        <w:fldChar w:fldCharType="separate"/>
      </w:r>
      <w:r>
        <w:rPr>
          <w:rFonts w:hint="eastAsia" w:ascii="宋体" w:hAnsi="宋体" w:cs="宋体"/>
          <w:kern w:val="0"/>
          <w:sz w:val="24"/>
          <w:szCs w:val="24"/>
          <w:lang w:eastAsia="zh-CN"/>
        </w:rPr>
        <w:t>吉林工业职业技术学院AIC智能校园系统升级项目</w:t>
      </w:r>
      <w:r>
        <w:rPr>
          <w:rFonts w:hint="eastAsia" w:ascii="宋体" w:hAnsi="宋体" w:cs="宋体"/>
          <w:kern w:val="0"/>
          <w:sz w:val="24"/>
          <w:szCs w:val="24"/>
        </w:rPr>
        <w:fldChar w:fldCharType="end"/>
      </w:r>
    </w:p>
    <w:p w14:paraId="42B8BF67">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rPr>
        <w:t>采购方式：竞争性谈判</w:t>
      </w:r>
    </w:p>
    <w:p w14:paraId="23F1F531">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预算金额（最高限价）：</w:t>
      </w:r>
      <w:r>
        <w:rPr>
          <w:rFonts w:hint="eastAsia" w:ascii="宋体" w:hAnsi="宋体" w:eastAsia="宋体" w:cs="宋体"/>
          <w:bCs/>
          <w:kern w:val="0"/>
          <w:sz w:val="24"/>
          <w:szCs w:val="24"/>
        </w:rPr>
        <w:t>1,590,000.00</w:t>
      </w:r>
      <w:r>
        <w:rPr>
          <w:rFonts w:hint="eastAsia" w:ascii="宋体" w:hAnsi="宋体" w:cs="宋体"/>
          <w:bCs/>
          <w:kern w:val="0"/>
          <w:sz w:val="24"/>
          <w:szCs w:val="24"/>
        </w:rPr>
        <w:t>元</w:t>
      </w:r>
    </w:p>
    <w:p w14:paraId="5BAE0F08">
      <w:pPr>
        <w:spacing w:line="360" w:lineRule="auto"/>
        <w:ind w:firstLine="480" w:firstLineChars="200"/>
        <w:rPr>
          <w:rFonts w:hint="eastAsia" w:ascii="宋体" w:hAnsi="宋体" w:eastAsia="宋体" w:cs="宋体"/>
          <w:bCs/>
          <w:kern w:val="0"/>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采购需求：</w:t>
      </w:r>
      <w:r>
        <w:rPr>
          <w:rFonts w:hint="eastAsia" w:ascii="宋体" w:hAnsi="宋体" w:eastAsia="宋体" w:cs="宋体"/>
          <w:bCs/>
          <w:kern w:val="0"/>
          <w:sz w:val="24"/>
          <w:szCs w:val="24"/>
        </w:rPr>
        <w:t>AIC智能校园系统升级(详见第三章货物采购需求）</w:t>
      </w:r>
    </w:p>
    <w:p w14:paraId="525EE436">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供 货 期：自合同签订之日起</w:t>
      </w:r>
      <w:r>
        <w:rPr>
          <w:rFonts w:hint="eastAsia" w:ascii="宋体" w:hAnsi="宋体" w:eastAsia="宋体" w:cs="宋体"/>
          <w:bCs/>
          <w:kern w:val="0"/>
          <w:sz w:val="24"/>
          <w:szCs w:val="24"/>
          <w:lang w:val="zh-CN"/>
        </w:rPr>
        <w:t xml:space="preserve"> </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0</w:t>
      </w:r>
      <w:r>
        <w:rPr>
          <w:rFonts w:hint="eastAsia" w:ascii="宋体" w:hAnsi="宋体" w:eastAsia="宋体" w:cs="宋体"/>
          <w:bCs/>
          <w:kern w:val="0"/>
          <w:sz w:val="24"/>
          <w:szCs w:val="24"/>
          <w:lang w:val="zh-CN"/>
        </w:rPr>
        <w:t xml:space="preserve"> 天内完成软件部署及调试。</w:t>
      </w:r>
    </w:p>
    <w:p w14:paraId="1AA75130">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供货地点：吉林工业职业技术学院指定地点</w:t>
      </w:r>
    </w:p>
    <w:p w14:paraId="52591230">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val="en-US" w:eastAsia="zh-CN"/>
        </w:rPr>
        <w:t>8.</w:t>
      </w:r>
      <w:r>
        <w:rPr>
          <w:rFonts w:ascii="宋体" w:hAnsi="宋体" w:cs="宋体"/>
          <w:kern w:val="0"/>
          <w:sz w:val="24"/>
          <w:szCs w:val="24"/>
        </w:rPr>
        <w:t>质量要求</w:t>
      </w:r>
      <w:r>
        <w:rPr>
          <w:rFonts w:hint="eastAsia" w:ascii="宋体" w:hAnsi="宋体" w:cs="宋体"/>
          <w:kern w:val="0"/>
          <w:sz w:val="24"/>
          <w:szCs w:val="24"/>
        </w:rPr>
        <w:t>：符合国家及相关行业合格标准</w:t>
      </w:r>
      <w:r>
        <w:rPr>
          <w:rFonts w:ascii="宋体" w:hAnsi="宋体" w:cs="宋体"/>
          <w:kern w:val="0"/>
          <w:sz w:val="24"/>
          <w:szCs w:val="24"/>
        </w:rPr>
        <w:t>。</w:t>
      </w:r>
    </w:p>
    <w:p w14:paraId="358FDB99">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9.资金来源：财政资金；</w:t>
      </w:r>
    </w:p>
    <w:p w14:paraId="50D15EB6">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10.资格审查方式：资格后审；</w:t>
      </w:r>
    </w:p>
    <w:p w14:paraId="2AAA2FB4">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11.合同履行期限：自合同签订之日起至合同履行完毕；</w:t>
      </w:r>
    </w:p>
    <w:p w14:paraId="035274C2">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12.本项目不接受联合体投标。</w:t>
      </w:r>
    </w:p>
    <w:p w14:paraId="310B21EF">
      <w:pPr>
        <w:spacing w:line="360" w:lineRule="auto"/>
        <w:rPr>
          <w:rFonts w:ascii="宋体" w:hAnsi="宋体" w:cs="宋体"/>
          <w:b/>
          <w:sz w:val="24"/>
          <w:szCs w:val="24"/>
        </w:rPr>
      </w:pPr>
      <w:r>
        <w:rPr>
          <w:rFonts w:hint="eastAsia" w:ascii="宋体" w:hAnsi="宋体" w:cs="宋体"/>
          <w:b/>
          <w:kern w:val="0"/>
          <w:sz w:val="24"/>
          <w:szCs w:val="24"/>
        </w:rPr>
        <w:t>二、申请人的资格要求：</w:t>
      </w:r>
    </w:p>
    <w:p w14:paraId="6D735AA8">
      <w:pPr>
        <w:pStyle w:val="31"/>
        <w:adjustRightInd w:val="0"/>
        <w:snapToGrid w:val="0"/>
        <w:spacing w:before="150" w:beforeAutospacing="0" w:after="0" w:afterAutospacing="0" w:line="360" w:lineRule="auto"/>
        <w:ind w:firstLine="482" w:firstLineChars="200"/>
        <w:jc w:val="both"/>
        <w:rPr>
          <w:rFonts w:hint="eastAsia" w:ascii="宋体" w:hAnsi="宋体" w:eastAsia="宋体" w:cs="宋体"/>
          <w:b/>
          <w:bCs/>
          <w:color w:val="auto"/>
        </w:rPr>
      </w:pPr>
      <w:bookmarkStart w:id="6" w:name="_bookmark3"/>
      <w:bookmarkEnd w:id="6"/>
      <w:r>
        <w:rPr>
          <w:rFonts w:hint="eastAsia" w:ascii="宋体" w:hAnsi="宋体" w:eastAsia="宋体" w:cs="宋体"/>
          <w:b/>
          <w:bCs/>
          <w:color w:val="auto"/>
        </w:rPr>
        <w:t>1、满足《中华人民共和国政府采购法》第二十二条规定；</w:t>
      </w:r>
    </w:p>
    <w:p w14:paraId="1B552889">
      <w:pPr>
        <w:pStyle w:val="31"/>
        <w:wordWrap w:val="0"/>
        <w:adjustRightInd w:val="0"/>
        <w:snapToGrid w:val="0"/>
        <w:spacing w:before="150" w:beforeAutospacing="0" w:after="0" w:afterAutospacing="0" w:line="360" w:lineRule="auto"/>
        <w:ind w:firstLine="482" w:firstLineChars="200"/>
        <w:jc w:val="both"/>
        <w:rPr>
          <w:rFonts w:hint="eastAsia" w:ascii="宋体" w:hAnsi="宋体" w:eastAsia="宋体" w:cs="宋体"/>
          <w:color w:val="auto"/>
          <w:lang w:eastAsia="zh-CN"/>
        </w:rPr>
      </w:pPr>
      <w:r>
        <w:rPr>
          <w:rFonts w:hint="eastAsia" w:ascii="宋体" w:hAnsi="宋体" w:eastAsia="宋体" w:cs="宋体"/>
          <w:b/>
          <w:bCs/>
          <w:color w:val="auto"/>
        </w:rPr>
        <w:t>2、落实政府采购政策需满足的资格要求：</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专门面向中小企业采购的采购项目（如属于专门面向中小企业采购的项目，供应商应为中小微企业、监狱企业、残疾人福利性单位）</w:t>
      </w:r>
      <w:r>
        <w:rPr>
          <w:rFonts w:hint="eastAsia" w:ascii="宋体" w:hAnsi="宋体" w:eastAsia="宋体" w:cs="宋体"/>
          <w:color w:val="auto"/>
          <w:lang w:eastAsia="zh-CN"/>
        </w:rPr>
        <w:t>；</w:t>
      </w:r>
    </w:p>
    <w:p w14:paraId="67C80114">
      <w:pPr>
        <w:pStyle w:val="31"/>
        <w:wordWrap w:val="0"/>
        <w:adjustRightInd w:val="0"/>
        <w:snapToGrid w:val="0"/>
        <w:spacing w:before="150" w:beforeAutospacing="0" w:after="0" w:afterAutospacing="0" w:line="360" w:lineRule="auto"/>
        <w:ind w:firstLine="482" w:firstLineChars="200"/>
        <w:jc w:val="both"/>
        <w:rPr>
          <w:rFonts w:hint="eastAsia" w:ascii="宋体" w:hAnsi="宋体"/>
          <w:b/>
          <w:bCs/>
          <w:color w:val="auto"/>
        </w:rPr>
      </w:pPr>
      <w:r>
        <w:rPr>
          <w:rFonts w:hint="eastAsia" w:ascii="宋体" w:hAnsi="宋体"/>
          <w:b/>
          <w:bCs/>
          <w:color w:val="auto"/>
        </w:rPr>
        <w:t>3、本项目的特定资格要求：</w:t>
      </w:r>
    </w:p>
    <w:p w14:paraId="42C4265A">
      <w:pPr>
        <w:pStyle w:val="31"/>
        <w:keepNext w:val="0"/>
        <w:keepLines w:val="0"/>
        <w:widowControl/>
        <w:suppressLineNumbers w:val="0"/>
        <w:spacing w:before="150" w:beforeAutospacing="0" w:after="0" w:afterAutospacing="0" w:line="360" w:lineRule="auto"/>
        <w:ind w:left="0"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3.1参加政府采购活动的供应商应当具备</w:t>
      </w:r>
      <w:r>
        <w:rPr>
          <w:rFonts w:hint="eastAsia" w:ascii="宋体" w:hAnsi="宋体" w:eastAsia="宋体" w:cs="宋体"/>
          <w:color w:val="auto"/>
          <w:sz w:val="24"/>
          <w:szCs w:val="24"/>
        </w:rPr>
        <w:t>《中华人民共和国政府采购法》</w:t>
      </w:r>
      <w:r>
        <w:rPr>
          <w:rFonts w:hint="eastAsia" w:ascii="宋体" w:hAnsi="宋体" w:eastAsia="宋体" w:cs="宋体"/>
          <w:color w:val="auto"/>
          <w:sz w:val="24"/>
          <w:szCs w:val="24"/>
          <w:highlight w:val="none"/>
          <w:lang w:val="en-US" w:eastAsia="zh-CN"/>
        </w:rPr>
        <w:t>第二十二条规定的条件，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⑤具备法律、行政法规规定的其他条件的证明材料；</w:t>
      </w:r>
    </w:p>
    <w:p w14:paraId="49F98EC7">
      <w:pPr>
        <w:pStyle w:val="31"/>
        <w:keepNext w:val="0"/>
        <w:keepLines w:val="0"/>
        <w:pageBreakBefore w:val="0"/>
        <w:kinsoku/>
        <w:wordWrap/>
        <w:overflowPunct/>
        <w:topLinePunct w:val="0"/>
        <w:autoSpaceDE/>
        <w:autoSpaceDN/>
        <w:bidi w:val="0"/>
        <w:adjustRightInd w:val="0"/>
        <w:snapToGrid w:val="0"/>
        <w:spacing w:before="150" w:beforeAutospacing="0" w:after="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须在“中国裁判文书网”（wenshu.court.gov.cn）无行贿犯罪记录：本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（案由：单位行贿罪）和个人（指法定代表人）（案由：行贿罪）；</w:t>
      </w:r>
    </w:p>
    <w:p w14:paraId="4125722D">
      <w:pPr>
        <w:pStyle w:val="31"/>
        <w:keepNext w:val="0"/>
        <w:keepLines w:val="0"/>
        <w:pageBreakBefore w:val="0"/>
        <w:kinsoku/>
        <w:wordWrap/>
        <w:overflowPunct/>
        <w:topLinePunct w:val="0"/>
        <w:autoSpaceDE/>
        <w:autoSpaceDN/>
        <w:bidi w:val="0"/>
        <w:adjustRightInd w:val="0"/>
        <w:snapToGrid w:val="0"/>
        <w:spacing w:before="150" w:beforeAutospacing="0" w:after="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供应商未被“信用中国”（www.creditchina.gov.cn）、“中国政府采购网”（www.ccgp.gov.cn）列入“失信被执行人、重大税收违法失信主体、政府采购严重违法失信行为记录名单”；</w:t>
      </w:r>
    </w:p>
    <w:p w14:paraId="2579E65C">
      <w:pPr>
        <w:pStyle w:val="31"/>
        <w:keepNext w:val="0"/>
        <w:keepLines w:val="0"/>
        <w:pageBreakBefore w:val="0"/>
        <w:kinsoku/>
        <w:wordWrap/>
        <w:overflowPunct/>
        <w:topLinePunct w:val="0"/>
        <w:autoSpaceDE/>
        <w:autoSpaceDN/>
        <w:bidi w:val="0"/>
        <w:adjustRightInd w:val="0"/>
        <w:snapToGrid w:val="0"/>
        <w:spacing w:before="150" w:beforeAutospacing="0" w:after="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7D94B9EA">
      <w:pPr>
        <w:widowControl/>
        <w:spacing w:line="360" w:lineRule="auto"/>
        <w:rPr>
          <w:rFonts w:ascii="宋体" w:hAnsi="宋体" w:cs="宋体"/>
          <w:bCs/>
          <w:sz w:val="24"/>
          <w:szCs w:val="24"/>
          <w:highlight w:val="none"/>
        </w:rPr>
      </w:pPr>
      <w:r>
        <w:rPr>
          <w:rFonts w:hint="eastAsia" w:ascii="宋体" w:hAnsi="宋体" w:cs="宋体"/>
          <w:b/>
          <w:sz w:val="24"/>
          <w:szCs w:val="24"/>
        </w:rPr>
        <w:t>三、获取谈判</w:t>
      </w:r>
      <w:r>
        <w:rPr>
          <w:rFonts w:hint="eastAsia" w:ascii="宋体" w:hAnsi="宋体" w:cs="宋体"/>
          <w:b/>
          <w:sz w:val="24"/>
          <w:szCs w:val="24"/>
          <w:highlight w:val="none"/>
        </w:rPr>
        <w:t>文件:</w:t>
      </w:r>
    </w:p>
    <w:p w14:paraId="57133D44">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eastAsia="zh-CN"/>
        </w:rPr>
        <w:t>：202</w:t>
      </w:r>
      <w:r>
        <w:rPr>
          <w:rFonts w:hint="eastAsia" w:ascii="宋体" w:hAnsi="宋体" w:eastAsia="宋体" w:cs="宋体"/>
          <w:color w:val="auto"/>
          <w:lang w:val="en-US" w:eastAsia="zh-CN"/>
        </w:rPr>
        <w:t>5</w:t>
      </w:r>
      <w:r>
        <w:rPr>
          <w:rFonts w:hint="eastAsia" w:ascii="宋体" w:hAnsi="宋体" w:eastAsia="宋体" w:cs="宋体"/>
          <w:color w:val="auto"/>
          <w:lang w:eastAsia="zh-CN"/>
        </w:rPr>
        <w:t>年0</w:t>
      </w:r>
      <w:r>
        <w:rPr>
          <w:rFonts w:hint="eastAsia" w:cs="宋体"/>
          <w:color w:val="auto"/>
          <w:lang w:val="en-US" w:eastAsia="zh-CN"/>
        </w:rPr>
        <w:t>7</w:t>
      </w:r>
      <w:r>
        <w:rPr>
          <w:rFonts w:hint="eastAsia" w:ascii="宋体" w:hAnsi="宋体" w:eastAsia="宋体" w:cs="宋体"/>
          <w:color w:val="auto"/>
          <w:lang w:eastAsia="zh-CN"/>
        </w:rPr>
        <w:t>月</w:t>
      </w:r>
      <w:r>
        <w:rPr>
          <w:rFonts w:hint="eastAsia" w:cs="宋体"/>
          <w:color w:val="auto"/>
          <w:lang w:val="en-US" w:eastAsia="zh-CN"/>
        </w:rPr>
        <w:t>17</w:t>
      </w:r>
      <w:r>
        <w:rPr>
          <w:rFonts w:hint="eastAsia" w:ascii="宋体" w:hAnsi="宋体" w:eastAsia="宋体" w:cs="宋体"/>
          <w:color w:val="auto"/>
          <w:lang w:eastAsia="zh-CN"/>
        </w:rPr>
        <w:t>日至202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cs="宋体"/>
          <w:color w:val="auto"/>
          <w:lang w:val="en-US" w:eastAsia="zh-CN"/>
        </w:rPr>
        <w:t>07</w:t>
      </w:r>
      <w:r>
        <w:rPr>
          <w:rFonts w:hint="eastAsia" w:ascii="宋体" w:hAnsi="宋体" w:eastAsia="宋体" w:cs="宋体"/>
          <w:color w:val="auto"/>
          <w:lang w:eastAsia="zh-CN"/>
        </w:rPr>
        <w:t>月</w:t>
      </w:r>
      <w:r>
        <w:rPr>
          <w:rFonts w:hint="eastAsia" w:cs="宋体"/>
          <w:color w:val="auto"/>
          <w:lang w:val="en-US" w:eastAsia="zh-CN"/>
        </w:rPr>
        <w:t>22</w:t>
      </w:r>
      <w:r>
        <w:rPr>
          <w:rFonts w:hint="eastAsia" w:ascii="宋体" w:hAnsi="宋体" w:eastAsia="宋体" w:cs="宋体"/>
          <w:color w:val="auto"/>
          <w:lang w:eastAsia="zh-CN"/>
        </w:rPr>
        <w:t>日</w:t>
      </w:r>
      <w:r>
        <w:rPr>
          <w:rFonts w:hint="eastAsia" w:ascii="宋体" w:hAnsi="宋体" w:eastAsia="宋体" w:cs="宋体"/>
          <w:color w:val="auto"/>
        </w:rPr>
        <w:t>16:</w:t>
      </w:r>
      <w:r>
        <w:rPr>
          <w:rFonts w:hint="eastAsia" w:ascii="宋体" w:hAnsi="宋体" w:eastAsia="宋体" w:cs="宋体"/>
          <w:color w:val="auto"/>
          <w:lang w:val="en-US" w:eastAsia="zh-CN"/>
        </w:rPr>
        <w:t>30</w:t>
      </w:r>
      <w:r>
        <w:rPr>
          <w:rFonts w:hint="eastAsia" w:ascii="宋体" w:hAnsi="宋体" w:eastAsia="宋体" w:cs="宋体"/>
          <w:color w:val="auto"/>
        </w:rPr>
        <w:t>止</w:t>
      </w:r>
    </w:p>
    <w:p w14:paraId="57A3E063">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5C77CF34">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117DFE4F">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p>
    <w:p w14:paraId="1C4398F3">
      <w:pPr>
        <w:tabs>
          <w:tab w:val="left" w:pos="0"/>
        </w:tabs>
        <w:spacing w:line="360" w:lineRule="auto"/>
        <w:ind w:firstLine="480" w:firstLineChars="200"/>
        <w:rPr>
          <w:rFonts w:ascii="宋体" w:hAnsi="宋体" w:cs="宋体"/>
          <w:sz w:val="24"/>
          <w:szCs w:val="24"/>
        </w:rPr>
      </w:pPr>
      <w:r>
        <w:rPr>
          <w:rFonts w:hint="eastAsia" w:ascii="宋体" w:hAnsi="宋体" w:cs="宋体"/>
          <w:bCs/>
          <w:snapToGrid w:val="0"/>
          <w:sz w:val="24"/>
          <w:szCs w:val="24"/>
        </w:rPr>
        <w:tab/>
      </w:r>
    </w:p>
    <w:p w14:paraId="5686D5CC">
      <w:pPr>
        <w:widowControl/>
        <w:spacing w:line="360" w:lineRule="auto"/>
        <w:rPr>
          <w:rFonts w:ascii="宋体" w:hAnsi="宋体" w:cs="宋体"/>
          <w:b/>
          <w:bCs/>
          <w:sz w:val="24"/>
          <w:szCs w:val="24"/>
        </w:rPr>
      </w:pPr>
      <w:r>
        <w:rPr>
          <w:rFonts w:hint="eastAsia" w:ascii="宋体" w:hAnsi="宋体" w:cs="宋体"/>
          <w:b/>
          <w:bCs/>
          <w:sz w:val="24"/>
          <w:szCs w:val="24"/>
        </w:rPr>
        <w:t>四、提交响应文件截止时间、开标时间和地点:</w:t>
      </w:r>
    </w:p>
    <w:p w14:paraId="1A26EB16">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提交响应文件截止时间：202</w:t>
      </w:r>
      <w:r>
        <w:rPr>
          <w:rFonts w:hint="eastAsia" w:ascii="宋体" w:hAnsi="宋体" w:eastAsia="宋体" w:cs="宋体"/>
          <w:color w:val="auto"/>
          <w:lang w:val="en-US" w:eastAsia="zh-CN"/>
        </w:rPr>
        <w:t>5</w:t>
      </w:r>
      <w:r>
        <w:rPr>
          <w:rFonts w:hint="eastAsia" w:ascii="宋体" w:hAnsi="宋体" w:eastAsia="宋体" w:cs="宋体"/>
          <w:color w:val="auto"/>
          <w:lang w:eastAsia="zh-CN"/>
        </w:rPr>
        <w:t>年0</w:t>
      </w:r>
      <w:r>
        <w:rPr>
          <w:rFonts w:hint="eastAsia" w:cs="宋体"/>
          <w:color w:val="auto"/>
          <w:lang w:val="en-US" w:eastAsia="zh-CN"/>
        </w:rPr>
        <w:t>7</w:t>
      </w:r>
      <w:r>
        <w:rPr>
          <w:rFonts w:hint="eastAsia" w:ascii="宋体" w:hAnsi="宋体" w:eastAsia="宋体" w:cs="宋体"/>
          <w:color w:val="auto"/>
          <w:lang w:eastAsia="zh-CN"/>
        </w:rPr>
        <w:t>月</w:t>
      </w:r>
      <w:r>
        <w:rPr>
          <w:rFonts w:hint="eastAsia" w:cs="宋体"/>
          <w:color w:val="auto"/>
          <w:lang w:val="en-US" w:eastAsia="zh-CN"/>
        </w:rPr>
        <w:t>30</w:t>
      </w:r>
      <w:r>
        <w:rPr>
          <w:rFonts w:hint="eastAsia" w:ascii="宋体" w:hAnsi="宋体" w:eastAsia="宋体" w:cs="宋体"/>
          <w:color w:val="auto"/>
          <w:lang w:eastAsia="zh-CN"/>
        </w:rPr>
        <w:t>日</w:t>
      </w:r>
      <w:r>
        <w:rPr>
          <w:rFonts w:hint="eastAsia" w:cs="宋体"/>
          <w:color w:val="auto"/>
          <w:lang w:val="en-US" w:eastAsia="zh-CN"/>
        </w:rPr>
        <w:t>14</w:t>
      </w:r>
      <w:r>
        <w:rPr>
          <w:rFonts w:hint="eastAsia" w:ascii="宋体" w:hAnsi="宋体" w:eastAsia="宋体" w:cs="宋体"/>
          <w:color w:val="auto"/>
          <w:lang w:eastAsia="zh-CN"/>
        </w:rPr>
        <w:t>时</w:t>
      </w:r>
      <w:r>
        <w:rPr>
          <w:rFonts w:hint="eastAsia" w:cs="宋体"/>
          <w:color w:val="auto"/>
          <w:lang w:val="en-US" w:eastAsia="zh-CN"/>
        </w:rPr>
        <w:t>30</w:t>
      </w:r>
      <w:r>
        <w:rPr>
          <w:rFonts w:hint="eastAsia" w:ascii="宋体" w:hAnsi="宋体" w:eastAsia="宋体" w:cs="宋体"/>
          <w:color w:val="auto"/>
          <w:lang w:eastAsia="zh-CN"/>
        </w:rPr>
        <w:t>分（北京时间）</w:t>
      </w:r>
    </w:p>
    <w:p w14:paraId="07190C84">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开标时间：202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lang w:val="en-US" w:eastAsia="zh-CN"/>
        </w:rPr>
        <w:t>0</w:t>
      </w:r>
      <w:r>
        <w:rPr>
          <w:rFonts w:hint="eastAsia" w:cs="宋体"/>
          <w:color w:val="auto"/>
          <w:lang w:val="en-US" w:eastAsia="zh-CN"/>
        </w:rPr>
        <w:t>7</w:t>
      </w:r>
      <w:r>
        <w:rPr>
          <w:rFonts w:hint="eastAsia" w:ascii="宋体" w:hAnsi="宋体" w:eastAsia="宋体" w:cs="宋体"/>
          <w:color w:val="auto"/>
          <w:lang w:eastAsia="zh-CN"/>
        </w:rPr>
        <w:t>月</w:t>
      </w:r>
      <w:r>
        <w:rPr>
          <w:rFonts w:hint="eastAsia" w:cs="宋体"/>
          <w:color w:val="auto"/>
          <w:lang w:val="en-US" w:eastAsia="zh-CN"/>
        </w:rPr>
        <w:t>30</w:t>
      </w:r>
      <w:r>
        <w:rPr>
          <w:rFonts w:hint="eastAsia" w:ascii="宋体" w:hAnsi="宋体" w:eastAsia="宋体" w:cs="宋体"/>
          <w:color w:val="auto"/>
          <w:lang w:eastAsia="zh-CN"/>
        </w:rPr>
        <w:t>日</w:t>
      </w:r>
      <w:r>
        <w:rPr>
          <w:rFonts w:hint="eastAsia" w:cs="宋体"/>
          <w:color w:val="auto"/>
          <w:lang w:val="en-US" w:eastAsia="zh-CN"/>
        </w:rPr>
        <w:t>14</w:t>
      </w:r>
      <w:r>
        <w:rPr>
          <w:rFonts w:hint="eastAsia" w:ascii="宋体" w:hAnsi="宋体" w:eastAsia="宋体" w:cs="宋体"/>
          <w:color w:val="auto"/>
          <w:lang w:eastAsia="zh-CN"/>
        </w:rPr>
        <w:t>时</w:t>
      </w:r>
      <w:r>
        <w:rPr>
          <w:rFonts w:hint="eastAsia" w:cs="宋体"/>
          <w:color w:val="auto"/>
          <w:lang w:val="en-US" w:eastAsia="zh-CN"/>
        </w:rPr>
        <w:t>30</w:t>
      </w:r>
      <w:r>
        <w:rPr>
          <w:rFonts w:hint="eastAsia" w:ascii="宋体" w:hAnsi="宋体" w:eastAsia="宋体" w:cs="宋体"/>
          <w:color w:val="auto"/>
          <w:lang w:eastAsia="zh-CN"/>
        </w:rPr>
        <w:t>分（北京时间）</w:t>
      </w:r>
    </w:p>
    <w:p w14:paraId="6869DFEE">
      <w:pPr>
        <w:pStyle w:val="31"/>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i w:val="0"/>
          <w:iCs w:val="0"/>
          <w:caps w:val="0"/>
          <w:color w:val="auto"/>
          <w:spacing w:val="0"/>
          <w:sz w:val="24"/>
          <w:szCs w:val="24"/>
        </w:rPr>
        <w:t>长春市二道区洋浦大街6999号凯利中心AB栋101开标</w:t>
      </w:r>
      <w:r>
        <w:rPr>
          <w:rFonts w:hint="eastAsia" w:cs="宋体"/>
          <w:i w:val="0"/>
          <w:iCs w:val="0"/>
          <w:caps w:val="0"/>
          <w:color w:val="auto"/>
          <w:spacing w:val="0"/>
          <w:sz w:val="24"/>
          <w:szCs w:val="24"/>
          <w:lang w:eastAsia="zh-CN"/>
        </w:rPr>
        <w:t>二</w:t>
      </w:r>
      <w:r>
        <w:rPr>
          <w:rFonts w:hint="eastAsia" w:ascii="宋体" w:hAnsi="宋体" w:eastAsia="宋体" w:cs="宋体"/>
          <w:i w:val="0"/>
          <w:iCs w:val="0"/>
          <w:caps w:val="0"/>
          <w:color w:val="auto"/>
          <w:spacing w:val="0"/>
          <w:sz w:val="24"/>
          <w:szCs w:val="24"/>
        </w:rPr>
        <w:t>室。</w:t>
      </w:r>
      <w:r>
        <w:rPr>
          <w:rFonts w:hint="eastAsia" w:ascii="宋体" w:hAnsi="宋体" w:eastAsia="宋体" w:cs="宋体"/>
          <w:color w:val="auto"/>
          <w:sz w:val="24"/>
          <w:szCs w:val="24"/>
          <w:highlight w:val="none"/>
          <w:lang w:eastAsia="zh-CN"/>
        </w:rPr>
        <w:t>（本项目执行电子化招投标，</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须通过政府采购云平台（https://www.zcygov.cn/）递交电子版投标文件，逾期未上传电子投标文件，将不予受理。）</w:t>
      </w:r>
    </w:p>
    <w:p w14:paraId="66A3EC15">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五、公告期限:</w:t>
      </w:r>
    </w:p>
    <w:p w14:paraId="7E44C03A">
      <w:pPr>
        <w:tabs>
          <w:tab w:val="left" w:pos="0"/>
        </w:tabs>
        <w:spacing w:line="360" w:lineRule="auto"/>
        <w:ind w:firstLine="421"/>
        <w:rPr>
          <w:rFonts w:ascii="宋体" w:hAnsi="宋体" w:cs="宋体"/>
          <w:bCs/>
          <w:snapToGrid w:val="0"/>
          <w:sz w:val="24"/>
          <w:szCs w:val="24"/>
        </w:rPr>
      </w:pPr>
      <w:r>
        <w:rPr>
          <w:rFonts w:hint="eastAsia" w:ascii="宋体" w:hAnsi="宋体" w:cs="宋体"/>
          <w:bCs/>
          <w:snapToGrid w:val="0"/>
          <w:sz w:val="24"/>
          <w:szCs w:val="24"/>
        </w:rPr>
        <w:t>自本公告发布之日起3个工作日。</w:t>
      </w:r>
    </w:p>
    <w:p w14:paraId="7680104B">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六、其他补充事宜:</w:t>
      </w:r>
    </w:p>
    <w:p w14:paraId="21264F25">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拟参与本项目的供应商，首先在“政采云”平台上免费进行供应商注册（“政采云”供应商注册流程：https://middle.zcygov.cn/v-settle-front/registry），注册后可在“政采云”平台免费自行下载招标文件（下载地址：https://www.zcygov.cn/；下载招标文件操作路径：登录“政采云”平台-登录账号-我的工作台-项目采购-获取采购文件-找到本项目-点击“申请获取文件”）。</w:t>
      </w:r>
    </w:p>
    <w:p w14:paraId="0698E2CF">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本项目为全流程电子化项目</w:t>
      </w:r>
      <w:r>
        <w:rPr>
          <w:rFonts w:hint="eastAsia" w:ascii="宋体" w:hAnsi="宋体" w:eastAsia="宋体" w:cs="宋体"/>
          <w:color w:val="auto"/>
          <w:lang w:eastAsia="zh-CN"/>
        </w:rPr>
        <w:t>，</w:t>
      </w:r>
      <w:r>
        <w:rPr>
          <w:rFonts w:hint="eastAsia" w:ascii="宋体" w:hAnsi="宋体" w:eastAsia="宋体" w:cs="宋体"/>
          <w:color w:val="auto"/>
        </w:rPr>
        <w:t>通过“政采云”平台（</w:t>
      </w:r>
      <w:r>
        <w:rPr>
          <w:rFonts w:hint="eastAsia" w:ascii="宋体" w:hAnsi="宋体" w:cs="宋体"/>
          <w:color w:val="auto"/>
          <w:lang w:eastAsia="zh-CN"/>
        </w:rPr>
        <w:t>https://www.zcygov.cn/</w:t>
      </w:r>
      <w:r>
        <w:rPr>
          <w:rFonts w:hint="eastAsia" w:ascii="宋体" w:hAnsi="宋体" w:eastAsia="宋体" w:cs="宋体"/>
          <w:color w:val="auto"/>
        </w:rPr>
        <w:t>）实行在线电子投标</w:t>
      </w:r>
      <w:r>
        <w:rPr>
          <w:rFonts w:hint="eastAsia" w:ascii="宋体" w:hAnsi="宋体" w:eastAsia="宋体" w:cs="宋体"/>
          <w:color w:val="auto"/>
          <w:lang w:eastAsia="zh-CN"/>
        </w:rPr>
        <w:t>，</w:t>
      </w:r>
      <w:r>
        <w:rPr>
          <w:rFonts w:hint="eastAsia" w:ascii="宋体" w:hAnsi="宋体" w:eastAsia="宋体" w:cs="宋体"/>
          <w:color w:val="auto"/>
        </w:rPr>
        <w:t>供应商应先安装“政采云投标客户端”(请自行前往“政采云”平台进行下载</w:t>
      </w:r>
      <w:r>
        <w:rPr>
          <w:rFonts w:hint="eastAsia" w:ascii="宋体" w:hAnsi="宋体" w:eastAsia="宋体" w:cs="宋体"/>
          <w:color w:val="auto"/>
          <w:lang w:eastAsia="zh-CN"/>
        </w:rPr>
        <w:t>，</w:t>
      </w:r>
      <w:r>
        <w:rPr>
          <w:rFonts w:hint="eastAsia" w:ascii="宋体" w:hAnsi="宋体" w:eastAsia="宋体" w:cs="宋体"/>
          <w:color w:val="auto"/>
        </w:rPr>
        <w:t>政采云投标客户端及CA驱动下载地址：https://customer.zcygov.cn/CA-driver-download?utm=web-login-front.52cebfa2.0.0.04df4040034511edaac705fda12edb43)</w:t>
      </w:r>
      <w:r>
        <w:rPr>
          <w:rFonts w:hint="eastAsia" w:ascii="宋体" w:hAnsi="宋体" w:eastAsia="宋体" w:cs="宋体"/>
          <w:color w:val="auto"/>
          <w:lang w:eastAsia="zh-CN"/>
        </w:rPr>
        <w:t>，</w:t>
      </w:r>
      <w:r>
        <w:rPr>
          <w:rFonts w:hint="eastAsia" w:ascii="宋体" w:hAnsi="宋体" w:eastAsia="宋体" w:cs="宋体"/>
          <w:color w:val="auto"/>
        </w:rPr>
        <w:t>并按照本项目招标文件和“政采云”平台的要求编制、加密投标文件后在投标文件提交截止时间前通过网络上传至“政采云”平台</w:t>
      </w:r>
      <w:r>
        <w:rPr>
          <w:rFonts w:hint="eastAsia" w:ascii="宋体" w:hAnsi="宋体" w:eastAsia="宋体" w:cs="宋体"/>
          <w:color w:val="auto"/>
          <w:lang w:eastAsia="zh-CN"/>
        </w:rPr>
        <w:t>，</w:t>
      </w:r>
      <w:r>
        <w:rPr>
          <w:rFonts w:hint="eastAsia" w:ascii="宋体" w:hAnsi="宋体" w:eastAsia="宋体" w:cs="宋体"/>
          <w:color w:val="auto"/>
        </w:rPr>
        <w:t>供应商在“政采云”平台提交电子版投标文件时</w:t>
      </w:r>
      <w:r>
        <w:rPr>
          <w:rFonts w:hint="eastAsia" w:ascii="宋体" w:hAnsi="宋体" w:eastAsia="宋体" w:cs="宋体"/>
          <w:color w:val="auto"/>
          <w:lang w:eastAsia="zh-CN"/>
        </w:rPr>
        <w:t>，</w:t>
      </w:r>
      <w:r>
        <w:rPr>
          <w:rFonts w:hint="eastAsia" w:ascii="宋体" w:hAnsi="宋体" w:eastAsia="宋体" w:cs="宋体"/>
          <w:color w:val="auto"/>
        </w:rPr>
        <w:t>请填写参加开启活动经办人联系方式。</w:t>
      </w:r>
    </w:p>
    <w:p w14:paraId="344DD83A">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电子投标文件制作需要基于“政采云”平台获取的招标文件进行制作，制作投标文件时需要完成CA与账号的绑定。</w:t>
      </w:r>
    </w:p>
    <w:p w14:paraId="2131D168">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若对项目采购电子交易系统操作有疑问，可登录“政采云”平台，点击右侧咨询小采，获取采小蜜智能服务管家帮助，或拨打政采云服务热线95763获取帮助。</w:t>
      </w:r>
    </w:p>
    <w:p w14:paraId="132DE7E0">
      <w:pPr>
        <w:pStyle w:val="31"/>
        <w:wordWrap w:val="0"/>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、本次招标公告在</w:t>
      </w:r>
      <w:r>
        <w:rPr>
          <w:rFonts w:hint="eastAsia" w:ascii="宋体" w:hAnsi="宋体" w:eastAsia="宋体" w:cs="宋体"/>
          <w:color w:val="auto"/>
          <w:lang w:eastAsia="zh-CN"/>
        </w:rPr>
        <w:t>“政采云”平台（https://www.zcygov.cn/）</w:t>
      </w:r>
      <w:r>
        <w:rPr>
          <w:rFonts w:hint="eastAsia" w:ascii="宋体" w:hAnsi="宋体" w:eastAsia="宋体" w:cs="宋体"/>
          <w:color w:val="auto"/>
        </w:rPr>
        <w:t>（同步推送到吉林省政府采购网）、中国政府采购网上同时发布。</w:t>
      </w:r>
    </w:p>
    <w:p w14:paraId="77337B7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w:t>
      </w:r>
    </w:p>
    <w:p w14:paraId="64CD000C">
      <w:pPr>
        <w:spacing w:line="360" w:lineRule="auto"/>
        <w:rPr>
          <w:rFonts w:ascii="宋体" w:hAnsi="宋体" w:cs="宋体"/>
          <w:b/>
          <w:sz w:val="24"/>
          <w:szCs w:val="24"/>
        </w:rPr>
      </w:pPr>
      <w:r>
        <w:rPr>
          <w:rFonts w:hint="eastAsia" w:ascii="宋体" w:hAnsi="宋体" w:cs="宋体"/>
          <w:b/>
          <w:sz w:val="24"/>
          <w:szCs w:val="24"/>
        </w:rPr>
        <w:t>七、对本次招标提出询问，请按以下方式联系：</w:t>
      </w:r>
    </w:p>
    <w:p w14:paraId="2F63C7AD">
      <w:pPr>
        <w:widowControl/>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14:paraId="68AA37A5">
      <w:pPr>
        <w:widowControl/>
        <w:spacing w:line="360" w:lineRule="auto"/>
        <w:ind w:firstLine="480" w:firstLineChars="200"/>
        <w:rPr>
          <w:rFonts w:ascii="宋体" w:hAnsi="宋体" w:cs="宋体"/>
          <w:sz w:val="24"/>
          <w:szCs w:val="24"/>
        </w:rPr>
      </w:pPr>
      <w:r>
        <w:rPr>
          <w:rFonts w:hint="eastAsia" w:ascii="宋体" w:hAnsi="宋体" w:cs="宋体"/>
          <w:sz w:val="24"/>
          <w:szCs w:val="24"/>
        </w:rPr>
        <w:t>采购人：吉林工业职业技术学院 </w:t>
      </w:r>
    </w:p>
    <w:p w14:paraId="47140F79">
      <w:pPr>
        <w:widowControl/>
        <w:spacing w:line="360" w:lineRule="auto"/>
        <w:ind w:firstLine="480" w:firstLineChars="200"/>
        <w:rPr>
          <w:rFonts w:ascii="宋体" w:hAnsi="宋体" w:cs="宋体"/>
          <w:sz w:val="24"/>
          <w:szCs w:val="24"/>
        </w:rPr>
      </w:pPr>
      <w:r>
        <w:rPr>
          <w:rFonts w:hint="eastAsia" w:ascii="宋体" w:hAnsi="宋体" w:cs="宋体"/>
          <w:sz w:val="24"/>
          <w:szCs w:val="24"/>
        </w:rPr>
        <w:t>地址：吉林省吉林市丰满区恒山西路15号</w:t>
      </w:r>
    </w:p>
    <w:p w14:paraId="5E10CE7E">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谭雪峰</w:t>
      </w:r>
    </w:p>
    <w:p w14:paraId="2BE41AEC">
      <w:pPr>
        <w:widowControl/>
        <w:spacing w:line="360" w:lineRule="auto"/>
        <w:ind w:firstLine="480" w:firstLineChars="200"/>
        <w:rPr>
          <w:rFonts w:ascii="宋体" w:hAnsi="宋体" w:cs="宋体"/>
          <w:sz w:val="24"/>
          <w:szCs w:val="24"/>
        </w:rPr>
      </w:pPr>
      <w:r>
        <w:rPr>
          <w:rFonts w:hint="eastAsia" w:ascii="宋体" w:hAnsi="宋体" w:cs="宋体"/>
          <w:sz w:val="24"/>
          <w:szCs w:val="24"/>
        </w:rPr>
        <w:t>联系电话：0432-64644336</w:t>
      </w:r>
    </w:p>
    <w:p w14:paraId="1469D7B6">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2、采购代理机构信息</w:t>
      </w:r>
    </w:p>
    <w:p w14:paraId="71D73EDF">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名</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zh-CN" w:eastAsia="zh-CN" w:bidi="ar-SA"/>
        </w:rPr>
        <w:t>称：中轩项目管理有限公司</w:t>
      </w:r>
    </w:p>
    <w:p w14:paraId="1720EE39">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地</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zh-CN" w:eastAsia="zh-CN" w:bidi="ar-SA"/>
        </w:rPr>
        <w:t>址：吉林市昌邑区珲春北街1号首创国际广场B028、B029、B030号网点</w:t>
      </w:r>
    </w:p>
    <w:p w14:paraId="02133478">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 xml:space="preserve">联系方式：李卓 </w:t>
      </w:r>
      <w:r>
        <w:rPr>
          <w:rFonts w:hint="eastAsia" w:ascii="宋体" w:hAnsi="宋体" w:eastAsia="宋体" w:cs="宋体"/>
          <w:kern w:val="0"/>
          <w:sz w:val="24"/>
          <w:szCs w:val="24"/>
          <w:highlight w:val="none"/>
          <w:lang w:val="en-US" w:eastAsia="zh-CN" w:bidi="ar-SA"/>
        </w:rPr>
        <w:t>0432-62088066</w:t>
      </w:r>
    </w:p>
    <w:p w14:paraId="5DD03928">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p>
    <w:p w14:paraId="3E083616">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3、项目联系方式</w:t>
      </w:r>
    </w:p>
    <w:p w14:paraId="692E5875">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项目联系人：李卓</w:t>
      </w:r>
    </w:p>
    <w:p w14:paraId="29D82428">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联系电话：</w:t>
      </w:r>
      <w:r>
        <w:rPr>
          <w:rFonts w:hint="eastAsia" w:ascii="宋体" w:hAnsi="宋体" w:eastAsia="宋体" w:cs="宋体"/>
          <w:kern w:val="0"/>
          <w:sz w:val="24"/>
          <w:szCs w:val="24"/>
          <w:highlight w:val="none"/>
          <w:lang w:val="en-US" w:eastAsia="zh-CN" w:bidi="ar-SA"/>
        </w:rPr>
        <w:t>0432-62088066</w:t>
      </w:r>
    </w:p>
    <w:p w14:paraId="386E03C7">
      <w:pPr>
        <w:spacing w:line="360" w:lineRule="auto"/>
        <w:ind w:left="6180" w:leftChars="200" w:hanging="5760" w:hangingChars="2400"/>
        <w:jc w:val="left"/>
        <w:rPr>
          <w:rFonts w:hint="eastAsia" w:ascii="宋体" w:hAnsi="宋体" w:cs="宋体"/>
          <w:sz w:val="24"/>
          <w:szCs w:val="24"/>
        </w:rPr>
      </w:pPr>
    </w:p>
    <w:p w14:paraId="1DF4FAF6">
      <w:pPr>
        <w:spacing w:line="360" w:lineRule="auto"/>
        <w:ind w:left="6180" w:leftChars="200" w:hanging="5760" w:hangingChars="2400"/>
        <w:jc w:val="left"/>
        <w:rPr>
          <w:rFonts w:ascii="宋体" w:hAnsi="宋体" w:cs="宋体"/>
          <w:spacing w:val="6"/>
          <w:sz w:val="24"/>
          <w:szCs w:val="24"/>
        </w:rPr>
      </w:pPr>
      <w:r>
        <w:rPr>
          <w:rFonts w:hint="eastAsia" w:ascii="宋体" w:hAnsi="宋体" w:cs="宋体"/>
          <w:sz w:val="24"/>
          <w:szCs w:val="24"/>
        </w:rPr>
        <w:t>4.监督部门：吉林省财政厅政府采购管理处</w:t>
      </w:r>
      <w:r>
        <w:rPr>
          <w:rFonts w:hint="eastAsia" w:ascii="宋体" w:hAnsi="宋体" w:cs="宋体"/>
          <w:spacing w:val="6"/>
          <w:sz w:val="24"/>
          <w:szCs w:val="24"/>
        </w:rPr>
        <w:t xml:space="preserve">                                                   </w:t>
      </w:r>
    </w:p>
    <w:p w14:paraId="3C0240B6">
      <w:pPr>
        <w:pStyle w:val="80"/>
        <w:rPr>
          <w:rFonts w:ascii="宋体" w:hAnsi="宋体" w:cs="宋体"/>
          <w:sz w:val="24"/>
          <w:szCs w:val="24"/>
        </w:rPr>
      </w:pPr>
      <w:bookmarkStart w:id="7" w:name="_Toc455565642"/>
      <w:bookmarkStart w:id="8" w:name="_Toc432264366"/>
      <w:bookmarkStart w:id="9" w:name="_Toc432277438"/>
      <w:r>
        <w:rPr>
          <w:rFonts w:hint="eastAsia" w:ascii="宋体" w:hAnsi="宋体" w:cs="宋体"/>
          <w:sz w:val="24"/>
          <w:szCs w:val="24"/>
        </w:rPr>
        <w:t xml:space="preserve">                              </w:t>
      </w:r>
    </w:p>
    <w:p w14:paraId="0192F18C">
      <w:pPr>
        <w:pStyle w:val="3"/>
        <w:spacing w:before="0" w:after="0" w:line="360" w:lineRule="auto"/>
        <w:jc w:val="center"/>
        <w:rPr>
          <w:rFonts w:ascii="宋体" w:hAnsi="宋体" w:cs="宋体"/>
          <w:sz w:val="28"/>
          <w:szCs w:val="28"/>
        </w:rPr>
      </w:pPr>
      <w:r>
        <w:rPr>
          <w:rFonts w:hint="eastAsia" w:ascii="宋体" w:hAnsi="宋体" w:cs="宋体"/>
          <w:sz w:val="24"/>
          <w:szCs w:val="24"/>
        </w:rPr>
        <w:br w:type="page"/>
      </w:r>
      <w:bookmarkEnd w:id="7"/>
      <w:bookmarkEnd w:id="8"/>
      <w:bookmarkEnd w:id="9"/>
      <w:bookmarkStart w:id="10" w:name="_Toc10155"/>
      <w:r>
        <w:rPr>
          <w:rFonts w:hint="eastAsia" w:ascii="宋体" w:hAnsi="宋体" w:cs="宋体"/>
          <w:sz w:val="28"/>
          <w:szCs w:val="28"/>
        </w:rPr>
        <w:t>第二章  供应商须知</w:t>
      </w:r>
      <w:bookmarkEnd w:id="10"/>
    </w:p>
    <w:p w14:paraId="5D520151">
      <w:pPr>
        <w:tabs>
          <w:tab w:val="left" w:pos="2190"/>
        </w:tabs>
        <w:spacing w:line="380" w:lineRule="exact"/>
        <w:ind w:firstLine="435"/>
        <w:jc w:val="center"/>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供 应 商  须 知 前 附 表</w:t>
      </w:r>
    </w:p>
    <w:tbl>
      <w:tblPr>
        <w:tblStyle w:val="35"/>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15"/>
        <w:gridCol w:w="6227"/>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3" w:type="dxa"/>
            <w:vAlign w:val="center"/>
          </w:tcPr>
          <w:p w14:paraId="67996467">
            <w:pPr>
              <w:spacing w:line="360" w:lineRule="exact"/>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2415" w:type="dxa"/>
            <w:vAlign w:val="center"/>
          </w:tcPr>
          <w:p w14:paraId="79BB2FD9">
            <w:pPr>
              <w:spacing w:line="360" w:lineRule="exact"/>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227" w:type="dxa"/>
            <w:vAlign w:val="center"/>
          </w:tcPr>
          <w:p w14:paraId="0A2EBB9B">
            <w:pPr>
              <w:spacing w:line="360" w:lineRule="exact"/>
              <w:jc w:val="center"/>
              <w:rPr>
                <w:rFonts w:ascii="宋体" w:hAnsi="宋体" w:cs="宋体"/>
                <w:szCs w:val="21"/>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1</w:t>
            </w:r>
          </w:p>
        </w:tc>
        <w:tc>
          <w:tcPr>
            <w:tcW w:w="2415"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采购人</w:t>
            </w:r>
          </w:p>
        </w:tc>
        <w:tc>
          <w:tcPr>
            <w:tcW w:w="6227" w:type="dxa"/>
            <w:vAlign w:val="center"/>
          </w:tcPr>
          <w:p w14:paraId="059B4DF3">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sz w:val="24"/>
                <w:szCs w:val="24"/>
                <w:highlight w:val="none"/>
                <w:lang w:val="en-US" w:eastAsia="zh-CN"/>
              </w:rPr>
              <w:t>采购人：</w:t>
            </w:r>
            <w:r>
              <w:rPr>
                <w:rFonts w:hint="eastAsia" w:ascii="宋体" w:hAnsi="宋体" w:cs="宋体"/>
                <w:sz w:val="24"/>
                <w:szCs w:val="24"/>
              </w:rPr>
              <w:t>吉林工业职业技术学院</w:t>
            </w:r>
          </w:p>
          <w:p w14:paraId="292D5D4E">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w:t>
            </w:r>
            <w:r>
              <w:rPr>
                <w:rFonts w:hint="eastAsia" w:ascii="宋体" w:hAnsi="宋体" w:cs="宋体"/>
                <w:sz w:val="24"/>
                <w:szCs w:val="24"/>
              </w:rPr>
              <w:t>吉林省吉林市丰满区恒山西路15号</w:t>
            </w:r>
          </w:p>
          <w:p w14:paraId="69A5BDE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lang w:eastAsia="zh-CN"/>
              </w:rPr>
              <w:t>谭雪峰</w:t>
            </w:r>
            <w:r>
              <w:rPr>
                <w:rFonts w:hint="eastAsia" w:ascii="宋体" w:hAnsi="宋体" w:cs="宋体"/>
                <w:sz w:val="24"/>
                <w:szCs w:val="24"/>
                <w:lang w:val="en-US" w:eastAsia="zh-CN"/>
              </w:rPr>
              <w:t xml:space="preserve"> </w:t>
            </w:r>
            <w:r>
              <w:rPr>
                <w:rFonts w:hint="eastAsia" w:ascii="宋体" w:hAnsi="宋体" w:cs="宋体"/>
                <w:sz w:val="24"/>
                <w:szCs w:val="24"/>
              </w:rPr>
              <w:t>0432-64644336</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2</w:t>
            </w:r>
          </w:p>
        </w:tc>
        <w:tc>
          <w:tcPr>
            <w:tcW w:w="2415"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采购代理机构</w:t>
            </w:r>
          </w:p>
        </w:tc>
        <w:tc>
          <w:tcPr>
            <w:tcW w:w="6227" w:type="dxa"/>
            <w:vAlign w:val="center"/>
          </w:tcPr>
          <w:p w14:paraId="007E30D1">
            <w:pPr>
              <w:keepNext w:val="0"/>
              <w:keepLines w:val="0"/>
              <w:pageBreakBefore w:val="0"/>
              <w:widowControl w:val="0"/>
              <w:kinsoku/>
              <w:wordWrap/>
              <w:overflowPunct/>
              <w:topLinePunct w:val="0"/>
              <w:bidi w:val="0"/>
              <w:snapToGrid w:val="0"/>
              <w:spacing w:line="288" w:lineRule="auto"/>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名    称：中轩项目管理有限公司</w:t>
            </w:r>
          </w:p>
          <w:p w14:paraId="599AACEA">
            <w:pPr>
              <w:keepNext w:val="0"/>
              <w:keepLines w:val="0"/>
              <w:pageBreakBefore w:val="0"/>
              <w:widowControl w:val="0"/>
              <w:kinsoku/>
              <w:wordWrap/>
              <w:overflowPunct/>
              <w:topLinePunct w:val="0"/>
              <w:bidi w:val="0"/>
              <w:snapToGrid w:val="0"/>
              <w:spacing w:line="288" w:lineRule="auto"/>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地    址：吉林市昌邑区珲春北街1号首创国际广场B028、B029、B030号网点</w:t>
            </w:r>
          </w:p>
          <w:p w14:paraId="73AC27AF">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kern w:val="0"/>
                <w:sz w:val="24"/>
                <w:szCs w:val="24"/>
              </w:rPr>
            </w:pPr>
            <w:r>
              <w:rPr>
                <w:rFonts w:hint="eastAsia" w:ascii="宋体" w:hAnsi="宋体" w:eastAsia="宋体" w:cs="宋体"/>
                <w:kern w:val="0"/>
                <w:sz w:val="24"/>
                <w:szCs w:val="24"/>
                <w:highlight w:val="none"/>
                <w:lang w:val="zh-CN"/>
              </w:rPr>
              <w:t>联系方式：李卓 0432-62088066</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2415"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227" w:type="dxa"/>
            <w:vAlign w:val="center"/>
          </w:tcPr>
          <w:p w14:paraId="264586CA">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"https://www.zcygov.cn/project-center/_procurement_/project-detail-router/659d77b63503973a?utm=web-bid-inviting-front.5de658f6.0.0.94b432a0233d11f09268cd1ed9b570b6" \t "https://www.zcygov.cn/bid-inviting/_procurement_/purchaseFileMake/_blank"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bCs/>
                <w:color w:val="auto"/>
                <w:sz w:val="24"/>
                <w:szCs w:val="24"/>
                <w:highlight w:val="none"/>
                <w:lang w:val="zh-CN" w:eastAsia="zh-CN"/>
              </w:rPr>
              <w:t>吉林工业职业技术学院AIC智能校园系统升级项目</w:t>
            </w:r>
            <w:r>
              <w:rPr>
                <w:rFonts w:hint="eastAsia" w:ascii="宋体" w:hAnsi="宋体" w:eastAsia="宋体" w:cs="宋体"/>
                <w:bCs/>
                <w:color w:val="auto"/>
                <w:sz w:val="24"/>
                <w:szCs w:val="24"/>
                <w:highlight w:val="none"/>
                <w:lang w:val="zh-CN"/>
              </w:rPr>
              <w:fldChar w:fldCharType="end"/>
            </w:r>
          </w:p>
          <w:p w14:paraId="7247E72C">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项目编号：</w:t>
            </w:r>
            <w:r>
              <w:rPr>
                <w:rFonts w:hint="eastAsia" w:ascii="宋体" w:hAnsi="宋体" w:eastAsia="宋体" w:cs="宋体"/>
                <w:bCs/>
                <w:color w:val="auto"/>
                <w:sz w:val="24"/>
                <w:szCs w:val="24"/>
                <w:highlight w:val="none"/>
                <w:lang w:val="zh-CN" w:eastAsia="zh-CN"/>
              </w:rPr>
              <w:t>采购计划-[2025]-05546号-00001</w:t>
            </w:r>
            <w:r>
              <w:rPr>
                <w:rFonts w:hint="eastAsia" w:ascii="宋体" w:hAnsi="宋体" w:cs="宋体"/>
                <w:bCs/>
                <w:color w:val="auto"/>
                <w:sz w:val="24"/>
                <w:szCs w:val="24"/>
                <w:highlight w:val="none"/>
                <w:lang w:val="en-US" w:eastAsia="zh-CN"/>
              </w:rPr>
              <w:t>-2次</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15"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227" w:type="dxa"/>
            <w:vAlign w:val="center"/>
          </w:tcPr>
          <w:p w14:paraId="221C96B8">
            <w:pPr>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人民币1,590,000.00元</w:t>
            </w:r>
          </w:p>
          <w:p w14:paraId="2EA2EC99">
            <w:pPr>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2415"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227" w:type="dxa"/>
            <w:vAlign w:val="center"/>
          </w:tcPr>
          <w:p w14:paraId="2EC0EEE7">
            <w:pPr>
              <w:tabs>
                <w:tab w:val="left" w:pos="5100"/>
              </w:tabs>
              <w:snapToGrid w:val="0"/>
              <w:spacing w:line="36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AIC智能校园系统升级(详见第三章货物采购需求）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2415"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227" w:type="dxa"/>
            <w:vAlign w:val="center"/>
          </w:tcPr>
          <w:p w14:paraId="41EAA5BC">
            <w:pPr>
              <w:tabs>
                <w:tab w:val="left" w:pos="5100"/>
              </w:tabs>
              <w:snapToGrid w:val="0"/>
              <w:spacing w:line="360" w:lineRule="exact"/>
              <w:jc w:val="left"/>
              <w:rPr>
                <w:rFonts w:hint="eastAsia" w:ascii="宋体" w:hAnsi="宋体" w:cs="宋体"/>
                <w:bCs/>
                <w:snapToGrid w:val="0"/>
                <w:sz w:val="24"/>
                <w:szCs w:val="24"/>
              </w:rPr>
            </w:pPr>
            <w:r>
              <w:rPr>
                <w:rFonts w:hint="eastAsia" w:ascii="宋体" w:hAnsi="宋体" w:eastAsia="宋体" w:cs="宋体"/>
                <w:bCs/>
                <w:kern w:val="0"/>
                <w:sz w:val="24"/>
                <w:szCs w:val="24"/>
              </w:rPr>
              <w:t>自合同签订之日起</w:t>
            </w:r>
            <w:r>
              <w:rPr>
                <w:rFonts w:hint="eastAsia" w:ascii="宋体" w:hAnsi="宋体" w:eastAsia="宋体" w:cs="宋体"/>
                <w:bCs/>
                <w:kern w:val="0"/>
                <w:sz w:val="24"/>
                <w:szCs w:val="24"/>
                <w:lang w:val="zh-CN"/>
              </w:rPr>
              <w:t xml:space="preserve"> </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0</w:t>
            </w:r>
            <w:r>
              <w:rPr>
                <w:rFonts w:hint="eastAsia" w:ascii="宋体" w:hAnsi="宋体" w:eastAsia="宋体" w:cs="宋体"/>
                <w:bCs/>
                <w:kern w:val="0"/>
                <w:sz w:val="24"/>
                <w:szCs w:val="24"/>
                <w:lang w:val="zh-CN"/>
              </w:rPr>
              <w:t xml:space="preserve"> 天内完成软件部署及调试。</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3" w:type="dxa"/>
            <w:vAlign w:val="center"/>
          </w:tcPr>
          <w:p w14:paraId="0D95DAF3">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2415"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227"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吉林工业职业技术学院指定地点</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3" w:type="dxa"/>
            <w:vAlign w:val="center"/>
          </w:tcPr>
          <w:p w14:paraId="792F465F">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2415"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227"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3" w:type="dxa"/>
            <w:vAlign w:val="center"/>
          </w:tcPr>
          <w:p w14:paraId="45DD998E">
            <w:pPr>
              <w:spacing w:line="3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2415" w:type="dxa"/>
            <w:shd w:val="clear" w:color="auto" w:fill="auto"/>
            <w:vAlign w:val="center"/>
          </w:tcPr>
          <w:p w14:paraId="2D4721D6">
            <w:pPr>
              <w:spacing w:line="288"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227" w:type="dxa"/>
            <w:shd w:val="clear" w:color="auto" w:fill="auto"/>
            <w:vAlign w:val="center"/>
          </w:tcPr>
          <w:p w14:paraId="34B12AA1">
            <w:pPr>
              <w:spacing w:line="288"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3" w:type="dxa"/>
            <w:vAlign w:val="center"/>
          </w:tcPr>
          <w:p w14:paraId="0934B41A">
            <w:pPr>
              <w:spacing w:line="3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2415" w:type="dxa"/>
            <w:vAlign w:val="center"/>
          </w:tcPr>
          <w:p w14:paraId="71BDAB4C">
            <w:pPr>
              <w:keepNext w:val="0"/>
              <w:keepLines w:val="0"/>
              <w:pageBreakBefore w:val="0"/>
              <w:widowControl w:val="0"/>
              <w:kinsoku/>
              <w:wordWrap/>
              <w:overflowPunct/>
              <w:topLinePunct w:val="0"/>
              <w:bidi w:val="0"/>
              <w:adjustRightInd w:val="0"/>
              <w:snapToGrid w:val="0"/>
              <w:spacing w:line="288"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227" w:type="dxa"/>
            <w:vAlign w:val="center"/>
          </w:tcPr>
          <w:p w14:paraId="00A18339">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13" w:type="dxa"/>
            <w:vAlign w:val="center"/>
          </w:tcPr>
          <w:p w14:paraId="09073D1F">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415"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227" w:type="dxa"/>
            <w:shd w:val="clear" w:color="auto" w:fill="auto"/>
            <w:vAlign w:val="top"/>
          </w:tcPr>
          <w:p w14:paraId="22023757">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参加政府采购活动的供应商应当满足《中华人民共和国政府采购法》第二十二条规定的条件，并在递交投标文件的同时按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文件要求提供有关</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证明文件：</w:t>
            </w:r>
          </w:p>
          <w:p w14:paraId="18709C30">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营业执照等证明文件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为企业的，提供有效的营业执照复印件；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为事业单位的，提供有效的事业单位法人证书复印件；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为社会团体的，提供有效的社会团体法人登记证书复印件；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为合伙企业、个体工商户的，提供有效的营业执照复印件；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为非企业专业服务机构的，提供有效的执业许可证等证明材料复印件；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为自然人的，提供有效的自然人身份证件复印件；其他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应按照有关法律、法规和规章规定，提供有效的相应具体证照复印件。</w:t>
            </w:r>
          </w:p>
          <w:p w14:paraId="13185B30">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财务状况报告，依法缴纳税收和社会保障资金的相关材料；</w:t>
            </w:r>
          </w:p>
          <w:p w14:paraId="78BE4F06">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具备履行合同所必需的设备和专业技术能力的证明材料；</w:t>
            </w:r>
          </w:p>
          <w:p w14:paraId="151B0E79">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参加政府采购活动前3年内在经营活动中没有重大违法记录的书面声明；</w:t>
            </w:r>
          </w:p>
          <w:p w14:paraId="7E28C346">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具备法律、行政法规规定的其他条件的证明材料</w:t>
            </w:r>
            <w:r>
              <w:rPr>
                <w:rFonts w:hint="eastAsia" w:ascii="宋体" w:hAnsi="宋体" w:eastAsia="宋体" w:cs="宋体"/>
                <w:color w:val="auto"/>
                <w:sz w:val="24"/>
                <w:szCs w:val="24"/>
                <w:highlight w:val="none"/>
                <w:lang w:eastAsia="zh-CN"/>
              </w:rPr>
              <w:t>；</w:t>
            </w:r>
          </w:p>
          <w:p w14:paraId="39EEFCBC">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须在“中国裁判文书网”自行查询近三年（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日-招标公告发布之日</w:t>
            </w:r>
            <w:r>
              <w:rPr>
                <w:rFonts w:hint="eastAsia" w:ascii="宋体" w:hAnsi="宋体" w:eastAsia="宋体" w:cs="宋体"/>
                <w:color w:val="auto"/>
                <w:sz w:val="24"/>
                <w:szCs w:val="24"/>
                <w:highlight w:val="none"/>
              </w:rPr>
              <w:t>至开标之日期间任意一天）无行贿犯罪记录：本</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（案由：单位行贿罪）和个人（指法定代表人）（案由：行贿罪），且提供查询页面无行贿记录的截图并加</w:t>
            </w:r>
            <w:r>
              <w:rPr>
                <w:rFonts w:hint="eastAsia" w:ascii="宋体" w:hAnsi="宋体" w:cs="宋体"/>
                <w:color w:val="auto"/>
                <w:sz w:val="24"/>
                <w:szCs w:val="24"/>
                <w:highlight w:val="none"/>
                <w:lang w:eastAsia="zh-CN"/>
              </w:rPr>
              <w:t>盖单位公章</w:t>
            </w:r>
            <w:r>
              <w:rPr>
                <w:rFonts w:hint="eastAsia" w:ascii="宋体" w:hAnsi="宋体" w:eastAsia="宋体" w:cs="宋体"/>
                <w:color w:val="auto"/>
                <w:sz w:val="24"/>
                <w:szCs w:val="24"/>
                <w:highlight w:val="none"/>
              </w:rPr>
              <w:t>作为无行贿犯罪记录证明；</w:t>
            </w:r>
          </w:p>
          <w:p w14:paraId="75B0D4D5">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应当拒绝其参加政府采购活动；</w:t>
            </w:r>
          </w:p>
          <w:p w14:paraId="0A27D751">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8、本项目专门面向中小企业采购。</w:t>
            </w:r>
          </w:p>
          <w:p w14:paraId="7E2AAADF">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9、法律、行政法规、国务院决定规定应经许可方可经营的项目或产品，需提供相关许可证照；</w:t>
            </w:r>
          </w:p>
          <w:p w14:paraId="1C55203B">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10、单位负责人为同一人或者存在直接控股、管理关系的不同供应商，不得参加同一合同项下的政府采购活动；</w:t>
            </w:r>
          </w:p>
          <w:p w14:paraId="50A15295">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11、为采购项目提供整体设计、规范编制或者项目管理、监理、检测等服务的供应商，不得再参加该采购项目的其他采购活动。</w:t>
            </w:r>
          </w:p>
          <w:p w14:paraId="3172E8AE">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12、本项目不接受联合体投标。</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3" w:type="dxa"/>
            <w:vAlign w:val="center"/>
          </w:tcPr>
          <w:p w14:paraId="2FC34BFB">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415" w:type="dxa"/>
            <w:vAlign w:val="center"/>
          </w:tcPr>
          <w:p w14:paraId="5F7C5AFD">
            <w:pPr>
              <w:spacing w:line="288" w:lineRule="auto"/>
              <w:jc w:val="center"/>
              <w:rPr>
                <w:rFonts w:ascii="宋体" w:hAnsi="宋体" w:cs="宋体"/>
                <w:sz w:val="24"/>
                <w:szCs w:val="24"/>
              </w:rPr>
            </w:pPr>
            <w:r>
              <w:rPr>
                <w:rFonts w:hint="eastAsia"/>
                <w:color w:val="auto"/>
                <w:sz w:val="24"/>
                <w:szCs w:val="24"/>
                <w:highlight w:val="none"/>
              </w:rPr>
              <w:t>谈判有效期</w:t>
            </w:r>
          </w:p>
        </w:tc>
        <w:tc>
          <w:tcPr>
            <w:tcW w:w="6227" w:type="dxa"/>
            <w:vAlign w:val="center"/>
          </w:tcPr>
          <w:p w14:paraId="0702C51B">
            <w:pPr>
              <w:spacing w:line="288" w:lineRule="auto"/>
              <w:ind w:left="-8" w:leftChars="0" w:hanging="166" w:firstLineChars="0"/>
              <w:rPr>
                <w:sz w:val="24"/>
                <w:szCs w:val="24"/>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3" w:type="dxa"/>
            <w:vAlign w:val="center"/>
          </w:tcPr>
          <w:p w14:paraId="3DAD8BEC">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415"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jc w:val="center"/>
              <w:textAlignment w:val="auto"/>
              <w:rPr>
                <w:rFonts w:ascii="宋体" w:hAnsi="宋体" w:cs="宋体"/>
                <w:sz w:val="24"/>
                <w:szCs w:val="24"/>
              </w:rPr>
            </w:pPr>
            <w:r>
              <w:rPr>
                <w:rFonts w:hint="eastAsia" w:ascii="宋体" w:hAnsi="宋体" w:cs="宋体"/>
                <w:bCs/>
                <w:color w:val="auto"/>
                <w:sz w:val="24"/>
                <w:szCs w:val="24"/>
                <w:highlight w:val="none"/>
                <w:lang w:val="zh-CN"/>
              </w:rPr>
              <w:t>谈判保证金</w:t>
            </w:r>
          </w:p>
        </w:tc>
        <w:tc>
          <w:tcPr>
            <w:tcW w:w="6227" w:type="dxa"/>
            <w:vAlign w:val="center"/>
          </w:tcPr>
          <w:p w14:paraId="3D866CA3">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谈判保证金金额：</w:t>
            </w:r>
            <w:r>
              <w:rPr>
                <w:rFonts w:hint="eastAsia" w:ascii="宋体" w:hAnsi="宋体" w:eastAsia="宋体" w:cs="宋体"/>
                <w:bCs/>
                <w:color w:val="000000"/>
                <w:sz w:val="24"/>
                <w:szCs w:val="24"/>
                <w:lang w:eastAsia="zh-CN"/>
              </w:rPr>
              <w:t>人民币</w:t>
            </w:r>
            <w:r>
              <w:rPr>
                <w:rFonts w:hint="eastAsia" w:ascii="宋体" w:hAnsi="宋体" w:eastAsia="宋体" w:cs="宋体"/>
                <w:bCs/>
                <w:color w:val="000000"/>
                <w:sz w:val="24"/>
                <w:szCs w:val="24"/>
                <w:lang w:val="en-US" w:eastAsia="zh-CN"/>
              </w:rPr>
              <w:t>叁万壹仟捌佰元整</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31，800</w:t>
            </w:r>
            <w:r>
              <w:rPr>
                <w:rFonts w:hint="eastAsia" w:ascii="宋体" w:hAnsi="宋体" w:eastAsia="宋体" w:cs="宋体"/>
                <w:bCs/>
                <w:color w:val="000000"/>
                <w:sz w:val="24"/>
                <w:szCs w:val="24"/>
                <w:lang w:eastAsia="zh-CN"/>
              </w:rPr>
              <w:t>.00）</w:t>
            </w:r>
          </w:p>
          <w:p w14:paraId="421D8EA2">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谈判保证金的形式：支票、汇票、本票或者金融机构、担保机构出具的保函等非现金形式。</w:t>
            </w:r>
          </w:p>
          <w:p w14:paraId="799F9B57">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其他要求：</w:t>
            </w:r>
            <w:r>
              <w:rPr>
                <w:rFonts w:hint="eastAsia" w:ascii="宋体" w:hAnsi="宋体" w:eastAsia="宋体" w:cs="宋体"/>
                <w:bCs/>
                <w:color w:val="auto"/>
                <w:sz w:val="24"/>
                <w:szCs w:val="24"/>
                <w:lang w:val="en-US" w:eastAsia="zh-CN"/>
              </w:rPr>
              <w:t>谈判保证金</w:t>
            </w:r>
            <w:r>
              <w:rPr>
                <w:rFonts w:hint="eastAsia" w:ascii="宋体" w:hAnsi="宋体" w:eastAsia="宋体" w:cs="宋体"/>
                <w:bCs/>
                <w:color w:val="auto"/>
                <w:sz w:val="24"/>
                <w:szCs w:val="24"/>
                <w:lang w:val="zh-CN" w:eastAsia="zh-CN"/>
              </w:rPr>
              <w:t>截止时间同</w:t>
            </w:r>
            <w:r>
              <w:rPr>
                <w:rFonts w:hint="eastAsia" w:ascii="宋体" w:hAnsi="宋体" w:eastAsia="宋体" w:cs="宋体"/>
                <w:bCs/>
                <w:color w:val="auto"/>
                <w:sz w:val="24"/>
                <w:szCs w:val="24"/>
                <w:lang w:val="en-US" w:eastAsia="zh-CN"/>
              </w:rPr>
              <w:t>提交响应文件截止时间</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谈判保证金</w:t>
            </w:r>
            <w:r>
              <w:rPr>
                <w:rFonts w:hint="eastAsia" w:ascii="宋体" w:hAnsi="宋体" w:eastAsia="宋体" w:cs="宋体"/>
                <w:bCs/>
                <w:color w:val="auto"/>
                <w:sz w:val="24"/>
                <w:szCs w:val="24"/>
                <w:lang w:val="zh-CN" w:eastAsia="zh-CN"/>
              </w:rPr>
              <w:t>请在</w:t>
            </w:r>
            <w:r>
              <w:rPr>
                <w:rFonts w:hint="eastAsia" w:ascii="宋体" w:hAnsi="宋体" w:eastAsia="宋体" w:cs="宋体"/>
                <w:bCs/>
                <w:color w:val="auto"/>
                <w:sz w:val="24"/>
                <w:szCs w:val="24"/>
                <w:lang w:val="en-US" w:eastAsia="zh-CN"/>
              </w:rPr>
              <w:t>提交响应文件</w:t>
            </w:r>
            <w:r>
              <w:rPr>
                <w:rFonts w:hint="eastAsia" w:ascii="宋体" w:hAnsi="宋体" w:eastAsia="宋体" w:cs="宋体"/>
                <w:bCs/>
                <w:color w:val="auto"/>
                <w:sz w:val="24"/>
                <w:szCs w:val="24"/>
                <w:lang w:val="zh-CN" w:eastAsia="zh-CN"/>
              </w:rPr>
              <w:t>截止时间前完成缴纳</w:t>
            </w:r>
            <w:r>
              <w:rPr>
                <w:rFonts w:hint="eastAsia" w:ascii="宋体" w:hAnsi="宋体" w:eastAsia="宋体" w:cs="宋体"/>
                <w:bCs/>
                <w:color w:val="auto"/>
                <w:sz w:val="24"/>
                <w:szCs w:val="24"/>
                <w:lang w:eastAsia="zh-CN"/>
              </w:rPr>
              <w:t>。</w:t>
            </w:r>
          </w:p>
          <w:p w14:paraId="77F51704">
            <w:pPr>
              <w:keepNext w:val="0"/>
              <w:keepLines w:val="0"/>
              <w:pageBreakBefore w:val="0"/>
              <w:widowControl w:val="0"/>
              <w:kinsoku/>
              <w:wordWrap/>
              <w:overflowPunct/>
              <w:topLinePunct w:val="0"/>
              <w:bidi w:val="0"/>
              <w:spacing w:line="288" w:lineRule="auto"/>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收款人全称：</w:t>
            </w:r>
            <w:r>
              <w:rPr>
                <w:rFonts w:hint="eastAsia" w:ascii="宋体" w:hAnsi="宋体" w:eastAsia="宋体" w:cs="宋体"/>
                <w:kern w:val="0"/>
                <w:sz w:val="24"/>
                <w:szCs w:val="24"/>
                <w:highlight w:val="none"/>
                <w:lang w:val="zh-CN"/>
              </w:rPr>
              <w:t>中轩项目管理有限公司吉林市分公司</w:t>
            </w:r>
          </w:p>
          <w:p w14:paraId="2FD38925">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sz w:val="24"/>
                <w:szCs w:val="24"/>
                <w:lang w:val="zh-CN"/>
              </w:rPr>
              <w:t>开</w:t>
            </w:r>
            <w:r>
              <w:rPr>
                <w:rFonts w:hint="eastAsia" w:ascii="宋体" w:hAnsi="宋体" w:eastAsia="宋体" w:cs="宋体"/>
                <w:bCs/>
                <w:sz w:val="24"/>
                <w:szCs w:val="24"/>
                <w:lang w:val="zh-CN" w:eastAsia="zh-CN"/>
              </w:rPr>
              <w:t>户银行：中国建设银行股份有限公司吉林市珲春中街支行</w:t>
            </w:r>
          </w:p>
          <w:p w14:paraId="1A7E2E24">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账    号: 22050161704100000554</w:t>
            </w:r>
          </w:p>
          <w:p w14:paraId="53726E89">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联系电话：</w:t>
            </w:r>
            <w:r>
              <w:rPr>
                <w:rFonts w:hint="eastAsia" w:ascii="宋体" w:hAnsi="宋体" w:eastAsia="宋体" w:cs="宋体"/>
                <w:bCs/>
                <w:sz w:val="24"/>
                <w:szCs w:val="24"/>
                <w:lang w:val="zh-CN" w:eastAsia="zh-CN"/>
              </w:rPr>
              <w:t>0432-62088066</w:t>
            </w:r>
          </w:p>
          <w:p w14:paraId="75BCECC2">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注：1.</w:t>
            </w:r>
            <w:r>
              <w:rPr>
                <w:rFonts w:hint="eastAsia" w:ascii="宋体" w:hAnsi="宋体" w:cs="宋体"/>
                <w:bCs/>
                <w:sz w:val="24"/>
                <w:szCs w:val="24"/>
                <w:lang w:val="en-US" w:eastAsia="zh-CN"/>
              </w:rPr>
              <w:t>供应商</w:t>
            </w:r>
            <w:r>
              <w:rPr>
                <w:rFonts w:hint="eastAsia" w:ascii="宋体" w:hAnsi="宋体" w:eastAsia="宋体" w:cs="宋体"/>
                <w:bCs/>
                <w:sz w:val="24"/>
                <w:szCs w:val="24"/>
                <w:lang w:eastAsia="zh-CN"/>
              </w:rPr>
              <w:t>应在汇款时认真核对收款单位、开户行名称、账号准确无误，确保保证金按时到账，否则后果自负。递交方式：</w:t>
            </w:r>
            <w:r>
              <w:rPr>
                <w:rFonts w:hint="eastAsia" w:ascii="宋体" w:hAnsi="宋体" w:cs="宋体"/>
                <w:bCs/>
                <w:sz w:val="24"/>
                <w:szCs w:val="24"/>
                <w:lang w:eastAsia="zh-CN"/>
              </w:rPr>
              <w:t>供应商</w:t>
            </w:r>
            <w:r>
              <w:rPr>
                <w:rFonts w:hint="eastAsia" w:ascii="宋体" w:hAnsi="宋体" w:eastAsia="宋体" w:cs="宋体"/>
                <w:bCs/>
                <w:sz w:val="24"/>
                <w:szCs w:val="24"/>
                <w:lang w:eastAsia="zh-CN"/>
              </w:rPr>
              <w:t>提交投标保证金当从</w:t>
            </w:r>
            <w:r>
              <w:rPr>
                <w:rFonts w:hint="eastAsia" w:ascii="宋体" w:hAnsi="宋体" w:cs="宋体"/>
                <w:bCs/>
                <w:sz w:val="24"/>
                <w:szCs w:val="24"/>
                <w:lang w:eastAsia="zh-CN"/>
              </w:rPr>
              <w:t>供应商</w:t>
            </w:r>
            <w:r>
              <w:rPr>
                <w:rFonts w:hint="eastAsia" w:ascii="宋体" w:hAnsi="宋体" w:eastAsia="宋体" w:cs="宋体"/>
                <w:bCs/>
                <w:sz w:val="24"/>
                <w:szCs w:val="24"/>
                <w:lang w:eastAsia="zh-CN"/>
              </w:rPr>
              <w:t>基本账户转出，投标保证金存入采购代理机构指定账户，银行进账单或电汇凭证等凭证上应明确用途、投标项目名称、</w:t>
            </w:r>
            <w:r>
              <w:rPr>
                <w:rFonts w:hint="eastAsia" w:ascii="宋体" w:hAnsi="宋体" w:cs="宋体"/>
                <w:bCs/>
                <w:sz w:val="24"/>
                <w:szCs w:val="24"/>
                <w:lang w:eastAsia="zh-CN"/>
              </w:rPr>
              <w:t>供应商</w:t>
            </w:r>
            <w:r>
              <w:rPr>
                <w:rFonts w:hint="eastAsia" w:ascii="宋体" w:hAnsi="宋体" w:eastAsia="宋体" w:cs="宋体"/>
                <w:bCs/>
                <w:sz w:val="24"/>
                <w:szCs w:val="24"/>
                <w:lang w:eastAsia="zh-CN"/>
              </w:rPr>
              <w:t>名称、联系人及电话，以便核对查实。</w:t>
            </w:r>
          </w:p>
          <w:p w14:paraId="0BCC5937">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ascii="宋体" w:hAnsi="宋体" w:cs="宋体"/>
                <w:sz w:val="24"/>
                <w:szCs w:val="24"/>
              </w:rPr>
            </w:pPr>
            <w:r>
              <w:rPr>
                <w:rFonts w:hint="eastAsia" w:ascii="宋体" w:hAnsi="宋体" w:eastAsia="宋体" w:cs="宋体"/>
                <w:bCs/>
                <w:sz w:val="24"/>
                <w:szCs w:val="24"/>
                <w:lang w:eastAsia="zh-CN"/>
              </w:rPr>
              <w:t>2.若采用保函方式递交的，</w:t>
            </w:r>
            <w:r>
              <w:rPr>
                <w:rFonts w:hint="eastAsia" w:ascii="宋体" w:hAnsi="宋体" w:cs="宋体"/>
                <w:bCs/>
                <w:sz w:val="24"/>
                <w:szCs w:val="24"/>
                <w:lang w:eastAsia="zh-CN"/>
              </w:rPr>
              <w:t>供应商</w:t>
            </w:r>
            <w:r>
              <w:rPr>
                <w:rFonts w:hint="eastAsia" w:ascii="宋体" w:hAnsi="宋体" w:eastAsia="宋体" w:cs="宋体"/>
                <w:bCs/>
                <w:sz w:val="24"/>
                <w:szCs w:val="24"/>
                <w:lang w:eastAsia="zh-CN"/>
              </w:rPr>
              <w:t>可以采用经资信良好的银行及偿付能力较强的担保机构，出具保函。保函必须提供查询渠道及主要查询信息，且保证招标代理机构在不通过任何授权的情况下可以从公开的公众平台或网络查询到此保函的真伪，并将保函扫描件在保证金递交截止时间前发送至zhongxxg2024@163.com邮箱。未按以上要求缴纳的保证金将不被视为本次投标使用。</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1F9F0592">
            <w:pPr>
              <w:spacing w:line="3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2415"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人提出问题</w:t>
            </w:r>
            <w:r>
              <w:rPr>
                <w:rFonts w:hint="eastAsia" w:ascii="宋体" w:hAnsi="宋体" w:cs="宋体"/>
                <w:color w:val="auto"/>
                <w:kern w:val="15"/>
                <w:sz w:val="24"/>
                <w:szCs w:val="24"/>
                <w:lang w:eastAsia="zh-CN"/>
              </w:rPr>
              <w:t>的截止时间</w:t>
            </w:r>
          </w:p>
        </w:tc>
        <w:tc>
          <w:tcPr>
            <w:tcW w:w="6227"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p>
          <w:p w14:paraId="3B69EFB4">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2E57230E">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415"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227"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cs="宋体"/>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rPr>
              <w:t>文件的澄清或者修改将在</w:t>
            </w:r>
            <w:r>
              <w:rPr>
                <w:rFonts w:hint="eastAsia" w:ascii="宋体" w:hAnsi="宋体" w:eastAsia="宋体" w:cs="宋体"/>
                <w:color w:val="auto"/>
                <w:kern w:val="15"/>
                <w:sz w:val="24"/>
                <w:szCs w:val="24"/>
                <w:lang w:eastAsia="zh-CN"/>
              </w:rPr>
              <w:t>“政采云”平台（https://www.zcygov.cn/）</w:t>
            </w:r>
            <w:r>
              <w:rPr>
                <w:rFonts w:hint="eastAsia" w:ascii="宋体" w:hAnsi="宋体" w:eastAsia="宋体" w:cs="宋体"/>
                <w:color w:val="auto"/>
                <w:kern w:val="15"/>
                <w:sz w:val="24"/>
                <w:szCs w:val="24"/>
              </w:rPr>
              <w:t>上发布，所有报名并下载</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文件的</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2667D908">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2415"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人提出质疑的方式和截止时间</w:t>
            </w:r>
          </w:p>
        </w:tc>
        <w:tc>
          <w:tcPr>
            <w:tcW w:w="6227"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供应商</w:t>
            </w:r>
            <w:r>
              <w:rPr>
                <w:rFonts w:hint="eastAsia" w:ascii="宋体" w:hAnsi="宋体" w:eastAsia="宋体" w:cs="宋体"/>
                <w:color w:val="auto"/>
                <w:kern w:val="15"/>
                <w:sz w:val="24"/>
                <w:szCs w:val="24"/>
              </w:rPr>
              <w:t>可以在知道或者应知其权益受到损害之日起七个工作日内</w:t>
            </w:r>
            <w:r>
              <w:rPr>
                <w:rFonts w:hint="eastAsia" w:ascii="宋体" w:hAnsi="宋体" w:eastAsia="宋体" w:cs="宋体"/>
                <w:color w:val="auto"/>
                <w:kern w:val="15"/>
                <w:sz w:val="24"/>
                <w:szCs w:val="24"/>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提出质疑方式：1、</w:t>
            </w: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人认为</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2、对采购代理机构提出质疑的，若质疑内容超出</w:t>
            </w:r>
            <w:r>
              <w:rPr>
                <w:rFonts w:hint="eastAsia" w:ascii="宋体" w:hAnsi="宋体" w:cs="宋体"/>
                <w:color w:val="auto"/>
                <w:kern w:val="15"/>
                <w:sz w:val="24"/>
                <w:szCs w:val="24"/>
                <w:lang w:eastAsia="zh-CN"/>
              </w:rPr>
              <w:t>采购</w:t>
            </w:r>
            <w:r>
              <w:rPr>
                <w:rFonts w:hint="eastAsia" w:ascii="宋体" w:hAnsi="宋体" w:eastAsia="宋体" w:cs="宋体"/>
                <w:color w:val="auto"/>
                <w:kern w:val="15"/>
                <w:sz w:val="24"/>
                <w:szCs w:val="24"/>
              </w:rPr>
              <w:t>代理范围的，应明确告知质疑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向采购人提出质疑或协调采购人答复质疑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w:t>
            </w:r>
          </w:p>
          <w:p w14:paraId="1555BC08">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56317619">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2415"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rPr>
              <w:t>提交响应文件截止时间</w:t>
            </w:r>
          </w:p>
        </w:tc>
        <w:tc>
          <w:tcPr>
            <w:tcW w:w="6227" w:type="dxa"/>
            <w:vAlign w:val="center"/>
          </w:tcPr>
          <w:p w14:paraId="7E01699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eastAsia="zh-CN"/>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年0</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月</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eastAsia="zh-CN"/>
              </w:rPr>
              <w:t>日</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val="zh-CN" w:eastAsia="zh-CN"/>
              </w:rPr>
              <w:t>时</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eastAsia="zh-CN"/>
              </w:rPr>
              <w:t>分。本项目执行电子化招投标，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人须通过政府采购云平台（https://www.zcygov.cn/）递交电子版投标文件，逾期未上传电子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63818411">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2415"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227"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06B45F73">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415"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227"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6029C42E">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2415" w:type="dxa"/>
            <w:vAlign w:val="center"/>
          </w:tcPr>
          <w:p w14:paraId="57C4589D">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lang w:val="zh-CN"/>
              </w:rPr>
              <w:t>构成谈判文件的其他材料</w:t>
            </w:r>
          </w:p>
        </w:tc>
        <w:tc>
          <w:tcPr>
            <w:tcW w:w="6227" w:type="dxa"/>
            <w:vAlign w:val="center"/>
          </w:tcPr>
          <w:p w14:paraId="181171F6">
            <w:pPr>
              <w:autoSpaceDE w:val="0"/>
              <w:autoSpaceDN w:val="0"/>
              <w:adjustRightInd w:val="0"/>
              <w:spacing w:line="400" w:lineRule="exact"/>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响应人所提供下列资质证明文件应体现在由</w:t>
            </w:r>
            <w:r>
              <w:rPr>
                <w:rFonts w:hint="eastAsia" w:ascii="宋体" w:hAnsi="宋体" w:eastAsia="宋体" w:cs="宋体"/>
                <w:b/>
                <w:color w:val="auto"/>
                <w:sz w:val="24"/>
                <w:szCs w:val="24"/>
              </w:rPr>
              <w:t>政采云投标客户端生成的电子版投标文件中</w:t>
            </w:r>
            <w:r>
              <w:rPr>
                <w:rFonts w:hint="eastAsia" w:ascii="宋体" w:hAnsi="宋体" w:eastAsia="宋体" w:cs="宋体"/>
                <w:b/>
                <w:bCs/>
                <w:color w:val="auto"/>
                <w:sz w:val="24"/>
                <w:szCs w:val="24"/>
                <w:lang w:val="zh-CN"/>
              </w:rPr>
              <w:t>：</w:t>
            </w:r>
          </w:p>
          <w:p w14:paraId="64C1B765">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kern w:val="15"/>
                <w:sz w:val="24"/>
                <w:szCs w:val="24"/>
                <w:lang w:val="en-US"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投标单位法人或者其他组织的营业执照等证明文件、自然人的身份证明（上传扫描件需要加</w:t>
            </w:r>
            <w:r>
              <w:rPr>
                <w:rFonts w:hint="eastAsia" w:ascii="宋体" w:hAnsi="宋体" w:cs="宋体"/>
                <w:bCs/>
                <w:color w:val="auto"/>
                <w:sz w:val="24"/>
                <w:szCs w:val="24"/>
                <w:highlight w:val="none"/>
                <w:lang w:val="zh-CN"/>
              </w:rPr>
              <w:t>盖单位公章</w:t>
            </w:r>
            <w:r>
              <w:rPr>
                <w:rFonts w:hint="eastAsia" w:ascii="宋体" w:hAnsi="宋体" w:eastAsia="宋体" w:cs="宋体"/>
                <w:bCs/>
                <w:color w:val="auto"/>
                <w:sz w:val="24"/>
                <w:szCs w:val="24"/>
                <w:highlight w:val="none"/>
                <w:lang w:val="zh-CN"/>
              </w:rPr>
              <w:t>）；</w:t>
            </w:r>
          </w:p>
          <w:p w14:paraId="1F0BA727">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、提供近</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年（202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年、202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年）单位财务报表或财务审计报告，供应商的成立时间少于规定年份的，应提供成立以来至202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年的单位财务报表或财务审计报告，202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年之后新成立</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需提供银行出具的公司资信证明（上传扫描件需要加盖公章）；</w:t>
            </w:r>
          </w:p>
          <w:p w14:paraId="0AC512B8">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、近6个月（</w:t>
            </w:r>
            <w:r>
              <w:rPr>
                <w:rFonts w:hint="eastAsia" w:ascii="宋体" w:hAnsi="宋体" w:eastAsia="宋体" w:cs="宋体"/>
                <w:bCs/>
                <w:color w:val="auto"/>
                <w:sz w:val="24"/>
                <w:szCs w:val="24"/>
                <w:highlight w:val="none"/>
                <w:lang w:val="en-US" w:eastAsia="zh-CN"/>
              </w:rPr>
              <w:t>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02</w:t>
            </w:r>
            <w:r>
              <w:rPr>
                <w:rFonts w:hint="eastAsia" w:ascii="宋体" w:hAnsi="宋体" w:eastAsia="宋体" w:cs="宋体"/>
                <w:bCs/>
                <w:color w:val="auto"/>
                <w:sz w:val="24"/>
                <w:szCs w:val="24"/>
                <w:highlight w:val="none"/>
                <w:lang w:val="en-US" w:eastAsia="zh-CN"/>
              </w:rPr>
              <w:t>月至2025年0</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月</w:t>
            </w:r>
            <w:r>
              <w:rPr>
                <w:rFonts w:hint="eastAsia" w:ascii="宋体" w:hAnsi="宋体" w:eastAsia="宋体" w:cs="宋体"/>
                <w:bCs/>
                <w:color w:val="auto"/>
                <w:sz w:val="24"/>
                <w:szCs w:val="24"/>
                <w:highlight w:val="none"/>
                <w:lang w:val="zh-CN"/>
              </w:rPr>
              <w:t>）（任意一个月即可）依法缴纳税收和社会保障资金的相关材料。依法免税或不需要缴纳社会保障资金的供应商，应提供相应文件证明其依法免税或不需要缴纳社会保障资金（上传扫描件需要加</w:t>
            </w:r>
            <w:r>
              <w:rPr>
                <w:rFonts w:hint="eastAsia" w:ascii="宋体" w:hAnsi="宋体" w:cs="宋体"/>
                <w:bCs/>
                <w:color w:val="auto"/>
                <w:sz w:val="24"/>
                <w:szCs w:val="24"/>
                <w:highlight w:val="none"/>
                <w:lang w:val="zh-CN"/>
              </w:rPr>
              <w:t>盖单位公章</w:t>
            </w:r>
            <w:r>
              <w:rPr>
                <w:rFonts w:hint="eastAsia" w:ascii="宋体" w:hAnsi="宋体" w:eastAsia="宋体" w:cs="宋体"/>
                <w:bCs/>
                <w:color w:val="auto"/>
                <w:sz w:val="24"/>
                <w:szCs w:val="24"/>
                <w:highlight w:val="none"/>
                <w:lang w:val="zh-CN"/>
              </w:rPr>
              <w:t>）；</w:t>
            </w:r>
          </w:p>
          <w:p w14:paraId="0991F363">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、提供谈判公告发布之日至开标之日期间的任意一天的“信用中国”网站未列入“①失信被执行人②重大税收违法失信主体”的官网彩色截图并加</w:t>
            </w:r>
            <w:r>
              <w:rPr>
                <w:rFonts w:hint="eastAsia" w:ascii="宋体" w:hAnsi="宋体" w:cs="宋体"/>
                <w:bCs/>
                <w:color w:val="auto"/>
                <w:sz w:val="24"/>
                <w:szCs w:val="24"/>
                <w:highlight w:val="none"/>
                <w:lang w:val="zh-CN"/>
              </w:rPr>
              <w:t>盖单位公章</w:t>
            </w:r>
            <w:r>
              <w:rPr>
                <w:rFonts w:hint="eastAsia" w:ascii="宋体" w:hAnsi="宋体" w:eastAsia="宋体" w:cs="宋体"/>
                <w:bCs/>
                <w:color w:val="auto"/>
                <w:sz w:val="24"/>
                <w:szCs w:val="24"/>
                <w:highlight w:val="none"/>
                <w:lang w:val="zh-CN"/>
              </w:rPr>
              <w:t>；</w:t>
            </w:r>
          </w:p>
          <w:p w14:paraId="7C1A80DD">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提供</w:t>
            </w:r>
            <w:r>
              <w:rPr>
                <w:rFonts w:hint="eastAsia" w:ascii="宋体" w:hAnsi="宋体" w:eastAsia="宋体" w:cs="宋体"/>
                <w:bCs/>
                <w:color w:val="auto"/>
                <w:sz w:val="24"/>
                <w:szCs w:val="24"/>
                <w:highlight w:val="none"/>
                <w:lang w:val="zh-CN" w:eastAsia="zh-CN"/>
              </w:rPr>
              <w:t>近三年（20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zh-CN" w:eastAsia="zh-CN"/>
              </w:rPr>
              <w:t>年</w:t>
            </w:r>
            <w:r>
              <w:rPr>
                <w:rFonts w:hint="eastAsia" w:ascii="宋体" w:hAnsi="宋体" w:eastAsia="宋体" w:cs="宋体"/>
                <w:bCs/>
                <w:color w:val="auto"/>
                <w:sz w:val="24"/>
                <w:szCs w:val="24"/>
                <w:highlight w:val="none"/>
                <w:lang w:val="en-US" w:eastAsia="zh-CN"/>
              </w:rPr>
              <w:t>0</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lang w:val="zh-CN" w:eastAsia="zh-CN"/>
              </w:rPr>
              <w:t>日—谈判公告发布之日至开标之日期间任意一天）</w:t>
            </w:r>
            <w:r>
              <w:rPr>
                <w:rFonts w:hint="eastAsia" w:ascii="宋体" w:hAnsi="宋体" w:eastAsia="宋体" w:cs="宋体"/>
                <w:bCs/>
                <w:color w:val="auto"/>
                <w:sz w:val="24"/>
                <w:szCs w:val="24"/>
                <w:highlight w:val="none"/>
                <w:lang w:val="zh-CN"/>
              </w:rPr>
              <w:t>查询的“中国政府采购网”未列入“政府采购严重违法失信行为记录名单”的官网彩色截图并加</w:t>
            </w:r>
            <w:r>
              <w:rPr>
                <w:rFonts w:hint="eastAsia" w:ascii="宋体" w:hAnsi="宋体" w:cs="宋体"/>
                <w:bCs/>
                <w:color w:val="auto"/>
                <w:sz w:val="24"/>
                <w:szCs w:val="24"/>
                <w:highlight w:val="none"/>
                <w:lang w:val="zh-CN"/>
              </w:rPr>
              <w:t>盖单位公章</w:t>
            </w:r>
            <w:r>
              <w:rPr>
                <w:rFonts w:hint="eastAsia" w:ascii="宋体" w:hAnsi="宋体" w:eastAsia="宋体" w:cs="宋体"/>
                <w:bCs/>
                <w:color w:val="auto"/>
                <w:sz w:val="24"/>
                <w:szCs w:val="24"/>
                <w:highlight w:val="none"/>
                <w:lang w:val="zh-CN"/>
              </w:rPr>
              <w:t>；</w:t>
            </w:r>
          </w:p>
          <w:p w14:paraId="0A0E4AFC">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、提供</w:t>
            </w:r>
            <w:r>
              <w:rPr>
                <w:rFonts w:hint="eastAsia" w:ascii="宋体" w:hAnsi="宋体" w:eastAsia="宋体" w:cs="宋体"/>
                <w:bCs/>
                <w:color w:val="auto"/>
                <w:sz w:val="24"/>
                <w:szCs w:val="24"/>
                <w:highlight w:val="none"/>
                <w:lang w:val="zh-CN" w:eastAsia="zh-CN"/>
              </w:rPr>
              <w:t>近三年（20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lang w:val="zh-CN" w:eastAsia="zh-CN"/>
              </w:rPr>
              <w:t>年</w:t>
            </w:r>
            <w:r>
              <w:rPr>
                <w:rFonts w:hint="eastAsia" w:ascii="宋体"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val="zh-CN" w:eastAsia="zh-CN"/>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lang w:val="zh-CN" w:eastAsia="zh-CN"/>
              </w:rPr>
              <w:t>日—谈判公告发布之日至开标之日期间任意一天）</w:t>
            </w:r>
            <w:r>
              <w:rPr>
                <w:rFonts w:hint="eastAsia" w:ascii="宋体" w:hAnsi="宋体" w:eastAsia="宋体" w:cs="宋体"/>
                <w:bCs/>
                <w:color w:val="auto"/>
                <w:sz w:val="24"/>
                <w:szCs w:val="24"/>
                <w:highlight w:val="none"/>
                <w:lang w:val="zh-CN"/>
              </w:rPr>
              <w:t>查询的“中国裁判文书网”近三年响应人无行贿犯罪记录：本</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lang w:val="zh-CN"/>
              </w:rPr>
              <w:t>（案由：单位行贿罪）和个人（指法定代表人）（案由：行贿罪）查询界面的无行贿犯罪记录官网截图；</w:t>
            </w:r>
            <w:r>
              <w:rPr>
                <w:rFonts w:hint="eastAsia" w:ascii="宋体" w:hAnsi="宋体" w:eastAsia="宋体" w:cs="宋体"/>
                <w:bCs/>
                <w:color w:val="auto"/>
                <w:sz w:val="24"/>
                <w:szCs w:val="24"/>
                <w:highlight w:val="none"/>
                <w:lang w:val="en-US" w:eastAsia="zh-CN"/>
              </w:rPr>
              <w:t>（以上截图或拍照内容要完整清晰，应包括网站网址、查询内容、电脑截屏时间。）</w:t>
            </w:r>
          </w:p>
          <w:p w14:paraId="14488D9E">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zh-CN"/>
              </w:rPr>
              <w:t>、保证金汇款凭证加</w:t>
            </w:r>
            <w:r>
              <w:rPr>
                <w:rFonts w:hint="eastAsia" w:ascii="宋体" w:hAnsi="宋体" w:cs="宋体"/>
                <w:bCs/>
                <w:color w:val="auto"/>
                <w:sz w:val="24"/>
                <w:szCs w:val="24"/>
                <w:highlight w:val="none"/>
                <w:lang w:val="zh-CN"/>
              </w:rPr>
              <w:t>盖单位公章</w:t>
            </w:r>
            <w:r>
              <w:rPr>
                <w:rFonts w:hint="eastAsia" w:ascii="宋体" w:hAnsi="宋体" w:eastAsia="宋体" w:cs="宋体"/>
                <w:bCs/>
                <w:color w:val="auto"/>
                <w:sz w:val="24"/>
                <w:szCs w:val="24"/>
                <w:highlight w:val="none"/>
                <w:lang w:val="zh-CN"/>
              </w:rPr>
              <w:t>或财务章；</w:t>
            </w:r>
          </w:p>
          <w:p w14:paraId="0BF18FD7">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rPr>
              <w:t>、中小企业声明函或监狱企业的证明文件或残疾人福利性单位声明函；</w:t>
            </w:r>
          </w:p>
          <w:p w14:paraId="1FB290BE">
            <w:pPr>
              <w:spacing w:line="44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、谈判文件要求的其他材料。</w:t>
            </w:r>
          </w:p>
          <w:p w14:paraId="368E3965">
            <w:pPr>
              <w:adjustRightInd w:val="0"/>
              <w:snapToGrid w:val="0"/>
              <w:spacing w:line="3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注：1、上述证件应在投标文件中上传彩色扫描件并加</w:t>
            </w:r>
            <w:r>
              <w:rPr>
                <w:rFonts w:hint="eastAsia" w:ascii="宋体" w:hAnsi="宋体" w:cs="宋体"/>
                <w:b/>
                <w:bCs/>
                <w:color w:val="auto"/>
                <w:sz w:val="24"/>
                <w:szCs w:val="24"/>
                <w:lang w:eastAsia="zh-CN"/>
              </w:rPr>
              <w:t>盖单位公章</w:t>
            </w:r>
            <w:r>
              <w:rPr>
                <w:rFonts w:hint="eastAsia" w:ascii="宋体" w:hAnsi="宋体" w:eastAsia="宋体" w:cs="宋体"/>
                <w:b/>
                <w:bCs/>
                <w:color w:val="auto"/>
                <w:sz w:val="24"/>
                <w:szCs w:val="24"/>
              </w:rPr>
              <w:t>；</w:t>
            </w:r>
          </w:p>
          <w:p w14:paraId="03CB7CA5">
            <w:pPr>
              <w:spacing w:line="44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2.未按照</w:t>
            </w:r>
            <w:r>
              <w:rPr>
                <w:rFonts w:hint="eastAsia" w:ascii="宋体" w:hAnsi="宋体" w:eastAsia="宋体" w:cs="宋体"/>
                <w:b/>
                <w:bCs/>
                <w:color w:val="auto"/>
                <w:sz w:val="24"/>
                <w:szCs w:val="24"/>
                <w:lang w:eastAsia="zh-CN"/>
              </w:rPr>
              <w:t>谈判</w:t>
            </w:r>
            <w:r>
              <w:rPr>
                <w:rFonts w:hint="eastAsia" w:ascii="宋体" w:hAnsi="宋体" w:eastAsia="宋体" w:cs="宋体"/>
                <w:b/>
                <w:bCs/>
                <w:color w:val="auto"/>
                <w:sz w:val="24"/>
                <w:szCs w:val="24"/>
              </w:rPr>
              <w:t>文件要求上传</w:t>
            </w:r>
            <w:r>
              <w:rPr>
                <w:rFonts w:hint="eastAsia" w:ascii="宋体" w:hAnsi="宋体" w:cs="宋体"/>
                <w:b/>
                <w:bCs/>
                <w:color w:val="auto"/>
                <w:sz w:val="24"/>
                <w:szCs w:val="24"/>
                <w:lang w:val="en-US" w:eastAsia="zh-CN"/>
              </w:rPr>
              <w:t>的，</w:t>
            </w:r>
            <w:r>
              <w:rPr>
                <w:rFonts w:hint="eastAsia" w:ascii="宋体" w:hAnsi="宋体" w:eastAsia="宋体" w:cs="宋体"/>
                <w:b/>
                <w:bCs/>
                <w:color w:val="auto"/>
                <w:sz w:val="24"/>
                <w:szCs w:val="24"/>
              </w:rPr>
              <w:t>由此引发的后果和责任由</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人自行承担。</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7F236179">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2415" w:type="dxa"/>
            <w:vAlign w:val="center"/>
          </w:tcPr>
          <w:p w14:paraId="5CB87C50">
            <w:pPr>
              <w:tabs>
                <w:tab w:val="left" w:pos="760"/>
              </w:tabs>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是否接受联合体投标</w:t>
            </w:r>
          </w:p>
        </w:tc>
        <w:tc>
          <w:tcPr>
            <w:tcW w:w="6227" w:type="dxa"/>
            <w:vAlign w:val="center"/>
          </w:tcPr>
          <w:p w14:paraId="0293FFEB">
            <w:pPr>
              <w:tabs>
                <w:tab w:val="left" w:pos="760"/>
              </w:tabs>
              <w:spacing w:line="340" w:lineRule="exact"/>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0A62C806">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2415" w:type="dxa"/>
            <w:vAlign w:val="center"/>
          </w:tcPr>
          <w:p w14:paraId="75A561B5">
            <w:pPr>
              <w:tabs>
                <w:tab w:val="left" w:pos="760"/>
              </w:tabs>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踏勘现场</w:t>
            </w:r>
          </w:p>
        </w:tc>
        <w:tc>
          <w:tcPr>
            <w:tcW w:w="6227" w:type="dxa"/>
            <w:vAlign w:val="center"/>
          </w:tcPr>
          <w:p w14:paraId="0263C851">
            <w:pPr>
              <w:tabs>
                <w:tab w:val="left" w:pos="760"/>
              </w:tabs>
              <w:spacing w:line="340" w:lineRule="exact"/>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不组织</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46B0D769">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2415" w:type="dxa"/>
            <w:vAlign w:val="center"/>
          </w:tcPr>
          <w:p w14:paraId="3BAFC3CC">
            <w:pPr>
              <w:tabs>
                <w:tab w:val="left" w:pos="760"/>
              </w:tabs>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投标预备会</w:t>
            </w:r>
          </w:p>
        </w:tc>
        <w:tc>
          <w:tcPr>
            <w:tcW w:w="6227" w:type="dxa"/>
            <w:vAlign w:val="center"/>
          </w:tcPr>
          <w:p w14:paraId="1785DB11">
            <w:pPr>
              <w:tabs>
                <w:tab w:val="left" w:pos="760"/>
              </w:tabs>
              <w:spacing w:line="340" w:lineRule="exact"/>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3" w:type="dxa"/>
            <w:vAlign w:val="center"/>
          </w:tcPr>
          <w:p w14:paraId="337D925C">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2415"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jc w:val="center"/>
              <w:textAlignment w:val="auto"/>
              <w:rPr>
                <w:rFonts w:ascii="宋体" w:hAnsi="宋体" w:cs="宋体"/>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文件份数</w:t>
            </w:r>
          </w:p>
        </w:tc>
        <w:tc>
          <w:tcPr>
            <w:tcW w:w="6227"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textAlignment w:val="auto"/>
              <w:rPr>
                <w:rFonts w:ascii="宋体" w:hAnsi="宋体" w:cs="宋体"/>
                <w:sz w:val="24"/>
                <w:szCs w:val="24"/>
              </w:rPr>
            </w:pPr>
            <w:r>
              <w:rPr>
                <w:rFonts w:hint="eastAsia" w:ascii="宋体" w:hAnsi="宋体" w:eastAsia="宋体" w:cs="宋体"/>
                <w:color w:val="auto"/>
                <w:sz w:val="24"/>
                <w:szCs w:val="24"/>
              </w:rPr>
              <w:t>注：本项目采取网上招标、网上投标和远程不见面开标。投标单位</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在开标前将政采云电子投标客户端生成的加密文件上传到</w:t>
            </w:r>
            <w:r>
              <w:rPr>
                <w:rFonts w:hint="eastAsia" w:ascii="宋体" w:hAnsi="宋体" w:eastAsia="宋体" w:cs="宋体"/>
                <w:color w:val="auto"/>
                <w:sz w:val="24"/>
                <w:szCs w:val="24"/>
                <w:lang w:eastAsia="zh-CN"/>
              </w:rPr>
              <w:t>“政采云”平台（https://www.zcygov.cn/）</w:t>
            </w:r>
            <w:r>
              <w:rPr>
                <w:rFonts w:hint="eastAsia" w:ascii="宋体" w:hAnsi="宋体" w:eastAsia="宋体" w:cs="宋体"/>
                <w:color w:val="auto"/>
                <w:sz w:val="24"/>
                <w:szCs w:val="24"/>
              </w:rPr>
              <w:t>。</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3" w:type="dxa"/>
            <w:vAlign w:val="center"/>
          </w:tcPr>
          <w:p w14:paraId="3909A723">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2415" w:type="dxa"/>
            <w:vAlign w:val="center"/>
          </w:tcPr>
          <w:p w14:paraId="65B27FBB">
            <w:pPr>
              <w:spacing w:line="360" w:lineRule="exact"/>
              <w:jc w:val="center"/>
              <w:rPr>
                <w:rFonts w:ascii="宋体" w:hAnsi="宋体" w:cs="宋体"/>
                <w:sz w:val="24"/>
                <w:szCs w:val="24"/>
              </w:rPr>
            </w:pPr>
            <w:r>
              <w:rPr>
                <w:rFonts w:hint="eastAsia" w:ascii="宋体" w:hAnsi="宋体" w:eastAsia="宋体" w:cs="宋体"/>
                <w:bCs/>
                <w:color w:val="auto"/>
                <w:sz w:val="24"/>
                <w:szCs w:val="24"/>
                <w:highlight w:val="none"/>
                <w:lang w:val="en-US" w:eastAsia="zh-CN"/>
              </w:rPr>
              <w:t>谈判报价</w:t>
            </w:r>
          </w:p>
        </w:tc>
        <w:tc>
          <w:tcPr>
            <w:tcW w:w="6227" w:type="dxa"/>
            <w:vAlign w:val="center"/>
          </w:tcPr>
          <w:p w14:paraId="75B70B68">
            <w:pPr>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dxa"/>
            <w:vAlign w:val="center"/>
          </w:tcPr>
          <w:p w14:paraId="0A2F4CDE">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2415" w:type="dxa"/>
            <w:vAlign w:val="center"/>
          </w:tcPr>
          <w:p w14:paraId="4C5D7591">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227" w:type="dxa"/>
            <w:vAlign w:val="center"/>
          </w:tcPr>
          <w:p w14:paraId="3C30C02B">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2DC88D6D">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谈判小组的构成：3人，其中采购人代表 0-1 人， 专家 3-2 人。专家确定方式：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dxa"/>
            <w:vAlign w:val="center"/>
          </w:tcPr>
          <w:p w14:paraId="6E1421C8">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2415" w:type="dxa"/>
            <w:vAlign w:val="center"/>
          </w:tcPr>
          <w:p w14:paraId="4926403D">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227" w:type="dxa"/>
            <w:vAlign w:val="center"/>
          </w:tcPr>
          <w:p w14:paraId="27541ED9">
            <w:pPr>
              <w:spacing w:line="36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3" w:type="dxa"/>
            <w:vAlign w:val="center"/>
          </w:tcPr>
          <w:p w14:paraId="3C531092">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2415" w:type="dxa"/>
            <w:vAlign w:val="center"/>
          </w:tcPr>
          <w:p w14:paraId="04EC65F5">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exact"/>
              <w:jc w:val="left"/>
              <w:rPr>
                <w:rFonts w:hint="eastAsia" w:ascii="宋体" w:hAnsi="宋体" w:eastAsia="宋体" w:cs="宋体"/>
                <w:bCs/>
                <w:color w:val="auto"/>
                <w:sz w:val="24"/>
                <w:szCs w:val="24"/>
                <w:highlight w:val="none"/>
                <w:lang w:val="en-US" w:eastAsia="zh-CN"/>
              </w:rPr>
            </w:pPr>
          </w:p>
        </w:tc>
        <w:tc>
          <w:tcPr>
            <w:tcW w:w="6227" w:type="dxa"/>
            <w:vAlign w:val="center"/>
          </w:tcPr>
          <w:p w14:paraId="5FC2414E">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13" w:type="dxa"/>
            <w:vAlign w:val="center"/>
          </w:tcPr>
          <w:p w14:paraId="1A99E540">
            <w:pPr>
              <w:spacing w:line="360" w:lineRule="exact"/>
              <w:jc w:val="center"/>
              <w:rPr>
                <w:rFonts w:hint="default" w:ascii="宋体" w:hAnsi="宋体" w:eastAsia="宋体" w:cs="宋体"/>
                <w:position w:val="-2"/>
                <w:sz w:val="24"/>
                <w:szCs w:val="24"/>
                <w:lang w:val="en-US" w:eastAsia="zh-CN"/>
              </w:rPr>
            </w:pPr>
            <w:r>
              <w:rPr>
                <w:rFonts w:hint="eastAsia" w:ascii="宋体" w:hAnsi="宋体" w:cs="宋体"/>
                <w:position w:val="-2"/>
                <w:sz w:val="24"/>
                <w:szCs w:val="24"/>
                <w:lang w:val="en-US" w:eastAsia="zh-CN"/>
              </w:rPr>
              <w:t>29</w:t>
            </w:r>
          </w:p>
        </w:tc>
        <w:tc>
          <w:tcPr>
            <w:tcW w:w="2415" w:type="dxa"/>
            <w:vAlign w:val="center"/>
          </w:tcPr>
          <w:p w14:paraId="6979FCCF">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6007F13B">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及成交通知书</w:t>
            </w:r>
          </w:p>
        </w:tc>
        <w:tc>
          <w:tcPr>
            <w:tcW w:w="6227" w:type="dxa"/>
            <w:vAlign w:val="center"/>
          </w:tcPr>
          <w:p w14:paraId="285808AF">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3" w:type="dxa"/>
            <w:vAlign w:val="center"/>
          </w:tcPr>
          <w:p w14:paraId="0BD1035D">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2415" w:type="dxa"/>
            <w:vAlign w:val="center"/>
          </w:tcPr>
          <w:p w14:paraId="4DC0B71E">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227" w:type="dxa"/>
            <w:shd w:val="clear" w:color="auto" w:fill="auto"/>
            <w:vAlign w:val="center"/>
          </w:tcPr>
          <w:p w14:paraId="3ED049FF">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成交供应商应在收到成交通知书后7天内向采购人提交成交金额5%的履约保证金。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3" w:type="dxa"/>
            <w:vAlign w:val="center"/>
          </w:tcPr>
          <w:p w14:paraId="469510AB">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c>
          <w:tcPr>
            <w:tcW w:w="2415" w:type="dxa"/>
            <w:vAlign w:val="center"/>
          </w:tcPr>
          <w:p w14:paraId="76EA718A">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227" w:type="dxa"/>
          </w:tcPr>
          <w:p w14:paraId="4CA9CFF9">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指2022年0</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17</w:t>
            </w:r>
            <w:r>
              <w:rPr>
                <w:rFonts w:hint="eastAsia" w:ascii="宋体" w:hAnsi="宋体" w:eastAsia="宋体" w:cs="宋体"/>
                <w:bCs/>
                <w:color w:val="auto"/>
                <w:sz w:val="24"/>
                <w:szCs w:val="24"/>
                <w:highlight w:val="none"/>
                <w:lang w:val="en-US" w:eastAsia="zh-CN"/>
              </w:rPr>
              <w:t>日至今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3" w:type="dxa"/>
            <w:vAlign w:val="center"/>
          </w:tcPr>
          <w:p w14:paraId="2ABFE0AD">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2415" w:type="dxa"/>
            <w:vAlign w:val="center"/>
          </w:tcPr>
          <w:p w14:paraId="45EB737A">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227" w:type="dxa"/>
            <w:vAlign w:val="center"/>
          </w:tcPr>
          <w:p w14:paraId="30ED79BB">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13" w:type="dxa"/>
            <w:vAlign w:val="center"/>
          </w:tcPr>
          <w:p w14:paraId="7C32374C">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2415" w:type="dxa"/>
            <w:vAlign w:val="center"/>
          </w:tcPr>
          <w:p w14:paraId="7F2FF83C">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227" w:type="dxa"/>
            <w:vAlign w:val="center"/>
          </w:tcPr>
          <w:p w14:paraId="5BEB5EB7">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3" w:type="dxa"/>
            <w:vAlign w:val="center"/>
          </w:tcPr>
          <w:p w14:paraId="23CE8A43">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2415" w:type="dxa"/>
          </w:tcPr>
          <w:p w14:paraId="59923ECB">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227" w:type="dxa"/>
          </w:tcPr>
          <w:p w14:paraId="587398E4">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3" w:type="dxa"/>
            <w:vAlign w:val="center"/>
          </w:tcPr>
          <w:p w14:paraId="477E9997">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2415" w:type="dxa"/>
            <w:vAlign w:val="center"/>
          </w:tcPr>
          <w:p w14:paraId="2F6704DF">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227" w:type="dxa"/>
            <w:vAlign w:val="center"/>
          </w:tcPr>
          <w:p w14:paraId="133CA80F">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一、是否为专门面向中小企业采购：是</w:t>
            </w:r>
          </w:p>
          <w:p w14:paraId="2354B60F">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二、采购标的对应的中小企业划分标准所属行业：软件和信息技术服务业</w:t>
            </w:r>
          </w:p>
        </w:tc>
      </w:tr>
      <w:tr w14:paraId="7284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5618D353">
            <w:pPr>
              <w:spacing w:line="360" w:lineRule="exact"/>
              <w:jc w:val="center"/>
              <w:rPr>
                <w:rFonts w:hint="default" w:ascii="宋体" w:hAnsi="宋体" w:eastAsia="宋体" w:cs="宋体"/>
                <w:color w:val="0000FF"/>
                <w:sz w:val="24"/>
                <w:szCs w:val="24"/>
                <w:lang w:val="en-US" w:eastAsia="zh-CN"/>
              </w:rPr>
            </w:pPr>
            <w:r>
              <w:rPr>
                <w:rFonts w:hint="eastAsia" w:ascii="宋体" w:hAnsi="宋体" w:cs="宋体"/>
                <w:color w:val="auto"/>
                <w:sz w:val="24"/>
                <w:szCs w:val="24"/>
                <w:lang w:val="en-US" w:eastAsia="zh-CN"/>
              </w:rPr>
              <w:t>36</w:t>
            </w:r>
          </w:p>
        </w:tc>
        <w:tc>
          <w:tcPr>
            <w:tcW w:w="2415" w:type="dxa"/>
            <w:vAlign w:val="center"/>
          </w:tcPr>
          <w:p w14:paraId="24ADBEA3">
            <w:pPr>
              <w:spacing w:line="3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是否允许采购进口产品</w:t>
            </w:r>
          </w:p>
        </w:tc>
        <w:tc>
          <w:tcPr>
            <w:tcW w:w="6227" w:type="dxa"/>
            <w:vAlign w:val="center"/>
          </w:tcPr>
          <w:p w14:paraId="0E5D3D67">
            <w:pPr>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不允许</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6359BDB3">
            <w:pPr>
              <w:spacing w:line="360" w:lineRule="exact"/>
              <w:jc w:val="left"/>
              <w:rPr>
                <w:rFonts w:hint="eastAsia" w:ascii="宋体" w:hAnsi="宋体" w:eastAsia="宋体" w:cs="宋体"/>
                <w:bCs/>
                <w:color w:val="auto"/>
                <w:sz w:val="24"/>
                <w:szCs w:val="24"/>
                <w:highlight w:val="none"/>
                <w:lang w:val="zh-CN" w:eastAsia="zh-CN"/>
              </w:rPr>
            </w:pPr>
          </w:p>
        </w:tc>
        <w:tc>
          <w:tcPr>
            <w:tcW w:w="8642" w:type="dxa"/>
            <w:gridSpan w:val="2"/>
            <w:vAlign w:val="center"/>
          </w:tcPr>
          <w:p w14:paraId="0B97BD1C">
            <w:pPr>
              <w:spacing w:line="360" w:lineRule="exact"/>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303A49DC">
            <w:pPr>
              <w:spacing w:line="440" w:lineRule="exact"/>
              <w:jc w:val="left"/>
              <w:rPr>
                <w:rFonts w:hint="eastAsia" w:ascii="宋体" w:hAnsi="宋体" w:cs="宋体"/>
                <w:color w:val="auto"/>
                <w:sz w:val="24"/>
                <w:szCs w:val="24"/>
              </w:rPr>
            </w:pPr>
            <w:r>
              <w:rPr>
                <w:rFonts w:hint="eastAsia" w:ascii="宋体" w:hAnsi="宋体" w:cs="宋体"/>
                <w:color w:val="auto"/>
                <w:kern w:val="0"/>
                <w:sz w:val="24"/>
                <w:szCs w:val="24"/>
                <w:lang w:val="zh-CN"/>
              </w:rPr>
              <w:t>低于成本报价</w:t>
            </w:r>
          </w:p>
        </w:tc>
        <w:tc>
          <w:tcPr>
            <w:tcW w:w="8642" w:type="dxa"/>
            <w:gridSpan w:val="2"/>
            <w:vAlign w:val="center"/>
          </w:tcPr>
          <w:p w14:paraId="56892AE5">
            <w:pPr>
              <w:spacing w:line="440" w:lineRule="exact"/>
              <w:rPr>
                <w:rFonts w:hint="eastAsia" w:ascii="宋体" w:hAnsi="宋体" w:cs="宋体"/>
                <w:color w:val="auto"/>
                <w:sz w:val="24"/>
                <w:szCs w:val="24"/>
              </w:rPr>
            </w:pPr>
            <w:r>
              <w:rPr>
                <w:rFonts w:hint="eastAsia" w:ascii="宋体" w:hAnsi="宋体" w:cs="宋体"/>
                <w:color w:val="auto"/>
                <w:kern w:val="0"/>
                <w:sz w:val="24"/>
                <w:szCs w:val="24"/>
                <w:lang w:val="zh-CN"/>
              </w:rPr>
              <w:t>依据财政部第</w:t>
            </w:r>
            <w:r>
              <w:rPr>
                <w:rFonts w:hint="eastAsia" w:ascii="宋体" w:hAnsi="宋体" w:cs="宋体"/>
                <w:color w:val="auto"/>
                <w:kern w:val="0"/>
                <w:sz w:val="24"/>
                <w:szCs w:val="24"/>
              </w:rPr>
              <w:t>87号令第60条：</w:t>
            </w:r>
            <w:r>
              <w:rPr>
                <w:rFonts w:hint="eastAsia" w:ascii="宋体" w:hAnsi="宋体" w:cs="宋体"/>
                <w:color w:val="auto"/>
                <w:kern w:val="0"/>
                <w:sz w:val="24"/>
                <w:szCs w:val="24"/>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5562E9CB">
            <w:pPr>
              <w:spacing w:line="440" w:lineRule="exact"/>
              <w:rPr>
                <w:rFonts w:hint="eastAsia" w:ascii="宋体" w:hAnsi="宋体" w:cs="宋体"/>
                <w:sz w:val="24"/>
                <w:szCs w:val="24"/>
              </w:rPr>
            </w:pPr>
            <w:r>
              <w:rPr>
                <w:rFonts w:hint="eastAsia" w:ascii="宋体" w:hAnsi="宋体" w:cs="宋体"/>
                <w:color w:val="auto"/>
                <w:sz w:val="24"/>
                <w:szCs w:val="24"/>
              </w:rPr>
              <w:t>招标代理服务费</w:t>
            </w:r>
          </w:p>
        </w:tc>
        <w:tc>
          <w:tcPr>
            <w:tcW w:w="8642" w:type="dxa"/>
            <w:gridSpan w:val="2"/>
            <w:vAlign w:val="center"/>
          </w:tcPr>
          <w:p w14:paraId="78797112">
            <w:pPr>
              <w:spacing w:line="460" w:lineRule="exact"/>
              <w:rPr>
                <w:rFonts w:hint="eastAsia" w:ascii="宋体" w:hAnsi="宋体" w:cs="宋体"/>
                <w:color w:val="auto"/>
                <w:sz w:val="24"/>
                <w:szCs w:val="24"/>
              </w:rPr>
            </w:pPr>
            <w:r>
              <w:rPr>
                <w:rFonts w:hint="eastAsia" w:ascii="宋体" w:hAnsi="宋体" w:cs="宋体"/>
                <w:color w:val="auto"/>
                <w:sz w:val="24"/>
                <w:szCs w:val="24"/>
              </w:rPr>
              <w:t>收费依据：按照国家发展改革委“发改价格【2015】299号”文要求。</w:t>
            </w:r>
          </w:p>
          <w:p w14:paraId="241D1654">
            <w:pPr>
              <w:spacing w:line="460" w:lineRule="exact"/>
              <w:rPr>
                <w:rFonts w:hint="eastAsia" w:ascii="宋体" w:hAnsi="宋体" w:cs="宋体"/>
                <w:color w:val="auto"/>
                <w:sz w:val="24"/>
                <w:szCs w:val="24"/>
              </w:rPr>
            </w:pPr>
            <w:r>
              <w:rPr>
                <w:rFonts w:hint="eastAsia" w:ascii="宋体" w:hAnsi="宋体" w:cs="宋体"/>
                <w:color w:val="auto"/>
                <w:sz w:val="24"/>
                <w:szCs w:val="24"/>
              </w:rPr>
              <w:t>收取对象：本项目招标代理费向中标单位收取。</w:t>
            </w:r>
          </w:p>
          <w:p w14:paraId="651C3ACF">
            <w:pPr>
              <w:spacing w:line="460" w:lineRule="exact"/>
              <w:rPr>
                <w:rFonts w:hint="eastAsia" w:ascii="宋体" w:hAnsi="宋体" w:cs="宋体"/>
                <w:sz w:val="24"/>
                <w:szCs w:val="24"/>
              </w:rPr>
            </w:pPr>
            <w:r>
              <w:rPr>
                <w:rFonts w:hint="eastAsia" w:ascii="宋体" w:hAnsi="宋体" w:cs="宋体"/>
                <w:color w:val="auto"/>
                <w:sz w:val="24"/>
                <w:szCs w:val="24"/>
              </w:rPr>
              <w:t>收费金额：</w:t>
            </w:r>
            <w:r>
              <w:rPr>
                <w:rFonts w:hint="eastAsia" w:ascii="宋体" w:hAnsi="宋体" w:cs="宋体"/>
                <w:color w:val="auto"/>
                <w:sz w:val="24"/>
                <w:szCs w:val="24"/>
                <w:lang w:eastAsia="zh-CN"/>
              </w:rPr>
              <w:t>中标</w:t>
            </w:r>
            <w:r>
              <w:rPr>
                <w:rFonts w:hint="eastAsia" w:ascii="宋体" w:hAnsi="宋体" w:cs="宋体"/>
                <w:color w:val="auto"/>
                <w:sz w:val="24"/>
                <w:szCs w:val="24"/>
                <w:lang w:val="en-US" w:eastAsia="zh-CN"/>
              </w:rPr>
              <w:t>金额</w:t>
            </w:r>
            <w:r>
              <w:rPr>
                <w:rFonts w:hint="eastAsia" w:ascii="宋体" w:hAnsi="宋体" w:cs="宋体"/>
                <w:color w:val="auto"/>
                <w:sz w:val="24"/>
                <w:szCs w:val="24"/>
              </w:rPr>
              <w:t xml:space="preserve"> * </w:t>
            </w:r>
            <w:r>
              <w:rPr>
                <w:rFonts w:hint="eastAsia" w:ascii="宋体" w:hAnsi="宋体" w:cs="宋体"/>
                <w:color w:val="auto"/>
                <w:sz w:val="24"/>
                <w:szCs w:val="24"/>
                <w:lang w:val="en-US" w:eastAsia="zh-CN"/>
              </w:rPr>
              <w:t>1.9</w:t>
            </w:r>
            <w:r>
              <w:rPr>
                <w:rFonts w:hint="eastAsia" w:ascii="宋体" w:hAnsi="宋体" w:cs="宋体"/>
                <w:color w:val="auto"/>
                <w:sz w:val="24"/>
                <w:szCs w:val="24"/>
              </w:rPr>
              <w:t>%</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48A091F4">
            <w:pPr>
              <w:spacing w:line="440" w:lineRule="exact"/>
              <w:rPr>
                <w:rFonts w:hint="eastAsia" w:ascii="宋体" w:hAnsi="宋体" w:cs="宋体"/>
                <w:color w:val="auto"/>
                <w:sz w:val="24"/>
                <w:szCs w:val="24"/>
              </w:rPr>
            </w:pPr>
            <w:r>
              <w:rPr>
                <w:rFonts w:hint="eastAsia" w:ascii="宋体" w:hAnsi="宋体" w:cs="宋体"/>
                <w:color w:val="auto"/>
                <w:sz w:val="24"/>
                <w:szCs w:val="24"/>
              </w:rPr>
              <w:t>解释权</w:t>
            </w:r>
          </w:p>
        </w:tc>
        <w:tc>
          <w:tcPr>
            <w:tcW w:w="8642" w:type="dxa"/>
            <w:gridSpan w:val="2"/>
            <w:vAlign w:val="center"/>
          </w:tcPr>
          <w:p w14:paraId="44459A0F">
            <w:pPr>
              <w:spacing w:line="440" w:lineRule="exact"/>
              <w:rPr>
                <w:rFonts w:hint="eastAsia" w:ascii="宋体" w:hAnsi="宋体" w:cs="宋体"/>
                <w:color w:val="auto"/>
                <w:sz w:val="24"/>
                <w:szCs w:val="24"/>
              </w:rPr>
            </w:pPr>
            <w:r>
              <w:rPr>
                <w:rFonts w:hint="eastAsia" w:ascii="宋体" w:hAnsi="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lang w:eastAsia="zh-CN"/>
              </w:rPr>
              <w:t>供应商</w:t>
            </w:r>
            <w:r>
              <w:rPr>
                <w:rFonts w:hint="eastAsia" w:ascii="宋体" w:hAnsi="宋体" w:cs="宋体"/>
                <w:color w:val="auto"/>
                <w:sz w:val="24"/>
                <w:szCs w:val="24"/>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2D268107">
            <w:pPr>
              <w:spacing w:line="440" w:lineRule="exact"/>
              <w:rPr>
                <w:rFonts w:hint="eastAsia" w:ascii="宋体" w:hAnsi="宋体" w:cs="宋体"/>
                <w:color w:val="auto"/>
                <w:sz w:val="24"/>
                <w:szCs w:val="24"/>
              </w:rPr>
            </w:pPr>
            <w:r>
              <w:rPr>
                <w:rFonts w:hint="eastAsia" w:ascii="宋体" w:hAnsi="宋体" w:cs="宋体"/>
                <w:color w:val="auto"/>
                <w:sz w:val="24"/>
                <w:szCs w:val="24"/>
              </w:rPr>
              <w:t>其他要求</w:t>
            </w:r>
          </w:p>
        </w:tc>
        <w:tc>
          <w:tcPr>
            <w:tcW w:w="8642" w:type="dxa"/>
            <w:gridSpan w:val="2"/>
            <w:vAlign w:val="center"/>
          </w:tcPr>
          <w:p w14:paraId="6D0B72A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4B57C8C1">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自行组织踏勘，并须结合现场踏勘的情况及招标文件要求，将本项目所涉及的所有风险及费用全部含在投标报价中。</w:t>
            </w:r>
          </w:p>
          <w:p w14:paraId="23F965AF">
            <w:pPr>
              <w:spacing w:line="440" w:lineRule="exact"/>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1EFA67EF">
            <w:pPr>
              <w:spacing w:line="400" w:lineRule="exact"/>
              <w:jc w:val="center"/>
              <w:rPr>
                <w:rFonts w:hint="eastAsia" w:ascii="宋体" w:hAnsi="宋体" w:cs="宋体"/>
                <w:color w:val="auto"/>
                <w:sz w:val="24"/>
                <w:szCs w:val="24"/>
              </w:rPr>
            </w:pPr>
          </w:p>
        </w:tc>
        <w:tc>
          <w:tcPr>
            <w:tcW w:w="8642" w:type="dxa"/>
            <w:gridSpan w:val="2"/>
            <w:vAlign w:val="center"/>
          </w:tcPr>
          <w:p w14:paraId="2E4CAF2A">
            <w:pPr>
              <w:spacing w:line="400" w:lineRule="exact"/>
              <w:rPr>
                <w:rFonts w:hint="eastAsia" w:ascii="宋体" w:hAnsi="宋体" w:cs="宋体"/>
                <w:color w:val="auto"/>
                <w:sz w:val="24"/>
                <w:szCs w:val="24"/>
              </w:rPr>
            </w:pPr>
            <w:r>
              <w:rPr>
                <w:rFonts w:hint="eastAsia" w:ascii="宋体" w:hAnsi="宋体" w:cs="宋体"/>
                <w:b/>
                <w:bCs/>
                <w:color w:val="auto"/>
                <w:sz w:val="24"/>
                <w:szCs w:val="24"/>
              </w:rPr>
              <w:t>如</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公告与</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文件不符，按</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33BEFD24">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电子招投标相关说明</w:t>
            </w:r>
          </w:p>
        </w:tc>
        <w:tc>
          <w:tcPr>
            <w:tcW w:w="8642" w:type="dxa"/>
            <w:gridSpan w:val="2"/>
            <w:vAlign w:val="center"/>
          </w:tcPr>
          <w:p w14:paraId="2EC19167">
            <w:pPr>
              <w:spacing w:line="440" w:lineRule="exac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13DCB533">
            <w:pPr>
              <w:spacing w:line="440" w:lineRule="exac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2D28C2A0">
            <w:pPr>
              <w:spacing w:line="440" w:lineRule="exac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数字证书办理及投标文件的提交。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只需办理其中一家CA数字证书及签章，建议各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抓紧时间办理。（具体办理流程请致电当地财政局）</w:t>
            </w:r>
          </w:p>
          <w:p w14:paraId="5465BC46">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058DC51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编制完成后尽早完成上传。</w:t>
            </w:r>
          </w:p>
          <w:p w14:paraId="642B16B2">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6AAAF653">
            <w:pPr>
              <w:spacing w:line="440" w:lineRule="exact"/>
              <w:rPr>
                <w:rFonts w:hint="eastAsia"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解密或开标、评标工作无法进行的，可根据实际情况相应延迟解密时间或调整开标、评标时间。</w:t>
            </w:r>
          </w:p>
        </w:tc>
      </w:tr>
    </w:tbl>
    <w:p w14:paraId="75B7CD7F">
      <w:pPr>
        <w:jc w:val="center"/>
        <w:outlineLvl w:val="1"/>
        <w:rPr>
          <w:rFonts w:ascii="宋体"/>
          <w:b/>
          <w:bCs/>
          <w:color w:val="auto"/>
          <w:sz w:val="28"/>
        </w:rPr>
      </w:pPr>
      <w:r>
        <w:rPr>
          <w:rFonts w:hint="eastAsia" w:ascii="宋体" w:hAnsi="宋体" w:cs="宋体"/>
          <w:b/>
          <w:szCs w:val="21"/>
        </w:rPr>
        <w:br w:type="page"/>
      </w:r>
      <w:bookmarkStart w:id="11" w:name="_Toc22899"/>
      <w:bookmarkStart w:id="12" w:name="_Toc103723518"/>
      <w:r>
        <w:rPr>
          <w:rFonts w:hint="eastAsia" w:ascii="宋体"/>
          <w:b/>
          <w:bCs/>
          <w:color w:val="auto"/>
          <w:sz w:val="28"/>
        </w:rPr>
        <w:t>二、总则</w:t>
      </w:r>
      <w:bookmarkEnd w:id="11"/>
      <w:bookmarkEnd w:id="12"/>
    </w:p>
    <w:p w14:paraId="490F2602">
      <w:pPr>
        <w:spacing w:line="360" w:lineRule="auto"/>
        <w:rPr>
          <w:rFonts w:ascii="宋体" w:hAnsi="宋体"/>
          <w:color w:val="auto"/>
          <w:sz w:val="24"/>
        </w:rPr>
      </w:pPr>
      <w:r>
        <w:rPr>
          <w:rFonts w:hint="eastAsia" w:ascii="宋体" w:hAnsi="宋体"/>
          <w:b/>
          <w:color w:val="auto"/>
          <w:sz w:val="24"/>
        </w:rPr>
        <w:t>1.项目概况</w:t>
      </w:r>
    </w:p>
    <w:p w14:paraId="49632114">
      <w:pPr>
        <w:spacing w:line="360" w:lineRule="auto"/>
        <w:rPr>
          <w:rFonts w:ascii="宋体" w:hAnsi="宋体"/>
          <w:color w:val="auto"/>
          <w:sz w:val="24"/>
        </w:rPr>
      </w:pPr>
      <w:r>
        <w:rPr>
          <w:rFonts w:hint="eastAsia" w:ascii="宋体" w:hAnsi="宋体"/>
          <w:color w:val="auto"/>
          <w:sz w:val="24"/>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rPr>
      </w:pPr>
      <w:r>
        <w:rPr>
          <w:rFonts w:hint="eastAsia" w:ascii="宋体" w:hAnsi="宋体"/>
          <w:color w:val="auto"/>
          <w:sz w:val="24"/>
        </w:rPr>
        <w:t>1.2本采购项目采购人：见本须知前附表。</w:t>
      </w:r>
    </w:p>
    <w:p w14:paraId="2929C406">
      <w:pPr>
        <w:spacing w:line="360" w:lineRule="auto"/>
        <w:rPr>
          <w:rFonts w:ascii="宋体" w:hAnsi="宋体"/>
          <w:color w:val="auto"/>
          <w:sz w:val="24"/>
        </w:rPr>
      </w:pPr>
      <w:r>
        <w:rPr>
          <w:rFonts w:hint="eastAsia" w:ascii="宋体" w:hAnsi="宋体"/>
          <w:color w:val="auto"/>
          <w:sz w:val="24"/>
        </w:rPr>
        <w:t>1.3本采购项目采购代理机构：见本须知前附表。</w:t>
      </w:r>
    </w:p>
    <w:p w14:paraId="12F73ADB">
      <w:pPr>
        <w:spacing w:line="360" w:lineRule="auto"/>
        <w:rPr>
          <w:rFonts w:ascii="宋体" w:hAnsi="宋体"/>
          <w:color w:val="auto"/>
          <w:sz w:val="24"/>
        </w:rPr>
      </w:pPr>
      <w:r>
        <w:rPr>
          <w:rFonts w:hint="eastAsia" w:ascii="宋体" w:hAnsi="宋体"/>
          <w:color w:val="auto"/>
          <w:sz w:val="24"/>
        </w:rPr>
        <w:t>1.4本采购项目名称及项目编号：见本须知前附表。</w:t>
      </w:r>
    </w:p>
    <w:p w14:paraId="5DBC62AA">
      <w:pPr>
        <w:spacing w:line="360" w:lineRule="auto"/>
        <w:rPr>
          <w:rFonts w:ascii="宋体" w:hAnsi="宋体"/>
          <w:color w:val="auto"/>
          <w:sz w:val="24"/>
        </w:rPr>
      </w:pPr>
      <w:r>
        <w:rPr>
          <w:rFonts w:hint="eastAsia" w:ascii="宋体" w:hAnsi="宋体"/>
          <w:color w:val="auto"/>
          <w:sz w:val="24"/>
        </w:rPr>
        <w:t>1.5本项目实施地点：见本须知前附表。</w:t>
      </w:r>
    </w:p>
    <w:p w14:paraId="20CDD317">
      <w:pPr>
        <w:spacing w:line="360" w:lineRule="auto"/>
        <w:rPr>
          <w:rFonts w:ascii="宋体" w:hAnsi="宋体"/>
          <w:color w:val="auto"/>
          <w:sz w:val="24"/>
        </w:rPr>
      </w:pPr>
      <w:r>
        <w:rPr>
          <w:rFonts w:hint="eastAsia" w:ascii="宋体" w:hAnsi="宋体"/>
          <w:b/>
          <w:color w:val="auto"/>
          <w:sz w:val="24"/>
        </w:rPr>
        <w:t>2.资金来源和落实情况</w:t>
      </w:r>
    </w:p>
    <w:p w14:paraId="55C42185">
      <w:pPr>
        <w:spacing w:line="360" w:lineRule="auto"/>
        <w:rPr>
          <w:rFonts w:ascii="宋体" w:hAnsi="宋体"/>
          <w:color w:val="auto"/>
          <w:sz w:val="24"/>
        </w:rPr>
      </w:pPr>
      <w:r>
        <w:rPr>
          <w:rFonts w:hint="eastAsia" w:ascii="宋体" w:hAnsi="宋体"/>
          <w:color w:val="auto"/>
          <w:sz w:val="24"/>
        </w:rPr>
        <w:t>2.1本次采购项目的资金来源：见本须知前附表。</w:t>
      </w:r>
    </w:p>
    <w:p w14:paraId="3B474E31">
      <w:pPr>
        <w:spacing w:line="360" w:lineRule="auto"/>
        <w:rPr>
          <w:rFonts w:ascii="宋体" w:hAnsi="宋体"/>
          <w:color w:val="auto"/>
          <w:sz w:val="24"/>
        </w:rPr>
      </w:pPr>
      <w:r>
        <w:rPr>
          <w:rFonts w:hint="eastAsia" w:ascii="宋体" w:hAnsi="宋体"/>
          <w:color w:val="auto"/>
          <w:sz w:val="24"/>
        </w:rPr>
        <w:t>2.2本次采购项目的资金落实情况：见本须知前附表。</w:t>
      </w:r>
    </w:p>
    <w:p w14:paraId="6F883B5C">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谈判采购内容、服务期和质量要求</w:t>
      </w:r>
    </w:p>
    <w:p w14:paraId="7BA0E8DC">
      <w:pPr>
        <w:spacing w:line="360" w:lineRule="auto"/>
        <w:rPr>
          <w:rFonts w:ascii="宋体" w:hAnsi="宋体"/>
          <w:color w:val="auto"/>
          <w:sz w:val="24"/>
        </w:rPr>
      </w:pPr>
      <w:r>
        <w:rPr>
          <w:rFonts w:hint="eastAsia" w:ascii="宋体" w:hAnsi="宋体"/>
          <w:color w:val="auto"/>
          <w:sz w:val="24"/>
        </w:rPr>
        <w:t>3.1本次谈判采购内容：见本须知前附表。</w:t>
      </w:r>
    </w:p>
    <w:p w14:paraId="4F809D2A">
      <w:pPr>
        <w:spacing w:line="360" w:lineRule="auto"/>
        <w:rPr>
          <w:rFonts w:ascii="宋体" w:hAnsi="宋体"/>
          <w:color w:val="auto"/>
          <w:sz w:val="24"/>
        </w:rPr>
      </w:pPr>
      <w:r>
        <w:rPr>
          <w:rFonts w:hint="eastAsia" w:ascii="宋体" w:hAnsi="宋体"/>
          <w:color w:val="auto"/>
          <w:sz w:val="24"/>
        </w:rPr>
        <w:t>3.2本次采购的供货期：见本须知前附表。</w:t>
      </w:r>
    </w:p>
    <w:p w14:paraId="03E815D0">
      <w:pPr>
        <w:spacing w:line="360" w:lineRule="auto"/>
        <w:rPr>
          <w:rFonts w:ascii="宋体" w:hAnsi="宋体"/>
          <w:color w:val="auto"/>
          <w:sz w:val="24"/>
        </w:rPr>
      </w:pPr>
      <w:r>
        <w:rPr>
          <w:rFonts w:hint="eastAsia" w:ascii="宋体" w:hAnsi="宋体"/>
          <w:color w:val="auto"/>
          <w:sz w:val="24"/>
        </w:rPr>
        <w:t>3.3本项目的质量要求：见本须知前附表。</w:t>
      </w:r>
    </w:p>
    <w:p w14:paraId="74B5267F">
      <w:pPr>
        <w:spacing w:line="360" w:lineRule="auto"/>
        <w:rPr>
          <w:rFonts w:ascii="宋体" w:hAnsi="宋体"/>
          <w:b/>
          <w:color w:val="auto"/>
          <w:sz w:val="24"/>
        </w:rPr>
      </w:pPr>
      <w:r>
        <w:rPr>
          <w:rFonts w:hint="eastAsia" w:ascii="宋体" w:hAnsi="宋体"/>
          <w:b/>
          <w:color w:val="auto"/>
          <w:sz w:val="24"/>
        </w:rPr>
        <w:t>4.谈判供应商的资格标准与合格条件</w:t>
      </w:r>
    </w:p>
    <w:p w14:paraId="7414D971">
      <w:pPr>
        <w:spacing w:line="360" w:lineRule="auto"/>
        <w:rPr>
          <w:rFonts w:ascii="宋体" w:hAnsi="宋体"/>
          <w:color w:val="auto"/>
          <w:sz w:val="24"/>
        </w:rPr>
      </w:pPr>
      <w:r>
        <w:rPr>
          <w:rFonts w:hint="eastAsia" w:ascii="宋体" w:hAnsi="宋体"/>
          <w:color w:val="auto"/>
          <w:sz w:val="24"/>
        </w:rPr>
        <w:t>4.1谈判供应商应具备承担本项目的资质条件：见本须知前附表。</w:t>
      </w:r>
    </w:p>
    <w:p w14:paraId="0D406A1F">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.2本项目是否接授联合体响应：见本须知前附表。</w:t>
      </w:r>
    </w:p>
    <w:p w14:paraId="20A4A1BA">
      <w:pPr>
        <w:spacing w:line="360" w:lineRule="auto"/>
        <w:rPr>
          <w:rFonts w:ascii="宋体" w:hAnsi="宋体"/>
          <w:color w:val="auto"/>
          <w:sz w:val="24"/>
        </w:rPr>
      </w:pPr>
      <w:r>
        <w:rPr>
          <w:rFonts w:hint="eastAsia" w:ascii="宋体" w:hAnsi="宋体"/>
          <w:color w:val="auto"/>
          <w:sz w:val="24"/>
        </w:rPr>
        <w:t>4.3谈判供应商不得存在下列情形之一：</w:t>
      </w:r>
    </w:p>
    <w:p w14:paraId="5F00ABC1">
      <w:pPr>
        <w:spacing w:line="360" w:lineRule="auto"/>
        <w:rPr>
          <w:rFonts w:ascii="宋体" w:hAnsi="宋体"/>
          <w:color w:val="auto"/>
          <w:sz w:val="24"/>
        </w:rPr>
      </w:pPr>
      <w:r>
        <w:rPr>
          <w:rFonts w:hint="eastAsia" w:ascii="宋体" w:hAnsi="宋体"/>
          <w:color w:val="auto"/>
          <w:sz w:val="24"/>
        </w:rPr>
        <w:t>4.3.1为采购人的不具有独立法人资格的附属机构（单位）；</w:t>
      </w:r>
    </w:p>
    <w:p w14:paraId="6B7C1A90">
      <w:pPr>
        <w:spacing w:line="360" w:lineRule="auto"/>
        <w:rPr>
          <w:rFonts w:ascii="宋体" w:hAnsi="宋体"/>
          <w:color w:val="auto"/>
          <w:sz w:val="24"/>
        </w:rPr>
      </w:pPr>
      <w:r>
        <w:rPr>
          <w:rFonts w:ascii="宋体" w:hAnsi="宋体"/>
          <w:color w:val="auto"/>
          <w:sz w:val="24"/>
        </w:rPr>
        <w:t>4.3.2</w:t>
      </w:r>
      <w:r>
        <w:rPr>
          <w:rFonts w:hint="eastAsia" w:ascii="宋体" w:hAnsi="宋体"/>
          <w:color w:val="auto"/>
          <w:sz w:val="24"/>
        </w:rPr>
        <w:t>与</w:t>
      </w:r>
      <w:r>
        <w:rPr>
          <w:rFonts w:ascii="宋体" w:hAnsi="宋体"/>
          <w:color w:val="auto"/>
          <w:sz w:val="24"/>
        </w:rPr>
        <w:t>本项目其他谈判供应商</w:t>
      </w:r>
      <w:r>
        <w:rPr>
          <w:rFonts w:hint="eastAsia" w:ascii="宋体" w:hAnsi="宋体"/>
          <w:color w:val="auto"/>
          <w:sz w:val="24"/>
        </w:rPr>
        <w:t>单位</w:t>
      </w:r>
      <w:r>
        <w:rPr>
          <w:rFonts w:ascii="宋体" w:hAnsi="宋体"/>
          <w:color w:val="auto"/>
          <w:sz w:val="24"/>
        </w:rPr>
        <w:t>负责人为同一人</w:t>
      </w:r>
      <w:r>
        <w:rPr>
          <w:rFonts w:hint="eastAsia" w:ascii="宋体" w:hAnsi="宋体"/>
          <w:color w:val="auto"/>
          <w:sz w:val="24"/>
        </w:rPr>
        <w:t>或</w:t>
      </w:r>
      <w:r>
        <w:rPr>
          <w:rFonts w:ascii="宋体" w:hAnsi="宋体"/>
          <w:color w:val="auto"/>
          <w:sz w:val="24"/>
        </w:rPr>
        <w:t>存在控股</w:t>
      </w:r>
      <w:r>
        <w:rPr>
          <w:rFonts w:hint="eastAsia" w:ascii="宋体" w:hAnsi="宋体"/>
          <w:color w:val="auto"/>
          <w:sz w:val="24"/>
        </w:rPr>
        <w:t>、</w:t>
      </w:r>
      <w:r>
        <w:rPr>
          <w:rFonts w:ascii="宋体" w:hAnsi="宋体"/>
          <w:color w:val="auto"/>
          <w:sz w:val="24"/>
        </w:rPr>
        <w:t>管理关系的；</w:t>
      </w:r>
    </w:p>
    <w:p w14:paraId="5CEA3E87">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3</w:t>
      </w:r>
      <w:r>
        <w:rPr>
          <w:rFonts w:hint="eastAsia" w:ascii="宋体" w:hAnsi="宋体"/>
          <w:color w:val="auto"/>
          <w:sz w:val="24"/>
        </w:rPr>
        <w:t>为本项目前期准备提供设计或咨询服务的；</w:t>
      </w:r>
    </w:p>
    <w:p w14:paraId="12EB1E78">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4</w:t>
      </w:r>
      <w:r>
        <w:rPr>
          <w:rFonts w:hint="eastAsia" w:ascii="宋体" w:hAnsi="宋体"/>
          <w:color w:val="auto"/>
          <w:sz w:val="24"/>
        </w:rPr>
        <w:t>被责令停业的；</w:t>
      </w:r>
    </w:p>
    <w:p w14:paraId="149DE2BD">
      <w:pPr>
        <w:spacing w:line="360" w:lineRule="auto"/>
        <w:rPr>
          <w:rFonts w:ascii="宋体" w:hAnsi="宋体"/>
          <w:color w:val="auto"/>
          <w:sz w:val="24"/>
        </w:rPr>
      </w:pPr>
      <w:r>
        <w:rPr>
          <w:rFonts w:hint="eastAsia" w:ascii="宋体" w:hAnsi="宋体"/>
          <w:color w:val="auto"/>
          <w:sz w:val="24"/>
        </w:rPr>
        <w:t>4.3.5被暂停或取消谈判资格的；</w:t>
      </w:r>
    </w:p>
    <w:p w14:paraId="5596A842">
      <w:pPr>
        <w:spacing w:line="360" w:lineRule="auto"/>
        <w:rPr>
          <w:rFonts w:ascii="宋体" w:hAnsi="宋体"/>
          <w:color w:val="auto"/>
          <w:sz w:val="24"/>
        </w:rPr>
      </w:pPr>
      <w:r>
        <w:rPr>
          <w:rFonts w:hint="eastAsia" w:ascii="宋体" w:hAnsi="宋体"/>
          <w:color w:val="auto"/>
          <w:sz w:val="24"/>
        </w:rPr>
        <w:t>4.3.6财产被接管或冻结的；</w:t>
      </w:r>
    </w:p>
    <w:p w14:paraId="11D806DF">
      <w:pPr>
        <w:spacing w:line="360" w:lineRule="auto"/>
        <w:rPr>
          <w:rFonts w:ascii="宋体" w:hAnsi="宋体"/>
          <w:color w:val="auto"/>
          <w:sz w:val="24"/>
        </w:rPr>
      </w:pPr>
      <w:r>
        <w:rPr>
          <w:rFonts w:hint="eastAsia" w:ascii="宋体" w:hAnsi="宋体"/>
          <w:color w:val="auto"/>
          <w:sz w:val="24"/>
        </w:rPr>
        <w:t>4.3.7在最近三年内有骗取中标或严重违约或重大质量问题的；</w:t>
      </w:r>
    </w:p>
    <w:p w14:paraId="54A2A01C">
      <w:pPr>
        <w:spacing w:line="360" w:lineRule="auto"/>
        <w:rPr>
          <w:rFonts w:ascii="宋体" w:hAnsi="宋体"/>
          <w:color w:val="auto"/>
          <w:sz w:val="24"/>
        </w:rPr>
      </w:pPr>
      <w:r>
        <w:rPr>
          <w:rFonts w:hint="eastAsia" w:ascii="宋体" w:hAnsi="宋体"/>
          <w:b/>
          <w:color w:val="auto"/>
          <w:sz w:val="24"/>
        </w:rPr>
        <w:t>5.谈判响应费用</w:t>
      </w:r>
    </w:p>
    <w:p w14:paraId="2A4480DE">
      <w:pPr>
        <w:spacing w:line="360" w:lineRule="auto"/>
        <w:ind w:firstLine="480" w:firstLineChars="200"/>
        <w:rPr>
          <w:rFonts w:ascii="宋体" w:hAnsi="宋体"/>
          <w:color w:val="auto"/>
          <w:sz w:val="24"/>
        </w:rPr>
      </w:pPr>
      <w:r>
        <w:rPr>
          <w:rFonts w:hint="eastAsia" w:ascii="宋体" w:hAnsi="宋体"/>
          <w:color w:val="auto"/>
          <w:sz w:val="24"/>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rPr>
      </w:pPr>
      <w:r>
        <w:rPr>
          <w:rFonts w:hint="eastAsia" w:ascii="宋体" w:hAnsi="宋体"/>
          <w:b/>
          <w:color w:val="auto"/>
          <w:sz w:val="24"/>
        </w:rPr>
        <w:t>6.语言文字</w:t>
      </w:r>
    </w:p>
    <w:p w14:paraId="6B343284">
      <w:pPr>
        <w:spacing w:line="360" w:lineRule="auto"/>
        <w:ind w:firstLine="48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14:paraId="6D066DAA">
      <w:pPr>
        <w:spacing w:line="360" w:lineRule="auto"/>
        <w:rPr>
          <w:rFonts w:ascii="宋体" w:hAnsi="宋体"/>
          <w:b/>
          <w:color w:val="auto"/>
          <w:sz w:val="24"/>
        </w:rPr>
      </w:pPr>
      <w:r>
        <w:rPr>
          <w:rFonts w:hint="eastAsia" w:ascii="宋体" w:hAnsi="宋体"/>
          <w:b/>
          <w:color w:val="auto"/>
          <w:sz w:val="24"/>
        </w:rPr>
        <w:t>7.计量单位</w:t>
      </w:r>
    </w:p>
    <w:p w14:paraId="275F5174">
      <w:pPr>
        <w:spacing w:line="360" w:lineRule="auto"/>
        <w:ind w:firstLine="480" w:firstLineChars="200"/>
        <w:rPr>
          <w:rFonts w:ascii="宋体" w:hAnsi="宋体"/>
          <w:color w:val="auto"/>
          <w:sz w:val="24"/>
        </w:rPr>
      </w:pPr>
      <w:r>
        <w:rPr>
          <w:rFonts w:hint="eastAsia" w:ascii="宋体" w:hAnsi="宋体"/>
          <w:color w:val="auto"/>
          <w:sz w:val="24"/>
        </w:rPr>
        <w:t>所有的计量均采用中华人民共和国法定计量单位。</w:t>
      </w:r>
    </w:p>
    <w:p w14:paraId="7F6DC831">
      <w:pPr>
        <w:spacing w:line="360" w:lineRule="auto"/>
        <w:rPr>
          <w:rFonts w:ascii="宋体" w:hAnsi="宋体"/>
          <w:b/>
          <w:color w:val="auto"/>
          <w:sz w:val="24"/>
        </w:rPr>
      </w:pPr>
      <w:r>
        <w:rPr>
          <w:rFonts w:hint="eastAsia" w:ascii="宋体" w:hAnsi="宋体"/>
          <w:b/>
          <w:color w:val="auto"/>
          <w:sz w:val="24"/>
        </w:rPr>
        <w:t>8.现场踏勘</w:t>
      </w:r>
    </w:p>
    <w:p w14:paraId="5A384F0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03AA9EDB">
      <w:pPr>
        <w:spacing w:line="360" w:lineRule="auto"/>
        <w:rPr>
          <w:rFonts w:ascii="宋体" w:hAnsi="宋体"/>
          <w:b/>
          <w:color w:val="auto"/>
          <w:sz w:val="24"/>
        </w:rPr>
      </w:pPr>
      <w:r>
        <w:rPr>
          <w:rFonts w:hint="eastAsia" w:ascii="宋体" w:hAnsi="宋体"/>
          <w:b/>
          <w:color w:val="auto"/>
          <w:sz w:val="24"/>
        </w:rPr>
        <w:t>9.答疑会</w:t>
      </w:r>
    </w:p>
    <w:p w14:paraId="13F73F34">
      <w:pPr>
        <w:spacing w:line="360" w:lineRule="auto"/>
        <w:ind w:firstLine="480" w:firstLineChars="200"/>
        <w:rPr>
          <w:rFonts w:hint="eastAsia" w:ascii="宋体" w:hAnsi="宋体"/>
          <w:color w:val="auto"/>
          <w:sz w:val="24"/>
        </w:rPr>
      </w:pPr>
      <w:r>
        <w:rPr>
          <w:rFonts w:hint="eastAsia" w:ascii="宋体" w:hAnsi="宋体"/>
          <w:color w:val="auto"/>
          <w:sz w:val="24"/>
        </w:rPr>
        <w:t>见本须知前附表。</w:t>
      </w:r>
    </w:p>
    <w:p w14:paraId="770C384A">
      <w:pPr>
        <w:spacing w:line="360" w:lineRule="auto"/>
        <w:rPr>
          <w:rFonts w:ascii="宋体" w:hAnsi="宋体"/>
          <w:b/>
          <w:color w:val="auto"/>
          <w:sz w:val="24"/>
        </w:rPr>
      </w:pPr>
      <w:r>
        <w:rPr>
          <w:rFonts w:hint="eastAsia" w:ascii="宋体" w:hAnsi="宋体"/>
          <w:b/>
          <w:color w:val="auto"/>
          <w:sz w:val="24"/>
        </w:rPr>
        <w:t>10.分包</w:t>
      </w:r>
    </w:p>
    <w:p w14:paraId="59C6DED4">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EE09F96">
      <w:pPr>
        <w:spacing w:line="360" w:lineRule="auto"/>
        <w:rPr>
          <w:rFonts w:ascii="宋体" w:hAnsi="宋体"/>
          <w:b/>
          <w:color w:val="auto"/>
          <w:sz w:val="24"/>
        </w:rPr>
      </w:pPr>
      <w:r>
        <w:rPr>
          <w:rFonts w:hint="eastAsia" w:ascii="宋体" w:hAnsi="宋体"/>
          <w:b/>
          <w:color w:val="auto"/>
          <w:sz w:val="24"/>
        </w:rPr>
        <w:t>11.偏离</w:t>
      </w:r>
    </w:p>
    <w:p w14:paraId="613AE68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BCD66FA">
      <w:pPr>
        <w:spacing w:line="360" w:lineRule="auto"/>
        <w:rPr>
          <w:rFonts w:ascii="宋体" w:hAnsi="宋体"/>
          <w:color w:val="auto"/>
          <w:sz w:val="24"/>
        </w:rPr>
      </w:pPr>
    </w:p>
    <w:p w14:paraId="0B5DF614">
      <w:pPr>
        <w:spacing w:line="360" w:lineRule="auto"/>
        <w:jc w:val="center"/>
        <w:outlineLvl w:val="1"/>
        <w:rPr>
          <w:rFonts w:ascii="宋体" w:hAnsi="宋体"/>
          <w:b/>
          <w:color w:val="auto"/>
          <w:sz w:val="24"/>
        </w:rPr>
      </w:pPr>
      <w:bookmarkStart w:id="13" w:name="_Toc18737"/>
      <w:bookmarkStart w:id="14" w:name="_Toc103723519"/>
      <w:r>
        <w:rPr>
          <w:rFonts w:hint="eastAsia" w:ascii="宋体" w:hAnsi="宋体"/>
          <w:b/>
          <w:color w:val="auto"/>
          <w:sz w:val="28"/>
        </w:rPr>
        <w:t>三、谈判文件</w:t>
      </w:r>
      <w:bookmarkEnd w:id="13"/>
      <w:bookmarkEnd w:id="14"/>
    </w:p>
    <w:p w14:paraId="1B193D5A">
      <w:pPr>
        <w:spacing w:line="360" w:lineRule="auto"/>
        <w:rPr>
          <w:rFonts w:ascii="宋体" w:hAnsi="宋体"/>
          <w:color w:val="auto"/>
          <w:sz w:val="24"/>
        </w:rPr>
      </w:pPr>
      <w:r>
        <w:rPr>
          <w:rFonts w:hint="eastAsia" w:ascii="宋体" w:hAnsi="宋体"/>
          <w:b/>
          <w:color w:val="auto"/>
          <w:sz w:val="24"/>
        </w:rPr>
        <w:t>12.谈判文件的组成</w:t>
      </w:r>
    </w:p>
    <w:p w14:paraId="6FEEE28A">
      <w:pPr>
        <w:spacing w:line="360" w:lineRule="auto"/>
        <w:rPr>
          <w:rFonts w:ascii="宋体" w:hAnsi="宋体"/>
          <w:color w:val="auto"/>
          <w:sz w:val="24"/>
        </w:rPr>
      </w:pPr>
      <w:r>
        <w:rPr>
          <w:rFonts w:hint="eastAsia" w:ascii="宋体" w:hAnsi="宋体"/>
          <w:color w:val="auto"/>
          <w:sz w:val="24"/>
        </w:rPr>
        <w:t>12.1本谈判文件包括下列文件及按本须知第</w:t>
      </w:r>
      <w:r>
        <w:rPr>
          <w:rFonts w:hint="eastAsia" w:ascii="宋体" w:hAnsi="宋体"/>
          <w:color w:val="auto"/>
          <w:sz w:val="24"/>
          <w:lang w:val="en-US" w:eastAsia="zh-CN"/>
        </w:rPr>
        <w:t>15</w:t>
      </w:r>
      <w:r>
        <w:rPr>
          <w:rFonts w:hint="eastAsia" w:ascii="宋体" w:hAnsi="宋体"/>
          <w:color w:val="auto"/>
          <w:sz w:val="24"/>
        </w:rPr>
        <w:t>条所述的答疑文件、发出的补充文件。</w:t>
      </w:r>
    </w:p>
    <w:p w14:paraId="182114BA">
      <w:pPr>
        <w:spacing w:line="360" w:lineRule="auto"/>
        <w:ind w:firstLine="480" w:firstLineChars="200"/>
        <w:rPr>
          <w:rFonts w:ascii="宋体" w:hAnsi="宋体"/>
          <w:color w:val="auto"/>
          <w:sz w:val="24"/>
        </w:rPr>
      </w:pPr>
      <w:r>
        <w:rPr>
          <w:rFonts w:hint="eastAsia" w:ascii="宋体" w:hAnsi="宋体"/>
          <w:color w:val="auto"/>
          <w:sz w:val="24"/>
        </w:rPr>
        <w:t>第一章  竞争性谈判公告</w:t>
      </w:r>
    </w:p>
    <w:p w14:paraId="5E397831">
      <w:pPr>
        <w:spacing w:line="360" w:lineRule="auto"/>
        <w:ind w:firstLine="480" w:firstLineChars="200"/>
        <w:rPr>
          <w:rFonts w:ascii="宋体" w:hAnsi="宋体"/>
          <w:color w:val="auto"/>
          <w:sz w:val="24"/>
        </w:rPr>
      </w:pPr>
      <w:r>
        <w:rPr>
          <w:rFonts w:hint="eastAsia" w:ascii="宋体" w:hAnsi="宋体"/>
          <w:color w:val="auto"/>
          <w:sz w:val="24"/>
        </w:rPr>
        <w:t xml:space="preserve">第二章 </w:t>
      </w:r>
      <w:r>
        <w:rPr>
          <w:rFonts w:hint="eastAsia" w:ascii="宋体" w:hAnsi="宋体"/>
          <w:color w:val="auto"/>
          <w:sz w:val="24"/>
          <w:lang w:val="en-US" w:eastAsia="zh-CN"/>
        </w:rPr>
        <w:t xml:space="preserve"> </w:t>
      </w:r>
      <w:r>
        <w:rPr>
          <w:rFonts w:hint="eastAsia" w:ascii="宋体" w:hAnsi="宋体"/>
          <w:color w:val="auto"/>
          <w:sz w:val="24"/>
        </w:rPr>
        <w:t>供应商须知</w:t>
      </w:r>
    </w:p>
    <w:p w14:paraId="27A3EBCB">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 xml:space="preserve">第三章 </w:t>
      </w:r>
      <w:r>
        <w:rPr>
          <w:rFonts w:hint="eastAsia" w:ascii="宋体" w:hAnsi="宋体" w:eastAsia="宋体" w:cs="Times New Roman"/>
          <w:color w:val="auto"/>
          <w:sz w:val="24"/>
        </w:rPr>
        <w:t xml:space="preserve"> 货物采购需求（“货物采购需求”中的所有条款要求均为实质性要求）；</w:t>
      </w:r>
    </w:p>
    <w:p w14:paraId="64ED3EC0">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第四章  评审</w:t>
      </w:r>
      <w:r>
        <w:rPr>
          <w:rFonts w:hint="eastAsia" w:ascii="宋体" w:hAnsi="宋体" w:cs="Times New Roman"/>
          <w:color w:val="auto"/>
          <w:sz w:val="24"/>
          <w:lang w:eastAsia="zh-CN"/>
        </w:rPr>
        <w:t>办法</w:t>
      </w:r>
    </w:p>
    <w:p w14:paraId="21BA6C5F">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 xml:space="preserve">第五章  </w:t>
      </w:r>
      <w:r>
        <w:rPr>
          <w:rFonts w:hint="eastAsia" w:ascii="宋体" w:hAnsi="宋体" w:cs="Times New Roman"/>
          <w:color w:val="auto"/>
          <w:sz w:val="24"/>
          <w:lang w:eastAsia="zh-CN"/>
        </w:rPr>
        <w:t>合同主要条款及格式</w:t>
      </w:r>
    </w:p>
    <w:p w14:paraId="0CA78B79">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第六章  响应文件格式</w:t>
      </w:r>
    </w:p>
    <w:p w14:paraId="6F6E485A">
      <w:pPr>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cs="Times New Roman"/>
          <w:color w:val="auto"/>
          <w:sz w:val="24"/>
          <w:lang w:eastAsia="zh-CN"/>
        </w:rPr>
        <w:t>第七章</w:t>
      </w:r>
      <w:r>
        <w:rPr>
          <w:rFonts w:hint="eastAsia" w:ascii="宋体" w:hAnsi="宋体" w:cs="Times New Roman"/>
          <w:color w:val="auto"/>
          <w:sz w:val="24"/>
          <w:lang w:val="en-US" w:eastAsia="zh-CN"/>
        </w:rPr>
        <w:t xml:space="preserve">  附件</w:t>
      </w:r>
    </w:p>
    <w:p w14:paraId="124D417A">
      <w:pPr>
        <w:autoSpaceDE w:val="0"/>
        <w:autoSpaceDN w:val="0"/>
        <w:adjustRightInd w:val="0"/>
        <w:spacing w:line="360" w:lineRule="auto"/>
        <w:rPr>
          <w:rFonts w:hint="eastAsia" w:ascii="宋体" w:hAnsi="宋体" w:cs="宋体"/>
          <w:color w:val="auto"/>
          <w:sz w:val="24"/>
          <w:lang w:val="zh-CN"/>
        </w:rPr>
      </w:pPr>
      <w:r>
        <w:rPr>
          <w:rFonts w:hint="eastAsia" w:ascii="宋体" w:hAnsi="宋体"/>
          <w:color w:val="auto"/>
          <w:sz w:val="24"/>
        </w:rPr>
        <w:t>12.2</w:t>
      </w:r>
      <w:r>
        <w:rPr>
          <w:rFonts w:hint="eastAsia" w:ascii="宋体" w:hAnsi="宋体" w:cs="宋体"/>
          <w:color w:val="auto"/>
          <w:sz w:val="24"/>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lang w:val="en-US" w:eastAsia="zh-CN"/>
        </w:rPr>
        <w:t>3</w:t>
      </w:r>
      <w:r>
        <w:rPr>
          <w:rFonts w:hint="eastAsia" w:ascii="宋体" w:hAnsi="宋体" w:cs="宋体"/>
          <w:color w:val="auto"/>
          <w:sz w:val="24"/>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rPr>
      </w:pPr>
      <w:r>
        <w:rPr>
          <w:rFonts w:hint="eastAsia" w:ascii="宋体" w:hAnsi="宋体"/>
          <w:b/>
          <w:bCs/>
          <w:color w:val="auto"/>
          <w:sz w:val="24"/>
        </w:rPr>
        <w:t>13.</w:t>
      </w:r>
      <w:r>
        <w:rPr>
          <w:rFonts w:hint="eastAsia" w:ascii="宋体" w:hAnsi="宋体"/>
          <w:b/>
          <w:color w:val="auto"/>
          <w:sz w:val="24"/>
        </w:rPr>
        <w:t>谈判文件的澄清</w:t>
      </w:r>
    </w:p>
    <w:p w14:paraId="31AD786C">
      <w:pPr>
        <w:spacing w:line="360" w:lineRule="auto"/>
        <w:rPr>
          <w:rFonts w:hint="eastAsia" w:ascii="宋体" w:hAnsi="宋体" w:eastAsia="宋体" w:cs="宋体"/>
          <w:spacing w:val="10"/>
          <w:kern w:val="2"/>
          <w:sz w:val="24"/>
          <w:szCs w:val="24"/>
        </w:rPr>
      </w:pPr>
      <w:r>
        <w:rPr>
          <w:rFonts w:hint="eastAsia" w:ascii="宋体" w:hAnsi="宋体"/>
          <w:color w:val="auto"/>
          <w:sz w:val="24"/>
        </w:rPr>
        <w:t>13.1谈判供应商获取谈判文件后，应仔细检查谈判文件的所有内容，</w:t>
      </w:r>
      <w:r>
        <w:rPr>
          <w:rFonts w:hint="eastAsia" w:ascii="宋体" w:hAnsi="宋体" w:eastAsia="宋体" w:cs="宋体"/>
          <w:spacing w:val="10"/>
          <w:kern w:val="2"/>
          <w:sz w:val="24"/>
          <w:szCs w:val="24"/>
        </w:rPr>
        <w:t>如发现缺页或附件不全，应及时向</w:t>
      </w:r>
      <w:r>
        <w:rPr>
          <w:rFonts w:hint="eastAsia" w:ascii="宋体" w:hAnsi="宋体" w:cs="宋体"/>
          <w:spacing w:val="10"/>
          <w:kern w:val="2"/>
          <w:sz w:val="24"/>
          <w:szCs w:val="24"/>
          <w:lang w:eastAsia="zh-CN"/>
        </w:rPr>
        <w:t>采</w:t>
      </w:r>
      <w:r>
        <w:rPr>
          <w:rFonts w:hint="eastAsia" w:ascii="宋体" w:hAnsi="宋体" w:cs="宋体"/>
          <w:color w:val="auto"/>
          <w:spacing w:val="10"/>
          <w:kern w:val="2"/>
          <w:sz w:val="24"/>
          <w:szCs w:val="24"/>
          <w:lang w:eastAsia="zh-CN"/>
        </w:rPr>
        <w:t>购</w:t>
      </w:r>
      <w:r>
        <w:rPr>
          <w:rFonts w:hint="eastAsia" w:ascii="宋体" w:hAnsi="宋体" w:eastAsia="宋体" w:cs="宋体"/>
          <w:color w:val="auto"/>
          <w:spacing w:val="10"/>
          <w:kern w:val="2"/>
          <w:sz w:val="24"/>
          <w:szCs w:val="24"/>
        </w:rPr>
        <w:t>人提出，以便补齐。如有疑问，应在开标前</w:t>
      </w:r>
      <w:r>
        <w:rPr>
          <w:rFonts w:hint="eastAsia" w:ascii="宋体" w:hAnsi="宋体" w:cs="宋体"/>
          <w:color w:val="auto"/>
          <w:sz w:val="24"/>
          <w:lang w:val="en-US" w:eastAsia="zh-CN"/>
        </w:rPr>
        <w:t>3</w:t>
      </w:r>
      <w:r>
        <w:rPr>
          <w:rFonts w:hint="eastAsia" w:ascii="宋体" w:hAnsi="宋体" w:cs="宋体"/>
          <w:color w:val="auto"/>
          <w:sz w:val="24"/>
          <w:lang w:val="zh-CN"/>
        </w:rPr>
        <w:t>个工作日前（含）</w:t>
      </w:r>
      <w:r>
        <w:rPr>
          <w:rFonts w:hint="eastAsia" w:ascii="宋体" w:hAnsi="宋体" w:eastAsia="宋体" w:cs="宋体"/>
          <w:color w:val="auto"/>
          <w:spacing w:val="10"/>
          <w:kern w:val="2"/>
          <w:sz w:val="24"/>
          <w:szCs w:val="24"/>
        </w:rPr>
        <w:t>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上提出</w:t>
      </w:r>
      <w:r>
        <w:rPr>
          <w:rFonts w:hint="eastAsia" w:ascii="宋体" w:hAnsi="宋体" w:eastAsia="宋体" w:cs="宋体"/>
          <w:color w:val="auto"/>
          <w:spacing w:val="10"/>
          <w:kern w:val="2"/>
          <w:sz w:val="24"/>
          <w:szCs w:val="24"/>
          <w:lang w:eastAsia="zh-CN"/>
        </w:rPr>
        <w:t>并</w:t>
      </w:r>
      <w:r>
        <w:rPr>
          <w:rFonts w:hint="eastAsia" w:ascii="宋体" w:hAnsi="宋体"/>
          <w:color w:val="auto"/>
          <w:sz w:val="24"/>
        </w:rPr>
        <w:t>书面形式（一式两份）递交给采购</w:t>
      </w:r>
      <w:r>
        <w:rPr>
          <w:rFonts w:hint="eastAsia" w:ascii="宋体" w:hAnsi="宋体"/>
          <w:color w:val="auto"/>
          <w:sz w:val="24"/>
          <w:lang w:eastAsia="zh-CN"/>
        </w:rPr>
        <w:t>代理</w:t>
      </w:r>
      <w:r>
        <w:rPr>
          <w:rFonts w:hint="eastAsia" w:ascii="宋体" w:hAnsi="宋体"/>
          <w:color w:val="auto"/>
          <w:sz w:val="24"/>
        </w:rPr>
        <w:t>机构</w:t>
      </w:r>
      <w:r>
        <w:rPr>
          <w:rFonts w:hint="eastAsia" w:ascii="宋体" w:hAnsi="宋体" w:eastAsia="宋体" w:cs="宋体"/>
          <w:spacing w:val="10"/>
          <w:kern w:val="2"/>
          <w:sz w:val="24"/>
          <w:szCs w:val="24"/>
        </w:rPr>
        <w:t>，要求</w:t>
      </w:r>
      <w:r>
        <w:rPr>
          <w:rFonts w:hint="eastAsia" w:ascii="宋体" w:hAnsi="宋体" w:cs="宋体"/>
          <w:spacing w:val="10"/>
          <w:kern w:val="2"/>
          <w:sz w:val="24"/>
          <w:szCs w:val="24"/>
          <w:lang w:eastAsia="zh-CN"/>
        </w:rPr>
        <w:t>采购</w:t>
      </w:r>
      <w:r>
        <w:rPr>
          <w:rFonts w:hint="eastAsia" w:ascii="宋体" w:hAnsi="宋体" w:eastAsia="宋体" w:cs="宋体"/>
          <w:spacing w:val="10"/>
          <w:kern w:val="2"/>
          <w:sz w:val="24"/>
          <w:szCs w:val="24"/>
        </w:rPr>
        <w:t>人对</w:t>
      </w:r>
      <w:r>
        <w:rPr>
          <w:rFonts w:hint="eastAsia" w:ascii="宋体" w:hAnsi="宋体" w:cs="宋体"/>
          <w:spacing w:val="10"/>
          <w:kern w:val="2"/>
          <w:sz w:val="24"/>
          <w:szCs w:val="24"/>
          <w:lang w:eastAsia="zh-CN"/>
        </w:rPr>
        <w:t>谈判</w:t>
      </w:r>
      <w:r>
        <w:rPr>
          <w:rFonts w:hint="eastAsia" w:ascii="宋体" w:hAnsi="宋体" w:eastAsia="宋体" w:cs="宋体"/>
          <w:spacing w:val="10"/>
          <w:kern w:val="2"/>
          <w:sz w:val="24"/>
          <w:szCs w:val="24"/>
        </w:rPr>
        <w:t>文件予以澄清。</w:t>
      </w:r>
    </w:p>
    <w:p w14:paraId="21C2F769">
      <w:pPr>
        <w:autoSpaceDE w:val="0"/>
        <w:autoSpaceDN w:val="0"/>
        <w:adjustRightInd w:val="0"/>
        <w:spacing w:line="360" w:lineRule="auto"/>
        <w:rPr>
          <w:rFonts w:hint="eastAsia" w:ascii="宋体" w:hAnsi="宋体" w:cs="宋体"/>
          <w:bCs/>
          <w:color w:val="auto"/>
          <w:sz w:val="24"/>
          <w:lang w:val="zh-CN"/>
        </w:rPr>
      </w:pPr>
      <w:r>
        <w:rPr>
          <w:rFonts w:hint="eastAsia" w:ascii="宋体" w:hAnsi="宋体"/>
          <w:color w:val="auto"/>
          <w:sz w:val="24"/>
        </w:rPr>
        <w:t>13.2</w:t>
      </w:r>
      <w:r>
        <w:rPr>
          <w:rFonts w:hint="eastAsia" w:ascii="宋体" w:hAnsi="宋体" w:cs="宋体"/>
          <w:color w:val="auto"/>
          <w:sz w:val="24"/>
          <w:lang w:val="zh-CN"/>
        </w:rPr>
        <w:t xml:space="preserve"> 采购人可在谈判截止时间</w:t>
      </w:r>
      <w:r>
        <w:rPr>
          <w:rFonts w:hint="eastAsia" w:ascii="宋体" w:hAnsi="宋体" w:cs="宋体"/>
          <w:color w:val="auto"/>
          <w:sz w:val="24"/>
          <w:lang w:val="en-US" w:eastAsia="zh-CN"/>
        </w:rPr>
        <w:t>3</w:t>
      </w:r>
      <w:r>
        <w:rPr>
          <w:rFonts w:hint="eastAsia" w:ascii="宋体" w:hAnsi="宋体" w:cs="宋体"/>
          <w:color w:val="auto"/>
          <w:sz w:val="24"/>
          <w:lang w:val="zh-CN"/>
        </w:rPr>
        <w:t>个工作日前（含）对谈判文件进行修改、补充。谈判文件的修改、补充文件将“政采云”平台（https://www.zcygov.cn/）</w:t>
      </w:r>
      <w:r>
        <w:rPr>
          <w:rFonts w:hint="eastAsia" w:ascii="宋体" w:hAnsi="宋体" w:cs="宋体"/>
          <w:color w:val="auto"/>
          <w:sz w:val="24"/>
        </w:rPr>
        <w:t>发布</w:t>
      </w:r>
      <w:r>
        <w:rPr>
          <w:rFonts w:hint="eastAsia" w:ascii="宋体" w:hAnsi="宋体" w:cs="宋体"/>
          <w:color w:val="auto"/>
          <w:sz w:val="24"/>
          <w:lang w:val="zh-CN"/>
        </w:rPr>
        <w:t>向潜在供应商发出，供应商自行在“政采云”平台（https://www.zcygov.cn/）</w:t>
      </w:r>
      <w:r>
        <w:rPr>
          <w:rFonts w:hint="eastAsia" w:ascii="宋体" w:hAnsi="宋体" w:cs="宋体"/>
          <w:color w:val="auto"/>
          <w:sz w:val="24"/>
        </w:rPr>
        <w:t>下载。</w:t>
      </w:r>
      <w:r>
        <w:rPr>
          <w:rFonts w:hint="eastAsia" w:ascii="宋体" w:hAnsi="宋体" w:cs="宋体"/>
          <w:bCs/>
          <w:color w:val="auto"/>
          <w:sz w:val="24"/>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lang w:val="zh-CN"/>
        </w:rPr>
      </w:pPr>
      <w:r>
        <w:rPr>
          <w:rFonts w:ascii="宋体" w:hAnsi="宋体"/>
          <w:color w:val="auto"/>
          <w:sz w:val="24"/>
        </w:rPr>
        <w:t>13.3</w:t>
      </w:r>
      <w:r>
        <w:rPr>
          <w:rFonts w:hint="eastAsia" w:ascii="宋体" w:hAnsi="宋体" w:cs="宋体"/>
          <w:color w:val="auto"/>
          <w:sz w:val="24"/>
          <w:lang w:val="zh-CN"/>
        </w:rPr>
        <w:t>谈判文件的澄清、修改、补充文件均构成谈判文件的组成部分，对所有供应商具有约束力，供应商未在“政采云”平台（https://www.zcygov.cn/）</w:t>
      </w:r>
      <w:r>
        <w:rPr>
          <w:rFonts w:hint="eastAsia" w:ascii="宋体" w:hAnsi="宋体" w:cs="宋体"/>
          <w:color w:val="auto"/>
          <w:sz w:val="24"/>
        </w:rPr>
        <w:t>自行下载</w:t>
      </w:r>
      <w:r>
        <w:rPr>
          <w:rFonts w:hint="eastAsia" w:ascii="宋体" w:hAnsi="宋体" w:cs="宋体"/>
          <w:color w:val="auto"/>
          <w:sz w:val="24"/>
          <w:lang w:val="zh-CN"/>
        </w:rPr>
        <w:t>澄清、修改、补充文件，后果自负。</w:t>
      </w:r>
    </w:p>
    <w:p w14:paraId="07A3C248">
      <w:pPr>
        <w:tabs>
          <w:tab w:val="left" w:pos="4214"/>
        </w:tabs>
        <w:spacing w:line="360" w:lineRule="auto"/>
        <w:rPr>
          <w:rFonts w:ascii="宋体" w:hAnsi="宋体"/>
          <w:color w:val="auto"/>
          <w:sz w:val="24"/>
        </w:rPr>
      </w:pPr>
      <w:r>
        <w:rPr>
          <w:rFonts w:hint="eastAsia" w:ascii="宋体" w:hAnsi="宋体"/>
          <w:color w:val="auto"/>
          <w:sz w:val="24"/>
        </w:rPr>
        <w:t>13.4澄清发出的时间距谈判文件</w:t>
      </w:r>
      <w:r>
        <w:rPr>
          <w:rFonts w:ascii="宋体" w:hAnsi="宋体"/>
          <w:color w:val="auto"/>
          <w:sz w:val="24"/>
        </w:rPr>
        <w:t>规定的</w:t>
      </w:r>
      <w:r>
        <w:rPr>
          <w:rFonts w:hint="eastAsia" w:ascii="宋体" w:hAnsi="宋体"/>
          <w:color w:val="auto"/>
          <w:sz w:val="24"/>
        </w:rPr>
        <w:t>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日的，并且澄清内容可能影响谈判响应文件编制的，将相应延长谈判截止时间。</w:t>
      </w:r>
    </w:p>
    <w:p w14:paraId="6446D4A2">
      <w:pPr>
        <w:spacing w:line="360" w:lineRule="auto"/>
        <w:rPr>
          <w:rFonts w:ascii="宋体" w:hAnsi="宋体"/>
          <w:b/>
          <w:color w:val="auto"/>
          <w:sz w:val="24"/>
        </w:rPr>
      </w:pPr>
      <w:r>
        <w:rPr>
          <w:rFonts w:hint="eastAsia" w:ascii="宋体" w:hAnsi="宋体"/>
          <w:b/>
          <w:color w:val="auto"/>
          <w:sz w:val="24"/>
        </w:rPr>
        <w:t>14.谈判文件的修改</w:t>
      </w:r>
    </w:p>
    <w:p w14:paraId="1F3C580C">
      <w:pPr>
        <w:spacing w:line="360" w:lineRule="auto"/>
        <w:rPr>
          <w:rFonts w:ascii="宋体" w:hAnsi="宋体"/>
          <w:color w:val="auto"/>
          <w:sz w:val="24"/>
        </w:rPr>
      </w:pPr>
      <w:r>
        <w:rPr>
          <w:rFonts w:hint="eastAsia" w:ascii="宋体" w:hAnsi="宋体"/>
          <w:color w:val="auto"/>
          <w:sz w:val="24"/>
        </w:rPr>
        <w:t>14.1谈判文件发出以后，在上传谈判响应文件截止时间之前，应谈判供应商的疑问和采购人的要求，</w:t>
      </w:r>
      <w:r>
        <w:rPr>
          <w:rFonts w:hint="eastAsia" w:ascii="宋体" w:hAnsi="宋体"/>
          <w:color w:val="auto"/>
          <w:sz w:val="24"/>
          <w:lang w:eastAsia="zh-CN"/>
        </w:rPr>
        <w:t>采购代理机构</w:t>
      </w:r>
      <w:r>
        <w:rPr>
          <w:rFonts w:hint="eastAsia" w:ascii="宋体" w:hAnsi="宋体"/>
          <w:color w:val="auto"/>
          <w:sz w:val="24"/>
        </w:rPr>
        <w:t>可以对谈判文件进行必要的修改和补充。</w:t>
      </w:r>
    </w:p>
    <w:p w14:paraId="0F33C5F9">
      <w:pPr>
        <w:spacing w:line="360" w:lineRule="auto"/>
        <w:rPr>
          <w:rFonts w:ascii="宋体" w:hAnsi="宋体"/>
          <w:color w:val="auto"/>
          <w:sz w:val="24"/>
        </w:rPr>
      </w:pPr>
      <w:r>
        <w:rPr>
          <w:rFonts w:hint="eastAsia" w:ascii="宋体" w:hAnsi="宋体"/>
          <w:color w:val="auto"/>
          <w:sz w:val="24"/>
        </w:rPr>
        <w:t>14.2采购</w:t>
      </w:r>
      <w:r>
        <w:rPr>
          <w:rFonts w:hint="eastAsia" w:ascii="宋体" w:hAnsi="宋体"/>
          <w:color w:val="auto"/>
          <w:sz w:val="24"/>
          <w:lang w:eastAsia="zh-CN"/>
        </w:rPr>
        <w:t>代理</w:t>
      </w:r>
      <w:r>
        <w:rPr>
          <w:rFonts w:hint="eastAsia" w:ascii="宋体" w:hAnsi="宋体"/>
          <w:color w:val="auto"/>
          <w:sz w:val="24"/>
        </w:rPr>
        <w:t>机构对谈判文件的修改和补充将形成变更文件上传至“政采云”平台，同时在发布公告媒介上</w:t>
      </w:r>
      <w:r>
        <w:rPr>
          <w:rFonts w:ascii="宋体" w:hAnsi="宋体"/>
          <w:color w:val="auto"/>
          <w:sz w:val="24"/>
        </w:rPr>
        <w:t>发布公告，</w:t>
      </w:r>
      <w:r>
        <w:rPr>
          <w:rFonts w:hint="eastAsia" w:ascii="宋体" w:hAnsi="宋体"/>
          <w:color w:val="auto"/>
          <w:sz w:val="24"/>
        </w:rPr>
        <w:t>以供所有报名参加谈判的谈判供应商下载。</w:t>
      </w:r>
    </w:p>
    <w:p w14:paraId="6DC8E581">
      <w:pPr>
        <w:tabs>
          <w:tab w:val="left" w:pos="4214"/>
        </w:tabs>
        <w:spacing w:line="360" w:lineRule="auto"/>
        <w:rPr>
          <w:rFonts w:ascii="宋体" w:hAnsi="宋体"/>
          <w:color w:val="auto"/>
          <w:sz w:val="24"/>
        </w:rPr>
      </w:pPr>
      <w:r>
        <w:rPr>
          <w:rFonts w:hint="eastAsia" w:ascii="宋体" w:hAnsi="宋体"/>
          <w:color w:val="auto"/>
          <w:sz w:val="24"/>
        </w:rPr>
        <w:t>14.3该变更文件作为谈判文件的组成部分，具有约束作用。</w:t>
      </w:r>
    </w:p>
    <w:p w14:paraId="143B7C6B">
      <w:pPr>
        <w:tabs>
          <w:tab w:val="left" w:pos="4214"/>
        </w:tabs>
        <w:spacing w:line="360" w:lineRule="auto"/>
        <w:rPr>
          <w:rFonts w:ascii="宋体" w:hAnsi="宋体"/>
          <w:b/>
          <w:color w:val="auto"/>
          <w:sz w:val="24"/>
        </w:rPr>
      </w:pPr>
      <w:r>
        <w:rPr>
          <w:rFonts w:ascii="宋体" w:hAnsi="宋体"/>
          <w:color w:val="auto"/>
          <w:sz w:val="24"/>
        </w:rPr>
        <w:t>14.4</w:t>
      </w:r>
      <w:r>
        <w:rPr>
          <w:rFonts w:hint="eastAsia" w:ascii="宋体" w:hAnsi="宋体"/>
          <w:color w:val="auto"/>
          <w:sz w:val="24"/>
        </w:rPr>
        <w:t>变更发出的时间距谈判文件规定的谈判截止时间不足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lang w:eastAsia="zh-CN"/>
        </w:rPr>
        <w:t>采购代理机构</w:t>
      </w:r>
      <w:r>
        <w:rPr>
          <w:rFonts w:hint="eastAsia" w:ascii="宋体" w:hAnsi="宋体"/>
          <w:color w:val="auto"/>
          <w:sz w:val="24"/>
        </w:rPr>
        <w:t>将相应延长谈判截止时间，具体时间将在谈判文件的变更公告中予以明确。</w:t>
      </w:r>
    </w:p>
    <w:p w14:paraId="69291B72">
      <w:pPr>
        <w:spacing w:line="360" w:lineRule="auto"/>
        <w:jc w:val="center"/>
        <w:outlineLvl w:val="1"/>
        <w:rPr>
          <w:rFonts w:ascii="宋体" w:hAnsi="宋体"/>
          <w:color w:val="auto"/>
          <w:sz w:val="24"/>
        </w:rPr>
      </w:pPr>
      <w:bookmarkStart w:id="15" w:name="_Toc31928"/>
      <w:bookmarkStart w:id="16" w:name="_Toc103723520"/>
      <w:r>
        <w:rPr>
          <w:rFonts w:hint="eastAsia" w:ascii="宋体" w:hAnsi="宋体"/>
          <w:b/>
          <w:color w:val="auto"/>
          <w:sz w:val="28"/>
        </w:rPr>
        <w:t>四、谈判响应文件</w:t>
      </w:r>
      <w:bookmarkEnd w:id="15"/>
      <w:bookmarkEnd w:id="16"/>
    </w:p>
    <w:p w14:paraId="7F6E23C1">
      <w:pPr>
        <w:spacing w:line="360" w:lineRule="auto"/>
        <w:rPr>
          <w:rFonts w:ascii="宋体" w:hAnsi="宋体"/>
          <w:b/>
          <w:color w:val="auto"/>
          <w:sz w:val="24"/>
        </w:rPr>
      </w:pPr>
      <w:r>
        <w:rPr>
          <w:rFonts w:hint="eastAsia" w:ascii="宋体" w:hAnsi="宋体"/>
          <w:b/>
          <w:color w:val="auto"/>
          <w:sz w:val="24"/>
        </w:rPr>
        <w:t>15.谈判响应文件的组成</w:t>
      </w:r>
    </w:p>
    <w:p w14:paraId="6B4AD8C1">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响应函</w:t>
      </w:r>
      <w:r>
        <w:rPr>
          <w:rFonts w:hint="eastAsia" w:ascii="宋体" w:hAnsi="宋体" w:eastAsia="宋体" w:cs="Times New Roman"/>
          <w:color w:val="auto"/>
          <w:sz w:val="24"/>
          <w:lang w:eastAsia="zh-CN"/>
        </w:rPr>
        <w:t>及响应函附表</w:t>
      </w:r>
    </w:p>
    <w:p w14:paraId="42DA7E8F">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二、</w:t>
      </w:r>
      <w:r>
        <w:rPr>
          <w:rFonts w:hint="eastAsia" w:ascii="宋体" w:hAnsi="宋体" w:eastAsia="宋体" w:cs="Times New Roman"/>
          <w:color w:val="auto"/>
          <w:sz w:val="24"/>
        </w:rPr>
        <w:t>法定代表人身份证明</w:t>
      </w:r>
    </w:p>
    <w:p w14:paraId="1F7CADC9">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三、授权委托书</w:t>
      </w:r>
    </w:p>
    <w:p w14:paraId="171BBA92">
      <w:pPr>
        <w:spacing w:line="360" w:lineRule="auto"/>
        <w:rPr>
          <w:rFonts w:hint="eastAsia" w:ascii="宋体" w:hAnsi="宋体" w:eastAsia="宋体" w:cs="Times New Roman"/>
          <w:color w:val="auto"/>
          <w:sz w:val="24"/>
          <w:lang w:eastAsia="en-US"/>
        </w:rPr>
      </w:pPr>
      <w:r>
        <w:rPr>
          <w:rFonts w:hint="eastAsia" w:ascii="宋体" w:hAnsi="宋体" w:eastAsia="宋体" w:cs="Times New Roman"/>
          <w:color w:val="auto"/>
          <w:sz w:val="24"/>
          <w:lang w:val="en-US" w:eastAsia="zh-CN"/>
        </w:rPr>
        <w:t>四、首次报价一览表、</w:t>
      </w:r>
      <w:r>
        <w:rPr>
          <w:rFonts w:hint="eastAsia" w:ascii="宋体" w:hAnsi="宋体" w:eastAsia="宋体" w:cs="Times New Roman"/>
          <w:color w:val="auto"/>
          <w:sz w:val="24"/>
        </w:rPr>
        <w:t>报价明细表</w:t>
      </w:r>
    </w:p>
    <w:p w14:paraId="0352BB32">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五、</w:t>
      </w:r>
      <w:r>
        <w:rPr>
          <w:rFonts w:hint="eastAsia" w:ascii="宋体" w:hAnsi="宋体" w:eastAsia="宋体" w:cs="Times New Roman"/>
          <w:color w:val="auto"/>
          <w:sz w:val="24"/>
        </w:rPr>
        <w:t>投标保证金</w:t>
      </w:r>
    </w:p>
    <w:p w14:paraId="07B66D72">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六、商务条款偏离表</w:t>
      </w:r>
    </w:p>
    <w:p w14:paraId="0A40AECD">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七、技术规格偏离表</w:t>
      </w:r>
    </w:p>
    <w:p w14:paraId="7AA2C1A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八、投标人资格声明</w:t>
      </w:r>
    </w:p>
    <w:p w14:paraId="6D5AED5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九、投标人基本情况</w:t>
      </w:r>
    </w:p>
    <w:p w14:paraId="0A17A74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十、财务状况报告</w:t>
      </w:r>
    </w:p>
    <w:p w14:paraId="5F16FB41">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十一、依法缴纳税收证明材料</w:t>
      </w:r>
    </w:p>
    <w:p w14:paraId="62467136">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十二、依法缴纳社会保障资金证明材料</w:t>
      </w:r>
    </w:p>
    <w:p w14:paraId="6740127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十五、信用记录查询截图</w:t>
      </w:r>
    </w:p>
    <w:p w14:paraId="04EF022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十六、类似项目经验（如有）</w:t>
      </w:r>
    </w:p>
    <w:p w14:paraId="18606F8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十七、服务承诺</w:t>
      </w:r>
    </w:p>
    <w:p w14:paraId="67D6906B">
      <w:pPr>
        <w:spacing w:line="360" w:lineRule="auto"/>
        <w:rPr>
          <w:rFonts w:hint="eastAsia" w:ascii="宋体" w:hAnsi="宋体" w:eastAsia="宋体" w:cs="Times New Roman"/>
          <w:color w:val="auto"/>
          <w:sz w:val="24"/>
          <w:lang w:val="en-US" w:eastAsia="en-US"/>
        </w:rPr>
      </w:pPr>
      <w:r>
        <w:rPr>
          <w:rFonts w:hint="eastAsia" w:ascii="宋体" w:hAnsi="宋体" w:eastAsia="宋体" w:cs="Times New Roman"/>
          <w:color w:val="auto"/>
          <w:sz w:val="24"/>
          <w:lang w:val="en-US" w:eastAsia="zh-CN"/>
        </w:rPr>
        <w:t>十八、</w:t>
      </w:r>
      <w:r>
        <w:rPr>
          <w:rFonts w:hint="eastAsia" w:ascii="宋体" w:hAnsi="宋体" w:eastAsia="宋体" w:cs="Times New Roman"/>
          <w:color w:val="auto"/>
          <w:sz w:val="24"/>
          <w:lang w:val="en-US" w:eastAsia="en-US"/>
        </w:rPr>
        <w:t>实施方案</w:t>
      </w:r>
    </w:p>
    <w:p w14:paraId="2FD5B57F">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十九、供应商可结合本项目自身情况自行提交其它相关证明材料</w:t>
      </w:r>
    </w:p>
    <w:p w14:paraId="62053964">
      <w:pPr>
        <w:spacing w:line="360" w:lineRule="auto"/>
        <w:rPr>
          <w:rFonts w:hint="eastAsia" w:ascii="宋体" w:hAnsi="宋体" w:eastAsia="宋体" w:cs="Times New Roman"/>
          <w:color w:val="auto"/>
          <w:sz w:val="24"/>
          <w:lang w:val="en-US" w:eastAsia="zh-CN"/>
        </w:rPr>
      </w:pPr>
    </w:p>
    <w:p w14:paraId="3A14FE1B">
      <w:pPr>
        <w:spacing w:line="360" w:lineRule="auto"/>
        <w:rPr>
          <w:rFonts w:ascii="宋体" w:hAnsi="宋体"/>
          <w:b/>
          <w:color w:val="auto"/>
          <w:sz w:val="24"/>
        </w:rPr>
      </w:pPr>
      <w:r>
        <w:rPr>
          <w:rFonts w:hint="eastAsia" w:ascii="宋体" w:hAnsi="宋体"/>
          <w:b/>
          <w:color w:val="auto"/>
          <w:sz w:val="24"/>
        </w:rPr>
        <w:t>16.谈判</w:t>
      </w:r>
      <w:r>
        <w:rPr>
          <w:rFonts w:ascii="宋体" w:hAnsi="宋体"/>
          <w:b/>
          <w:color w:val="auto"/>
          <w:sz w:val="24"/>
        </w:rPr>
        <w:t>响应</w:t>
      </w:r>
      <w:r>
        <w:rPr>
          <w:rFonts w:hint="eastAsia" w:ascii="宋体" w:hAnsi="宋体"/>
          <w:b/>
          <w:color w:val="auto"/>
          <w:sz w:val="24"/>
        </w:rPr>
        <w:t>报价</w:t>
      </w:r>
    </w:p>
    <w:p w14:paraId="4FF258E3">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rPr>
        <w:t>的</w:t>
      </w:r>
      <w:r>
        <w:rPr>
          <w:rFonts w:hint="eastAsia" w:ascii="宋体" w:hAnsi="宋体"/>
          <w:color w:val="auto"/>
          <w:sz w:val="24"/>
        </w:rPr>
        <w:t>报</w:t>
      </w:r>
      <w:r>
        <w:rPr>
          <w:rFonts w:ascii="宋体" w:hAnsi="宋体"/>
          <w:color w:val="auto"/>
          <w:sz w:val="24"/>
        </w:rPr>
        <w:t>价应</w:t>
      </w:r>
      <w:r>
        <w:rPr>
          <w:rFonts w:hint="eastAsia" w:ascii="宋体" w:hAnsi="宋体"/>
          <w:color w:val="auto"/>
          <w:sz w:val="24"/>
        </w:rPr>
        <w:t>包括货款、标准附件、备品备件、专用工具、包装、运输、装卸、保险、税金、安装到位、调试、培训、保修等一切税金和费用。</w:t>
      </w:r>
    </w:p>
    <w:p w14:paraId="0EE3CA5C">
      <w:pPr>
        <w:spacing w:line="360" w:lineRule="auto"/>
        <w:rPr>
          <w:rFonts w:ascii="宋体" w:hAnsi="宋体"/>
          <w:color w:val="auto"/>
          <w:sz w:val="24"/>
        </w:rPr>
      </w:pPr>
      <w:r>
        <w:rPr>
          <w:rFonts w:hint="eastAsia" w:ascii="宋体" w:hAnsi="宋体"/>
          <w:color w:val="auto"/>
          <w:sz w:val="24"/>
        </w:rPr>
        <w:t>16.2响应谈判供应商所报的价格</w:t>
      </w:r>
      <w:r>
        <w:rPr>
          <w:rFonts w:ascii="宋体" w:hAnsi="宋体"/>
          <w:color w:val="auto"/>
          <w:sz w:val="24"/>
        </w:rPr>
        <w:t>(</w:t>
      </w:r>
      <w:r>
        <w:rPr>
          <w:rFonts w:hint="eastAsia" w:ascii="宋体" w:hAnsi="宋体"/>
          <w:color w:val="auto"/>
          <w:sz w:val="24"/>
        </w:rPr>
        <w:t>包括成本、利润、税金等因素</w:t>
      </w:r>
      <w:r>
        <w:rPr>
          <w:rFonts w:ascii="宋体" w:hAnsi="宋体"/>
          <w:color w:val="auto"/>
          <w:sz w:val="24"/>
        </w:rPr>
        <w:t>)</w:t>
      </w:r>
      <w:r>
        <w:rPr>
          <w:rFonts w:hint="eastAsia" w:ascii="宋体" w:hAnsi="宋体"/>
          <w:color w:val="auto"/>
          <w:sz w:val="24"/>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rPr>
      </w:pPr>
      <w:r>
        <w:rPr>
          <w:rFonts w:hint="eastAsia" w:ascii="宋体" w:hAnsi="宋体"/>
          <w:color w:val="auto"/>
          <w:sz w:val="24"/>
        </w:rPr>
        <w:t>16.3</w:t>
      </w:r>
      <w:r>
        <w:rPr>
          <w:rFonts w:hint="eastAsia" w:ascii="宋体" w:hAnsi="宋体"/>
          <w:bCs/>
          <w:color w:val="auto"/>
          <w:sz w:val="24"/>
        </w:rPr>
        <w:t>响应谈判供应商应按第</w:t>
      </w:r>
      <w:r>
        <w:rPr>
          <w:rFonts w:hint="eastAsia" w:ascii="宋体" w:hAnsi="宋体"/>
          <w:bCs/>
          <w:color w:val="auto"/>
          <w:sz w:val="24"/>
          <w:lang w:eastAsia="zh-CN"/>
        </w:rPr>
        <w:t>三</w:t>
      </w:r>
      <w:r>
        <w:rPr>
          <w:rFonts w:hint="eastAsia" w:ascii="宋体" w:hAnsi="宋体"/>
          <w:bCs/>
          <w:color w:val="auto"/>
          <w:sz w:val="24"/>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rPr>
      </w:pPr>
      <w:r>
        <w:rPr>
          <w:rFonts w:hint="eastAsia" w:ascii="宋体" w:hAnsi="宋体"/>
          <w:color w:val="auto"/>
          <w:sz w:val="24"/>
        </w:rPr>
        <w:t>16.4各响应供应商不得相互串联哄抬标价或恶意压价，出现此种情况者，将被作为废标处理。</w:t>
      </w:r>
    </w:p>
    <w:p w14:paraId="77AF6D91">
      <w:pPr>
        <w:spacing w:line="360" w:lineRule="auto"/>
        <w:rPr>
          <w:rFonts w:ascii="宋体" w:hAnsi="宋体"/>
          <w:b/>
          <w:color w:val="auto"/>
          <w:sz w:val="24"/>
        </w:rPr>
      </w:pPr>
      <w:r>
        <w:rPr>
          <w:rFonts w:ascii="宋体" w:hAnsi="宋体"/>
          <w:b/>
          <w:color w:val="auto"/>
          <w:sz w:val="24"/>
        </w:rPr>
        <w:t>17.</w:t>
      </w:r>
      <w:r>
        <w:rPr>
          <w:rFonts w:hint="eastAsia" w:ascii="宋体" w:hAnsi="宋体"/>
          <w:b/>
          <w:color w:val="auto"/>
          <w:sz w:val="24"/>
        </w:rPr>
        <w:t>谈判响应</w:t>
      </w:r>
      <w:r>
        <w:rPr>
          <w:rFonts w:ascii="宋体" w:hAnsi="宋体"/>
          <w:b/>
          <w:color w:val="auto"/>
          <w:sz w:val="24"/>
        </w:rPr>
        <w:t>报价表</w:t>
      </w:r>
    </w:p>
    <w:p w14:paraId="28543847">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响应谈判供应商</w:t>
      </w:r>
      <w:r>
        <w:rPr>
          <w:rFonts w:ascii="宋体" w:hAnsi="宋体"/>
          <w:color w:val="auto"/>
          <w:sz w:val="24"/>
        </w:rPr>
        <w:t>须按照谈判文件</w:t>
      </w:r>
      <w:r>
        <w:rPr>
          <w:rFonts w:hint="eastAsia" w:ascii="宋体" w:hAnsi="宋体"/>
          <w:color w:val="auto"/>
          <w:sz w:val="24"/>
        </w:rPr>
        <w:t>的</w:t>
      </w:r>
      <w:r>
        <w:rPr>
          <w:rFonts w:ascii="宋体" w:hAnsi="宋体"/>
          <w:color w:val="auto"/>
          <w:sz w:val="24"/>
        </w:rPr>
        <w:t>要求填写，且在“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提交</w:t>
      </w:r>
      <w:r>
        <w:rPr>
          <w:rFonts w:hint="eastAsia" w:ascii="宋体" w:hAnsi="宋体"/>
          <w:color w:val="auto"/>
          <w:sz w:val="24"/>
        </w:rPr>
        <w:t>。</w:t>
      </w:r>
    </w:p>
    <w:p w14:paraId="295A2607">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2如谈判响应报价表内容与谈判响应文件中明细表内容不一致，以谈判响应最终报价表为准。</w:t>
      </w:r>
    </w:p>
    <w:p w14:paraId="1F0A28AB">
      <w:pPr>
        <w:spacing w:line="360" w:lineRule="auto"/>
        <w:rPr>
          <w:rFonts w:ascii="宋体" w:hAnsi="宋体"/>
          <w:b/>
          <w:color w:val="auto"/>
          <w:sz w:val="24"/>
        </w:rPr>
      </w:pPr>
      <w:r>
        <w:rPr>
          <w:rFonts w:ascii="宋体" w:hAnsi="宋体"/>
          <w:b/>
          <w:color w:val="auto"/>
          <w:sz w:val="24"/>
        </w:rPr>
        <w:t>17.3</w:t>
      </w:r>
      <w:r>
        <w:rPr>
          <w:rFonts w:hint="eastAsia" w:ascii="宋体" w:hAnsi="宋体"/>
          <w:b/>
          <w:color w:val="auto"/>
          <w:sz w:val="24"/>
        </w:rPr>
        <w:t>谈判</w:t>
      </w:r>
      <w:r>
        <w:rPr>
          <w:rFonts w:ascii="宋体" w:hAnsi="宋体"/>
          <w:b/>
          <w:color w:val="auto"/>
          <w:sz w:val="24"/>
        </w:rPr>
        <w:t>响应报价</w:t>
      </w:r>
      <w:r>
        <w:rPr>
          <w:rFonts w:hint="eastAsia" w:ascii="宋体" w:hAnsi="宋体"/>
          <w:b/>
          <w:color w:val="auto"/>
          <w:sz w:val="24"/>
        </w:rPr>
        <w:t>分为</w:t>
      </w:r>
      <w:r>
        <w:rPr>
          <w:rFonts w:ascii="宋体" w:hAnsi="宋体"/>
          <w:b/>
          <w:color w:val="auto"/>
          <w:sz w:val="24"/>
        </w:rPr>
        <w:t>谈判响应首次报价表、谈判响应</w:t>
      </w:r>
      <w:r>
        <w:rPr>
          <w:rFonts w:hint="eastAsia" w:ascii="宋体" w:hAnsi="宋体"/>
          <w:b/>
          <w:color w:val="auto"/>
          <w:sz w:val="24"/>
        </w:rPr>
        <w:t>最终</w:t>
      </w:r>
      <w:r>
        <w:rPr>
          <w:rFonts w:ascii="宋体" w:hAnsi="宋体"/>
          <w:b/>
          <w:color w:val="auto"/>
          <w:sz w:val="24"/>
        </w:rPr>
        <w:t>报价表。</w:t>
      </w:r>
    </w:p>
    <w:p w14:paraId="7C5CC879">
      <w:pPr>
        <w:spacing w:line="360" w:lineRule="auto"/>
        <w:rPr>
          <w:rFonts w:ascii="宋体" w:hAnsi="宋体"/>
          <w:b/>
          <w:color w:val="auto"/>
          <w:sz w:val="24"/>
        </w:rPr>
      </w:pPr>
      <w:r>
        <w:rPr>
          <w:rFonts w:hint="eastAsia" w:ascii="宋体" w:hAnsi="宋体"/>
          <w:b/>
          <w:color w:val="auto"/>
          <w:sz w:val="24"/>
        </w:rPr>
        <w:t>谈判</w:t>
      </w:r>
      <w:r>
        <w:rPr>
          <w:rFonts w:ascii="宋体" w:hAnsi="宋体"/>
          <w:b/>
          <w:color w:val="auto"/>
          <w:sz w:val="24"/>
        </w:rPr>
        <w:t>响应首次</w:t>
      </w:r>
      <w:r>
        <w:rPr>
          <w:rFonts w:hint="eastAsia" w:ascii="宋体" w:hAnsi="宋体"/>
          <w:b/>
          <w:color w:val="auto"/>
          <w:sz w:val="24"/>
        </w:rPr>
        <w:t>报价后</w:t>
      </w:r>
      <w:r>
        <w:rPr>
          <w:rFonts w:ascii="宋体" w:hAnsi="宋体"/>
          <w:b/>
          <w:color w:val="auto"/>
          <w:sz w:val="24"/>
        </w:rPr>
        <w:t>谈判小组</w:t>
      </w:r>
      <w:r>
        <w:rPr>
          <w:rFonts w:hint="eastAsia" w:ascii="宋体" w:hAnsi="宋体"/>
          <w:b/>
          <w:color w:val="auto"/>
          <w:sz w:val="24"/>
        </w:rPr>
        <w:t>将在资格</w:t>
      </w:r>
      <w:r>
        <w:rPr>
          <w:rFonts w:ascii="宋体" w:hAnsi="宋体"/>
          <w:b/>
          <w:color w:val="auto"/>
          <w:sz w:val="24"/>
        </w:rPr>
        <w:t>审</w:t>
      </w:r>
      <w:r>
        <w:rPr>
          <w:rFonts w:hint="eastAsia" w:ascii="宋体" w:hAnsi="宋体"/>
          <w:b/>
          <w:color w:val="auto"/>
          <w:sz w:val="24"/>
        </w:rPr>
        <w:t>评审</w:t>
      </w:r>
      <w:r>
        <w:rPr>
          <w:rFonts w:ascii="宋体" w:hAnsi="宋体"/>
          <w:b/>
          <w:color w:val="auto"/>
          <w:sz w:val="24"/>
        </w:rPr>
        <w:t>、符合性</w:t>
      </w:r>
      <w:r>
        <w:rPr>
          <w:rFonts w:hint="eastAsia" w:ascii="宋体" w:hAnsi="宋体"/>
          <w:b/>
          <w:color w:val="auto"/>
          <w:sz w:val="24"/>
        </w:rPr>
        <w:t>评审通过</w:t>
      </w:r>
      <w:r>
        <w:rPr>
          <w:rFonts w:ascii="宋体" w:hAnsi="宋体"/>
          <w:b/>
          <w:color w:val="auto"/>
          <w:sz w:val="24"/>
        </w:rPr>
        <w:t>后发起谈判</w:t>
      </w:r>
      <w:r>
        <w:rPr>
          <w:rFonts w:hint="eastAsia" w:ascii="宋体" w:hAnsi="宋体"/>
          <w:b/>
          <w:color w:val="auto"/>
          <w:sz w:val="24"/>
        </w:rPr>
        <w:t>响应</w:t>
      </w:r>
      <w:r>
        <w:rPr>
          <w:rFonts w:ascii="宋体" w:hAnsi="宋体"/>
          <w:b/>
          <w:color w:val="auto"/>
          <w:sz w:val="24"/>
        </w:rPr>
        <w:t>最终报价，</w:t>
      </w:r>
      <w:r>
        <w:rPr>
          <w:rFonts w:hint="eastAsia" w:ascii="宋体" w:hAnsi="宋体"/>
          <w:b/>
          <w:color w:val="auto"/>
          <w:sz w:val="24"/>
        </w:rPr>
        <w:t>响应</w:t>
      </w:r>
      <w:r>
        <w:rPr>
          <w:rFonts w:ascii="宋体" w:hAnsi="宋体"/>
          <w:b/>
          <w:color w:val="auto"/>
          <w:sz w:val="24"/>
        </w:rPr>
        <w:t>谈判供应商</w:t>
      </w:r>
      <w:r>
        <w:rPr>
          <w:rFonts w:hint="eastAsia" w:ascii="宋体" w:hAnsi="宋体"/>
          <w:b/>
          <w:color w:val="auto"/>
          <w:sz w:val="24"/>
        </w:rPr>
        <w:t>代表须</w:t>
      </w:r>
      <w:r>
        <w:rPr>
          <w:rFonts w:ascii="宋体" w:hAnsi="宋体"/>
          <w:b/>
          <w:color w:val="auto"/>
          <w:sz w:val="24"/>
        </w:rPr>
        <w:t>在谈判小组发起的报价</w:t>
      </w:r>
      <w:r>
        <w:rPr>
          <w:rFonts w:hint="eastAsia" w:ascii="宋体" w:hAnsi="宋体"/>
          <w:b/>
          <w:color w:val="auto"/>
          <w:sz w:val="24"/>
        </w:rPr>
        <w:t>时限</w:t>
      </w:r>
      <w:r>
        <w:rPr>
          <w:rFonts w:ascii="宋体" w:hAnsi="宋体"/>
          <w:b/>
          <w:color w:val="auto"/>
          <w:sz w:val="24"/>
        </w:rPr>
        <w:t>内提交</w:t>
      </w:r>
      <w:r>
        <w:rPr>
          <w:rFonts w:hint="eastAsia" w:ascii="宋体" w:hAnsi="宋体"/>
          <w:b/>
          <w:color w:val="auto"/>
          <w:sz w:val="24"/>
        </w:rPr>
        <w:t>谈判</w:t>
      </w:r>
      <w:r>
        <w:rPr>
          <w:rFonts w:ascii="宋体" w:hAnsi="宋体"/>
          <w:b/>
          <w:color w:val="auto"/>
          <w:sz w:val="24"/>
        </w:rPr>
        <w:t>响应最终报价</w:t>
      </w:r>
      <w:r>
        <w:rPr>
          <w:rFonts w:hint="eastAsia" w:ascii="宋体" w:hAnsi="宋体"/>
          <w:b/>
          <w:color w:val="auto"/>
          <w:sz w:val="24"/>
        </w:rPr>
        <w:t>。</w:t>
      </w:r>
    </w:p>
    <w:p w14:paraId="77AEFDF2">
      <w:pPr>
        <w:autoSpaceDE w:val="0"/>
        <w:autoSpaceDN w:val="0"/>
        <w:adjustRightInd w:val="0"/>
        <w:spacing w:before="60" w:after="60" w:line="360" w:lineRule="auto"/>
        <w:rPr>
          <w:rFonts w:cs="宋体"/>
          <w:b/>
          <w:color w:val="auto"/>
          <w:sz w:val="24"/>
        </w:rPr>
      </w:pPr>
      <w:r>
        <w:rPr>
          <w:rFonts w:hint="eastAsia" w:ascii="宋体" w:hAnsi="宋体"/>
          <w:b/>
          <w:color w:val="auto"/>
          <w:sz w:val="24"/>
        </w:rPr>
        <w:t>17.4</w:t>
      </w:r>
      <w:r>
        <w:rPr>
          <w:rFonts w:hint="eastAsia" w:cs="宋体"/>
          <w:b/>
          <w:color w:val="auto"/>
          <w:sz w:val="24"/>
        </w:rPr>
        <w:t>在线谈判</w:t>
      </w:r>
      <w:r>
        <w:rPr>
          <w:rFonts w:cs="宋体"/>
          <w:b/>
          <w:color w:val="auto"/>
          <w:sz w:val="24"/>
        </w:rPr>
        <w:t>时间和提交</w:t>
      </w:r>
      <w:r>
        <w:rPr>
          <w:rFonts w:hint="eastAsia" w:cs="宋体"/>
          <w:b/>
          <w:color w:val="auto"/>
          <w:sz w:val="24"/>
        </w:rPr>
        <w:t>最终</w:t>
      </w:r>
      <w:r>
        <w:rPr>
          <w:rFonts w:cs="宋体"/>
          <w:b/>
          <w:color w:val="auto"/>
          <w:sz w:val="24"/>
        </w:rPr>
        <w:t>报价的时间</w:t>
      </w:r>
      <w:r>
        <w:rPr>
          <w:rFonts w:hint="eastAsia" w:cs="宋体"/>
          <w:b/>
          <w:color w:val="auto"/>
          <w:sz w:val="24"/>
        </w:rPr>
        <w:t>见</w:t>
      </w:r>
      <w:r>
        <w:rPr>
          <w:rFonts w:cs="宋体"/>
          <w:b/>
          <w:color w:val="auto"/>
          <w:sz w:val="24"/>
        </w:rPr>
        <w:t>本须知前附表。</w:t>
      </w:r>
    </w:p>
    <w:p w14:paraId="3402F2A5">
      <w:pPr>
        <w:spacing w:line="360" w:lineRule="auto"/>
        <w:rPr>
          <w:rFonts w:ascii="宋体" w:hAnsi="宋体"/>
          <w:b/>
          <w:color w:val="auto"/>
          <w:sz w:val="24"/>
        </w:rPr>
      </w:pPr>
      <w:r>
        <w:rPr>
          <w:rFonts w:hint="eastAsia" w:ascii="宋体" w:hAnsi="宋体"/>
          <w:b/>
          <w:color w:val="auto"/>
          <w:sz w:val="24"/>
        </w:rPr>
        <w:t>1</w:t>
      </w:r>
      <w:r>
        <w:rPr>
          <w:rFonts w:ascii="宋体" w:hAnsi="宋体"/>
          <w:b/>
          <w:color w:val="auto"/>
          <w:sz w:val="24"/>
        </w:rPr>
        <w:t>8</w:t>
      </w:r>
      <w:r>
        <w:rPr>
          <w:rFonts w:hint="eastAsia" w:ascii="宋体" w:hAnsi="宋体"/>
          <w:b/>
          <w:color w:val="auto"/>
          <w:sz w:val="24"/>
        </w:rPr>
        <w:t>.采购</w:t>
      </w:r>
      <w:r>
        <w:rPr>
          <w:rFonts w:ascii="宋体" w:hAnsi="宋体"/>
          <w:b/>
          <w:color w:val="auto"/>
          <w:sz w:val="24"/>
        </w:rPr>
        <w:t>货物</w:t>
      </w:r>
      <w:r>
        <w:rPr>
          <w:rFonts w:hint="eastAsia" w:ascii="宋体" w:hAnsi="宋体"/>
          <w:b/>
          <w:color w:val="auto"/>
          <w:sz w:val="24"/>
        </w:rPr>
        <w:t>进口产品规定</w:t>
      </w:r>
    </w:p>
    <w:p w14:paraId="22F6472B">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rPr>
      </w:pPr>
      <w:r>
        <w:rPr>
          <w:rFonts w:hint="eastAsia" w:ascii="宋体" w:hAnsi="宋体"/>
          <w:b/>
          <w:color w:val="auto"/>
          <w:sz w:val="24"/>
        </w:rPr>
        <w:t>1</w:t>
      </w:r>
      <w:r>
        <w:rPr>
          <w:rFonts w:ascii="宋体" w:hAnsi="宋体"/>
          <w:b/>
          <w:color w:val="auto"/>
          <w:sz w:val="24"/>
        </w:rPr>
        <w:t>9</w:t>
      </w:r>
      <w:r>
        <w:rPr>
          <w:rFonts w:hint="eastAsia" w:ascii="宋体" w:hAnsi="宋体"/>
          <w:b/>
          <w:color w:val="auto"/>
          <w:sz w:val="24"/>
        </w:rPr>
        <w:t>.谈判有效期</w:t>
      </w:r>
    </w:p>
    <w:p w14:paraId="6D98AE47">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.2出现特殊情况需要延长响应有效期的，</w:t>
      </w:r>
      <w:r>
        <w:rPr>
          <w:rFonts w:hint="eastAsia" w:ascii="宋体" w:hAnsi="宋体"/>
          <w:color w:val="auto"/>
          <w:sz w:val="24"/>
          <w:lang w:eastAsia="zh-CN"/>
        </w:rPr>
        <w:t>采购代理机构</w:t>
      </w:r>
      <w:r>
        <w:rPr>
          <w:rFonts w:hint="eastAsia" w:ascii="宋体" w:hAnsi="宋体"/>
          <w:color w:val="auto"/>
          <w:sz w:val="24"/>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rPr>
        <w:t xml:space="preserve"> </w:t>
      </w:r>
    </w:p>
    <w:p w14:paraId="42A424C8">
      <w:pPr>
        <w:spacing w:line="360" w:lineRule="auto"/>
        <w:rPr>
          <w:rFonts w:ascii="宋体" w:hAnsi="宋体"/>
          <w:color w:val="auto"/>
          <w:sz w:val="24"/>
        </w:rPr>
      </w:pPr>
      <w:r>
        <w:rPr>
          <w:rFonts w:hint="eastAsia" w:ascii="宋体" w:hAnsi="宋体"/>
          <w:b/>
          <w:color w:val="auto"/>
          <w:sz w:val="24"/>
        </w:rPr>
        <w:t>20.谈判供应商的不良行为</w:t>
      </w:r>
    </w:p>
    <w:p w14:paraId="3C776E48">
      <w:pPr>
        <w:spacing w:line="360" w:lineRule="auto"/>
        <w:ind w:firstLine="480" w:firstLineChars="200"/>
        <w:rPr>
          <w:rFonts w:ascii="宋体" w:hAnsi="宋体"/>
          <w:color w:val="auto"/>
          <w:sz w:val="24"/>
        </w:rPr>
      </w:pPr>
      <w:r>
        <w:rPr>
          <w:rFonts w:hint="eastAsia" w:ascii="宋体" w:hAnsi="宋体"/>
          <w:color w:val="auto"/>
          <w:sz w:val="24"/>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w:t>
      </w:r>
      <w:r>
        <w:rPr>
          <w:rFonts w:ascii="宋体" w:hAnsi="宋体"/>
          <w:color w:val="auto"/>
          <w:sz w:val="24"/>
        </w:rPr>
        <w:t>1</w:t>
      </w:r>
      <w:r>
        <w:rPr>
          <w:rFonts w:hint="eastAsia" w:ascii="宋体" w:hAnsi="宋体"/>
          <w:color w:val="auto"/>
          <w:sz w:val="24"/>
        </w:rPr>
        <w:t>提供虚假材料谋取中标、成交；</w:t>
      </w:r>
    </w:p>
    <w:p w14:paraId="0F8EF064">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.2</w:t>
      </w:r>
      <w:r>
        <w:rPr>
          <w:rFonts w:hint="eastAsia" w:ascii="宋体" w:hAnsi="宋体" w:eastAsia="宋体" w:cs="Times New Roman"/>
          <w:color w:val="auto"/>
          <w:sz w:val="24"/>
        </w:rPr>
        <w:t>采取不正当手段诋毁、排挤其他供应商；</w:t>
      </w:r>
    </w:p>
    <w:p w14:paraId="7A559B7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.3与采购人、其他供应商或代理机构恶意串通；</w:t>
      </w:r>
    </w:p>
    <w:p w14:paraId="5E8E211D">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.4拒不履行合同义务或实质性变更合同内容；</w:t>
      </w:r>
    </w:p>
    <w:p w14:paraId="2045C14D">
      <w:pPr>
        <w:spacing w:line="360" w:lineRule="auto"/>
        <w:rPr>
          <w:rFonts w:hint="eastAsia" w:ascii="宋体" w:hAnsi="宋体"/>
          <w:color w:val="auto"/>
          <w:sz w:val="24"/>
        </w:rPr>
      </w:pPr>
      <w:r>
        <w:rPr>
          <w:rFonts w:ascii="宋体" w:hAnsi="宋体"/>
          <w:color w:val="auto"/>
          <w:sz w:val="24"/>
        </w:rPr>
        <w:t>20</w:t>
      </w:r>
      <w:r>
        <w:rPr>
          <w:rFonts w:hint="eastAsia" w:ascii="宋体" w:hAnsi="宋体"/>
          <w:color w:val="auto"/>
          <w:sz w:val="24"/>
        </w:rPr>
        <w:t>.5其他严重违法行为</w:t>
      </w:r>
    </w:p>
    <w:p w14:paraId="17D44CE9">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.谈判文件的编制</w:t>
      </w:r>
    </w:p>
    <w:p w14:paraId="50CC352A">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.1谈判响应文件包括本须知第1</w:t>
      </w:r>
      <w:r>
        <w:rPr>
          <w:rFonts w:ascii="宋体" w:hAnsi="宋体"/>
          <w:bCs/>
          <w:color w:val="auto"/>
          <w:sz w:val="24"/>
        </w:rPr>
        <w:t>5</w:t>
      </w:r>
      <w:r>
        <w:rPr>
          <w:rFonts w:hint="eastAsia" w:ascii="宋体" w:hAnsi="宋体"/>
          <w:bCs/>
          <w:color w:val="auto"/>
          <w:sz w:val="24"/>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.2谈判响应文件应当对谈判文件有关供货期、谈判有效期、质量要求、谈判内容等实质性内容作出响应。</w:t>
      </w:r>
    </w:p>
    <w:p w14:paraId="4D72802D">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.3</w:t>
      </w:r>
      <w:r>
        <w:rPr>
          <w:rFonts w:hint="eastAsia" w:ascii="宋体"/>
          <w:b/>
          <w:bCs/>
          <w:color w:val="auto"/>
          <w:sz w:val="24"/>
        </w:rPr>
        <w:t>上传</w:t>
      </w:r>
      <w:r>
        <w:rPr>
          <w:rFonts w:ascii="宋体"/>
          <w:b/>
          <w:bCs/>
          <w:color w:val="auto"/>
          <w:sz w:val="24"/>
        </w:rPr>
        <w:t>的</w:t>
      </w:r>
      <w:r>
        <w:rPr>
          <w:rFonts w:hint="eastAsia" w:ascii="宋体" w:hAnsi="宋体"/>
          <w:b/>
          <w:color w:val="auto"/>
          <w:sz w:val="24"/>
        </w:rPr>
        <w:t>谈判响应文件应在规定位置处，</w:t>
      </w:r>
      <w:r>
        <w:rPr>
          <w:rFonts w:hint="eastAsia" w:ascii="宋体" w:hAnsi="宋体"/>
          <w:b/>
          <w:color w:val="auto"/>
          <w:sz w:val="24"/>
          <w:lang w:val="en-US" w:eastAsia="zh-CN"/>
        </w:rPr>
        <w:t>根据文件要求进行签字盖章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0F6A0E3A">
      <w:pPr>
        <w:spacing w:line="360" w:lineRule="auto"/>
        <w:jc w:val="left"/>
        <w:rPr>
          <w:rFonts w:ascii="宋体" w:hAnsi="宋体"/>
          <w:b/>
          <w:color w:val="auto"/>
          <w:sz w:val="24"/>
        </w:rPr>
      </w:pPr>
      <w:r>
        <w:rPr>
          <w:rFonts w:ascii="宋体" w:hAnsi="宋体"/>
          <w:b/>
          <w:color w:val="auto"/>
          <w:sz w:val="24"/>
        </w:rPr>
        <w:t>21</w:t>
      </w:r>
      <w:r>
        <w:rPr>
          <w:rFonts w:hint="eastAsia" w:ascii="宋体" w:hAnsi="宋体"/>
          <w:b/>
          <w:color w:val="auto"/>
          <w:sz w:val="24"/>
        </w:rPr>
        <w:t>.</w:t>
      </w:r>
      <w:r>
        <w:rPr>
          <w:rFonts w:ascii="宋体" w:hAnsi="宋体"/>
          <w:b/>
          <w:color w:val="auto"/>
          <w:sz w:val="24"/>
        </w:rPr>
        <w:t>4</w:t>
      </w:r>
      <w:r>
        <w:rPr>
          <w:rFonts w:hint="eastAsia" w:ascii="宋体" w:hAnsi="宋体"/>
          <w:b/>
          <w:color w:val="auto"/>
          <w:sz w:val="24"/>
        </w:rPr>
        <w:t>谈判响应文件中的内容</w:t>
      </w:r>
      <w:r>
        <w:rPr>
          <w:rFonts w:ascii="宋体" w:hAnsi="宋体"/>
          <w:b/>
          <w:color w:val="auto"/>
          <w:sz w:val="24"/>
        </w:rPr>
        <w:t>要</w:t>
      </w:r>
      <w:r>
        <w:rPr>
          <w:rFonts w:hint="eastAsia" w:ascii="宋体" w:hAnsi="宋体"/>
          <w:b/>
          <w:color w:val="auto"/>
          <w:sz w:val="24"/>
        </w:rPr>
        <w:t>清晰，易于辨认，且无篡改</w:t>
      </w:r>
      <w:r>
        <w:rPr>
          <w:rFonts w:ascii="宋体" w:hAnsi="宋体"/>
          <w:b/>
          <w:color w:val="auto"/>
          <w:sz w:val="24"/>
        </w:rPr>
        <w:t>图片</w:t>
      </w:r>
      <w:r>
        <w:rPr>
          <w:rFonts w:hint="eastAsia" w:ascii="宋体" w:hAnsi="宋体"/>
          <w:b/>
          <w:color w:val="auto"/>
          <w:sz w:val="24"/>
        </w:rPr>
        <w:t>，除非这些改动是根据</w:t>
      </w:r>
      <w:r>
        <w:rPr>
          <w:rFonts w:hint="eastAsia" w:ascii="宋体" w:hAnsi="宋体"/>
          <w:b/>
          <w:color w:val="auto"/>
          <w:sz w:val="24"/>
          <w:lang w:eastAsia="zh-CN"/>
        </w:rPr>
        <w:t>采购代理机构</w:t>
      </w:r>
      <w:r>
        <w:rPr>
          <w:rFonts w:hint="eastAsia" w:ascii="宋体" w:hAnsi="宋体"/>
          <w:b/>
          <w:color w:val="auto"/>
          <w:sz w:val="24"/>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rPr>
        <w:t>加盖公章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6A47F877">
      <w:pPr>
        <w:spacing w:after="120"/>
        <w:jc w:val="left"/>
        <w:rPr>
          <w:rFonts w:ascii="宋体"/>
          <w:b/>
          <w:color w:val="auto"/>
          <w:sz w:val="24"/>
        </w:rPr>
      </w:pPr>
      <w:r>
        <w:rPr>
          <w:rFonts w:ascii="宋体"/>
          <w:b/>
          <w:bCs/>
          <w:color w:val="auto"/>
          <w:sz w:val="24"/>
        </w:rPr>
        <w:t>21.5</w:t>
      </w:r>
      <w:r>
        <w:rPr>
          <w:rFonts w:hint="eastAsia" w:ascii="宋体" w:hAnsi="宋体"/>
          <w:b/>
          <w:color w:val="auto"/>
          <w:sz w:val="24"/>
        </w:rPr>
        <w:t>如果响应谈判供应商没有按本须知要求制作、签署、盖章，在初步评审时将按照无效响应处理</w:t>
      </w:r>
      <w:r>
        <w:rPr>
          <w:rFonts w:hint="eastAsia" w:ascii="宋体" w:hAnsi="宋体"/>
          <w:color w:val="auto"/>
          <w:sz w:val="24"/>
        </w:rPr>
        <w:t>。</w:t>
      </w:r>
    </w:p>
    <w:p w14:paraId="0AE72070">
      <w:pPr>
        <w:spacing w:line="360" w:lineRule="auto"/>
        <w:jc w:val="center"/>
        <w:outlineLvl w:val="1"/>
        <w:rPr>
          <w:rFonts w:ascii="宋体" w:hAnsi="宋体"/>
          <w:b/>
          <w:color w:val="auto"/>
          <w:sz w:val="28"/>
          <w:szCs w:val="28"/>
        </w:rPr>
      </w:pPr>
      <w:bookmarkStart w:id="17" w:name="_Toc103723521"/>
      <w:bookmarkStart w:id="18" w:name="_Toc23696"/>
      <w:r>
        <w:rPr>
          <w:rFonts w:hint="eastAsia" w:ascii="宋体" w:hAnsi="宋体"/>
          <w:b/>
          <w:color w:val="auto"/>
          <w:sz w:val="28"/>
          <w:szCs w:val="28"/>
        </w:rPr>
        <w:t>五、</w:t>
      </w:r>
      <w:bookmarkEnd w:id="17"/>
      <w:r>
        <w:rPr>
          <w:rFonts w:hint="eastAsia" w:ascii="宋体" w:hAnsi="宋体"/>
          <w:b/>
          <w:color w:val="auto"/>
          <w:sz w:val="28"/>
          <w:szCs w:val="28"/>
        </w:rPr>
        <w:t>谈判响应</w:t>
      </w:r>
      <w:bookmarkEnd w:id="18"/>
    </w:p>
    <w:p w14:paraId="7EF1033F">
      <w:pPr>
        <w:spacing w:line="360" w:lineRule="auto"/>
        <w:jc w:val="left"/>
        <w:rPr>
          <w:rFonts w:ascii="宋体" w:hAnsi="宋体"/>
          <w:color w:val="auto"/>
          <w:sz w:val="24"/>
        </w:rPr>
      </w:pP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.谈判响应文件的上传、解密</w:t>
      </w:r>
    </w:p>
    <w:p w14:paraId="696ACC16">
      <w:pPr>
        <w:spacing w:line="360" w:lineRule="auto"/>
        <w:rPr>
          <w:rFonts w:ascii="宋体" w:hAnsi="宋体"/>
          <w:color w:val="auto"/>
          <w:sz w:val="24"/>
        </w:rPr>
      </w:pPr>
      <w:r>
        <w:rPr>
          <w:rFonts w:cs="宋体" w:asciiTheme="minorEastAsia" w:hAnsiTheme="minorEastAsia" w:eastAsiaTheme="minorEastAsia"/>
          <w:b/>
          <w:color w:val="auto"/>
          <w:sz w:val="24"/>
        </w:rPr>
        <w:t>22.1</w:t>
      </w:r>
      <w:r>
        <w:rPr>
          <w:rFonts w:hint="eastAsia" w:ascii="宋体" w:hAnsi="宋体"/>
          <w:b/>
          <w:bCs/>
          <w:color w:val="auto"/>
          <w:sz w:val="24"/>
        </w:rPr>
        <w:t>响应谈判供应商应在本须知前附表规定的谈判响应截止时间前上传谈判响应文件，</w:t>
      </w:r>
      <w:r>
        <w:rPr>
          <w:rFonts w:ascii="宋体" w:hAnsi="宋体"/>
          <w:b/>
          <w:bCs/>
          <w:color w:val="auto"/>
          <w:sz w:val="24"/>
        </w:rPr>
        <w:t>在规定的</w:t>
      </w:r>
      <w:r>
        <w:rPr>
          <w:rFonts w:hint="eastAsia" w:ascii="宋体" w:hAnsi="宋体"/>
          <w:b/>
          <w:bCs/>
          <w:color w:val="auto"/>
          <w:sz w:val="24"/>
        </w:rPr>
        <w:t>解密</w:t>
      </w:r>
      <w:r>
        <w:rPr>
          <w:rFonts w:ascii="宋体" w:hAnsi="宋体"/>
          <w:b/>
          <w:bCs/>
          <w:color w:val="auto"/>
          <w:sz w:val="24"/>
        </w:rPr>
        <w:t>时间</w:t>
      </w:r>
      <w:r>
        <w:rPr>
          <w:rFonts w:hint="eastAsia" w:ascii="宋体" w:hAnsi="宋体"/>
          <w:b/>
          <w:bCs/>
          <w:color w:val="auto"/>
          <w:sz w:val="24"/>
        </w:rPr>
        <w:t>内</w:t>
      </w:r>
      <w:r>
        <w:rPr>
          <w:rFonts w:ascii="宋体" w:hAnsi="宋体"/>
          <w:b/>
          <w:bCs/>
          <w:color w:val="auto"/>
          <w:sz w:val="24"/>
        </w:rPr>
        <w:t>解密谈判响应文件。</w:t>
      </w:r>
    </w:p>
    <w:p w14:paraId="289803CE">
      <w:pPr>
        <w:spacing w:line="360" w:lineRule="auto"/>
        <w:rPr>
          <w:rFonts w:ascii="宋体" w:hAnsi="宋体"/>
          <w:b/>
          <w:color w:val="auto"/>
          <w:sz w:val="24"/>
        </w:rPr>
      </w:pPr>
      <w:r>
        <w:rPr>
          <w:rFonts w:cs="宋体" w:asciiTheme="minorEastAsia" w:hAnsiTheme="minorEastAsia" w:eastAsiaTheme="minorEastAsia"/>
          <w:b/>
          <w:color w:val="auto"/>
          <w:sz w:val="24"/>
        </w:rPr>
        <w:t>22.2</w:t>
      </w:r>
      <w:r>
        <w:rPr>
          <w:rFonts w:hint="eastAsia" w:cs="宋体" w:asciiTheme="minorEastAsia" w:hAnsiTheme="minorEastAsia" w:eastAsiaTheme="minorEastAsia"/>
          <w:b/>
          <w:color w:val="auto"/>
          <w:sz w:val="24"/>
        </w:rPr>
        <w:t>响应谈判供应商须在本须知</w:t>
      </w:r>
      <w:r>
        <w:rPr>
          <w:rFonts w:cs="宋体" w:asciiTheme="minorEastAsia" w:hAnsiTheme="minorEastAsia" w:eastAsiaTheme="minorEastAsia"/>
          <w:b/>
          <w:color w:val="auto"/>
          <w:sz w:val="24"/>
        </w:rPr>
        <w:t>前附表</w:t>
      </w:r>
      <w:r>
        <w:rPr>
          <w:rFonts w:hint="eastAsia" w:cs="宋体" w:asciiTheme="minorEastAsia" w:hAnsiTheme="minorEastAsia" w:eastAsiaTheme="minorEastAsia"/>
          <w:b/>
          <w:color w:val="auto"/>
          <w:sz w:val="24"/>
        </w:rPr>
        <w:t>规定</w:t>
      </w:r>
      <w:r>
        <w:rPr>
          <w:rFonts w:cs="宋体" w:asciiTheme="minorEastAsia" w:hAnsiTheme="minorEastAsia" w:eastAsiaTheme="minorEastAsia"/>
          <w:b/>
          <w:color w:val="auto"/>
          <w:sz w:val="24"/>
        </w:rPr>
        <w:t>的方式上</w:t>
      </w:r>
      <w:r>
        <w:rPr>
          <w:rFonts w:hint="eastAsia" w:cs="宋体" w:asciiTheme="minorEastAsia" w:hAnsiTheme="minorEastAsia" w:eastAsiaTheme="minorEastAsia"/>
          <w:b/>
          <w:color w:val="auto"/>
          <w:sz w:val="24"/>
        </w:rPr>
        <w:t>传谈判响应文件。谈判响应文件应在制作完成后，在谈判响应截止</w:t>
      </w:r>
      <w:r>
        <w:rPr>
          <w:rFonts w:cs="宋体" w:asciiTheme="minorEastAsia" w:hAnsiTheme="minorEastAsia" w:eastAsiaTheme="minorEastAsia"/>
          <w:b/>
          <w:color w:val="auto"/>
          <w:sz w:val="24"/>
        </w:rPr>
        <w:t>时间</w:t>
      </w:r>
      <w:r>
        <w:rPr>
          <w:rFonts w:hint="eastAsia" w:cs="宋体" w:asciiTheme="minorEastAsia" w:hAnsiTheme="minorEastAsia" w:eastAsiaTheme="minorEastAsia"/>
          <w:b/>
          <w:color w:val="auto"/>
          <w:sz w:val="24"/>
        </w:rPr>
        <w:t>前</w:t>
      </w:r>
      <w:r>
        <w:rPr>
          <w:rFonts w:ascii="宋体" w:hAnsi="宋体"/>
          <w:b/>
          <w:color w:val="auto"/>
          <w:sz w:val="24"/>
        </w:rPr>
        <w:t>提交至“</w:t>
      </w:r>
      <w:r>
        <w:rPr>
          <w:rFonts w:hint="eastAsia" w:ascii="宋体" w:hAnsi="宋体"/>
          <w:b/>
          <w:color w:val="auto"/>
          <w:sz w:val="24"/>
        </w:rPr>
        <w:t>政采云</w:t>
      </w:r>
      <w:r>
        <w:rPr>
          <w:rFonts w:ascii="宋体" w:hAnsi="宋体"/>
          <w:b/>
          <w:color w:val="auto"/>
          <w:sz w:val="24"/>
        </w:rPr>
        <w:t>”</w:t>
      </w:r>
      <w:r>
        <w:rPr>
          <w:rFonts w:hint="eastAsia" w:ascii="宋体" w:hAnsi="宋体"/>
          <w:b/>
          <w:color w:val="auto"/>
          <w:sz w:val="24"/>
        </w:rPr>
        <w:t>平台，</w:t>
      </w:r>
      <w:r>
        <w:rPr>
          <w:rFonts w:ascii="宋体" w:hAnsi="宋体"/>
          <w:b/>
          <w:color w:val="auto"/>
          <w:sz w:val="24"/>
        </w:rPr>
        <w:t>并</w:t>
      </w:r>
      <w:r>
        <w:rPr>
          <w:rFonts w:hint="eastAsia" w:ascii="宋体" w:hAnsi="宋体" w:cs="宋体"/>
          <w:b/>
          <w:color w:val="auto"/>
          <w:sz w:val="24"/>
        </w:rPr>
        <w:t>通过数字证书</w:t>
      </w:r>
      <w:r>
        <w:rPr>
          <w:rFonts w:hint="eastAsia" w:ascii="宋体" w:hAnsi="宋体"/>
          <w:b/>
          <w:color w:val="auto"/>
          <w:sz w:val="24"/>
        </w:rPr>
        <w:t>签章、加密。</w:t>
      </w:r>
      <w:r>
        <w:rPr>
          <w:rFonts w:hint="eastAsia" w:cs="宋体" w:asciiTheme="minorEastAsia" w:hAnsiTheme="minorEastAsia" w:eastAsiaTheme="minorEastAsia"/>
          <w:b/>
          <w:color w:val="auto"/>
          <w:sz w:val="24"/>
        </w:rPr>
        <w:t xml:space="preserve">  </w:t>
      </w:r>
    </w:p>
    <w:p w14:paraId="41808E8B">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2.3</w:t>
      </w:r>
      <w:r>
        <w:rPr>
          <w:rFonts w:hint="eastAsia" w:ascii="宋体" w:hAnsi="宋体"/>
          <w:color w:val="auto"/>
          <w:sz w:val="24"/>
        </w:rPr>
        <w:t>逾期上传的或者未上传指定</w:t>
      </w:r>
      <w:r>
        <w:rPr>
          <w:rFonts w:ascii="宋体" w:hAnsi="宋体"/>
          <w:color w:val="auto"/>
          <w:sz w:val="24"/>
        </w:rPr>
        <w:t>“</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平台的谈判响应文件，</w:t>
      </w:r>
      <w:r>
        <w:rPr>
          <w:rFonts w:hint="eastAsia" w:ascii="宋体" w:hAnsi="宋体"/>
          <w:color w:val="auto"/>
          <w:sz w:val="24"/>
          <w:lang w:eastAsia="zh-CN"/>
        </w:rPr>
        <w:t>采购代理机构</w:t>
      </w:r>
      <w:r>
        <w:rPr>
          <w:rFonts w:hint="eastAsia" w:ascii="宋体" w:hAnsi="宋体"/>
          <w:color w:val="auto"/>
          <w:sz w:val="24"/>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rPr>
      </w:pPr>
      <w:r>
        <w:rPr>
          <w:rFonts w:hint="eastAsia" w:ascii="宋体" w:hAnsi="宋体"/>
          <w:b/>
          <w:color w:val="auto"/>
          <w:sz w:val="24"/>
        </w:rPr>
        <w:t>2</w:t>
      </w:r>
      <w:r>
        <w:rPr>
          <w:rFonts w:ascii="宋体" w:hAnsi="宋体"/>
          <w:b/>
          <w:color w:val="auto"/>
          <w:sz w:val="24"/>
        </w:rPr>
        <w:t>3</w:t>
      </w:r>
      <w:r>
        <w:rPr>
          <w:rFonts w:hint="eastAsia" w:ascii="宋体" w:hAnsi="宋体"/>
          <w:b/>
          <w:color w:val="auto"/>
          <w:sz w:val="24"/>
        </w:rPr>
        <w:t>.谈判</w:t>
      </w:r>
      <w:r>
        <w:rPr>
          <w:rFonts w:ascii="宋体" w:hAnsi="宋体"/>
          <w:b/>
          <w:color w:val="auto"/>
          <w:sz w:val="24"/>
        </w:rPr>
        <w:t>响应</w:t>
      </w:r>
      <w:r>
        <w:rPr>
          <w:rFonts w:hint="eastAsia" w:ascii="宋体" w:hAnsi="宋体"/>
          <w:b/>
          <w:color w:val="auto"/>
          <w:sz w:val="24"/>
        </w:rPr>
        <w:t>截止期</w:t>
      </w:r>
    </w:p>
    <w:p w14:paraId="1D29BBC8">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.1谈判响应文件的截止时间、开标时间：见本须知前附表。</w:t>
      </w:r>
    </w:p>
    <w:p w14:paraId="5056071C">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.2</w:t>
      </w:r>
      <w:r>
        <w:rPr>
          <w:rFonts w:hint="eastAsia" w:ascii="宋体" w:hAnsi="宋体"/>
          <w:color w:val="auto"/>
          <w:sz w:val="24"/>
          <w:lang w:eastAsia="zh-CN"/>
        </w:rPr>
        <w:t>采购代理机构</w:t>
      </w:r>
      <w:r>
        <w:rPr>
          <w:rFonts w:hint="eastAsia" w:ascii="宋体" w:hAnsi="宋体"/>
          <w:color w:val="auto"/>
          <w:sz w:val="24"/>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rPr>
        <w:t>响应</w:t>
      </w:r>
      <w:r>
        <w:rPr>
          <w:rFonts w:hint="eastAsia" w:ascii="宋体" w:hAnsi="宋体"/>
          <w:color w:val="auto"/>
          <w:sz w:val="24"/>
        </w:rPr>
        <w:t>截止时间为准。</w:t>
      </w:r>
    </w:p>
    <w:p w14:paraId="17BBD5DF">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4</w:t>
      </w:r>
      <w:r>
        <w:rPr>
          <w:rFonts w:hint="eastAsia" w:ascii="宋体" w:hAnsi="宋体"/>
          <w:b/>
          <w:color w:val="auto"/>
          <w:sz w:val="24"/>
        </w:rPr>
        <w:t>.谈判响应文件的修改与撤回</w:t>
      </w:r>
    </w:p>
    <w:p w14:paraId="1844E298">
      <w:pPr>
        <w:spacing w:line="360" w:lineRule="auto"/>
        <w:rPr>
          <w:rFonts w:ascii="宋体" w:hAnsi="宋体"/>
          <w:color w:val="auto"/>
          <w:sz w:val="24"/>
        </w:rPr>
      </w:pPr>
      <w:r>
        <w:rPr>
          <w:rFonts w:asciiTheme="minorEastAsia" w:hAnsiTheme="minorEastAsia" w:eastAsiaTheme="minorEastAsia"/>
          <w:color w:val="auto"/>
          <w:sz w:val="24"/>
        </w:rPr>
        <w:t>24.1</w:t>
      </w:r>
      <w:r>
        <w:rPr>
          <w:rFonts w:hint="eastAsia" w:cs="宋体" w:asciiTheme="minorEastAsia" w:hAnsiTheme="minorEastAsia" w:eastAsiaTheme="minorEastAsia"/>
          <w:color w:val="auto"/>
          <w:sz w:val="24"/>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24.2</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24.3</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4</w:t>
      </w:r>
      <w:r>
        <w:rPr>
          <w:rFonts w:hint="eastAsia" w:ascii="宋体" w:hAnsi="宋体"/>
          <w:color w:val="auto"/>
          <w:sz w:val="24"/>
        </w:rPr>
        <w:t>.4在本须知第</w:t>
      </w:r>
      <w:r>
        <w:rPr>
          <w:rFonts w:ascii="宋体" w:hAnsi="宋体"/>
          <w:color w:val="auto"/>
          <w:sz w:val="24"/>
        </w:rPr>
        <w:t>19</w:t>
      </w:r>
      <w:r>
        <w:rPr>
          <w:rFonts w:hint="eastAsia" w:ascii="宋体" w:hAnsi="宋体"/>
          <w:color w:val="auto"/>
          <w:sz w:val="24"/>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rPr>
      </w:pPr>
      <w:bookmarkStart w:id="19" w:name="_Toc103723522"/>
      <w:bookmarkStart w:id="20" w:name="_Toc1455"/>
      <w:r>
        <w:rPr>
          <w:rFonts w:hint="eastAsia" w:ascii="宋体" w:hAnsi="宋体"/>
          <w:b/>
          <w:bCs/>
          <w:color w:val="auto"/>
          <w:sz w:val="32"/>
          <w:szCs w:val="32"/>
        </w:rPr>
        <w:t>六、</w:t>
      </w:r>
      <w:bookmarkEnd w:id="19"/>
      <w:r>
        <w:rPr>
          <w:rFonts w:hint="eastAsia" w:ascii="宋体" w:hAnsi="宋体"/>
          <w:b/>
          <w:bCs/>
          <w:color w:val="auto"/>
          <w:sz w:val="32"/>
          <w:szCs w:val="32"/>
        </w:rPr>
        <w:t>谈判</w:t>
      </w:r>
      <w:bookmarkEnd w:id="20"/>
    </w:p>
    <w:p w14:paraId="436C5000">
      <w:pPr>
        <w:spacing w:line="360" w:lineRule="auto"/>
        <w:rPr>
          <w:rFonts w:ascii="宋体" w:hAnsi="宋体"/>
          <w:b/>
          <w:bCs/>
          <w:color w:val="auto"/>
          <w:sz w:val="24"/>
        </w:rPr>
      </w:pPr>
      <w:r>
        <w:rPr>
          <w:rFonts w:ascii="宋体" w:hAnsi="宋体"/>
          <w:b/>
          <w:bCs/>
          <w:color w:val="auto"/>
          <w:sz w:val="24"/>
        </w:rPr>
        <w:t>25.</w:t>
      </w:r>
      <w:r>
        <w:rPr>
          <w:rFonts w:hint="eastAsia" w:ascii="宋体" w:hAnsi="宋体"/>
          <w:b/>
          <w:bCs/>
          <w:color w:val="auto"/>
          <w:sz w:val="24"/>
        </w:rPr>
        <w:t>谈判时间和地点</w:t>
      </w:r>
    </w:p>
    <w:p w14:paraId="2BE784B1">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采购代理机构</w:t>
      </w:r>
      <w:r>
        <w:rPr>
          <w:rFonts w:hint="eastAsia" w:ascii="宋体" w:hAnsi="宋体"/>
          <w:color w:val="auto"/>
          <w:sz w:val="24"/>
        </w:rPr>
        <w:t>将于本须知前附表规定的开标时间和地点组织开标，响应</w:t>
      </w:r>
      <w:r>
        <w:rPr>
          <w:rFonts w:ascii="宋体" w:hAnsi="宋体"/>
          <w:color w:val="auto"/>
          <w:sz w:val="24"/>
        </w:rPr>
        <w:t>谈判供应商</w:t>
      </w:r>
      <w:r>
        <w:rPr>
          <w:rFonts w:hint="eastAsia" w:ascii="宋体" w:hAnsi="宋体"/>
          <w:color w:val="auto"/>
          <w:sz w:val="24"/>
        </w:rPr>
        <w:t>通过“政采云开标</w:t>
      </w:r>
      <w:r>
        <w:rPr>
          <w:rFonts w:ascii="宋体" w:hAnsi="宋体"/>
          <w:color w:val="auto"/>
          <w:sz w:val="24"/>
        </w:rPr>
        <w:t>大厅</w:t>
      </w:r>
      <w:r>
        <w:rPr>
          <w:rFonts w:hint="eastAsia" w:ascii="宋体" w:hAnsi="宋体"/>
          <w:color w:val="auto"/>
          <w:sz w:val="24"/>
        </w:rPr>
        <w:t>”线上参加开标会</w:t>
      </w:r>
      <w:r>
        <w:rPr>
          <w:rFonts w:hint="eastAsia" w:ascii="宋体" w:hAnsi="宋体"/>
          <w:color w:val="auto"/>
          <w:sz w:val="24"/>
          <w:lang w:eastAsia="zh-CN"/>
        </w:rPr>
        <w:t>，按规定时间对加密的响应文件进行解密</w:t>
      </w:r>
      <w:r>
        <w:rPr>
          <w:rFonts w:hint="eastAsia" w:ascii="宋体" w:hAnsi="宋体"/>
          <w:color w:val="auto"/>
          <w:sz w:val="24"/>
        </w:rPr>
        <w:t>，</w:t>
      </w:r>
      <w:r>
        <w:rPr>
          <w:rFonts w:hint="eastAsia" w:ascii="宋体" w:hAnsi="宋体"/>
          <w:color w:val="auto"/>
          <w:sz w:val="24"/>
          <w:lang w:eastAsia="zh-CN"/>
        </w:rPr>
        <w:t>开标方式为远程开标，供应商</w:t>
      </w:r>
      <w:r>
        <w:rPr>
          <w:rFonts w:hint="eastAsia" w:ascii="宋体" w:hAnsi="宋体"/>
          <w:color w:val="auto"/>
          <w:sz w:val="24"/>
          <w:lang w:val="en-US" w:eastAsia="zh-CN"/>
        </w:rPr>
        <w:t>无需</w:t>
      </w:r>
      <w:r>
        <w:rPr>
          <w:rFonts w:hint="eastAsia" w:ascii="宋体" w:hAnsi="宋体"/>
          <w:color w:val="auto"/>
          <w:sz w:val="24"/>
          <w:lang w:eastAsia="zh-CN"/>
        </w:rPr>
        <w:t>到现场，</w:t>
      </w:r>
      <w:r>
        <w:rPr>
          <w:rFonts w:hint="eastAsia" w:ascii="宋体" w:hAnsi="宋体"/>
          <w:color w:val="auto"/>
          <w:sz w:val="24"/>
        </w:rPr>
        <w:t>所有响应谈判</w:t>
      </w:r>
      <w:r>
        <w:rPr>
          <w:rFonts w:ascii="宋体" w:hAnsi="宋体"/>
          <w:color w:val="auto"/>
          <w:sz w:val="24"/>
        </w:rPr>
        <w:t>供应商</w:t>
      </w:r>
      <w:r>
        <w:rPr>
          <w:rFonts w:hint="eastAsia" w:ascii="宋体" w:hAnsi="宋体"/>
          <w:color w:val="auto"/>
          <w:sz w:val="24"/>
        </w:rPr>
        <w:t>均应当准时参加</w:t>
      </w:r>
      <w:r>
        <w:rPr>
          <w:rFonts w:hint="eastAsia" w:ascii="宋体" w:hAnsi="宋体"/>
          <w:color w:val="auto"/>
          <w:sz w:val="24"/>
          <w:lang w:eastAsia="zh-CN"/>
        </w:rPr>
        <w:t>。</w:t>
      </w:r>
    </w:p>
    <w:p w14:paraId="68EB6B1F">
      <w:pPr>
        <w:spacing w:line="360" w:lineRule="auto"/>
        <w:rPr>
          <w:b/>
          <w:color w:val="auto"/>
          <w:sz w:val="24"/>
        </w:rPr>
      </w:pPr>
      <w:r>
        <w:rPr>
          <w:b/>
          <w:color w:val="auto"/>
          <w:sz w:val="24"/>
        </w:rPr>
        <w:t>26.</w:t>
      </w:r>
      <w:r>
        <w:rPr>
          <w:rFonts w:hint="eastAsia"/>
          <w:b/>
          <w:color w:val="auto"/>
          <w:sz w:val="24"/>
        </w:rPr>
        <w:t>谈判程序</w:t>
      </w:r>
    </w:p>
    <w:p w14:paraId="4442BDF3">
      <w:pPr>
        <w:autoSpaceDE w:val="0"/>
        <w:autoSpaceDN w:val="0"/>
        <w:adjustRightInd w:val="0"/>
        <w:spacing w:before="60" w:after="60" w:line="360" w:lineRule="auto"/>
        <w:rPr>
          <w:rFonts w:hint="eastAsia" w:cs="宋体"/>
          <w:color w:val="auto"/>
          <w:sz w:val="24"/>
        </w:rPr>
      </w:pPr>
      <w:r>
        <w:rPr>
          <w:rFonts w:hint="eastAsia" w:cs="宋体"/>
          <w:color w:val="auto"/>
          <w:sz w:val="24"/>
        </w:rPr>
        <w:t>2</w:t>
      </w:r>
      <w:r>
        <w:rPr>
          <w:rFonts w:cs="宋体"/>
          <w:color w:val="auto"/>
          <w:sz w:val="24"/>
        </w:rPr>
        <w:t>6.1.</w:t>
      </w:r>
      <w:r>
        <w:rPr>
          <w:rFonts w:hint="eastAsia" w:cs="宋体"/>
          <w:color w:val="auto"/>
          <w:sz w:val="24"/>
        </w:rPr>
        <w:t>解密电子谈判响应文件。“政采云”平台在开标时间自动提取所有谈判响应文件。响应谈判供应商须使用数字</w:t>
      </w:r>
      <w:r>
        <w:rPr>
          <w:rFonts w:cs="宋体"/>
          <w:color w:val="auto"/>
          <w:sz w:val="24"/>
        </w:rPr>
        <w:t>证书</w:t>
      </w:r>
      <w:r>
        <w:rPr>
          <w:rFonts w:hint="eastAsia" w:cs="宋体"/>
          <w:color w:val="auto"/>
          <w:sz w:val="24"/>
        </w:rPr>
        <w:t>按照前附表</w:t>
      </w:r>
      <w:r>
        <w:rPr>
          <w:rFonts w:cs="宋体"/>
          <w:color w:val="auto"/>
          <w:sz w:val="24"/>
        </w:rPr>
        <w:t>规定的时间</w:t>
      </w:r>
      <w:r>
        <w:rPr>
          <w:rFonts w:hint="eastAsia" w:cs="宋体"/>
          <w:color w:val="auto"/>
          <w:sz w:val="24"/>
        </w:rPr>
        <w:t>在</w:t>
      </w:r>
      <w:r>
        <w:rPr>
          <w:rFonts w:cs="宋体"/>
          <w:color w:val="auto"/>
          <w:sz w:val="24"/>
        </w:rPr>
        <w:t>线上</w:t>
      </w:r>
      <w:r>
        <w:rPr>
          <w:rFonts w:hint="eastAsia" w:cs="宋体"/>
          <w:color w:val="auto"/>
          <w:sz w:val="24"/>
        </w:rPr>
        <w:t>对谈判响应文件解密并</w:t>
      </w:r>
      <w:r>
        <w:rPr>
          <w:rFonts w:cs="宋体"/>
          <w:color w:val="auto"/>
          <w:sz w:val="24"/>
        </w:rPr>
        <w:t>确认</w:t>
      </w:r>
      <w:r>
        <w:rPr>
          <w:rFonts w:hint="eastAsia" w:cs="宋体"/>
          <w:color w:val="auto"/>
          <w:sz w:val="24"/>
        </w:rPr>
        <w:t xml:space="preserve">。   </w:t>
      </w:r>
    </w:p>
    <w:p w14:paraId="2C705C8F">
      <w:pPr>
        <w:autoSpaceDE w:val="0"/>
        <w:autoSpaceDN w:val="0"/>
        <w:adjustRightInd w:val="0"/>
        <w:spacing w:before="60" w:after="60" w:line="360" w:lineRule="auto"/>
        <w:rPr>
          <w:rFonts w:cs="宋体"/>
          <w:color w:val="auto"/>
          <w:sz w:val="24"/>
        </w:rPr>
      </w:pPr>
      <w:r>
        <w:rPr>
          <w:rFonts w:cs="宋体"/>
          <w:color w:val="auto"/>
          <w:sz w:val="24"/>
        </w:rPr>
        <w:t>26.2.</w:t>
      </w:r>
      <w:r>
        <w:rPr>
          <w:rFonts w:hint="eastAsia" w:cs="宋体"/>
          <w:color w:val="auto"/>
          <w:sz w:val="24"/>
        </w:rPr>
        <w:t>响应谈判供应商对谈判过程有异议的，应当在线上提出。采购人、采购代理机构对响应谈判</w:t>
      </w:r>
      <w:r>
        <w:rPr>
          <w:rFonts w:cs="宋体"/>
          <w:color w:val="auto"/>
          <w:sz w:val="24"/>
        </w:rPr>
        <w:t>供应商</w:t>
      </w:r>
      <w:r>
        <w:rPr>
          <w:rFonts w:hint="eastAsia" w:cs="宋体"/>
          <w:color w:val="auto"/>
          <w:sz w:val="24"/>
        </w:rPr>
        <w:t>提出的异议应当及时处理。</w:t>
      </w:r>
    </w:p>
    <w:p w14:paraId="6CE10352">
      <w:pPr>
        <w:autoSpaceDE w:val="0"/>
        <w:autoSpaceDN w:val="0"/>
        <w:adjustRightInd w:val="0"/>
        <w:spacing w:before="60" w:after="60" w:line="360" w:lineRule="auto"/>
        <w:rPr>
          <w:rFonts w:cs="宋体"/>
          <w:color w:val="auto"/>
          <w:sz w:val="24"/>
        </w:rPr>
      </w:pPr>
      <w:r>
        <w:rPr>
          <w:rFonts w:cs="宋体"/>
          <w:color w:val="auto"/>
          <w:sz w:val="24"/>
        </w:rPr>
        <w:t>26.3.</w:t>
      </w:r>
      <w:r>
        <w:rPr>
          <w:rFonts w:hint="eastAsia" w:cs="宋体"/>
          <w:color w:val="auto"/>
          <w:sz w:val="24"/>
        </w:rPr>
        <w:t>响应谈判</w:t>
      </w:r>
      <w:r>
        <w:rPr>
          <w:rFonts w:cs="宋体"/>
          <w:color w:val="auto"/>
          <w:sz w:val="24"/>
        </w:rPr>
        <w:t>供应商</w:t>
      </w:r>
      <w:r>
        <w:rPr>
          <w:rFonts w:hint="eastAsia" w:cs="宋体"/>
          <w:color w:val="auto"/>
          <w:sz w:val="24"/>
        </w:rPr>
        <w:t>因自身</w:t>
      </w:r>
      <w:r>
        <w:rPr>
          <w:rFonts w:cs="宋体"/>
          <w:color w:val="auto"/>
          <w:sz w:val="24"/>
        </w:rPr>
        <w:t>原因</w:t>
      </w:r>
      <w:r>
        <w:rPr>
          <w:rFonts w:hint="eastAsia" w:cs="宋体"/>
          <w:color w:val="auto"/>
          <w:sz w:val="24"/>
        </w:rPr>
        <w:t>未按时解密的一切后果由响应谈判</w:t>
      </w:r>
      <w:r>
        <w:rPr>
          <w:rFonts w:cs="宋体"/>
          <w:color w:val="auto"/>
          <w:sz w:val="24"/>
        </w:rPr>
        <w:t>供应商自行</w:t>
      </w:r>
      <w:r>
        <w:rPr>
          <w:rFonts w:hint="eastAsia" w:cs="宋体"/>
          <w:color w:val="auto"/>
          <w:sz w:val="24"/>
        </w:rPr>
        <w:t>承担。如遇“政采云”平台电子化开标或评审程序调整的，按调整后执行</w:t>
      </w:r>
      <w:r>
        <w:rPr>
          <w:rFonts w:hint="eastAsia" w:ascii="宋体" w:hAnsi="宋体"/>
          <w:color w:val="auto"/>
          <w:sz w:val="24"/>
        </w:rPr>
        <w:t>。</w:t>
      </w:r>
    </w:p>
    <w:p w14:paraId="6DF96893">
      <w:pPr>
        <w:autoSpaceDE w:val="0"/>
        <w:autoSpaceDN w:val="0"/>
        <w:adjustRightInd w:val="0"/>
        <w:spacing w:before="60" w:after="60" w:line="360" w:lineRule="auto"/>
        <w:rPr>
          <w:rFonts w:cs="宋体"/>
          <w:color w:val="auto"/>
          <w:sz w:val="24"/>
        </w:rPr>
      </w:pPr>
      <w:r>
        <w:rPr>
          <w:rFonts w:cs="宋体"/>
          <w:color w:val="auto"/>
          <w:sz w:val="24"/>
        </w:rPr>
        <w:t>26.4</w:t>
      </w:r>
      <w:r>
        <w:rPr>
          <w:rFonts w:hint="eastAsia" w:cs="宋体"/>
          <w:color w:val="auto"/>
          <w:sz w:val="24"/>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F81BD" w:themeColor="accent1"/>
          <w:sz w:val="24"/>
          <w14:textFill>
            <w14:solidFill>
              <w14:schemeClr w14:val="accent1"/>
            </w14:solidFill>
          </w14:textFill>
        </w:rPr>
      </w:pPr>
      <w:r>
        <w:rPr>
          <w:rFonts w:hint="eastAsia" w:cs="宋体"/>
          <w:color w:val="auto"/>
          <w:sz w:val="24"/>
        </w:rPr>
        <w:t>26.5谈判</w:t>
      </w:r>
      <w:r>
        <w:rPr>
          <w:rFonts w:cs="宋体"/>
          <w:color w:val="auto"/>
          <w:sz w:val="24"/>
        </w:rPr>
        <w:t>小组将在</w:t>
      </w:r>
      <w:r>
        <w:rPr>
          <w:rFonts w:hint="eastAsia" w:cs="宋体"/>
          <w:color w:val="auto"/>
          <w:sz w:val="24"/>
        </w:rPr>
        <w:t>符合性评审后，</w:t>
      </w:r>
      <w:r>
        <w:rPr>
          <w:rFonts w:cs="宋体"/>
          <w:color w:val="auto"/>
          <w:sz w:val="24"/>
        </w:rPr>
        <w:t>通过“</w:t>
      </w:r>
      <w:r>
        <w:rPr>
          <w:rFonts w:hint="eastAsia" w:cs="宋体"/>
          <w:color w:val="auto"/>
          <w:sz w:val="24"/>
        </w:rPr>
        <w:t>政采云</w:t>
      </w:r>
      <w:r>
        <w:rPr>
          <w:rFonts w:cs="宋体"/>
          <w:color w:val="auto"/>
          <w:sz w:val="24"/>
        </w:rPr>
        <w:t>”对</w:t>
      </w:r>
      <w:r>
        <w:rPr>
          <w:rFonts w:hint="eastAsia" w:cs="宋体"/>
          <w:color w:val="auto"/>
          <w:sz w:val="24"/>
        </w:rPr>
        <w:t>合格</w:t>
      </w:r>
      <w:r>
        <w:rPr>
          <w:rFonts w:cs="宋体"/>
          <w:color w:val="auto"/>
          <w:sz w:val="24"/>
        </w:rPr>
        <w:t>的响应谈判供应商发起谈判邀请，响应谈判供应商</w:t>
      </w:r>
      <w:r>
        <w:rPr>
          <w:rFonts w:hint="eastAsia" w:cs="宋体"/>
          <w:color w:val="auto"/>
          <w:sz w:val="24"/>
        </w:rPr>
        <w:t>通过</w:t>
      </w:r>
      <w:r>
        <w:rPr>
          <w:rFonts w:cs="宋体"/>
          <w:color w:val="auto"/>
          <w:sz w:val="24"/>
        </w:rPr>
        <w:t>“</w:t>
      </w:r>
      <w:r>
        <w:rPr>
          <w:rFonts w:hint="eastAsia" w:cs="宋体"/>
          <w:color w:val="auto"/>
          <w:sz w:val="24"/>
        </w:rPr>
        <w:t>政采</w:t>
      </w:r>
      <w:r>
        <w:rPr>
          <w:rFonts w:cs="宋体"/>
          <w:color w:val="auto"/>
          <w:sz w:val="24"/>
        </w:rPr>
        <w:t>云”</w:t>
      </w:r>
      <w:r>
        <w:rPr>
          <w:rFonts w:hint="eastAsia" w:cs="宋体"/>
          <w:color w:val="auto"/>
          <w:sz w:val="24"/>
        </w:rPr>
        <w:t>在</w:t>
      </w:r>
      <w:r>
        <w:rPr>
          <w:rFonts w:cs="宋体"/>
          <w:color w:val="auto"/>
          <w:sz w:val="24"/>
        </w:rPr>
        <w:t>线与谈判小组进行谈判。</w:t>
      </w:r>
      <w:r>
        <w:rPr>
          <w:rFonts w:hint="eastAsia" w:ascii="宋体" w:hAnsi="宋体"/>
          <w:color w:val="auto"/>
          <w:sz w:val="24"/>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rPr>
      </w:pPr>
      <w:r>
        <w:rPr>
          <w:rFonts w:ascii="宋体" w:hAnsi="宋体"/>
          <w:color w:val="auto"/>
          <w:sz w:val="24"/>
        </w:rPr>
        <w:t>26.6</w:t>
      </w:r>
      <w:r>
        <w:rPr>
          <w:rFonts w:hint="eastAsia" w:ascii="宋体" w:hAnsi="宋体"/>
          <w:color w:val="auto"/>
          <w:sz w:val="24"/>
        </w:rPr>
        <w:t>在线</w:t>
      </w:r>
      <w:r>
        <w:rPr>
          <w:rFonts w:hint="eastAsia" w:ascii="宋体" w:hAnsi="宋体"/>
          <w:color w:val="auto"/>
          <w:sz w:val="24"/>
          <w:lang w:val="en-US" w:eastAsia="zh-CN"/>
        </w:rPr>
        <w:t>响应</w:t>
      </w:r>
      <w:r>
        <w:rPr>
          <w:rFonts w:hint="eastAsia" w:ascii="宋体" w:hAnsi="宋体"/>
          <w:color w:val="auto"/>
          <w:sz w:val="24"/>
        </w:rPr>
        <w:t>时间和提交最终报价的时间见本须知前附表。</w:t>
      </w:r>
    </w:p>
    <w:p w14:paraId="7A8AB49A">
      <w:pPr>
        <w:autoSpaceDE w:val="0"/>
        <w:autoSpaceDN w:val="0"/>
        <w:adjustRightInd w:val="0"/>
        <w:spacing w:before="60" w:after="60" w:line="360" w:lineRule="auto"/>
        <w:rPr>
          <w:rFonts w:cs="宋体"/>
          <w:color w:val="auto"/>
          <w:sz w:val="24"/>
        </w:rPr>
      </w:pPr>
    </w:p>
    <w:p w14:paraId="4CA7DD0D">
      <w:pPr>
        <w:spacing w:line="360" w:lineRule="auto"/>
        <w:jc w:val="center"/>
        <w:outlineLvl w:val="1"/>
        <w:rPr>
          <w:b/>
          <w:color w:val="auto"/>
          <w:sz w:val="32"/>
          <w:szCs w:val="32"/>
        </w:rPr>
      </w:pPr>
      <w:bookmarkStart w:id="21" w:name="_Toc103723523"/>
      <w:bookmarkStart w:id="22" w:name="_Toc18570"/>
      <w:r>
        <w:rPr>
          <w:rFonts w:hint="eastAsia" w:ascii="宋体" w:hAnsi="宋体"/>
          <w:b/>
          <w:color w:val="auto"/>
          <w:sz w:val="32"/>
          <w:szCs w:val="32"/>
        </w:rPr>
        <w:t>七、评</w:t>
      </w:r>
      <w:bookmarkEnd w:id="21"/>
      <w:r>
        <w:rPr>
          <w:rFonts w:hint="eastAsia" w:ascii="宋体" w:hAnsi="宋体"/>
          <w:b/>
          <w:color w:val="auto"/>
          <w:sz w:val="32"/>
          <w:szCs w:val="32"/>
        </w:rPr>
        <w:t>审</w:t>
      </w:r>
      <w:bookmarkEnd w:id="22"/>
    </w:p>
    <w:p w14:paraId="5F889003">
      <w:pPr>
        <w:spacing w:line="360" w:lineRule="auto"/>
        <w:rPr>
          <w:rFonts w:ascii="宋体" w:hAnsi="宋体"/>
          <w:b/>
          <w:bCs/>
          <w:color w:val="auto"/>
          <w:sz w:val="24"/>
        </w:rPr>
      </w:pPr>
      <w:r>
        <w:rPr>
          <w:rFonts w:ascii="宋体" w:hAnsi="宋体"/>
          <w:b/>
          <w:bCs/>
          <w:color w:val="auto"/>
          <w:sz w:val="24"/>
        </w:rPr>
        <w:t>27.</w:t>
      </w:r>
      <w:r>
        <w:rPr>
          <w:rFonts w:hint="eastAsia" w:ascii="宋体" w:hAnsi="宋体"/>
          <w:b/>
          <w:color w:val="auto"/>
          <w:sz w:val="24"/>
        </w:rPr>
        <w:t>谈判</w:t>
      </w:r>
      <w:r>
        <w:rPr>
          <w:rFonts w:ascii="宋体" w:hAnsi="宋体"/>
          <w:b/>
          <w:color w:val="auto"/>
          <w:sz w:val="24"/>
        </w:rPr>
        <w:t>小组</w:t>
      </w:r>
    </w:p>
    <w:p w14:paraId="030E3BBE">
      <w:pPr>
        <w:pStyle w:val="1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1</w:t>
      </w:r>
      <w:r>
        <w:rPr>
          <w:rFonts w:hint="eastAsia" w:hAnsi="宋体"/>
          <w:color w:val="auto"/>
          <w:sz w:val="24"/>
          <w:szCs w:val="24"/>
          <w:lang w:eastAsia="zh-CN"/>
        </w:rPr>
        <w:t>采购代理机构</w:t>
      </w:r>
      <w:r>
        <w:rPr>
          <w:rFonts w:hAnsi="宋体"/>
          <w:color w:val="auto"/>
          <w:sz w:val="24"/>
          <w:szCs w:val="24"/>
        </w:rPr>
        <w:t>将依法组建谈判小组。谈判小组成员由具有</w:t>
      </w:r>
      <w:r>
        <w:rPr>
          <w:rFonts w:hint="eastAsia" w:hAnsi="宋体"/>
          <w:color w:val="auto"/>
          <w:sz w:val="24"/>
          <w:szCs w:val="24"/>
          <w:lang w:val="en-US" w:eastAsia="zh-CN"/>
        </w:rPr>
        <w:t>相关</w:t>
      </w:r>
      <w:r>
        <w:rPr>
          <w:rFonts w:hAnsi="宋体"/>
          <w:color w:val="auto"/>
          <w:sz w:val="24"/>
          <w:szCs w:val="24"/>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17"/>
        <w:spacing w:line="360" w:lineRule="auto"/>
        <w:rPr>
          <w:rFonts w:hint="default" w:hAnsi="宋体"/>
          <w:color w:val="auto"/>
          <w:sz w:val="24"/>
          <w:szCs w:val="24"/>
        </w:rPr>
      </w:pPr>
      <w:r>
        <w:rPr>
          <w:rFonts w:hint="default" w:hAnsi="宋体"/>
          <w:color w:val="auto"/>
          <w:sz w:val="24"/>
          <w:szCs w:val="24"/>
        </w:rPr>
        <w:t>27.2</w:t>
      </w:r>
      <w:r>
        <w:rPr>
          <w:rFonts w:hAnsi="宋体"/>
          <w:color w:val="auto"/>
          <w:sz w:val="24"/>
          <w:szCs w:val="24"/>
        </w:rPr>
        <w:t>本项目谈判小组成员人数及确定方式见本须知前附表。</w:t>
      </w:r>
    </w:p>
    <w:p w14:paraId="2A7FB8E5">
      <w:pPr>
        <w:pStyle w:val="17"/>
        <w:spacing w:line="360" w:lineRule="auto"/>
        <w:rPr>
          <w:rFonts w:hint="default" w:hAnsi="宋体"/>
          <w:color w:val="auto"/>
          <w:sz w:val="24"/>
          <w:szCs w:val="24"/>
        </w:rPr>
      </w:pPr>
      <w:r>
        <w:rPr>
          <w:rFonts w:hint="default" w:hAnsi="宋体"/>
          <w:color w:val="auto"/>
          <w:sz w:val="24"/>
          <w:szCs w:val="24"/>
        </w:rPr>
        <w:t>27.3</w:t>
      </w:r>
      <w:r>
        <w:rPr>
          <w:rFonts w:hAnsi="宋体"/>
          <w:color w:val="auto"/>
          <w:sz w:val="24"/>
          <w:szCs w:val="24"/>
        </w:rPr>
        <w:t>谈判小组成员有下列情形之一的，应当回避：</w:t>
      </w:r>
    </w:p>
    <w:p w14:paraId="5383B706">
      <w:pPr>
        <w:pStyle w:val="1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.3.1采购人或响应谈判供应商的主要负责人的近亲属；</w:t>
      </w:r>
    </w:p>
    <w:p w14:paraId="3B2FF10A">
      <w:pPr>
        <w:pStyle w:val="1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.3.2项目主管部门或者行政监督部门的人员；</w:t>
      </w:r>
    </w:p>
    <w:p w14:paraId="361AF5B5">
      <w:pPr>
        <w:pStyle w:val="1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.3.3与响应谈判供应商有经济利益关系，可能影响对谈判公正评审的；</w:t>
      </w:r>
    </w:p>
    <w:p w14:paraId="4EDD5B52">
      <w:pPr>
        <w:pStyle w:val="1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.3.4曾因在招标、评审以及其他与招标投标有关活动中从事违法行为而受过行政处罚或刑事处罚的。</w:t>
      </w:r>
    </w:p>
    <w:p w14:paraId="32AE2FDD">
      <w:pPr>
        <w:pStyle w:val="17"/>
        <w:spacing w:line="360" w:lineRule="auto"/>
        <w:rPr>
          <w:rFonts w:hint="default" w:hAnsi="宋体"/>
          <w:b/>
          <w:color w:val="auto"/>
          <w:sz w:val="24"/>
          <w:szCs w:val="24"/>
        </w:rPr>
      </w:pPr>
      <w:r>
        <w:rPr>
          <w:rFonts w:hint="default" w:hAnsi="宋体"/>
          <w:b/>
          <w:color w:val="auto"/>
          <w:sz w:val="24"/>
          <w:szCs w:val="24"/>
        </w:rPr>
        <w:t>28</w:t>
      </w:r>
      <w:r>
        <w:rPr>
          <w:rFonts w:hAnsi="宋体"/>
          <w:b/>
          <w:color w:val="auto"/>
          <w:sz w:val="24"/>
          <w:szCs w:val="24"/>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28.1</w:t>
      </w:r>
      <w:r>
        <w:rPr>
          <w:rFonts w:hint="eastAsia" w:cs="宋体" w:asciiTheme="minorEastAsia" w:hAnsiTheme="minorEastAsia" w:eastAsiaTheme="minorEastAsia"/>
          <w:color w:val="auto"/>
          <w:sz w:val="24"/>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17"/>
        <w:spacing w:line="360" w:lineRule="auto"/>
        <w:rPr>
          <w:rFonts w:hint="default" w:hAnsi="宋体"/>
          <w:b/>
          <w:color w:val="auto"/>
          <w:sz w:val="24"/>
          <w:szCs w:val="24"/>
        </w:rPr>
      </w:pPr>
      <w:r>
        <w:rPr>
          <w:rFonts w:hint="default" w:hAnsi="宋体"/>
          <w:b/>
          <w:color w:val="auto"/>
          <w:sz w:val="24"/>
          <w:szCs w:val="24"/>
        </w:rPr>
        <w:t>29.</w:t>
      </w:r>
      <w:r>
        <w:rPr>
          <w:rFonts w:hAnsi="宋体"/>
          <w:b/>
          <w:color w:val="auto"/>
          <w:sz w:val="24"/>
          <w:szCs w:val="24"/>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29.1</w:t>
      </w:r>
      <w:r>
        <w:rPr>
          <w:rFonts w:hint="eastAsia" w:cs="宋体" w:asciiTheme="minorEastAsia" w:hAnsiTheme="minorEastAsia" w:eastAsiaTheme="minorEastAsia"/>
          <w:color w:val="auto"/>
          <w:sz w:val="24"/>
        </w:rPr>
        <w:t>在评审过程中出现法律法规和谈判文件均没有明确规定的情形时，由谈判</w:t>
      </w:r>
      <w:r>
        <w:rPr>
          <w:rFonts w:cs="宋体" w:asciiTheme="minorEastAsia" w:hAnsiTheme="minorEastAsia" w:eastAsiaTheme="minorEastAsia"/>
          <w:color w:val="auto"/>
          <w:sz w:val="24"/>
        </w:rPr>
        <w:t>小组</w:t>
      </w:r>
      <w:r>
        <w:rPr>
          <w:rFonts w:hint="eastAsia" w:cs="宋体" w:asciiTheme="minorEastAsia" w:hAnsiTheme="minorEastAsia" w:eastAsiaTheme="minorEastAsia"/>
          <w:color w:val="auto"/>
          <w:sz w:val="24"/>
        </w:rPr>
        <w:t>现场协商解决，协商不一致的，由全体评委投票表决，以得票率二分之一以上专家的意见为准并由采购代理机构作记录。</w:t>
      </w:r>
      <w:bookmarkStart w:id="23" w:name="_28.3评标方法。本项目将按须知前附表规定的评标办法进行评标，具体评标"/>
      <w:bookmarkEnd w:id="23"/>
    </w:p>
    <w:p w14:paraId="4152E1AE">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29.2</w:t>
      </w:r>
      <w:r>
        <w:rPr>
          <w:rFonts w:hint="eastAsia" w:cs="宋体" w:asciiTheme="minorEastAsia" w:hAnsiTheme="minorEastAsia" w:eastAsiaTheme="minorEastAsia"/>
          <w:color w:val="auto"/>
          <w:sz w:val="24"/>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29.3</w:t>
      </w:r>
      <w:r>
        <w:rPr>
          <w:rFonts w:hint="eastAsia" w:cs="宋体" w:asciiTheme="minorEastAsia" w:hAnsiTheme="minorEastAsia" w:eastAsiaTheme="minorEastAsia"/>
          <w:color w:val="auto"/>
          <w:sz w:val="24"/>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29.4</w:t>
      </w:r>
      <w:r>
        <w:rPr>
          <w:rFonts w:hint="eastAsia" w:cs="宋体" w:asciiTheme="minorEastAsia" w:hAnsiTheme="minorEastAsia" w:eastAsiaTheme="minorEastAsia"/>
          <w:color w:val="auto"/>
          <w:sz w:val="24"/>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29.5</w:t>
      </w:r>
      <w:r>
        <w:rPr>
          <w:rFonts w:hint="eastAsia" w:cs="宋体" w:asciiTheme="minorEastAsia" w:hAnsiTheme="minorEastAsia" w:eastAsiaTheme="minorEastAsia"/>
          <w:color w:val="auto"/>
          <w:sz w:val="24"/>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fitText w:val="9120" w:id="1896486384"/>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fitText w:val="9120" w:id="1896486384"/>
        </w:rPr>
        <w:t>认</w:t>
      </w:r>
      <w:r>
        <w:rPr>
          <w:rFonts w:hint="eastAsia" w:cs="宋体" w:asciiTheme="minorEastAsia" w:hAnsiTheme="minorEastAsia" w:eastAsiaTheme="minorEastAsia"/>
          <w:color w:val="auto"/>
          <w:sz w:val="24"/>
        </w:rPr>
        <w:t>后，应当重新采购。采购代理机构必须对原有的资料及信息作出妥善保密处理，并报财政部门备案。</w:t>
      </w:r>
    </w:p>
    <w:p w14:paraId="6EE6B2CB">
      <w:pPr>
        <w:pStyle w:val="17"/>
        <w:spacing w:line="360" w:lineRule="auto"/>
        <w:ind w:left="482" w:hanging="482"/>
        <w:rPr>
          <w:rFonts w:hint="default" w:hAnsi="宋体"/>
          <w:b/>
          <w:color w:val="auto"/>
          <w:sz w:val="24"/>
          <w:szCs w:val="24"/>
        </w:rPr>
      </w:pPr>
      <w:r>
        <w:rPr>
          <w:rFonts w:hAnsi="宋体"/>
          <w:b/>
          <w:color w:val="auto"/>
          <w:sz w:val="24"/>
          <w:szCs w:val="24"/>
        </w:rPr>
        <w:t>3</w:t>
      </w:r>
      <w:r>
        <w:rPr>
          <w:rFonts w:hint="default" w:hAnsi="宋体"/>
          <w:b/>
          <w:color w:val="auto"/>
          <w:sz w:val="24"/>
          <w:szCs w:val="24"/>
        </w:rPr>
        <w:t>0</w:t>
      </w:r>
      <w:r>
        <w:rPr>
          <w:rFonts w:hAnsi="宋体"/>
          <w:b/>
          <w:color w:val="auto"/>
          <w:sz w:val="24"/>
          <w:szCs w:val="24"/>
        </w:rPr>
        <w:t>.同一品牌产品的认定</w:t>
      </w:r>
    </w:p>
    <w:p w14:paraId="3806C265">
      <w:pPr>
        <w:pStyle w:val="17"/>
        <w:spacing w:line="360" w:lineRule="auto"/>
        <w:ind w:left="482" w:hanging="482"/>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default" w:ascii="宋体" w:hAnsi="宋体" w:eastAsia="宋体" w:cs="Times New Roman"/>
          <w:b/>
          <w:color w:val="auto"/>
          <w:sz w:val="24"/>
          <w:szCs w:val="24"/>
        </w:rPr>
        <w:t>0</w:t>
      </w:r>
      <w:r>
        <w:rPr>
          <w:rFonts w:ascii="宋体" w:hAnsi="宋体" w:eastAsia="宋体" w:cs="Times New Roman"/>
          <w:b/>
          <w:color w:val="auto"/>
          <w:sz w:val="24"/>
          <w:szCs w:val="24"/>
        </w:rPr>
        <w:t>.1如果有多家供应商响应同一品牌产品的，应该作为一个供应商计算。当供</w:t>
      </w:r>
    </w:p>
    <w:p w14:paraId="67F75182">
      <w:pPr>
        <w:pStyle w:val="17"/>
        <w:spacing w:line="360" w:lineRule="auto"/>
        <w:ind w:left="482" w:hanging="482"/>
        <w:rPr>
          <w:rFonts w:hint="default" w:ascii="宋体" w:hAnsi="宋体" w:eastAsia="宋体" w:cs="Times New Roman"/>
          <w:b/>
          <w:color w:val="auto"/>
          <w:sz w:val="24"/>
          <w:szCs w:val="24"/>
        </w:rPr>
      </w:pPr>
      <w:r>
        <w:rPr>
          <w:rFonts w:ascii="宋体" w:hAnsi="宋体" w:eastAsia="宋体" w:cs="Times New Roman"/>
          <w:b/>
          <w:color w:val="auto"/>
          <w:sz w:val="24"/>
          <w:szCs w:val="24"/>
        </w:rPr>
        <w:t>应商不足3家的，采购项目废标。</w:t>
      </w:r>
    </w:p>
    <w:p w14:paraId="45D46FDD">
      <w:pPr>
        <w:spacing w:line="340" w:lineRule="exact"/>
        <w:rPr>
          <w:rFonts w:hint="eastAsia" w:ascii="宋体" w:hAnsi="宋体" w:eastAsia="宋体" w:cs="宋体"/>
          <w:sz w:val="24"/>
          <w:szCs w:val="24"/>
          <w:highlight w:val="none"/>
        </w:rPr>
      </w:pPr>
      <w:r>
        <w:rPr>
          <w:rFonts w:hAnsi="宋体"/>
          <w:color w:val="auto"/>
          <w:sz w:val="24"/>
          <w:szCs w:val="24"/>
        </w:rPr>
        <w:t>3</w:t>
      </w:r>
      <w:r>
        <w:rPr>
          <w:rFonts w:hint="default" w:hAnsi="宋体"/>
          <w:color w:val="auto"/>
          <w:sz w:val="24"/>
          <w:szCs w:val="24"/>
        </w:rPr>
        <w:t>0</w:t>
      </w:r>
      <w:r>
        <w:rPr>
          <w:rFonts w:hAnsi="宋体"/>
          <w:color w:val="auto"/>
          <w:sz w:val="24"/>
          <w:szCs w:val="24"/>
        </w:rPr>
        <w:t>.2</w:t>
      </w:r>
      <w:r>
        <w:rPr>
          <w:rFonts w:hint="eastAsia" w:ascii="宋体" w:hAnsi="宋体" w:eastAsia="宋体" w:cs="宋体"/>
          <w:sz w:val="24"/>
          <w:szCs w:val="24"/>
          <w:highlight w:val="none"/>
        </w:rPr>
        <w:t>采用最低评标价法的采购项目，提供相同品牌产品的不同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参加同一合同项下投标的，以其中通过资格审查、符合性审查且报价最低的参加投标； </w:t>
      </w:r>
    </w:p>
    <w:p w14:paraId="5B7F40B0">
      <w:pPr>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使用综合评分法的采购项目，提供相同品牌产品且通过资格审查、符合性审查的不同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参加同一合同项下投标的，按一家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计算，评审后得分最高的同品牌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获得成交人推荐资格。 </w:t>
      </w:r>
    </w:p>
    <w:p w14:paraId="03C30000">
      <w:pPr>
        <w:spacing w:line="3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非单一产品采购项目，采购人应合理确定核心产品并在</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中载明。多家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提供的核心产品品牌相同的，按前两款规定处理。</w:t>
      </w:r>
    </w:p>
    <w:p w14:paraId="7F5D9624">
      <w:pPr>
        <w:autoSpaceDE w:val="0"/>
        <w:autoSpaceDN w:val="0"/>
        <w:adjustRightInd w:val="0"/>
        <w:spacing w:line="360" w:lineRule="auto"/>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31.</w:t>
      </w:r>
      <w:r>
        <w:rPr>
          <w:rFonts w:hint="eastAsia" w:ascii="宋体" w:hAnsi="宋体"/>
          <w:b/>
          <w:bCs/>
          <w:color w:val="auto"/>
          <w:sz w:val="24"/>
        </w:rPr>
        <w:t>谈判响应文件的澄清</w:t>
      </w:r>
    </w:p>
    <w:p w14:paraId="6012BB8C">
      <w:pPr>
        <w:spacing w:line="360" w:lineRule="auto"/>
        <w:ind w:firstLine="480" w:firstLineChars="200"/>
        <w:rPr>
          <w:rFonts w:ascii="宋体" w:hAnsi="宋体"/>
          <w:color w:val="auto"/>
          <w:sz w:val="24"/>
        </w:rPr>
      </w:pPr>
      <w:r>
        <w:rPr>
          <w:rFonts w:hint="eastAsia" w:ascii="宋体" w:hAnsi="宋体"/>
          <w:color w:val="auto"/>
          <w:sz w:val="24"/>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rPr>
      </w:pPr>
      <w:r>
        <w:rPr>
          <w:rFonts w:ascii="宋体" w:hAnsi="宋体"/>
          <w:b/>
          <w:bCs/>
          <w:color w:val="auto"/>
          <w:sz w:val="24"/>
        </w:rPr>
        <w:t>32.</w:t>
      </w:r>
      <w:r>
        <w:rPr>
          <w:rFonts w:hint="eastAsia" w:ascii="宋体" w:hAnsi="宋体"/>
          <w:b/>
          <w:bCs/>
          <w:color w:val="auto"/>
          <w:sz w:val="24"/>
        </w:rPr>
        <w:t>错误的修正</w:t>
      </w:r>
    </w:p>
    <w:p w14:paraId="1EC3B673">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2</w:t>
      </w:r>
      <w:r>
        <w:rPr>
          <w:rFonts w:hint="eastAsia" w:ascii="宋体" w:hAnsi="宋体"/>
          <w:color w:val="auto"/>
          <w:sz w:val="24"/>
        </w:rPr>
        <w:t>谈判</w:t>
      </w:r>
      <w:r>
        <w:rPr>
          <w:rFonts w:ascii="宋体" w:hAnsi="宋体"/>
          <w:color w:val="auto"/>
          <w:sz w:val="24"/>
        </w:rPr>
        <w:t>小组</w:t>
      </w:r>
      <w:r>
        <w:rPr>
          <w:rFonts w:hint="eastAsia" w:ascii="宋体" w:hAnsi="宋体"/>
          <w:color w:val="auto"/>
          <w:sz w:val="24"/>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rPr>
      </w:pPr>
      <w:r>
        <w:rPr>
          <w:rFonts w:ascii="宋体" w:hAnsi="宋体"/>
          <w:b/>
          <w:color w:val="auto"/>
          <w:sz w:val="24"/>
        </w:rPr>
        <w:t>33.中小微企业的</w:t>
      </w:r>
      <w:r>
        <w:rPr>
          <w:rFonts w:hint="eastAsia" w:ascii="宋体" w:hAnsi="宋体"/>
          <w:b/>
          <w:color w:val="auto"/>
          <w:sz w:val="24"/>
        </w:rPr>
        <w:t>划型</w:t>
      </w:r>
    </w:p>
    <w:p w14:paraId="04A06F66">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.1中</w:t>
      </w:r>
      <w:r>
        <w:rPr>
          <w:rFonts w:ascii="宋体" w:hAnsi="宋体"/>
          <w:color w:val="auto"/>
          <w:sz w:val="24"/>
        </w:rPr>
        <w:t>小微企业投标是</w:t>
      </w:r>
      <w:r>
        <w:rPr>
          <w:rFonts w:hint="eastAsia" w:ascii="宋体" w:hAnsi="宋体"/>
          <w:color w:val="auto"/>
          <w:sz w:val="24"/>
        </w:rPr>
        <w:t>符</w:t>
      </w:r>
      <w:r>
        <w:rPr>
          <w:rFonts w:ascii="宋体" w:hAnsi="宋体"/>
          <w:color w:val="auto"/>
          <w:sz w:val="24"/>
        </w:rPr>
        <w:t>合《</w:t>
      </w:r>
      <w:r>
        <w:rPr>
          <w:rFonts w:hint="eastAsia" w:ascii="宋体" w:hAnsi="宋体"/>
          <w:color w:val="auto"/>
          <w:sz w:val="24"/>
        </w:rPr>
        <w:t>中</w:t>
      </w:r>
      <w:r>
        <w:rPr>
          <w:rFonts w:ascii="宋体" w:hAnsi="宋体"/>
          <w:color w:val="auto"/>
          <w:sz w:val="24"/>
        </w:rPr>
        <w:t>小企业划型标</w:t>
      </w:r>
      <w:r>
        <w:rPr>
          <w:rFonts w:hint="eastAsia" w:ascii="宋体" w:hAnsi="宋体"/>
          <w:color w:val="auto"/>
          <w:sz w:val="24"/>
        </w:rPr>
        <w:t>准</w:t>
      </w:r>
      <w:r>
        <w:rPr>
          <w:rFonts w:ascii="宋体" w:hAnsi="宋体"/>
          <w:color w:val="auto"/>
          <w:sz w:val="24"/>
        </w:rPr>
        <w:t>规定》</w:t>
      </w:r>
      <w:r>
        <w:rPr>
          <w:rFonts w:hint="eastAsia" w:ascii="宋体" w:hAnsi="宋体"/>
          <w:color w:val="auto"/>
          <w:sz w:val="24"/>
        </w:rPr>
        <w:t>的</w:t>
      </w:r>
      <w:r>
        <w:rPr>
          <w:rFonts w:ascii="宋体" w:hAnsi="宋体"/>
          <w:color w:val="auto"/>
          <w:sz w:val="24"/>
        </w:rPr>
        <w:t>响应谈判供应商，通过投标提供本企业制造的货物、</w:t>
      </w:r>
      <w:r>
        <w:rPr>
          <w:rFonts w:hint="eastAsia" w:ascii="宋体" w:hAnsi="宋体"/>
          <w:color w:val="auto"/>
          <w:sz w:val="24"/>
        </w:rPr>
        <w:t>承担</w:t>
      </w:r>
      <w:r>
        <w:rPr>
          <w:rFonts w:ascii="宋体" w:hAnsi="宋体"/>
          <w:color w:val="auto"/>
          <w:sz w:val="24"/>
        </w:rPr>
        <w:t>的工程或者服务，或者提供其他中小微企业制造的货物。本</w:t>
      </w:r>
      <w:r>
        <w:rPr>
          <w:rFonts w:hint="eastAsia" w:ascii="宋体" w:hAnsi="宋体"/>
          <w:color w:val="auto"/>
          <w:sz w:val="24"/>
        </w:rPr>
        <w:t>项</w:t>
      </w:r>
      <w:r>
        <w:rPr>
          <w:rFonts w:ascii="宋体" w:hAnsi="宋体"/>
          <w:color w:val="auto"/>
          <w:sz w:val="24"/>
        </w:rPr>
        <w:t>所指货物不包括使用大型企业注册商标的货物。中</w:t>
      </w:r>
      <w:r>
        <w:rPr>
          <w:rFonts w:hint="eastAsia" w:ascii="宋体" w:hAnsi="宋体"/>
          <w:color w:val="auto"/>
          <w:sz w:val="24"/>
        </w:rPr>
        <w:t>小</w:t>
      </w:r>
      <w:r>
        <w:rPr>
          <w:rFonts w:ascii="宋体" w:hAnsi="宋体"/>
          <w:color w:val="auto"/>
          <w:sz w:val="24"/>
        </w:rPr>
        <w:t>微企业投标应提供</w:t>
      </w:r>
      <w:r>
        <w:rPr>
          <w:rFonts w:hint="eastAsia" w:ascii="宋体" w:hAnsi="宋体"/>
          <w:color w:val="auto"/>
          <w:sz w:val="24"/>
        </w:rPr>
        <w:t>《中</w:t>
      </w:r>
      <w:r>
        <w:rPr>
          <w:rFonts w:ascii="宋体" w:hAnsi="宋体"/>
          <w:color w:val="auto"/>
          <w:sz w:val="24"/>
        </w:rPr>
        <w:t>小</w:t>
      </w:r>
      <w:r>
        <w:rPr>
          <w:rFonts w:hint="eastAsia" w:ascii="宋体" w:hAnsi="宋体"/>
          <w:color w:val="auto"/>
          <w:sz w:val="24"/>
        </w:rPr>
        <w:t>微</w:t>
      </w:r>
      <w:r>
        <w:rPr>
          <w:rFonts w:ascii="宋体" w:hAnsi="宋体"/>
          <w:color w:val="auto"/>
          <w:sz w:val="24"/>
        </w:rPr>
        <w:t>企业声明函》</w:t>
      </w:r>
      <w:r>
        <w:rPr>
          <w:rFonts w:hint="eastAsia" w:ascii="宋体" w:hAnsi="宋体"/>
          <w:color w:val="auto"/>
          <w:sz w:val="24"/>
        </w:rPr>
        <w:t>；</w:t>
      </w:r>
      <w:r>
        <w:rPr>
          <w:rFonts w:ascii="宋体" w:hAnsi="宋体"/>
          <w:color w:val="auto"/>
          <w:sz w:val="24"/>
        </w:rPr>
        <w:t>中</w:t>
      </w:r>
      <w:r>
        <w:rPr>
          <w:rFonts w:hint="eastAsia" w:ascii="宋体" w:hAnsi="宋体"/>
          <w:color w:val="auto"/>
          <w:sz w:val="24"/>
        </w:rPr>
        <w:t>小</w:t>
      </w:r>
      <w:r>
        <w:rPr>
          <w:rFonts w:ascii="宋体" w:hAnsi="宋体"/>
          <w:color w:val="auto"/>
          <w:sz w:val="24"/>
        </w:rPr>
        <w:t>企业划分见《</w:t>
      </w:r>
      <w:r>
        <w:rPr>
          <w:rFonts w:hint="eastAsia" w:ascii="宋体" w:hAnsi="宋体"/>
          <w:color w:val="auto"/>
          <w:sz w:val="24"/>
        </w:rPr>
        <w:t>关于</w:t>
      </w:r>
      <w:r>
        <w:rPr>
          <w:rFonts w:ascii="宋体" w:hAnsi="宋体"/>
          <w:color w:val="auto"/>
          <w:sz w:val="24"/>
        </w:rPr>
        <w:t>印发</w:t>
      </w:r>
      <w:r>
        <w:rPr>
          <w:rFonts w:hint="eastAsia" w:ascii="宋体" w:hAnsi="宋体"/>
          <w:color w:val="auto"/>
          <w:sz w:val="24"/>
        </w:rPr>
        <w:t>中</w:t>
      </w:r>
      <w:r>
        <w:rPr>
          <w:rFonts w:ascii="宋体" w:hAnsi="宋体"/>
          <w:color w:val="auto"/>
          <w:sz w:val="24"/>
        </w:rPr>
        <w:t>小企业划型标准规定的通知》</w:t>
      </w:r>
      <w:r>
        <w:rPr>
          <w:rFonts w:hint="eastAsia" w:ascii="宋体" w:hAnsi="宋体"/>
          <w:color w:val="auto"/>
          <w:sz w:val="24"/>
        </w:rPr>
        <w:t>（工</w:t>
      </w:r>
      <w:r>
        <w:rPr>
          <w:rFonts w:ascii="宋体" w:hAnsi="宋体"/>
          <w:color w:val="auto"/>
          <w:sz w:val="24"/>
        </w:rPr>
        <w:t>信部联企业</w:t>
      </w:r>
      <w:r>
        <w:rPr>
          <w:rFonts w:hint="eastAsia" w:ascii="宋体" w:hAnsi="宋体"/>
          <w:color w:val="auto"/>
          <w:sz w:val="24"/>
        </w:rPr>
        <w:t>〔2011〕</w:t>
      </w:r>
      <w:r>
        <w:rPr>
          <w:rFonts w:ascii="宋体" w:hAnsi="宋体"/>
          <w:color w:val="auto"/>
          <w:sz w:val="24"/>
        </w:rPr>
        <w:t>300</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p>
    <w:p w14:paraId="6CDDC72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.2根据</w:t>
      </w:r>
      <w:r>
        <w:rPr>
          <w:rFonts w:ascii="宋体" w:hAnsi="宋体"/>
          <w:color w:val="auto"/>
          <w:sz w:val="24"/>
        </w:rPr>
        <w:t>《</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司法</w:t>
      </w:r>
      <w:r>
        <w:rPr>
          <w:rFonts w:ascii="宋体" w:hAnsi="宋体"/>
          <w:color w:val="auto"/>
          <w:sz w:val="24"/>
        </w:rPr>
        <w:t>部关于政府采购支持</w:t>
      </w:r>
      <w:r>
        <w:rPr>
          <w:rFonts w:hint="eastAsia" w:ascii="宋体" w:hAnsi="宋体"/>
          <w:color w:val="auto"/>
          <w:sz w:val="24"/>
        </w:rPr>
        <w:t>监狱</w:t>
      </w:r>
      <w:r>
        <w:rPr>
          <w:rFonts w:ascii="宋体" w:hAnsi="宋体"/>
          <w:color w:val="auto"/>
          <w:sz w:val="24"/>
        </w:rPr>
        <w:t>企业发展有关问题的</w:t>
      </w:r>
      <w:r>
        <w:rPr>
          <w:rFonts w:hint="eastAsia" w:ascii="宋体" w:hAnsi="宋体"/>
          <w:color w:val="auto"/>
          <w:sz w:val="24"/>
        </w:rPr>
        <w:t>通知</w:t>
      </w:r>
      <w:r>
        <w:rPr>
          <w:rFonts w:ascii="宋体" w:hAnsi="宋体"/>
          <w:color w:val="auto"/>
          <w:sz w:val="24"/>
        </w:rPr>
        <w:t>》</w:t>
      </w:r>
      <w:r>
        <w:rPr>
          <w:rFonts w:hint="eastAsia" w:ascii="宋体" w:hAnsi="宋体"/>
          <w:color w:val="auto"/>
          <w:sz w:val="24"/>
        </w:rPr>
        <w:t>（财</w:t>
      </w:r>
      <w:r>
        <w:rPr>
          <w:rFonts w:ascii="宋体" w:hAnsi="宋体"/>
          <w:color w:val="auto"/>
          <w:sz w:val="24"/>
        </w:rPr>
        <w:t>库</w:t>
      </w:r>
      <w:r>
        <w:rPr>
          <w:rFonts w:hint="eastAsia" w:ascii="宋体" w:hAnsi="宋体"/>
          <w:color w:val="auto"/>
          <w:sz w:val="24"/>
        </w:rPr>
        <w:t>〔2014〕68号</w:t>
      </w:r>
      <w:r>
        <w:rPr>
          <w:rFonts w:ascii="宋体" w:hAnsi="宋体"/>
          <w:color w:val="auto"/>
          <w:sz w:val="24"/>
        </w:rPr>
        <w:t>）</w:t>
      </w:r>
      <w:r>
        <w:rPr>
          <w:rFonts w:hint="eastAsia" w:ascii="宋体" w:hAnsi="宋体"/>
          <w:color w:val="auto"/>
          <w:sz w:val="24"/>
        </w:rPr>
        <w:t>，</w:t>
      </w:r>
      <w:r>
        <w:rPr>
          <w:rFonts w:ascii="宋体" w:hAnsi="宋体"/>
          <w:color w:val="auto"/>
          <w:sz w:val="24"/>
        </w:rPr>
        <w:t>监狱企业视同小微企业。监狱</w:t>
      </w:r>
      <w:r>
        <w:rPr>
          <w:rFonts w:hint="eastAsia" w:ascii="宋体" w:hAnsi="宋体"/>
          <w:color w:val="auto"/>
          <w:sz w:val="24"/>
        </w:rPr>
        <w:t>企业</w:t>
      </w:r>
      <w:r>
        <w:rPr>
          <w:rFonts w:ascii="宋体" w:hAnsi="宋体"/>
          <w:color w:val="auto"/>
          <w:sz w:val="24"/>
        </w:rPr>
        <w:t>是指</w:t>
      </w:r>
      <w:r>
        <w:rPr>
          <w:rFonts w:hint="eastAsia" w:ascii="宋体" w:hAnsi="宋体"/>
          <w:color w:val="auto"/>
          <w:sz w:val="24"/>
        </w:rPr>
        <w:t>由</w:t>
      </w:r>
      <w:r>
        <w:rPr>
          <w:rFonts w:ascii="宋体" w:hAnsi="宋体"/>
          <w:color w:val="auto"/>
          <w:sz w:val="24"/>
        </w:rPr>
        <w:t>司法部认定的为罪犯、戒毒人员提供生产项目和劳动对象，且全部产权属于司法部监狱管理局、戒毒管理局</w:t>
      </w:r>
      <w:r>
        <w:rPr>
          <w:rFonts w:hint="eastAsia" w:ascii="宋体" w:hAnsi="宋体"/>
          <w:color w:val="auto"/>
          <w:sz w:val="24"/>
        </w:rPr>
        <w:t>、</w:t>
      </w:r>
      <w:r>
        <w:rPr>
          <w:rFonts w:ascii="宋体" w:hAnsi="宋体"/>
          <w:color w:val="auto"/>
          <w:sz w:val="24"/>
        </w:rPr>
        <w:t>直属煤矿管理局，各省、自治区、直辖市</w:t>
      </w:r>
      <w:r>
        <w:rPr>
          <w:rFonts w:hint="eastAsia" w:ascii="宋体" w:hAnsi="宋体"/>
          <w:color w:val="auto"/>
          <w:sz w:val="24"/>
        </w:rPr>
        <w:t>监狱</w:t>
      </w:r>
      <w:r>
        <w:rPr>
          <w:rFonts w:ascii="宋体" w:hAnsi="宋体"/>
          <w:color w:val="auto"/>
          <w:sz w:val="24"/>
        </w:rPr>
        <w:t>管理局、戒毒管理局，各地（</w:t>
      </w:r>
      <w:r>
        <w:rPr>
          <w:rFonts w:hint="eastAsia" w:ascii="宋体" w:hAnsi="宋体"/>
          <w:color w:val="auto"/>
          <w:sz w:val="24"/>
        </w:rPr>
        <w:t>设</w:t>
      </w:r>
      <w:r>
        <w:rPr>
          <w:rFonts w:ascii="宋体" w:hAnsi="宋体"/>
          <w:color w:val="auto"/>
          <w:sz w:val="24"/>
        </w:rPr>
        <w:t>区的市）</w:t>
      </w:r>
      <w:r>
        <w:rPr>
          <w:rFonts w:hint="eastAsia" w:ascii="宋体" w:hAnsi="宋体"/>
          <w:color w:val="auto"/>
          <w:sz w:val="24"/>
        </w:rPr>
        <w:t>的</w:t>
      </w:r>
      <w:r>
        <w:rPr>
          <w:rFonts w:ascii="宋体" w:hAnsi="宋体"/>
          <w:color w:val="auto"/>
          <w:sz w:val="24"/>
        </w:rPr>
        <w:t>监狱、</w:t>
      </w:r>
      <w:r>
        <w:rPr>
          <w:rFonts w:hint="eastAsia" w:ascii="宋体" w:hAnsi="宋体"/>
          <w:color w:val="auto"/>
          <w:sz w:val="24"/>
        </w:rPr>
        <w:t>强制</w:t>
      </w:r>
      <w:r>
        <w:rPr>
          <w:rFonts w:ascii="宋体" w:hAnsi="宋体"/>
          <w:color w:val="auto"/>
          <w:sz w:val="24"/>
        </w:rPr>
        <w:t>隔离戒毒所、戒毒康复所，以及新疆生产建</w:t>
      </w:r>
      <w:r>
        <w:rPr>
          <w:rFonts w:hint="eastAsia" w:ascii="宋体" w:hAnsi="宋体"/>
          <w:color w:val="auto"/>
          <w:sz w:val="24"/>
        </w:rPr>
        <w:t>设</w:t>
      </w:r>
      <w:r>
        <w:rPr>
          <w:rFonts w:ascii="宋体" w:hAnsi="宋体"/>
          <w:color w:val="auto"/>
          <w:sz w:val="24"/>
        </w:rPr>
        <w:t>兵团监狱</w:t>
      </w:r>
      <w:r>
        <w:rPr>
          <w:rFonts w:hint="eastAsia" w:ascii="宋体" w:hAnsi="宋体"/>
          <w:color w:val="auto"/>
          <w:sz w:val="24"/>
        </w:rPr>
        <w:t>管理</w:t>
      </w:r>
      <w:r>
        <w:rPr>
          <w:rFonts w:ascii="宋体" w:hAnsi="宋体"/>
          <w:color w:val="auto"/>
          <w:sz w:val="24"/>
        </w:rPr>
        <w:t>局</w:t>
      </w:r>
      <w:r>
        <w:rPr>
          <w:rFonts w:hint="eastAsia" w:ascii="宋体" w:hAnsi="宋体"/>
          <w:color w:val="auto"/>
          <w:sz w:val="24"/>
        </w:rPr>
        <w:t>、戒毒管理</w:t>
      </w:r>
      <w:r>
        <w:rPr>
          <w:rFonts w:ascii="宋体" w:hAnsi="宋体"/>
          <w:color w:val="auto"/>
          <w:sz w:val="24"/>
        </w:rPr>
        <w:t>局的企业。监狱</w:t>
      </w:r>
      <w:r>
        <w:rPr>
          <w:rFonts w:hint="eastAsia" w:ascii="宋体" w:hAnsi="宋体"/>
          <w:color w:val="auto"/>
          <w:sz w:val="24"/>
        </w:rPr>
        <w:t>企业</w:t>
      </w:r>
      <w:r>
        <w:rPr>
          <w:rFonts w:ascii="宋体" w:hAnsi="宋体"/>
          <w:color w:val="auto"/>
          <w:sz w:val="24"/>
        </w:rPr>
        <w:t>投标时，提供由省级以上监狱管理局、戒毒管理局（</w:t>
      </w:r>
      <w:r>
        <w:rPr>
          <w:rFonts w:hint="eastAsia" w:ascii="宋体" w:hAnsi="宋体"/>
          <w:color w:val="auto"/>
          <w:sz w:val="24"/>
        </w:rPr>
        <w:t>含</w:t>
      </w:r>
      <w:r>
        <w:rPr>
          <w:rFonts w:ascii="宋体" w:hAnsi="宋体"/>
          <w:color w:val="auto"/>
          <w:sz w:val="24"/>
        </w:rPr>
        <w:t>新疆生产建设兵团）</w:t>
      </w:r>
      <w:r>
        <w:rPr>
          <w:rFonts w:hint="eastAsia" w:ascii="宋体" w:hAnsi="宋体"/>
          <w:color w:val="auto"/>
          <w:sz w:val="24"/>
        </w:rPr>
        <w:t>出</w:t>
      </w:r>
      <w:r>
        <w:rPr>
          <w:rFonts w:ascii="宋体" w:hAnsi="宋体"/>
          <w:color w:val="auto"/>
          <w:sz w:val="24"/>
        </w:rPr>
        <w:t>具的属于监狱企业的证明文件，不再</w:t>
      </w:r>
      <w:r>
        <w:rPr>
          <w:rFonts w:hint="eastAsia" w:ascii="宋体" w:hAnsi="宋体"/>
          <w:color w:val="auto"/>
          <w:sz w:val="24"/>
        </w:rPr>
        <w:t>提供</w:t>
      </w:r>
      <w:r>
        <w:rPr>
          <w:rFonts w:ascii="宋体" w:hAnsi="宋体"/>
          <w:color w:val="auto"/>
          <w:sz w:val="24"/>
        </w:rPr>
        <w:t>《</w:t>
      </w:r>
      <w:r>
        <w:rPr>
          <w:rFonts w:hint="eastAsia" w:ascii="宋体" w:hAnsi="宋体"/>
          <w:color w:val="auto"/>
          <w:sz w:val="24"/>
        </w:rPr>
        <w:t>中</w:t>
      </w:r>
      <w:r>
        <w:rPr>
          <w:rFonts w:ascii="宋体" w:hAnsi="宋体"/>
          <w:color w:val="auto"/>
          <w:sz w:val="24"/>
        </w:rPr>
        <w:t>小微企业声明函》</w:t>
      </w:r>
      <w:r>
        <w:rPr>
          <w:rFonts w:hint="eastAsia" w:ascii="宋体" w:hAnsi="宋体"/>
          <w:color w:val="auto"/>
          <w:sz w:val="24"/>
        </w:rPr>
        <w:t>。</w:t>
      </w:r>
    </w:p>
    <w:p w14:paraId="301BD69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.3根据《财政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（财库〔201</w:t>
      </w:r>
      <w:r>
        <w:rPr>
          <w:rFonts w:ascii="宋体" w:hAnsi="宋体"/>
          <w:color w:val="auto"/>
          <w:sz w:val="24"/>
        </w:rPr>
        <w:t>7</w:t>
      </w:r>
      <w:r>
        <w:rPr>
          <w:rFonts w:hint="eastAsia" w:ascii="宋体" w:hAnsi="宋体"/>
          <w:color w:val="auto"/>
          <w:sz w:val="24"/>
        </w:rPr>
        <w:t>〕</w:t>
      </w:r>
      <w:r>
        <w:rPr>
          <w:rFonts w:ascii="宋体" w:hAnsi="宋体"/>
          <w:color w:val="auto"/>
          <w:sz w:val="24"/>
        </w:rPr>
        <w:t>141</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r>
        <w:rPr>
          <w:rFonts w:ascii="宋体" w:hAnsi="宋体"/>
          <w:color w:val="auto"/>
          <w:sz w:val="24"/>
        </w:rPr>
        <w:t>在政府采购活动中，残疾人福利性单位视同小型、微型企业，享受政府采购支持政策的残疾人福利性单位应当同时满足《</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所</w:t>
      </w:r>
      <w:r>
        <w:rPr>
          <w:rFonts w:ascii="宋体" w:hAnsi="宋体"/>
          <w:color w:val="auto"/>
          <w:sz w:val="24"/>
        </w:rPr>
        <w:t>列条件。残疾</w:t>
      </w:r>
      <w:r>
        <w:rPr>
          <w:rFonts w:hint="eastAsia" w:ascii="宋体" w:hAnsi="宋体"/>
          <w:color w:val="auto"/>
          <w:sz w:val="24"/>
        </w:rPr>
        <w:t>人</w:t>
      </w:r>
      <w:r>
        <w:rPr>
          <w:rFonts w:ascii="宋体" w:hAnsi="宋体"/>
          <w:color w:val="auto"/>
          <w:sz w:val="24"/>
        </w:rPr>
        <w:t>福利</w:t>
      </w:r>
      <w:r>
        <w:rPr>
          <w:rFonts w:hint="eastAsia" w:ascii="宋体" w:hAnsi="宋体"/>
          <w:color w:val="auto"/>
          <w:sz w:val="24"/>
          <w:lang w:eastAsia="zh-CN"/>
        </w:rPr>
        <w:t>性</w:t>
      </w:r>
      <w:r>
        <w:rPr>
          <w:rFonts w:ascii="宋体" w:hAnsi="宋体"/>
          <w:color w:val="auto"/>
          <w:sz w:val="24"/>
        </w:rPr>
        <w:t>单位属于小型、微型企业的，不重复</w:t>
      </w:r>
      <w:r>
        <w:rPr>
          <w:rFonts w:hint="eastAsia" w:ascii="宋体" w:hAnsi="宋体"/>
          <w:color w:val="auto"/>
          <w:sz w:val="24"/>
        </w:rPr>
        <w:t>享受</w:t>
      </w:r>
      <w:r>
        <w:rPr>
          <w:rFonts w:ascii="宋体" w:hAnsi="宋体"/>
          <w:color w:val="auto"/>
          <w:sz w:val="24"/>
        </w:rPr>
        <w:t>政策。符合</w:t>
      </w:r>
      <w:r>
        <w:rPr>
          <w:rFonts w:hint="eastAsia" w:ascii="宋体" w:hAnsi="宋体"/>
          <w:color w:val="auto"/>
          <w:sz w:val="24"/>
        </w:rPr>
        <w:t>条件的</w:t>
      </w:r>
      <w:r>
        <w:rPr>
          <w:rFonts w:ascii="宋体" w:hAnsi="宋体"/>
          <w:color w:val="auto"/>
          <w:sz w:val="24"/>
        </w:rPr>
        <w:t>残疾人福利性单位在参加政府采购活动时，应当提供《</w:t>
      </w:r>
      <w:r>
        <w:rPr>
          <w:rFonts w:hint="eastAsia" w:ascii="宋体" w:hAnsi="宋体"/>
          <w:color w:val="auto"/>
          <w:sz w:val="24"/>
        </w:rPr>
        <w:t>残疾</w:t>
      </w:r>
      <w:r>
        <w:rPr>
          <w:rFonts w:ascii="宋体" w:hAnsi="宋体"/>
          <w:color w:val="auto"/>
          <w:sz w:val="24"/>
        </w:rPr>
        <w:t>人福利性单位声明</w:t>
      </w:r>
      <w:r>
        <w:rPr>
          <w:rFonts w:hint="eastAsia" w:ascii="宋体" w:hAnsi="宋体"/>
          <w:color w:val="auto"/>
          <w:sz w:val="24"/>
        </w:rPr>
        <w:t>函</w:t>
      </w:r>
      <w:r>
        <w:rPr>
          <w:rFonts w:ascii="宋体" w:hAnsi="宋体"/>
          <w:color w:val="auto"/>
          <w:sz w:val="24"/>
        </w:rPr>
        <w:t>》</w:t>
      </w:r>
      <w:r>
        <w:rPr>
          <w:rFonts w:hint="eastAsia" w:ascii="宋体" w:hAnsi="宋体"/>
          <w:color w:val="auto"/>
          <w:sz w:val="24"/>
        </w:rPr>
        <w:t>，并</w:t>
      </w:r>
      <w:r>
        <w:rPr>
          <w:rFonts w:ascii="宋体" w:hAnsi="宋体"/>
          <w:color w:val="auto"/>
          <w:sz w:val="24"/>
        </w:rPr>
        <w:t>对声明</w:t>
      </w:r>
      <w:r>
        <w:rPr>
          <w:rFonts w:hint="eastAsia" w:ascii="宋体" w:hAnsi="宋体"/>
          <w:color w:val="auto"/>
          <w:sz w:val="24"/>
        </w:rPr>
        <w:t>的</w:t>
      </w:r>
      <w:r>
        <w:rPr>
          <w:rFonts w:ascii="宋体" w:hAnsi="宋体"/>
          <w:color w:val="auto"/>
          <w:sz w:val="24"/>
        </w:rPr>
        <w:t>真实性负责</w:t>
      </w:r>
      <w:r>
        <w:rPr>
          <w:rFonts w:hint="eastAsia" w:ascii="宋体" w:hAnsi="宋体"/>
          <w:color w:val="auto"/>
          <w:sz w:val="24"/>
        </w:rPr>
        <w:t>。</w:t>
      </w:r>
    </w:p>
    <w:p w14:paraId="3B19DF71">
      <w:pPr>
        <w:spacing w:line="360" w:lineRule="auto"/>
        <w:jc w:val="center"/>
        <w:outlineLvl w:val="1"/>
        <w:rPr>
          <w:rFonts w:ascii="宋体" w:hAnsi="宋体"/>
          <w:color w:val="auto"/>
          <w:sz w:val="24"/>
        </w:rPr>
      </w:pPr>
      <w:bookmarkStart w:id="24" w:name="_Toc103723524"/>
      <w:bookmarkStart w:id="25" w:name="_Toc15555"/>
      <w:r>
        <w:rPr>
          <w:rFonts w:hint="eastAsia" w:ascii="宋体" w:hAnsi="宋体"/>
          <w:b/>
          <w:color w:val="auto"/>
          <w:sz w:val="28"/>
        </w:rPr>
        <w:t>八、授予合同</w:t>
      </w:r>
      <w:bookmarkEnd w:id="24"/>
      <w:bookmarkEnd w:id="25"/>
    </w:p>
    <w:p w14:paraId="4E0680C9">
      <w:pPr>
        <w:spacing w:line="360" w:lineRule="auto"/>
        <w:rPr>
          <w:rFonts w:ascii="宋体" w:hAnsi="宋体"/>
          <w:b/>
          <w:color w:val="auto"/>
          <w:sz w:val="24"/>
        </w:rPr>
      </w:pPr>
      <w:r>
        <w:rPr>
          <w:rFonts w:ascii="宋体" w:hAnsi="宋体"/>
          <w:b/>
          <w:color w:val="auto"/>
          <w:sz w:val="24"/>
        </w:rPr>
        <w:t>34</w:t>
      </w:r>
      <w:r>
        <w:rPr>
          <w:rFonts w:hint="eastAsia" w:ascii="宋体" w:hAnsi="宋体"/>
          <w:b/>
          <w:color w:val="auto"/>
          <w:sz w:val="24"/>
        </w:rPr>
        <w:t>.定标方式</w:t>
      </w:r>
    </w:p>
    <w:p w14:paraId="6FA914FC">
      <w:pPr>
        <w:spacing w:line="360" w:lineRule="auto"/>
        <w:ind w:firstLine="480" w:firstLineChars="200"/>
        <w:rPr>
          <w:rFonts w:ascii="宋体" w:hAnsi="宋体"/>
          <w:color w:val="auto"/>
          <w:sz w:val="24"/>
        </w:rPr>
      </w:pPr>
      <w:r>
        <w:rPr>
          <w:rFonts w:hint="eastAsia" w:ascii="宋体" w:hAnsi="宋体"/>
          <w:color w:val="auto"/>
          <w:sz w:val="24"/>
        </w:rPr>
        <w:t>采购人依据谈判小组评审的中标排序结果确定成交供应商。</w:t>
      </w:r>
    </w:p>
    <w:p w14:paraId="459058B6">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5.</w:t>
      </w:r>
      <w:r>
        <w:rPr>
          <w:rFonts w:hint="eastAsia" w:ascii="宋体" w:hAnsi="宋体"/>
          <w:b/>
          <w:color w:val="auto"/>
          <w:sz w:val="24"/>
        </w:rPr>
        <w:t>成交通知</w:t>
      </w:r>
    </w:p>
    <w:p w14:paraId="28DDC4D8">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.1</w:t>
      </w:r>
      <w:r>
        <w:rPr>
          <w:rFonts w:hint="eastAsia" w:ascii="宋体" w:hAnsi="宋体"/>
          <w:color w:val="auto"/>
          <w:sz w:val="24"/>
          <w:lang w:eastAsia="zh-CN"/>
        </w:rPr>
        <w:t>采购代理机构</w:t>
      </w:r>
      <w:r>
        <w:rPr>
          <w:rFonts w:ascii="宋体" w:hAnsi="宋体"/>
          <w:color w:val="auto"/>
          <w:sz w:val="24"/>
        </w:rPr>
        <w:t>将在采购人确定</w:t>
      </w:r>
      <w:r>
        <w:rPr>
          <w:rFonts w:hint="eastAsia" w:ascii="宋体" w:hAnsi="宋体"/>
          <w:color w:val="auto"/>
          <w:sz w:val="24"/>
        </w:rPr>
        <w:t>成交</w:t>
      </w:r>
      <w:r>
        <w:rPr>
          <w:rFonts w:ascii="宋体" w:hAnsi="宋体"/>
          <w:color w:val="auto"/>
          <w:sz w:val="24"/>
        </w:rPr>
        <w:t>供应商</w:t>
      </w:r>
      <w:r>
        <w:rPr>
          <w:rFonts w:hint="eastAsia" w:ascii="宋体" w:hAnsi="宋体"/>
          <w:color w:val="auto"/>
          <w:sz w:val="24"/>
        </w:rPr>
        <w:t>之日</w:t>
      </w:r>
      <w:r>
        <w:rPr>
          <w:rFonts w:ascii="宋体" w:hAnsi="宋体"/>
          <w:color w:val="auto"/>
          <w:sz w:val="24"/>
        </w:rPr>
        <w:t>起</w:t>
      </w:r>
      <w:r>
        <w:rPr>
          <w:rFonts w:hint="eastAsia" w:ascii="宋体" w:hAnsi="宋体"/>
          <w:color w:val="auto"/>
          <w:sz w:val="24"/>
        </w:rPr>
        <w:t>2个</w:t>
      </w:r>
      <w:r>
        <w:rPr>
          <w:rFonts w:ascii="宋体" w:hAnsi="宋体"/>
          <w:color w:val="auto"/>
          <w:sz w:val="24"/>
        </w:rPr>
        <w:t>工作日内，</w:t>
      </w:r>
      <w:r>
        <w:rPr>
          <w:rFonts w:hint="eastAsia" w:ascii="宋体" w:hAnsi="宋体"/>
          <w:color w:val="auto"/>
          <w:sz w:val="24"/>
        </w:rPr>
        <w:t>发布成交公告，</w:t>
      </w:r>
      <w:r>
        <w:rPr>
          <w:rFonts w:ascii="宋体" w:hAnsi="宋体"/>
          <w:color w:val="auto"/>
          <w:sz w:val="24"/>
        </w:rPr>
        <w:t>并发出成交通知书。</w:t>
      </w:r>
    </w:p>
    <w:p w14:paraId="4F197DFB">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.2在按照本须知第</w:t>
      </w:r>
      <w:r>
        <w:rPr>
          <w:rFonts w:ascii="宋体" w:hAnsi="宋体"/>
          <w:color w:val="auto"/>
          <w:sz w:val="24"/>
        </w:rPr>
        <w:t>36</w:t>
      </w:r>
      <w:r>
        <w:rPr>
          <w:rFonts w:hint="eastAsia" w:ascii="宋体" w:hAnsi="宋体"/>
          <w:color w:val="auto"/>
          <w:sz w:val="24"/>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rPr>
      </w:pPr>
      <w:r>
        <w:rPr>
          <w:rFonts w:ascii="宋体" w:hAnsi="宋体"/>
          <w:b/>
          <w:color w:val="auto"/>
          <w:sz w:val="24"/>
        </w:rPr>
        <w:t>3</w:t>
      </w:r>
      <w:r>
        <w:rPr>
          <w:rFonts w:hint="eastAsia" w:ascii="宋体" w:hAnsi="宋体"/>
          <w:b/>
          <w:color w:val="auto"/>
          <w:sz w:val="24"/>
        </w:rPr>
        <w:t>6.合同的签署</w:t>
      </w:r>
    </w:p>
    <w:p w14:paraId="4BF6909B">
      <w:pPr>
        <w:spacing w:line="360" w:lineRule="auto"/>
        <w:rPr>
          <w:rFonts w:ascii="宋体" w:hAnsi="宋体"/>
          <w:b/>
          <w:color w:val="auto"/>
          <w:sz w:val="24"/>
        </w:rPr>
      </w:pPr>
      <w:r>
        <w:rPr>
          <w:rFonts w:hint="eastAsia" w:ascii="宋体" w:hAnsi="宋体"/>
          <w:b/>
          <w:color w:val="auto"/>
          <w:sz w:val="24"/>
        </w:rPr>
        <w:t>36.1成交供应商需在领取成交通知书后</w:t>
      </w:r>
      <w:r>
        <w:rPr>
          <w:rFonts w:ascii="宋体" w:hAnsi="宋体"/>
          <w:b/>
          <w:color w:val="auto"/>
          <w:sz w:val="24"/>
          <w:u w:val="single"/>
        </w:rPr>
        <w:t>30</w:t>
      </w:r>
      <w:r>
        <w:rPr>
          <w:rFonts w:hint="eastAsia" w:ascii="宋体" w:hAnsi="宋体"/>
          <w:b/>
          <w:color w:val="auto"/>
          <w:sz w:val="24"/>
          <w:u w:val="single"/>
        </w:rPr>
        <w:t>日</w:t>
      </w:r>
      <w:r>
        <w:rPr>
          <w:rFonts w:hint="eastAsia" w:ascii="宋体" w:hAnsi="宋体"/>
          <w:b/>
          <w:color w:val="auto"/>
          <w:sz w:val="24"/>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rPr>
      </w:pPr>
      <w:r>
        <w:rPr>
          <w:rFonts w:hint="eastAsia" w:ascii="宋体" w:hAnsi="宋体"/>
          <w:b/>
          <w:color w:val="auto"/>
          <w:sz w:val="24"/>
        </w:rPr>
        <w:t>36.2采购人应当自政府采购合同签订之日起</w:t>
      </w:r>
      <w:r>
        <w:rPr>
          <w:rFonts w:hint="eastAsia" w:ascii="宋体" w:hAnsi="宋体"/>
          <w:b/>
          <w:color w:val="auto"/>
          <w:sz w:val="24"/>
          <w:u w:val="single"/>
        </w:rPr>
        <w:t>2个工作日</w:t>
      </w:r>
      <w:r>
        <w:rPr>
          <w:rFonts w:hint="eastAsia" w:ascii="宋体" w:hAnsi="宋体"/>
          <w:b/>
          <w:color w:val="auto"/>
          <w:sz w:val="24"/>
        </w:rPr>
        <w:t>内，将政府采购合同在财政部门指定的媒体上公告，但政府采购合同中涉及国家秘密、商业秘密的内容除外。</w:t>
      </w:r>
    </w:p>
    <w:p w14:paraId="3D235CF5">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.4发出成交通知书后，采购人无正当理由拒签合同给成交供应商造成损失的，还应当赔偿损失。</w:t>
      </w:r>
    </w:p>
    <w:p w14:paraId="51603BBB">
      <w:pPr>
        <w:spacing w:line="360" w:lineRule="auto"/>
        <w:rPr>
          <w:rFonts w:ascii="宋体" w:hAnsi="宋体"/>
          <w:bCs/>
          <w:color w:val="auto"/>
          <w:sz w:val="24"/>
        </w:rPr>
      </w:pPr>
      <w:r>
        <w:rPr>
          <w:rFonts w:hint="eastAsia" w:ascii="宋体" w:hAnsi="宋体"/>
          <w:bCs/>
          <w:color w:val="auto"/>
          <w:sz w:val="24"/>
        </w:rPr>
        <w:t>3</w:t>
      </w:r>
      <w:r>
        <w:rPr>
          <w:rFonts w:ascii="宋体" w:hAnsi="宋体"/>
          <w:bCs/>
          <w:color w:val="auto"/>
          <w:sz w:val="24"/>
        </w:rPr>
        <w:t>7</w:t>
      </w:r>
      <w:r>
        <w:rPr>
          <w:rFonts w:hint="eastAsia" w:ascii="宋体" w:hAnsi="宋体"/>
          <w:bCs/>
          <w:color w:val="auto"/>
          <w:sz w:val="24"/>
        </w:rPr>
        <w:t>.5本项目严禁转包，一经发现立即清除，采购人将有充分理由废除授标，成交供应商应承担由此造成的一切经济损失。</w:t>
      </w:r>
    </w:p>
    <w:p w14:paraId="4958EE5E">
      <w:pPr>
        <w:pStyle w:val="101"/>
        <w:spacing w:line="360" w:lineRule="auto"/>
        <w:jc w:val="center"/>
        <w:outlineLvl w:val="1"/>
        <w:rPr>
          <w:rFonts w:ascii="宋体" w:hAnsi="宋体" w:eastAsia="宋体" w:cs="仿宋_GB2312"/>
          <w:b/>
          <w:color w:val="auto"/>
          <w:kern w:val="0"/>
          <w:sz w:val="30"/>
          <w:szCs w:val="30"/>
          <w:lang w:val="zh-CN"/>
        </w:rPr>
      </w:pPr>
      <w:bookmarkStart w:id="26" w:name="_Toc103723525"/>
      <w:bookmarkStart w:id="27" w:name="_Toc874"/>
      <w:r>
        <w:rPr>
          <w:rFonts w:hint="eastAsia" w:ascii="宋体" w:hAnsi="宋体" w:eastAsia="宋体" w:cs="仿宋_GB2312"/>
          <w:b/>
          <w:color w:val="auto"/>
          <w:kern w:val="0"/>
          <w:sz w:val="30"/>
          <w:szCs w:val="30"/>
          <w:lang w:val="zh-CN"/>
        </w:rPr>
        <w:t>九、重新</w:t>
      </w:r>
      <w:bookmarkEnd w:id="26"/>
      <w:r>
        <w:rPr>
          <w:rFonts w:hint="eastAsia" w:ascii="宋体" w:hAnsi="宋体" w:eastAsia="宋体" w:cs="仿宋_GB2312"/>
          <w:b/>
          <w:color w:val="auto"/>
          <w:kern w:val="0"/>
          <w:sz w:val="30"/>
          <w:szCs w:val="30"/>
          <w:lang w:val="zh-CN"/>
        </w:rPr>
        <w:t>采购</w:t>
      </w:r>
      <w:bookmarkEnd w:id="27"/>
    </w:p>
    <w:p w14:paraId="15254AA8">
      <w:pPr>
        <w:pStyle w:val="101"/>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8.</w:t>
      </w:r>
      <w:r>
        <w:rPr>
          <w:rFonts w:hint="eastAsia" w:ascii="宋体" w:hAnsi="宋体" w:eastAsia="宋体" w:cs="仿宋_GB2312"/>
          <w:b/>
          <w:color w:val="auto"/>
          <w:kern w:val="0"/>
          <w:sz w:val="24"/>
          <w:lang w:val="zh-CN"/>
        </w:rPr>
        <w:t>重新采购</w:t>
      </w:r>
    </w:p>
    <w:p w14:paraId="3D950D24">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.1在谈判采购中，出现下列情形之一的，招标失败：</w:t>
      </w:r>
    </w:p>
    <w:p w14:paraId="6AF62501">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.1.1符合条件的供应商或都对谈判文件作实质响应的供应商不足三家；</w:t>
      </w:r>
    </w:p>
    <w:p w14:paraId="46173820">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.1.2出现影响采购公正的违法、违规行为的；</w:t>
      </w:r>
    </w:p>
    <w:p w14:paraId="157DF9E6">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.1.3响应谈判供应商的报价均超过了采购预算，采购人不能支付的；</w:t>
      </w:r>
    </w:p>
    <w:p w14:paraId="71BA9043">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.1.4因重大变故，采购任务取消的。</w:t>
      </w:r>
    </w:p>
    <w:p w14:paraId="4DB6A3D8">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.2谈判失败后，除采购任务取消外，应当重新组织谈判；需要采取其他方式采购的，应由吉林省财政厅政府采购管理处重新下达任务单。</w:t>
      </w:r>
    </w:p>
    <w:p w14:paraId="10458592">
      <w:pPr>
        <w:pStyle w:val="101"/>
        <w:spacing w:line="360" w:lineRule="auto"/>
        <w:jc w:val="center"/>
        <w:outlineLvl w:val="1"/>
        <w:rPr>
          <w:rFonts w:ascii="宋体" w:hAnsi="宋体" w:eastAsia="宋体" w:cs="仿宋_GB2312"/>
          <w:b/>
          <w:color w:val="auto"/>
          <w:kern w:val="0"/>
          <w:sz w:val="30"/>
          <w:szCs w:val="30"/>
          <w:lang w:val="zh-CN"/>
        </w:rPr>
      </w:pPr>
      <w:bookmarkStart w:id="28" w:name="_Toc30836"/>
      <w:bookmarkStart w:id="29" w:name="_Toc103723526"/>
      <w:r>
        <w:rPr>
          <w:rFonts w:hint="eastAsia" w:ascii="宋体" w:hAnsi="宋体" w:eastAsia="宋体" w:cs="仿宋_GB2312"/>
          <w:b/>
          <w:color w:val="auto"/>
          <w:kern w:val="0"/>
          <w:sz w:val="30"/>
          <w:szCs w:val="30"/>
          <w:lang w:val="zh-CN"/>
        </w:rPr>
        <w:t>十、纪律和监督</w:t>
      </w:r>
      <w:bookmarkEnd w:id="28"/>
      <w:bookmarkEnd w:id="29"/>
    </w:p>
    <w:p w14:paraId="75F770FD">
      <w:pPr>
        <w:pStyle w:val="101"/>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9.</w:t>
      </w:r>
      <w:r>
        <w:rPr>
          <w:rFonts w:hint="eastAsia" w:ascii="宋体" w:hAnsi="宋体" w:eastAsia="宋体" w:cs="仿宋_GB2312"/>
          <w:b/>
          <w:color w:val="auto"/>
          <w:kern w:val="0"/>
          <w:sz w:val="24"/>
          <w:lang w:val="zh-CN"/>
        </w:rPr>
        <w:t>对采购人的纪律要求</w:t>
      </w:r>
    </w:p>
    <w:p w14:paraId="6AA0BB9C">
      <w:pPr>
        <w:pStyle w:val="101"/>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采购人不得泄漏招标投标活动中应当保密的情况和资料，不得与响应谈判供应商串通损害国家利益、社会公共利益或者他人合法权益。</w:t>
      </w:r>
    </w:p>
    <w:p w14:paraId="1C033E48">
      <w:pPr>
        <w:pStyle w:val="101"/>
        <w:spacing w:line="360" w:lineRule="auto"/>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w:t>
      </w:r>
      <w:r>
        <w:rPr>
          <w:rFonts w:hint="eastAsia" w:ascii="宋体" w:hAnsi="宋体" w:eastAsia="宋体" w:cs="仿宋_GB2312"/>
          <w:b/>
          <w:color w:val="auto"/>
          <w:kern w:val="0"/>
          <w:sz w:val="24"/>
          <w:lang w:val="zh-CN"/>
        </w:rPr>
        <w:t>对响应谈判供应商的纪律要求</w:t>
      </w:r>
    </w:p>
    <w:p w14:paraId="39665A74">
      <w:pPr>
        <w:pStyle w:val="101"/>
        <w:spacing w:line="360" w:lineRule="auto"/>
        <w:ind w:firstLine="480" w:firstLineChars="200"/>
        <w:rPr>
          <w:rFonts w:ascii="宋体" w:hAnsi="宋体" w:eastAsia="宋体" w:cs="仿宋_GB2312"/>
          <w:color w:val="auto"/>
          <w:kern w:val="0"/>
          <w:sz w:val="24"/>
          <w:lang w:val="zh-CN"/>
        </w:rPr>
      </w:pPr>
      <w:r>
        <w:rPr>
          <w:rFonts w:ascii="宋体" w:hAnsi="宋体" w:eastAsia="宋体" w:cs="仿宋_GB2312"/>
          <w:color w:val="auto"/>
          <w:kern w:val="0"/>
          <w:sz w:val="24"/>
          <w:lang w:val="zh-CN"/>
        </w:rPr>
        <w:t>40</w:t>
      </w:r>
      <w:r>
        <w:rPr>
          <w:rFonts w:hint="eastAsia" w:ascii="宋体" w:hAnsi="宋体" w:eastAsia="宋体" w:cs="仿宋_GB2312"/>
          <w:color w:val="auto"/>
          <w:kern w:val="0"/>
          <w:sz w:val="24"/>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101"/>
        <w:spacing w:line="360" w:lineRule="auto"/>
        <w:ind w:firstLine="482" w:firstLineChars="200"/>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40.2</w:t>
      </w:r>
      <w:r>
        <w:rPr>
          <w:rFonts w:hint="eastAsia" w:ascii="宋体" w:hAnsi="宋体" w:eastAsia="宋体" w:cs="仿宋_GB2312"/>
          <w:b/>
          <w:color w:val="auto"/>
          <w:kern w:val="0"/>
          <w:sz w:val="24"/>
          <w:lang w:val="zh-CN"/>
        </w:rPr>
        <w:t>响应谈判</w:t>
      </w:r>
      <w:r>
        <w:rPr>
          <w:rFonts w:ascii="宋体" w:hAnsi="宋体" w:eastAsia="宋体" w:cs="仿宋_GB2312"/>
          <w:b/>
          <w:color w:val="auto"/>
          <w:kern w:val="0"/>
          <w:sz w:val="24"/>
          <w:lang w:val="zh-CN"/>
        </w:rPr>
        <w:t>供应商应当遵循诚实信用原则，对资格条件承诺函有关内容的真实性、</w:t>
      </w:r>
      <w:r>
        <w:rPr>
          <w:rFonts w:hint="eastAsia" w:ascii="宋体" w:hAnsi="宋体" w:eastAsia="宋体" w:cs="仿宋_GB2312"/>
          <w:b/>
          <w:color w:val="auto"/>
          <w:kern w:val="0"/>
          <w:sz w:val="24"/>
          <w:lang w:val="zh-CN"/>
        </w:rPr>
        <w:t>有效性</w:t>
      </w:r>
      <w:r>
        <w:rPr>
          <w:rFonts w:ascii="宋体" w:hAnsi="宋体" w:eastAsia="宋体" w:cs="仿宋_GB2312"/>
          <w:b/>
          <w:color w:val="auto"/>
          <w:kern w:val="0"/>
          <w:sz w:val="24"/>
          <w:lang w:val="zh-CN"/>
        </w:rPr>
        <w:t>、合法性负责。如</w:t>
      </w:r>
      <w:r>
        <w:rPr>
          <w:rFonts w:hint="eastAsia" w:ascii="宋体" w:hAnsi="宋体" w:eastAsia="宋体" w:cs="仿宋_GB2312"/>
          <w:b/>
          <w:color w:val="auto"/>
          <w:kern w:val="0"/>
          <w:sz w:val="24"/>
          <w:lang w:val="zh-CN"/>
        </w:rPr>
        <w:t>发现</w:t>
      </w:r>
      <w:r>
        <w:rPr>
          <w:rFonts w:ascii="宋体" w:hAnsi="宋体" w:eastAsia="宋体" w:cs="仿宋_GB2312"/>
          <w:b/>
          <w:color w:val="auto"/>
          <w:kern w:val="0"/>
          <w:sz w:val="24"/>
          <w:lang w:val="zh-CN"/>
        </w:rPr>
        <w:t>承诺内容与事实情况不符，经调查核实为虚假承诺的，视同“</w:t>
      </w:r>
      <w:r>
        <w:rPr>
          <w:rFonts w:hint="eastAsia" w:ascii="宋体" w:hAnsi="宋体" w:eastAsia="宋体" w:cs="仿宋_GB2312"/>
          <w:b/>
          <w:color w:val="auto"/>
          <w:kern w:val="0"/>
          <w:sz w:val="24"/>
          <w:lang w:val="zh-CN"/>
        </w:rPr>
        <w:t>提供</w:t>
      </w:r>
      <w:r>
        <w:rPr>
          <w:rFonts w:ascii="宋体" w:hAnsi="宋体" w:eastAsia="宋体" w:cs="仿宋_GB2312"/>
          <w:b/>
          <w:color w:val="auto"/>
          <w:kern w:val="0"/>
          <w:sz w:val="24"/>
          <w:lang w:val="zh-CN"/>
        </w:rPr>
        <w:t>虚假材料谋取中标（</w:t>
      </w:r>
      <w:r>
        <w:rPr>
          <w:rFonts w:hint="eastAsia" w:ascii="宋体" w:hAnsi="宋体" w:eastAsia="宋体" w:cs="仿宋_GB2312"/>
          <w:b/>
          <w:color w:val="auto"/>
          <w:kern w:val="0"/>
          <w:sz w:val="24"/>
          <w:lang w:val="zh-CN"/>
        </w:rPr>
        <w:t>成交</w:t>
      </w:r>
      <w:r>
        <w:rPr>
          <w:rFonts w:ascii="宋体" w:hAnsi="宋体" w:eastAsia="宋体" w:cs="仿宋_GB2312"/>
          <w:b/>
          <w:color w:val="auto"/>
          <w:kern w:val="0"/>
          <w:sz w:val="24"/>
          <w:lang w:val="zh-CN"/>
        </w:rPr>
        <w:t>）”</w:t>
      </w:r>
      <w:r>
        <w:rPr>
          <w:rFonts w:hint="eastAsia" w:ascii="宋体" w:hAnsi="宋体" w:eastAsia="宋体" w:cs="仿宋_GB2312"/>
          <w:b/>
          <w:color w:val="auto"/>
          <w:kern w:val="0"/>
          <w:sz w:val="24"/>
          <w:lang w:val="zh-CN"/>
        </w:rPr>
        <w:t>，</w:t>
      </w:r>
      <w:r>
        <w:rPr>
          <w:rFonts w:ascii="宋体" w:hAnsi="宋体" w:eastAsia="宋体" w:cs="仿宋_GB2312"/>
          <w:b/>
          <w:color w:val="auto"/>
          <w:kern w:val="0"/>
          <w:sz w:val="24"/>
          <w:lang w:val="zh-CN"/>
        </w:rPr>
        <w:t>按照《</w:t>
      </w:r>
      <w:r>
        <w:rPr>
          <w:rFonts w:hint="eastAsia" w:ascii="宋体" w:hAnsi="宋体" w:eastAsia="宋体" w:cs="仿宋_GB2312"/>
          <w:b/>
          <w:color w:val="auto"/>
          <w:kern w:val="0"/>
          <w:sz w:val="24"/>
          <w:lang w:val="zh-CN"/>
        </w:rPr>
        <w:t>中华人民共和国</w:t>
      </w:r>
      <w:r>
        <w:rPr>
          <w:rFonts w:ascii="宋体" w:hAnsi="宋体" w:eastAsia="宋体" w:cs="仿宋_GB2312"/>
          <w:b/>
          <w:color w:val="auto"/>
          <w:kern w:val="0"/>
          <w:sz w:val="24"/>
          <w:lang w:val="zh-CN"/>
        </w:rPr>
        <w:t>政府采购法》</w:t>
      </w:r>
      <w:r>
        <w:rPr>
          <w:rFonts w:hint="eastAsia" w:ascii="宋体" w:hAnsi="宋体" w:eastAsia="宋体" w:cs="仿宋_GB2312"/>
          <w:b/>
          <w:color w:val="auto"/>
          <w:kern w:val="0"/>
          <w:sz w:val="24"/>
          <w:lang w:val="zh-CN"/>
        </w:rPr>
        <w:t>第</w:t>
      </w:r>
      <w:r>
        <w:rPr>
          <w:rFonts w:ascii="宋体" w:hAnsi="宋体" w:eastAsia="宋体" w:cs="仿宋_GB2312"/>
          <w:b/>
          <w:color w:val="auto"/>
          <w:kern w:val="0"/>
          <w:sz w:val="24"/>
          <w:lang w:val="zh-CN"/>
        </w:rPr>
        <w:t>七十七条的有关规定进行处理处罚。</w:t>
      </w:r>
    </w:p>
    <w:p w14:paraId="3C3567F6">
      <w:pPr>
        <w:pStyle w:val="101"/>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1.</w:t>
      </w:r>
      <w:r>
        <w:rPr>
          <w:rFonts w:hint="eastAsia" w:ascii="宋体" w:hAnsi="宋体" w:eastAsia="宋体" w:cs="仿宋_GB2312"/>
          <w:b/>
          <w:color w:val="auto"/>
          <w:kern w:val="0"/>
          <w:sz w:val="24"/>
          <w:lang w:val="zh-CN"/>
        </w:rPr>
        <w:t>对评审委会员的纪律要求</w:t>
      </w:r>
    </w:p>
    <w:p w14:paraId="097513BC">
      <w:pPr>
        <w:pStyle w:val="101"/>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101"/>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2.</w:t>
      </w:r>
      <w:r>
        <w:rPr>
          <w:rFonts w:hint="eastAsia" w:ascii="宋体" w:hAnsi="宋体" w:eastAsia="宋体" w:cs="仿宋_GB2312"/>
          <w:b/>
          <w:color w:val="auto"/>
          <w:kern w:val="0"/>
          <w:sz w:val="24"/>
          <w:lang w:val="zh-CN"/>
        </w:rPr>
        <w:t>对与评审活动有关的工作人员的纪律要求</w:t>
      </w:r>
    </w:p>
    <w:p w14:paraId="3EC8C69E">
      <w:pPr>
        <w:pStyle w:val="101"/>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101"/>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3.</w:t>
      </w:r>
      <w:r>
        <w:rPr>
          <w:rFonts w:hint="eastAsia" w:ascii="宋体" w:hAnsi="宋体" w:eastAsia="宋体" w:cs="仿宋_GB2312"/>
          <w:b/>
          <w:color w:val="auto"/>
          <w:kern w:val="0"/>
          <w:sz w:val="24"/>
          <w:lang w:val="zh-CN"/>
        </w:rPr>
        <w:t>质疑与投诉</w:t>
      </w:r>
    </w:p>
    <w:p w14:paraId="25784BBB">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101"/>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rPr>
        <w:t>采购办</w:t>
      </w:r>
      <w:r>
        <w:rPr>
          <w:rFonts w:hint="eastAsia" w:ascii="宋体" w:hAnsi="宋体" w:eastAsia="宋体" w:cs="仿宋_GB2312"/>
          <w:color w:val="auto"/>
          <w:kern w:val="0"/>
          <w:sz w:val="24"/>
          <w:lang w:val="zh-CN"/>
        </w:rPr>
        <w:t>投诉。</w:t>
      </w:r>
    </w:p>
    <w:p w14:paraId="5FCF3C22">
      <w:pPr>
        <w:pStyle w:val="101"/>
        <w:jc w:val="center"/>
        <w:rPr>
          <w:rFonts w:ascii="宋体" w:hAnsi="宋体" w:eastAsia="宋体" w:cs="仿宋_GB2312"/>
          <w:b/>
          <w:color w:val="auto"/>
          <w:kern w:val="0"/>
          <w:sz w:val="36"/>
          <w:szCs w:val="36"/>
          <w:lang w:val="zh-CN"/>
        </w:rPr>
      </w:pPr>
    </w:p>
    <w:p w14:paraId="286E9203">
      <w:pPr>
        <w:pStyle w:val="101"/>
        <w:jc w:val="center"/>
        <w:rPr>
          <w:rFonts w:ascii="宋体" w:hAnsi="宋体" w:eastAsia="宋体" w:cs="仿宋_GB2312"/>
          <w:b/>
          <w:color w:val="auto"/>
          <w:kern w:val="0"/>
          <w:sz w:val="36"/>
          <w:szCs w:val="36"/>
          <w:lang w:val="zh-CN"/>
        </w:rPr>
      </w:pPr>
    </w:p>
    <w:p w14:paraId="7B09BC42">
      <w:pPr>
        <w:pStyle w:val="101"/>
        <w:jc w:val="center"/>
        <w:rPr>
          <w:rFonts w:ascii="宋体" w:hAnsi="宋体" w:eastAsia="宋体" w:cs="仿宋_GB2312"/>
          <w:b/>
          <w:color w:val="auto"/>
          <w:kern w:val="0"/>
          <w:sz w:val="36"/>
          <w:szCs w:val="36"/>
          <w:lang w:val="zh-CN"/>
        </w:rPr>
      </w:pPr>
    </w:p>
    <w:p w14:paraId="698FC753">
      <w:pPr>
        <w:rPr>
          <w:rFonts w:hint="eastAsia" w:ascii="宋体" w:hAnsi="宋体" w:cs="宋体"/>
          <w:b/>
          <w:szCs w:val="21"/>
        </w:rPr>
      </w:pPr>
    </w:p>
    <w:p w14:paraId="75AADF82">
      <w:r>
        <w:br w:type="page"/>
      </w:r>
    </w:p>
    <w:p w14:paraId="7B176436">
      <w:pPr>
        <w:pStyle w:val="24"/>
      </w:pPr>
    </w:p>
    <w:p w14:paraId="510FE4E9">
      <w:pPr>
        <w:pStyle w:val="3"/>
        <w:numPr>
          <w:ilvl w:val="0"/>
          <w:numId w:val="2"/>
        </w:numPr>
        <w:bidi w:val="0"/>
        <w:jc w:val="center"/>
        <w:rPr>
          <w:sz w:val="36"/>
          <w:szCs w:val="36"/>
          <w:highlight w:val="none"/>
          <w:lang w:val="zh-CN"/>
        </w:rPr>
      </w:pPr>
      <w:bookmarkStart w:id="30" w:name="_Toc693"/>
      <w:bookmarkStart w:id="31" w:name="_Toc432264368"/>
      <w:bookmarkStart w:id="32" w:name="_Toc432277440"/>
      <w:bookmarkStart w:id="33" w:name="_Toc455565644"/>
      <w:bookmarkStart w:id="34" w:name="_Toc19078"/>
      <w:bookmarkStart w:id="35" w:name="_Toc10263"/>
      <w:r>
        <w:rPr>
          <w:rFonts w:hint="eastAsia"/>
          <w:sz w:val="36"/>
          <w:szCs w:val="36"/>
          <w:highlight w:val="none"/>
        </w:rPr>
        <w:t>货物采购</w:t>
      </w:r>
      <w:r>
        <w:rPr>
          <w:rFonts w:hint="eastAsia"/>
          <w:sz w:val="36"/>
          <w:szCs w:val="36"/>
          <w:highlight w:val="none"/>
          <w:lang w:val="zh-CN"/>
        </w:rPr>
        <w:t>需求</w:t>
      </w:r>
      <w:bookmarkEnd w:id="30"/>
    </w:p>
    <w:tbl>
      <w:tblPr>
        <w:tblStyle w:val="35"/>
        <w:tblW w:w="4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99"/>
        <w:gridCol w:w="3663"/>
        <w:gridCol w:w="978"/>
        <w:gridCol w:w="635"/>
        <w:gridCol w:w="564"/>
      </w:tblGrid>
      <w:tr w14:paraId="697C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27F8AE5B">
            <w:pPr>
              <w:spacing w:line="360" w:lineRule="auto"/>
              <w:jc w:val="center"/>
              <w:rPr>
                <w:rFonts w:ascii="宋体" w:hAnsi="宋体" w:eastAsia="宋体" w:cs="宋体"/>
                <w:b/>
                <w:bCs/>
                <w:sz w:val="24"/>
                <w:highlight w:val="none"/>
              </w:rPr>
            </w:pPr>
            <w:r>
              <w:rPr>
                <w:rFonts w:hint="eastAsia" w:ascii="宋体" w:hAnsi="宋体" w:eastAsia="宋体" w:cs="宋体"/>
                <w:b/>
                <w:bCs/>
                <w:sz w:val="24"/>
                <w:szCs w:val="18"/>
                <w:highlight w:val="none"/>
              </w:rPr>
              <w:t>序号</w:t>
            </w:r>
          </w:p>
        </w:tc>
        <w:tc>
          <w:tcPr>
            <w:tcW w:w="778" w:type="pct"/>
            <w:vAlign w:val="center"/>
          </w:tcPr>
          <w:p w14:paraId="289B8057">
            <w:pPr>
              <w:spacing w:line="360" w:lineRule="auto"/>
              <w:jc w:val="center"/>
              <w:rPr>
                <w:rFonts w:ascii="宋体" w:hAnsi="宋体" w:eastAsia="宋体" w:cs="宋体"/>
                <w:b/>
                <w:bCs/>
                <w:sz w:val="24"/>
                <w:highlight w:val="none"/>
              </w:rPr>
            </w:pPr>
            <w:r>
              <w:rPr>
                <w:rFonts w:hint="eastAsia" w:ascii="宋体" w:hAnsi="宋体" w:eastAsia="宋体" w:cs="宋体"/>
                <w:b/>
                <w:bCs/>
                <w:sz w:val="24"/>
                <w:szCs w:val="18"/>
                <w:highlight w:val="none"/>
              </w:rPr>
              <w:t>货物名称</w:t>
            </w:r>
          </w:p>
        </w:tc>
        <w:tc>
          <w:tcPr>
            <w:tcW w:w="2378" w:type="pct"/>
            <w:vAlign w:val="center"/>
          </w:tcPr>
          <w:p w14:paraId="24F38376">
            <w:pPr>
              <w:spacing w:line="360" w:lineRule="auto"/>
              <w:jc w:val="center"/>
              <w:rPr>
                <w:rFonts w:ascii="宋体" w:hAnsi="宋体" w:eastAsia="宋体" w:cs="宋体"/>
                <w:b/>
                <w:bCs/>
                <w:sz w:val="24"/>
                <w:highlight w:val="none"/>
              </w:rPr>
            </w:pPr>
            <w:r>
              <w:rPr>
                <w:rFonts w:hint="eastAsia" w:ascii="宋体" w:hAnsi="宋体" w:eastAsia="宋体" w:cs="宋体"/>
                <w:b/>
                <w:bCs/>
                <w:sz w:val="24"/>
                <w:szCs w:val="18"/>
                <w:highlight w:val="none"/>
              </w:rPr>
              <w:t>技术参数及要求</w:t>
            </w:r>
          </w:p>
        </w:tc>
        <w:tc>
          <w:tcPr>
            <w:tcW w:w="635" w:type="pct"/>
            <w:vAlign w:val="center"/>
          </w:tcPr>
          <w:p w14:paraId="537FBD10">
            <w:pPr>
              <w:spacing w:line="360" w:lineRule="auto"/>
              <w:jc w:val="center"/>
              <w:rPr>
                <w:rFonts w:ascii="宋体" w:hAnsi="宋体" w:eastAsia="宋体" w:cs="宋体"/>
                <w:b/>
                <w:bCs/>
                <w:sz w:val="24"/>
                <w:highlight w:val="none"/>
              </w:rPr>
            </w:pPr>
            <w:r>
              <w:rPr>
                <w:rFonts w:hint="eastAsia" w:ascii="宋体" w:hAnsi="宋体" w:eastAsia="宋体" w:cs="宋体"/>
                <w:b/>
                <w:bCs/>
                <w:sz w:val="24"/>
                <w:szCs w:val="18"/>
                <w:highlight w:val="none"/>
              </w:rPr>
              <w:t>数量（单位）</w:t>
            </w:r>
          </w:p>
        </w:tc>
        <w:tc>
          <w:tcPr>
            <w:tcW w:w="412" w:type="pct"/>
            <w:vAlign w:val="center"/>
          </w:tcPr>
          <w:p w14:paraId="5EEB75F0">
            <w:pPr>
              <w:spacing w:line="360" w:lineRule="auto"/>
              <w:jc w:val="center"/>
              <w:rPr>
                <w:rFonts w:ascii="宋体" w:hAnsi="宋体" w:eastAsia="宋体" w:cs="宋体"/>
                <w:b/>
                <w:bCs/>
                <w:sz w:val="24"/>
                <w:highlight w:val="none"/>
              </w:rPr>
            </w:pPr>
            <w:r>
              <w:rPr>
                <w:rFonts w:hint="eastAsia" w:ascii="宋体" w:hAnsi="宋体" w:eastAsia="宋体" w:cs="宋体"/>
                <w:b/>
                <w:bCs/>
                <w:sz w:val="24"/>
                <w:szCs w:val="18"/>
                <w:highlight w:val="none"/>
              </w:rPr>
              <w:t>所属行业</w:t>
            </w:r>
          </w:p>
        </w:tc>
        <w:tc>
          <w:tcPr>
            <w:tcW w:w="366" w:type="pct"/>
            <w:vAlign w:val="center"/>
          </w:tcPr>
          <w:p w14:paraId="40B24B41">
            <w:pPr>
              <w:spacing w:line="360" w:lineRule="auto"/>
              <w:jc w:val="center"/>
              <w:rPr>
                <w:rFonts w:ascii="宋体" w:hAnsi="宋体" w:eastAsia="宋体" w:cs="宋体"/>
                <w:b/>
                <w:bCs/>
                <w:sz w:val="24"/>
                <w:szCs w:val="18"/>
                <w:highlight w:val="none"/>
              </w:rPr>
            </w:pPr>
            <w:r>
              <w:rPr>
                <w:rFonts w:hint="eastAsia" w:ascii="宋体" w:hAnsi="宋体" w:eastAsia="宋体" w:cs="宋体"/>
                <w:b/>
                <w:bCs/>
                <w:sz w:val="24"/>
                <w:szCs w:val="18"/>
                <w:highlight w:val="none"/>
              </w:rPr>
              <w:t>是否为核心产品</w:t>
            </w:r>
          </w:p>
        </w:tc>
      </w:tr>
      <w:tr w14:paraId="7A7A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28" w:type="pct"/>
            <w:vAlign w:val="center"/>
          </w:tcPr>
          <w:p w14:paraId="27B031A4">
            <w:pPr>
              <w:jc w:val="center"/>
              <w:rPr>
                <w:rFonts w:ascii="宋体" w:hAnsi="宋体" w:eastAsia="宋体" w:cs="宋体"/>
                <w:sz w:val="24"/>
                <w:highlight w:val="none"/>
              </w:rPr>
            </w:pPr>
            <w:r>
              <w:rPr>
                <w:rFonts w:hint="eastAsia" w:cs="宋体" w:asciiTheme="minorEastAsia" w:hAnsiTheme="minorEastAsia"/>
                <w:b/>
                <w:bCs/>
                <w:sz w:val="24"/>
                <w:highlight w:val="none"/>
              </w:rPr>
              <w:t>1</w:t>
            </w:r>
          </w:p>
        </w:tc>
        <w:tc>
          <w:tcPr>
            <w:tcW w:w="778" w:type="pct"/>
            <w:vAlign w:val="center"/>
          </w:tcPr>
          <w:p w14:paraId="28928101">
            <w:pPr>
              <w:pStyle w:val="102"/>
              <w:jc w:val="center"/>
              <w:rPr>
                <w:rFonts w:ascii="宋体" w:hAnsi="宋体" w:cs="宋体"/>
                <w:bCs/>
                <w:sz w:val="24"/>
                <w:szCs w:val="24"/>
                <w:highlight w:val="none"/>
              </w:rPr>
            </w:pPr>
            <w:r>
              <w:rPr>
                <w:rFonts w:hint="eastAsia" w:ascii="宋体" w:hAnsi="宋体" w:cs="宋体"/>
                <w:kern w:val="0"/>
                <w:highlight w:val="none"/>
                <w:lang w:bidi="ar"/>
              </w:rPr>
              <w:t>教学建设管理平台</w:t>
            </w:r>
          </w:p>
        </w:tc>
        <w:tc>
          <w:tcPr>
            <w:tcW w:w="2378" w:type="pct"/>
            <w:vAlign w:val="center"/>
          </w:tcPr>
          <w:p w14:paraId="2B291DFA">
            <w:pPr>
              <w:widowControl/>
              <w:ind w:firstLine="420" w:firstLineChars="200"/>
              <w:textAlignment w:val="center"/>
              <w:rPr>
                <w:highlight w:val="none"/>
              </w:rPr>
            </w:pPr>
            <w:r>
              <w:rPr>
                <w:rFonts w:hint="eastAsia"/>
                <w:highlight w:val="none"/>
              </w:rPr>
              <w:t>1.专业建设管理</w:t>
            </w:r>
          </w:p>
          <w:p w14:paraId="1676B999">
            <w:pPr>
              <w:widowControl/>
              <w:ind w:firstLine="420" w:firstLineChars="200"/>
              <w:textAlignment w:val="center"/>
              <w:rPr>
                <w:highlight w:val="none"/>
              </w:rPr>
            </w:pPr>
            <w:r>
              <w:rPr>
                <w:rFonts w:hint="eastAsia"/>
                <w:highlight w:val="none"/>
              </w:rPr>
              <w:t>负责高校专业的设置与调整，包括专业的增删改查，以及专业的培养目标、课程体系等内容的规划与优化，确保专业设置与市场需求和社会发展相适应。</w:t>
            </w:r>
          </w:p>
          <w:p w14:paraId="374A5E35">
            <w:pPr>
              <w:widowControl/>
              <w:ind w:firstLine="420" w:firstLineChars="200"/>
              <w:textAlignment w:val="center"/>
              <w:rPr>
                <w:highlight w:val="none"/>
              </w:rPr>
            </w:pPr>
            <w:r>
              <w:rPr>
                <w:rFonts w:hint="eastAsia"/>
                <w:highlight w:val="none"/>
              </w:rPr>
              <w:t>（1）专业建设添加</w:t>
            </w:r>
          </w:p>
          <w:p w14:paraId="0E4DDC0F">
            <w:pPr>
              <w:widowControl/>
              <w:ind w:firstLine="420" w:firstLineChars="200"/>
              <w:textAlignment w:val="center"/>
              <w:rPr>
                <w:highlight w:val="none"/>
              </w:rPr>
            </w:pPr>
            <w:r>
              <w:rPr>
                <w:rFonts w:hint="eastAsia"/>
                <w:highlight w:val="none"/>
              </w:rPr>
              <w:t>支持用户添加新增专业，字段包括：专业号、重点专业级别、重点专业类型、授予日期、备注。</w:t>
            </w:r>
          </w:p>
          <w:p w14:paraId="00BE36B4">
            <w:pPr>
              <w:widowControl/>
              <w:ind w:firstLine="420" w:firstLineChars="200"/>
              <w:textAlignment w:val="center"/>
              <w:rPr>
                <w:highlight w:val="none"/>
              </w:rPr>
            </w:pPr>
            <w:r>
              <w:rPr>
                <w:rFonts w:hint="eastAsia"/>
                <w:highlight w:val="none"/>
              </w:rPr>
              <w:t>（2）专业建设删除</w:t>
            </w:r>
          </w:p>
          <w:p w14:paraId="14994BA7">
            <w:pPr>
              <w:widowControl/>
              <w:ind w:firstLine="420" w:firstLineChars="200"/>
              <w:textAlignment w:val="center"/>
              <w:rPr>
                <w:highlight w:val="none"/>
              </w:rPr>
            </w:pPr>
            <w:r>
              <w:rPr>
                <w:rFonts w:hint="eastAsia"/>
                <w:highlight w:val="none"/>
              </w:rPr>
              <w:t>支持用户删除建设专业。</w:t>
            </w:r>
          </w:p>
          <w:p w14:paraId="1938F125">
            <w:pPr>
              <w:widowControl/>
              <w:ind w:firstLine="420" w:firstLineChars="200"/>
              <w:textAlignment w:val="center"/>
              <w:rPr>
                <w:highlight w:val="none"/>
              </w:rPr>
            </w:pPr>
            <w:r>
              <w:rPr>
                <w:rFonts w:hint="eastAsia"/>
                <w:highlight w:val="none"/>
              </w:rPr>
              <w:t>（3）专业建设修改</w:t>
            </w:r>
          </w:p>
          <w:p w14:paraId="3EA1ADEA">
            <w:pPr>
              <w:widowControl/>
              <w:ind w:firstLine="420" w:firstLineChars="200"/>
              <w:textAlignment w:val="center"/>
              <w:rPr>
                <w:highlight w:val="none"/>
              </w:rPr>
            </w:pPr>
            <w:r>
              <w:rPr>
                <w:rFonts w:hint="eastAsia"/>
                <w:highlight w:val="none"/>
              </w:rPr>
              <w:t>支持用户修改专业建设信息。</w:t>
            </w:r>
          </w:p>
          <w:p w14:paraId="2BFF9DC9">
            <w:pPr>
              <w:widowControl/>
              <w:ind w:firstLine="420" w:firstLineChars="200"/>
              <w:textAlignment w:val="center"/>
              <w:rPr>
                <w:highlight w:val="none"/>
              </w:rPr>
            </w:pPr>
            <w:r>
              <w:rPr>
                <w:rFonts w:hint="eastAsia"/>
                <w:highlight w:val="none"/>
              </w:rPr>
              <w:t>（4）专业建设查询</w:t>
            </w:r>
          </w:p>
          <w:p w14:paraId="7F176896">
            <w:pPr>
              <w:widowControl/>
              <w:ind w:firstLine="420" w:firstLineChars="200"/>
              <w:textAlignment w:val="center"/>
              <w:rPr>
                <w:highlight w:val="none"/>
              </w:rPr>
            </w:pPr>
            <w:r>
              <w:rPr>
                <w:rFonts w:hint="eastAsia"/>
                <w:highlight w:val="none"/>
              </w:rPr>
              <w:t>支持用户通过关键字查询专业。</w:t>
            </w:r>
          </w:p>
          <w:p w14:paraId="1BF5C13B">
            <w:pPr>
              <w:widowControl/>
              <w:ind w:firstLine="420" w:firstLineChars="200"/>
              <w:textAlignment w:val="center"/>
              <w:rPr>
                <w:highlight w:val="none"/>
              </w:rPr>
            </w:pPr>
            <w:r>
              <w:rPr>
                <w:rFonts w:hint="eastAsia"/>
                <w:highlight w:val="none"/>
              </w:rPr>
              <w:t>2.专业设置管理</w:t>
            </w:r>
          </w:p>
          <w:p w14:paraId="4F33EF68">
            <w:pPr>
              <w:widowControl/>
              <w:ind w:firstLine="420" w:firstLineChars="200"/>
              <w:textAlignment w:val="center"/>
              <w:rPr>
                <w:highlight w:val="none"/>
              </w:rPr>
            </w:pPr>
            <w:r>
              <w:rPr>
                <w:rFonts w:hint="eastAsia"/>
                <w:highlight w:val="none"/>
              </w:rPr>
              <w:t>针对不同专业进行详细设置，包括专业名称、专业代码、所属学院、培养方向、学科门类等信息的维护，以便于学生选择和学校管理。</w:t>
            </w:r>
          </w:p>
          <w:p w14:paraId="377D7B54">
            <w:pPr>
              <w:widowControl/>
              <w:ind w:firstLine="420" w:firstLineChars="200"/>
              <w:textAlignment w:val="center"/>
              <w:rPr>
                <w:highlight w:val="none"/>
              </w:rPr>
            </w:pPr>
            <w:r>
              <w:rPr>
                <w:rFonts w:hint="eastAsia"/>
                <w:highlight w:val="none"/>
              </w:rPr>
              <w:t>（1）专业设置添加</w:t>
            </w:r>
          </w:p>
          <w:p w14:paraId="7074C101">
            <w:pPr>
              <w:widowControl/>
              <w:ind w:firstLine="420" w:firstLineChars="200"/>
              <w:textAlignment w:val="center"/>
              <w:rPr>
                <w:highlight w:val="none"/>
              </w:rPr>
            </w:pPr>
            <w:r>
              <w:rPr>
                <w:rFonts w:hint="eastAsia"/>
                <w:highlight w:val="none"/>
              </w:rPr>
              <w:t>支持用户添加新增专业，字段包括：专业所属院系部名称、专业名称、专业号、所属专业群名称、所属专业群号、批准设置年月、首次招生年月、专业层次码、学制码、授予学位类别、重点专业级别、重点专业类型、。</w:t>
            </w:r>
          </w:p>
          <w:p w14:paraId="08AEEA87">
            <w:pPr>
              <w:widowControl/>
              <w:ind w:firstLine="420" w:firstLineChars="200"/>
              <w:textAlignment w:val="center"/>
              <w:rPr>
                <w:highlight w:val="none"/>
              </w:rPr>
            </w:pPr>
            <w:r>
              <w:rPr>
                <w:rFonts w:hint="eastAsia"/>
                <w:highlight w:val="none"/>
              </w:rPr>
              <w:t>（2）专业设置删除</w:t>
            </w:r>
          </w:p>
          <w:p w14:paraId="009D0A38">
            <w:pPr>
              <w:widowControl/>
              <w:ind w:firstLine="420" w:firstLineChars="200"/>
              <w:textAlignment w:val="center"/>
              <w:rPr>
                <w:highlight w:val="none"/>
              </w:rPr>
            </w:pPr>
            <w:r>
              <w:rPr>
                <w:rFonts w:hint="eastAsia"/>
                <w:highlight w:val="none"/>
              </w:rPr>
              <w:t>支持用户删除专业。</w:t>
            </w:r>
          </w:p>
          <w:p w14:paraId="1E9967EF">
            <w:pPr>
              <w:widowControl/>
              <w:ind w:firstLine="420" w:firstLineChars="200"/>
              <w:textAlignment w:val="center"/>
              <w:rPr>
                <w:highlight w:val="none"/>
              </w:rPr>
            </w:pPr>
            <w:r>
              <w:rPr>
                <w:rFonts w:hint="eastAsia"/>
                <w:highlight w:val="none"/>
              </w:rPr>
              <w:t>（3）专业设置修改</w:t>
            </w:r>
          </w:p>
          <w:p w14:paraId="4FD2679C">
            <w:pPr>
              <w:widowControl/>
              <w:ind w:firstLine="420" w:firstLineChars="200"/>
              <w:textAlignment w:val="center"/>
              <w:rPr>
                <w:highlight w:val="none"/>
              </w:rPr>
            </w:pPr>
            <w:r>
              <w:rPr>
                <w:rFonts w:hint="eastAsia"/>
                <w:highlight w:val="none"/>
              </w:rPr>
              <w:t>支持用户修改专业信息。</w:t>
            </w:r>
          </w:p>
          <w:p w14:paraId="10DD5733">
            <w:pPr>
              <w:widowControl/>
              <w:ind w:firstLine="420" w:firstLineChars="200"/>
              <w:textAlignment w:val="center"/>
              <w:rPr>
                <w:highlight w:val="none"/>
              </w:rPr>
            </w:pPr>
            <w:r>
              <w:rPr>
                <w:rFonts w:hint="eastAsia"/>
                <w:highlight w:val="none"/>
              </w:rPr>
              <w:t>（4）专业设置查询</w:t>
            </w:r>
          </w:p>
          <w:p w14:paraId="6758538C">
            <w:pPr>
              <w:widowControl/>
              <w:ind w:firstLine="420" w:firstLineChars="200"/>
              <w:textAlignment w:val="center"/>
              <w:rPr>
                <w:highlight w:val="none"/>
              </w:rPr>
            </w:pPr>
            <w:r>
              <w:rPr>
                <w:rFonts w:hint="eastAsia"/>
                <w:highlight w:val="none"/>
              </w:rPr>
              <w:t>支持用户通过关键字查询专业。</w:t>
            </w:r>
          </w:p>
          <w:p w14:paraId="63045F69">
            <w:pPr>
              <w:widowControl/>
              <w:ind w:firstLine="420" w:firstLineChars="200"/>
              <w:textAlignment w:val="center"/>
              <w:rPr>
                <w:highlight w:val="none"/>
              </w:rPr>
            </w:pPr>
            <w:r>
              <w:rPr>
                <w:rFonts w:hint="eastAsia"/>
                <w:highlight w:val="none"/>
              </w:rPr>
              <w:t>3.培养方案管理</w:t>
            </w:r>
          </w:p>
          <w:p w14:paraId="2577AE84">
            <w:pPr>
              <w:widowControl/>
              <w:ind w:firstLine="420" w:firstLineChars="200"/>
              <w:textAlignment w:val="center"/>
              <w:rPr>
                <w:highlight w:val="none"/>
              </w:rPr>
            </w:pPr>
            <w:r>
              <w:rPr>
                <w:rFonts w:hint="eastAsia"/>
                <w:highlight w:val="none"/>
              </w:rPr>
              <w:t>制定和管理各专业的培养方案，包括理论课程、实践环节、毕业要求等，确保培养方案的科学性和实用性。</w:t>
            </w:r>
          </w:p>
          <w:p w14:paraId="29B2E166">
            <w:pPr>
              <w:widowControl/>
              <w:ind w:firstLine="420" w:firstLineChars="200"/>
              <w:textAlignment w:val="center"/>
              <w:rPr>
                <w:highlight w:val="none"/>
              </w:rPr>
            </w:pPr>
            <w:r>
              <w:rPr>
                <w:rFonts w:hint="eastAsia"/>
                <w:highlight w:val="none"/>
              </w:rPr>
              <w:t>（1）培养方案添加</w:t>
            </w:r>
          </w:p>
          <w:p w14:paraId="161C5C20">
            <w:pPr>
              <w:widowControl/>
              <w:ind w:firstLine="420" w:firstLineChars="200"/>
              <w:textAlignment w:val="center"/>
              <w:rPr>
                <w:highlight w:val="none"/>
              </w:rPr>
            </w:pPr>
            <w:r>
              <w:rPr>
                <w:rFonts w:hint="eastAsia"/>
                <w:highlight w:val="none"/>
              </w:rPr>
              <w:t>支持用户培养方案添加，字段：计划年级、专业号、总学分要求、总学时要求、建立年月、培养目标、应取得证书名称、必修学分、必修学时、限选学分、限选学时。</w:t>
            </w:r>
          </w:p>
          <w:p w14:paraId="33972CD2">
            <w:pPr>
              <w:widowControl/>
              <w:ind w:firstLine="420" w:firstLineChars="200"/>
              <w:textAlignment w:val="center"/>
              <w:rPr>
                <w:highlight w:val="none"/>
              </w:rPr>
            </w:pPr>
            <w:r>
              <w:rPr>
                <w:rFonts w:hint="eastAsia"/>
                <w:highlight w:val="none"/>
              </w:rPr>
              <w:t>（2）培养方案删除</w:t>
            </w:r>
          </w:p>
          <w:p w14:paraId="2C12BB72">
            <w:pPr>
              <w:widowControl/>
              <w:ind w:firstLine="420" w:firstLineChars="200"/>
              <w:textAlignment w:val="center"/>
              <w:rPr>
                <w:highlight w:val="none"/>
              </w:rPr>
            </w:pPr>
            <w:r>
              <w:rPr>
                <w:rFonts w:hint="eastAsia"/>
                <w:highlight w:val="none"/>
              </w:rPr>
              <w:t>支持用户删除培养方案</w:t>
            </w:r>
          </w:p>
          <w:p w14:paraId="5634F5AD">
            <w:pPr>
              <w:widowControl/>
              <w:ind w:firstLine="420" w:firstLineChars="200"/>
              <w:textAlignment w:val="center"/>
              <w:rPr>
                <w:highlight w:val="none"/>
              </w:rPr>
            </w:pPr>
            <w:r>
              <w:rPr>
                <w:rFonts w:hint="eastAsia"/>
                <w:highlight w:val="none"/>
              </w:rPr>
              <w:t>（3）培养方案修改</w:t>
            </w:r>
          </w:p>
          <w:p w14:paraId="09D30BA3">
            <w:pPr>
              <w:widowControl/>
              <w:ind w:firstLine="420" w:firstLineChars="200"/>
              <w:textAlignment w:val="center"/>
              <w:rPr>
                <w:highlight w:val="none"/>
              </w:rPr>
            </w:pPr>
            <w:r>
              <w:rPr>
                <w:rFonts w:hint="eastAsia"/>
                <w:highlight w:val="none"/>
              </w:rPr>
              <w:t>支持用户修改培养方案</w:t>
            </w:r>
          </w:p>
          <w:p w14:paraId="65DDB2F8">
            <w:pPr>
              <w:widowControl/>
              <w:ind w:firstLine="420" w:firstLineChars="200"/>
              <w:textAlignment w:val="center"/>
              <w:rPr>
                <w:highlight w:val="none"/>
              </w:rPr>
            </w:pPr>
            <w:r>
              <w:rPr>
                <w:rFonts w:hint="eastAsia"/>
                <w:highlight w:val="none"/>
              </w:rPr>
              <w:t>（4）培养方案查询</w:t>
            </w:r>
          </w:p>
          <w:p w14:paraId="3B333B92">
            <w:pPr>
              <w:widowControl/>
              <w:ind w:firstLine="420" w:firstLineChars="200"/>
              <w:textAlignment w:val="center"/>
              <w:rPr>
                <w:highlight w:val="none"/>
              </w:rPr>
            </w:pPr>
            <w:r>
              <w:rPr>
                <w:rFonts w:hint="eastAsia"/>
                <w:highlight w:val="none"/>
              </w:rPr>
              <w:t>支持用户关键字查询培养方案</w:t>
            </w:r>
          </w:p>
          <w:p w14:paraId="05D81C7D">
            <w:pPr>
              <w:widowControl/>
              <w:ind w:firstLine="420" w:firstLineChars="200"/>
              <w:textAlignment w:val="center"/>
              <w:rPr>
                <w:highlight w:val="none"/>
              </w:rPr>
            </w:pPr>
            <w:r>
              <w:rPr>
                <w:rFonts w:hint="eastAsia"/>
                <w:highlight w:val="none"/>
              </w:rPr>
              <w:t>4.培养方案课程管理</w:t>
            </w:r>
          </w:p>
          <w:p w14:paraId="083F17AB">
            <w:pPr>
              <w:widowControl/>
              <w:ind w:firstLine="420" w:firstLineChars="200"/>
              <w:textAlignment w:val="center"/>
              <w:rPr>
                <w:highlight w:val="none"/>
              </w:rPr>
            </w:pPr>
            <w:r>
              <w:rPr>
                <w:rFonts w:hint="eastAsia"/>
                <w:highlight w:val="none"/>
              </w:rPr>
              <w:t>对培养方案中的课程进行管理，包括课程名称、学分、学时、授课教师等信息的配置，以及课程之间的依赖关系和顺序。</w:t>
            </w:r>
          </w:p>
          <w:p w14:paraId="332DDA1F">
            <w:pPr>
              <w:widowControl/>
              <w:ind w:firstLine="420" w:firstLineChars="200"/>
              <w:textAlignment w:val="center"/>
              <w:rPr>
                <w:highlight w:val="none"/>
              </w:rPr>
            </w:pPr>
            <w:r>
              <w:rPr>
                <w:rFonts w:hint="eastAsia"/>
                <w:highlight w:val="none"/>
              </w:rPr>
              <w:t>5.课程建设管理</w:t>
            </w:r>
          </w:p>
          <w:p w14:paraId="39E81B6A">
            <w:pPr>
              <w:widowControl/>
              <w:ind w:firstLine="420" w:firstLineChars="200"/>
              <w:textAlignment w:val="center"/>
              <w:rPr>
                <w:highlight w:val="none"/>
              </w:rPr>
            </w:pPr>
            <w:r>
              <w:rPr>
                <w:rFonts w:hint="eastAsia"/>
                <w:highlight w:val="none"/>
              </w:rPr>
              <w:t>负责课程资源的建设与维护，包括教材、课件、实验设备等，提升课程的学术水平和教学质量。</w:t>
            </w:r>
          </w:p>
          <w:p w14:paraId="0E099A11">
            <w:pPr>
              <w:widowControl/>
              <w:ind w:firstLine="420" w:firstLineChars="200"/>
              <w:textAlignment w:val="center"/>
              <w:rPr>
                <w:highlight w:val="none"/>
              </w:rPr>
            </w:pPr>
            <w:r>
              <w:rPr>
                <w:rFonts w:hint="eastAsia"/>
                <w:highlight w:val="none"/>
              </w:rPr>
              <w:t>（1）课程建设添加</w:t>
            </w:r>
          </w:p>
          <w:p w14:paraId="122FFB96">
            <w:pPr>
              <w:widowControl/>
              <w:ind w:firstLine="420" w:firstLineChars="200"/>
              <w:textAlignment w:val="center"/>
              <w:rPr>
                <w:highlight w:val="none"/>
              </w:rPr>
            </w:pPr>
            <w:r>
              <w:rPr>
                <w:rFonts w:hint="eastAsia"/>
                <w:highlight w:val="none"/>
              </w:rPr>
              <w:t>支持用户添加建设课程，字段课程号、课程名称、负责人号、申请日期、立项年度、验收日期、经费来源、立项经费、所属单位名称、课程建设类别。</w:t>
            </w:r>
          </w:p>
          <w:p w14:paraId="4348ACBD">
            <w:pPr>
              <w:widowControl/>
              <w:ind w:firstLine="420" w:firstLineChars="200"/>
              <w:textAlignment w:val="center"/>
              <w:rPr>
                <w:highlight w:val="none"/>
              </w:rPr>
            </w:pPr>
            <w:r>
              <w:rPr>
                <w:rFonts w:hint="eastAsia"/>
                <w:highlight w:val="none"/>
              </w:rPr>
              <w:t>（2）课程建设删除</w:t>
            </w:r>
          </w:p>
          <w:p w14:paraId="3AF2E728">
            <w:pPr>
              <w:widowControl/>
              <w:ind w:firstLine="420" w:firstLineChars="200"/>
              <w:textAlignment w:val="center"/>
              <w:rPr>
                <w:highlight w:val="none"/>
              </w:rPr>
            </w:pPr>
            <w:r>
              <w:rPr>
                <w:rFonts w:hint="eastAsia"/>
                <w:highlight w:val="none"/>
              </w:rPr>
              <w:t>支持用户删除建设课程。</w:t>
            </w:r>
          </w:p>
          <w:p w14:paraId="4D4DBEAA">
            <w:pPr>
              <w:widowControl/>
              <w:ind w:firstLine="420" w:firstLineChars="200"/>
              <w:textAlignment w:val="center"/>
              <w:rPr>
                <w:highlight w:val="none"/>
              </w:rPr>
            </w:pPr>
            <w:r>
              <w:rPr>
                <w:rFonts w:hint="eastAsia"/>
                <w:highlight w:val="none"/>
              </w:rPr>
              <w:t>（3）课程建设修改</w:t>
            </w:r>
          </w:p>
          <w:p w14:paraId="56C1597F">
            <w:pPr>
              <w:widowControl/>
              <w:ind w:firstLine="420" w:firstLineChars="200"/>
              <w:textAlignment w:val="center"/>
              <w:rPr>
                <w:highlight w:val="none"/>
              </w:rPr>
            </w:pPr>
            <w:r>
              <w:rPr>
                <w:rFonts w:hint="eastAsia"/>
                <w:highlight w:val="none"/>
              </w:rPr>
              <w:t>支持用户修改建设课程</w:t>
            </w:r>
          </w:p>
          <w:p w14:paraId="3B462B3C">
            <w:pPr>
              <w:widowControl/>
              <w:ind w:firstLine="420" w:firstLineChars="200"/>
              <w:textAlignment w:val="center"/>
              <w:rPr>
                <w:highlight w:val="none"/>
              </w:rPr>
            </w:pPr>
            <w:r>
              <w:rPr>
                <w:rFonts w:hint="eastAsia"/>
                <w:highlight w:val="none"/>
              </w:rPr>
              <w:t>（4）课程建设查询</w:t>
            </w:r>
          </w:p>
          <w:p w14:paraId="69C3830D">
            <w:pPr>
              <w:widowControl/>
              <w:ind w:firstLine="420" w:firstLineChars="200"/>
              <w:textAlignment w:val="center"/>
              <w:rPr>
                <w:highlight w:val="none"/>
              </w:rPr>
            </w:pPr>
            <w:r>
              <w:rPr>
                <w:rFonts w:hint="eastAsia"/>
                <w:highlight w:val="none"/>
              </w:rPr>
              <w:t>支持用户关键字查询建设课程。</w:t>
            </w:r>
          </w:p>
          <w:p w14:paraId="0516C6E8">
            <w:pPr>
              <w:widowControl/>
              <w:ind w:firstLine="420" w:firstLineChars="200"/>
              <w:textAlignment w:val="center"/>
              <w:rPr>
                <w:highlight w:val="none"/>
              </w:rPr>
            </w:pPr>
            <w:r>
              <w:rPr>
                <w:rFonts w:hint="eastAsia"/>
                <w:highlight w:val="none"/>
              </w:rPr>
              <w:t>6.课程基本数据管理</w:t>
            </w:r>
          </w:p>
          <w:p w14:paraId="740EC9D1">
            <w:pPr>
              <w:widowControl/>
              <w:ind w:firstLine="420" w:firstLineChars="200"/>
              <w:textAlignment w:val="center"/>
              <w:rPr>
                <w:highlight w:val="none"/>
              </w:rPr>
            </w:pPr>
            <w:r>
              <w:rPr>
                <w:rFonts w:hint="eastAsia"/>
                <w:highlight w:val="none"/>
              </w:rPr>
              <w:t>对课程的基本信息进行管理，如课程编号、名称、学分、性质等，便于课程信息的查询与统计。</w:t>
            </w:r>
          </w:p>
          <w:p w14:paraId="617DAB25">
            <w:pPr>
              <w:widowControl/>
              <w:ind w:firstLine="420" w:firstLineChars="200"/>
              <w:textAlignment w:val="center"/>
              <w:rPr>
                <w:highlight w:val="none"/>
              </w:rPr>
            </w:pPr>
            <w:r>
              <w:rPr>
                <w:rFonts w:hint="eastAsia"/>
                <w:highlight w:val="none"/>
              </w:rPr>
              <w:t>（1）课程添加</w:t>
            </w:r>
          </w:p>
          <w:p w14:paraId="27DF55BE">
            <w:pPr>
              <w:widowControl/>
              <w:ind w:firstLine="420" w:firstLineChars="200"/>
              <w:textAlignment w:val="center"/>
              <w:rPr>
                <w:highlight w:val="none"/>
              </w:rPr>
            </w:pPr>
            <w:r>
              <w:rPr>
                <w:rFonts w:hint="eastAsia"/>
                <w:highlight w:val="none"/>
              </w:rPr>
              <w:t>支持用于添加课程，字段课程名称、课程号、课程类型、课程属性、课程性质、公共课类别、精品课程级别、教学计划规定课时数、实践教学课时数、虚拟仿真实训课时数、是否课证融通课程、相关竞赛名称、是否校企合作开发课程、是否有线上课程、线上课程网址、是否课程思政示范课程、课堂教学设计主要选用课程资源。</w:t>
            </w:r>
          </w:p>
          <w:p w14:paraId="4B4289CA">
            <w:pPr>
              <w:widowControl/>
              <w:ind w:firstLine="420" w:firstLineChars="200"/>
              <w:textAlignment w:val="center"/>
              <w:rPr>
                <w:highlight w:val="none"/>
              </w:rPr>
            </w:pPr>
            <w:r>
              <w:rPr>
                <w:rFonts w:hint="eastAsia"/>
                <w:highlight w:val="none"/>
              </w:rPr>
              <w:t>（2）课程删除</w:t>
            </w:r>
          </w:p>
          <w:p w14:paraId="0BF80E6C">
            <w:pPr>
              <w:widowControl/>
              <w:ind w:firstLine="420" w:firstLineChars="200"/>
              <w:textAlignment w:val="center"/>
              <w:rPr>
                <w:highlight w:val="none"/>
              </w:rPr>
            </w:pPr>
            <w:r>
              <w:rPr>
                <w:rFonts w:hint="eastAsia"/>
                <w:highlight w:val="none"/>
              </w:rPr>
              <w:t>支持用户删除课程。</w:t>
            </w:r>
          </w:p>
          <w:p w14:paraId="34326B72">
            <w:pPr>
              <w:widowControl/>
              <w:ind w:firstLine="420" w:firstLineChars="200"/>
              <w:textAlignment w:val="center"/>
              <w:rPr>
                <w:highlight w:val="none"/>
              </w:rPr>
            </w:pPr>
            <w:r>
              <w:rPr>
                <w:rFonts w:hint="eastAsia"/>
                <w:highlight w:val="none"/>
              </w:rPr>
              <w:t>（3）课程修改</w:t>
            </w:r>
          </w:p>
          <w:p w14:paraId="4A1AD5E5">
            <w:pPr>
              <w:widowControl/>
              <w:ind w:firstLine="420" w:firstLineChars="200"/>
              <w:textAlignment w:val="center"/>
              <w:rPr>
                <w:highlight w:val="none"/>
              </w:rPr>
            </w:pPr>
            <w:r>
              <w:rPr>
                <w:rFonts w:hint="eastAsia"/>
                <w:highlight w:val="none"/>
              </w:rPr>
              <w:t>支持用户修改课程基本信息。</w:t>
            </w:r>
          </w:p>
          <w:p w14:paraId="6C6A5975">
            <w:pPr>
              <w:widowControl/>
              <w:ind w:firstLine="420" w:firstLineChars="200"/>
              <w:textAlignment w:val="center"/>
              <w:rPr>
                <w:highlight w:val="none"/>
              </w:rPr>
            </w:pPr>
            <w:r>
              <w:rPr>
                <w:rFonts w:hint="eastAsia"/>
                <w:highlight w:val="none"/>
              </w:rPr>
              <w:t>（4）课程查询</w:t>
            </w:r>
          </w:p>
          <w:p w14:paraId="0FDB46C7">
            <w:pPr>
              <w:pStyle w:val="102"/>
              <w:ind w:firstLine="420" w:firstLineChars="200"/>
              <w:rPr>
                <w:rFonts w:ascii="宋体" w:hAnsi="宋体" w:cs="宋体"/>
                <w:bCs/>
                <w:sz w:val="24"/>
                <w:szCs w:val="24"/>
                <w:highlight w:val="none"/>
              </w:rPr>
            </w:pPr>
            <w:r>
              <w:rPr>
                <w:rFonts w:hint="eastAsia"/>
                <w:highlight w:val="none"/>
              </w:rPr>
              <w:t>支持用户关键字查询课程。</w:t>
            </w:r>
          </w:p>
        </w:tc>
        <w:tc>
          <w:tcPr>
            <w:tcW w:w="635" w:type="pct"/>
            <w:vAlign w:val="center"/>
          </w:tcPr>
          <w:p w14:paraId="56DE68DA">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5C18B45D">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57CE971C">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12C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37527B6F">
            <w:pPr>
              <w:jc w:val="center"/>
              <w:rPr>
                <w:rFonts w:ascii="宋体" w:hAnsi="宋体" w:eastAsia="宋体" w:cs="宋体"/>
                <w:sz w:val="24"/>
                <w:highlight w:val="none"/>
              </w:rPr>
            </w:pPr>
            <w:r>
              <w:rPr>
                <w:rFonts w:hint="eastAsia" w:cs="宋体" w:asciiTheme="minorEastAsia" w:hAnsiTheme="minorEastAsia"/>
                <w:b/>
                <w:bCs/>
                <w:sz w:val="24"/>
                <w:highlight w:val="none"/>
              </w:rPr>
              <w:t>2</w:t>
            </w:r>
          </w:p>
        </w:tc>
        <w:tc>
          <w:tcPr>
            <w:tcW w:w="778" w:type="pct"/>
            <w:vAlign w:val="center"/>
          </w:tcPr>
          <w:p w14:paraId="6987D1FA">
            <w:pPr>
              <w:pStyle w:val="102"/>
              <w:jc w:val="center"/>
              <w:rPr>
                <w:rFonts w:ascii="宋体" w:hAnsi="宋体" w:cs="宋体"/>
                <w:bCs/>
                <w:sz w:val="24"/>
                <w:szCs w:val="24"/>
                <w:highlight w:val="none"/>
              </w:rPr>
            </w:pPr>
            <w:r>
              <w:rPr>
                <w:rFonts w:hint="eastAsia" w:ascii="宋体" w:hAnsi="宋体" w:cs="宋体"/>
                <w:kern w:val="0"/>
                <w:highlight w:val="none"/>
                <w:lang w:bidi="ar"/>
              </w:rPr>
              <w:t>社团管理系统</w:t>
            </w:r>
          </w:p>
        </w:tc>
        <w:tc>
          <w:tcPr>
            <w:tcW w:w="2378" w:type="pct"/>
            <w:vAlign w:val="center"/>
          </w:tcPr>
          <w:p w14:paraId="46E8C2FC">
            <w:pPr>
              <w:widowControl/>
              <w:ind w:firstLine="420" w:firstLineChars="200"/>
              <w:textAlignment w:val="center"/>
              <w:rPr>
                <w:highlight w:val="none"/>
              </w:rPr>
            </w:pPr>
            <w:r>
              <w:rPr>
                <w:rFonts w:hint="eastAsia"/>
                <w:highlight w:val="none"/>
              </w:rPr>
              <w:t>1.社团管理</w:t>
            </w:r>
          </w:p>
          <w:p w14:paraId="4E857B29">
            <w:pPr>
              <w:widowControl/>
              <w:ind w:firstLine="420" w:firstLineChars="200"/>
              <w:textAlignment w:val="center"/>
              <w:rPr>
                <w:highlight w:val="none"/>
              </w:rPr>
            </w:pPr>
            <w:r>
              <w:rPr>
                <w:rFonts w:hint="eastAsia"/>
                <w:highlight w:val="none"/>
              </w:rPr>
              <w:t>负责学生社团的注册、活动审批、成员管理等，为学生提供多样化的课外活动平台。</w:t>
            </w:r>
          </w:p>
          <w:p w14:paraId="041FC478">
            <w:pPr>
              <w:widowControl/>
              <w:ind w:firstLine="420" w:firstLineChars="200"/>
              <w:textAlignment w:val="center"/>
              <w:rPr>
                <w:highlight w:val="none"/>
              </w:rPr>
            </w:pPr>
            <w:r>
              <w:rPr>
                <w:rFonts w:hint="eastAsia"/>
                <w:highlight w:val="none"/>
              </w:rPr>
              <w:t>（1）学生社团添加</w:t>
            </w:r>
          </w:p>
          <w:p w14:paraId="4737A854">
            <w:pPr>
              <w:widowControl/>
              <w:ind w:firstLine="420" w:firstLineChars="200"/>
              <w:textAlignment w:val="center"/>
              <w:rPr>
                <w:highlight w:val="none"/>
              </w:rPr>
            </w:pPr>
            <w:r>
              <w:rPr>
                <w:rFonts w:hint="eastAsia"/>
                <w:highlight w:val="none"/>
              </w:rPr>
              <w:t>支持用户添加学生社团，字段社团编号、社团名称、社团类型、社团简介、成立日期、挂靠单位名称、社团负责人号、社团负责人姓名、指导教师工号、指导教师姓名、解散日期。</w:t>
            </w:r>
          </w:p>
          <w:p w14:paraId="57AC2BAC">
            <w:pPr>
              <w:widowControl/>
              <w:ind w:firstLine="420" w:firstLineChars="200"/>
              <w:textAlignment w:val="center"/>
              <w:rPr>
                <w:highlight w:val="none"/>
              </w:rPr>
            </w:pPr>
            <w:r>
              <w:rPr>
                <w:rFonts w:hint="eastAsia"/>
                <w:highlight w:val="none"/>
              </w:rPr>
              <w:t>（2）学生社团删除</w:t>
            </w:r>
          </w:p>
          <w:p w14:paraId="30B15180">
            <w:pPr>
              <w:widowControl/>
              <w:ind w:firstLine="420" w:firstLineChars="200"/>
              <w:textAlignment w:val="center"/>
              <w:rPr>
                <w:highlight w:val="none"/>
              </w:rPr>
            </w:pPr>
            <w:r>
              <w:rPr>
                <w:rFonts w:hint="eastAsia"/>
                <w:highlight w:val="none"/>
              </w:rPr>
              <w:t>支持用户删除学生社团</w:t>
            </w:r>
          </w:p>
          <w:p w14:paraId="789DA0CE">
            <w:pPr>
              <w:widowControl/>
              <w:ind w:firstLine="420" w:firstLineChars="200"/>
              <w:textAlignment w:val="center"/>
              <w:rPr>
                <w:highlight w:val="none"/>
              </w:rPr>
            </w:pPr>
            <w:r>
              <w:rPr>
                <w:rFonts w:hint="eastAsia"/>
                <w:highlight w:val="none"/>
              </w:rPr>
              <w:t>（3）学生社团修改</w:t>
            </w:r>
          </w:p>
          <w:p w14:paraId="0D136142">
            <w:pPr>
              <w:widowControl/>
              <w:ind w:firstLine="420" w:firstLineChars="200"/>
              <w:textAlignment w:val="center"/>
              <w:rPr>
                <w:highlight w:val="none"/>
              </w:rPr>
            </w:pPr>
            <w:r>
              <w:rPr>
                <w:rFonts w:hint="eastAsia"/>
                <w:highlight w:val="none"/>
              </w:rPr>
              <w:t>支持用户修改学生社团信息。</w:t>
            </w:r>
          </w:p>
          <w:p w14:paraId="47A7952D">
            <w:pPr>
              <w:widowControl/>
              <w:ind w:firstLine="420" w:firstLineChars="200"/>
              <w:textAlignment w:val="center"/>
              <w:rPr>
                <w:highlight w:val="none"/>
              </w:rPr>
            </w:pPr>
            <w:r>
              <w:rPr>
                <w:rFonts w:hint="eastAsia"/>
                <w:highlight w:val="none"/>
              </w:rPr>
              <w:t>（4）学生社团查询</w:t>
            </w:r>
          </w:p>
          <w:p w14:paraId="64F0D16A">
            <w:pPr>
              <w:widowControl/>
              <w:ind w:firstLine="420" w:firstLineChars="200"/>
              <w:textAlignment w:val="center"/>
              <w:rPr>
                <w:highlight w:val="none"/>
              </w:rPr>
            </w:pPr>
            <w:r>
              <w:rPr>
                <w:rFonts w:hint="eastAsia"/>
                <w:highlight w:val="none"/>
              </w:rPr>
              <w:t>支持用户关键字查询社团。</w:t>
            </w:r>
          </w:p>
          <w:p w14:paraId="3E0898FD">
            <w:pPr>
              <w:widowControl/>
              <w:ind w:firstLine="420" w:firstLineChars="200"/>
              <w:textAlignment w:val="center"/>
              <w:rPr>
                <w:highlight w:val="none"/>
              </w:rPr>
            </w:pPr>
            <w:r>
              <w:rPr>
                <w:rFonts w:hint="eastAsia"/>
                <w:highlight w:val="none"/>
              </w:rPr>
              <w:t>2.社团成员管理</w:t>
            </w:r>
          </w:p>
          <w:p w14:paraId="10434EE7">
            <w:pPr>
              <w:widowControl/>
              <w:ind w:firstLine="420" w:firstLineChars="200"/>
              <w:textAlignment w:val="center"/>
              <w:rPr>
                <w:highlight w:val="none"/>
              </w:rPr>
            </w:pPr>
            <w:r>
              <w:rPr>
                <w:rFonts w:hint="eastAsia"/>
                <w:highlight w:val="none"/>
              </w:rPr>
              <w:t>对社团成员进行管理，包括成员的加入、退出、职务分配等，确保社团活动的正常进行。</w:t>
            </w:r>
          </w:p>
          <w:p w14:paraId="28730AA6">
            <w:pPr>
              <w:widowControl/>
              <w:ind w:firstLine="420" w:firstLineChars="200"/>
              <w:textAlignment w:val="center"/>
              <w:rPr>
                <w:highlight w:val="none"/>
              </w:rPr>
            </w:pPr>
            <w:r>
              <w:rPr>
                <w:rFonts w:hint="eastAsia"/>
                <w:highlight w:val="none"/>
              </w:rPr>
              <w:t>（1）社团成员添加</w:t>
            </w:r>
          </w:p>
          <w:p w14:paraId="2947FC63">
            <w:pPr>
              <w:widowControl/>
              <w:ind w:firstLine="420" w:firstLineChars="200"/>
              <w:textAlignment w:val="center"/>
              <w:rPr>
                <w:highlight w:val="none"/>
              </w:rPr>
            </w:pPr>
            <w:r>
              <w:rPr>
                <w:rFonts w:hint="eastAsia"/>
                <w:highlight w:val="none"/>
              </w:rPr>
              <w:t>支持用户添加社团成员，字段：社团编号、社团名称、学号、学生姓名、参加日期、退出日期、社团职务。</w:t>
            </w:r>
          </w:p>
          <w:p w14:paraId="36301867">
            <w:pPr>
              <w:widowControl/>
              <w:ind w:firstLine="420" w:firstLineChars="200"/>
              <w:textAlignment w:val="center"/>
              <w:rPr>
                <w:highlight w:val="none"/>
              </w:rPr>
            </w:pPr>
            <w:r>
              <w:rPr>
                <w:rFonts w:hint="eastAsia"/>
                <w:highlight w:val="none"/>
              </w:rPr>
              <w:t>（2）社团成员删除</w:t>
            </w:r>
          </w:p>
          <w:p w14:paraId="3967C813">
            <w:pPr>
              <w:widowControl/>
              <w:ind w:firstLine="420" w:firstLineChars="200"/>
              <w:textAlignment w:val="center"/>
              <w:rPr>
                <w:highlight w:val="none"/>
              </w:rPr>
            </w:pPr>
            <w:r>
              <w:rPr>
                <w:rFonts w:hint="eastAsia"/>
                <w:highlight w:val="none"/>
              </w:rPr>
              <w:t>支持用户删除社团成员。</w:t>
            </w:r>
          </w:p>
          <w:p w14:paraId="0989A0F7">
            <w:pPr>
              <w:widowControl/>
              <w:ind w:firstLine="420" w:firstLineChars="200"/>
              <w:textAlignment w:val="center"/>
              <w:rPr>
                <w:highlight w:val="none"/>
              </w:rPr>
            </w:pPr>
            <w:r>
              <w:rPr>
                <w:rFonts w:hint="eastAsia"/>
                <w:highlight w:val="none"/>
              </w:rPr>
              <w:t>（3）社团成员修改信息</w:t>
            </w:r>
          </w:p>
          <w:p w14:paraId="1F440B0F">
            <w:pPr>
              <w:widowControl/>
              <w:ind w:firstLine="420" w:firstLineChars="200"/>
              <w:textAlignment w:val="center"/>
              <w:rPr>
                <w:highlight w:val="none"/>
              </w:rPr>
            </w:pPr>
            <w:r>
              <w:rPr>
                <w:rFonts w:hint="eastAsia"/>
                <w:highlight w:val="none"/>
              </w:rPr>
              <w:t>支持用户修改社团成员信息，比如社团职务等。</w:t>
            </w:r>
          </w:p>
          <w:p w14:paraId="525617AC">
            <w:pPr>
              <w:widowControl/>
              <w:ind w:firstLine="420" w:firstLineChars="200"/>
              <w:textAlignment w:val="center"/>
              <w:rPr>
                <w:highlight w:val="none"/>
              </w:rPr>
            </w:pPr>
            <w:r>
              <w:rPr>
                <w:rFonts w:hint="eastAsia"/>
                <w:highlight w:val="none"/>
              </w:rPr>
              <w:t>（4）社团成员查询</w:t>
            </w:r>
          </w:p>
          <w:p w14:paraId="51BB1B0B">
            <w:pPr>
              <w:widowControl/>
              <w:ind w:firstLine="420" w:firstLineChars="200"/>
              <w:textAlignment w:val="center"/>
              <w:rPr>
                <w:highlight w:val="none"/>
              </w:rPr>
            </w:pPr>
            <w:r>
              <w:rPr>
                <w:rFonts w:hint="eastAsia"/>
                <w:highlight w:val="none"/>
              </w:rPr>
              <w:t>支持用户关键字查询社团成员。</w:t>
            </w:r>
          </w:p>
          <w:p w14:paraId="1DCC5461">
            <w:pPr>
              <w:widowControl/>
              <w:ind w:firstLine="420" w:firstLineChars="200"/>
              <w:textAlignment w:val="center"/>
              <w:rPr>
                <w:highlight w:val="none"/>
              </w:rPr>
            </w:pPr>
            <w:r>
              <w:rPr>
                <w:rFonts w:hint="eastAsia"/>
                <w:highlight w:val="none"/>
              </w:rPr>
              <w:t>3.社团活动管理</w:t>
            </w:r>
          </w:p>
          <w:p w14:paraId="0762031D">
            <w:pPr>
              <w:widowControl/>
              <w:ind w:firstLine="420" w:firstLineChars="200"/>
              <w:textAlignment w:val="center"/>
              <w:rPr>
                <w:highlight w:val="none"/>
              </w:rPr>
            </w:pPr>
            <w:r>
              <w:rPr>
                <w:rFonts w:hint="eastAsia"/>
                <w:highlight w:val="none"/>
              </w:rPr>
              <w:t>策划、组织、监督和评价学生社团的活动，促进校园文化的繁荣。</w:t>
            </w:r>
          </w:p>
          <w:p w14:paraId="35D050F8">
            <w:pPr>
              <w:widowControl/>
              <w:ind w:firstLine="420" w:firstLineChars="200"/>
              <w:textAlignment w:val="center"/>
              <w:rPr>
                <w:highlight w:val="none"/>
              </w:rPr>
            </w:pPr>
            <w:r>
              <w:rPr>
                <w:rFonts w:hint="eastAsia"/>
                <w:highlight w:val="none"/>
              </w:rPr>
              <w:t>（1）社团活动添加</w:t>
            </w:r>
          </w:p>
          <w:p w14:paraId="255F7901">
            <w:pPr>
              <w:widowControl/>
              <w:ind w:firstLine="420" w:firstLineChars="200"/>
              <w:textAlignment w:val="center"/>
              <w:rPr>
                <w:highlight w:val="none"/>
              </w:rPr>
            </w:pPr>
            <w:r>
              <w:rPr>
                <w:rFonts w:hint="eastAsia"/>
                <w:highlight w:val="none"/>
              </w:rPr>
              <w:t>支持用户添加社团活动，字段：社团活动编号、社团活动名称、社团编号、社团名称、活动发布时间、活动开始时间、活动结束时间、活动录取方式、活动指导教师工号、活动指导教师姓名、活动类型、活动级别、最大报名人数、活动报名人数、活动参与方式。</w:t>
            </w:r>
          </w:p>
          <w:p w14:paraId="36398C6E">
            <w:pPr>
              <w:widowControl/>
              <w:ind w:firstLine="420" w:firstLineChars="200"/>
              <w:textAlignment w:val="center"/>
              <w:rPr>
                <w:highlight w:val="none"/>
              </w:rPr>
            </w:pPr>
            <w:r>
              <w:rPr>
                <w:rFonts w:hint="eastAsia"/>
                <w:highlight w:val="none"/>
              </w:rPr>
              <w:t>（2）社团活动删除</w:t>
            </w:r>
          </w:p>
          <w:p w14:paraId="6C5D650A">
            <w:pPr>
              <w:widowControl/>
              <w:ind w:firstLine="420" w:firstLineChars="200"/>
              <w:textAlignment w:val="center"/>
              <w:rPr>
                <w:highlight w:val="none"/>
              </w:rPr>
            </w:pPr>
            <w:r>
              <w:rPr>
                <w:rFonts w:hint="eastAsia"/>
                <w:highlight w:val="none"/>
              </w:rPr>
              <w:t>支持用户删除社团活动。</w:t>
            </w:r>
          </w:p>
          <w:p w14:paraId="1CCB49EF">
            <w:pPr>
              <w:widowControl/>
              <w:ind w:firstLine="420" w:firstLineChars="200"/>
              <w:textAlignment w:val="center"/>
              <w:rPr>
                <w:highlight w:val="none"/>
              </w:rPr>
            </w:pPr>
            <w:r>
              <w:rPr>
                <w:rFonts w:hint="eastAsia"/>
                <w:highlight w:val="none"/>
              </w:rPr>
              <w:t>（3）社团活动修改</w:t>
            </w:r>
          </w:p>
          <w:p w14:paraId="67340BB4">
            <w:pPr>
              <w:widowControl/>
              <w:ind w:firstLine="420" w:firstLineChars="200"/>
              <w:textAlignment w:val="center"/>
              <w:rPr>
                <w:highlight w:val="none"/>
              </w:rPr>
            </w:pPr>
            <w:r>
              <w:rPr>
                <w:rFonts w:hint="eastAsia"/>
                <w:highlight w:val="none"/>
              </w:rPr>
              <w:t>支持用户修改社团活动信息。</w:t>
            </w:r>
          </w:p>
          <w:p w14:paraId="21478CBF">
            <w:pPr>
              <w:widowControl/>
              <w:ind w:firstLine="420" w:firstLineChars="200"/>
              <w:textAlignment w:val="center"/>
              <w:rPr>
                <w:highlight w:val="none"/>
              </w:rPr>
            </w:pPr>
            <w:r>
              <w:rPr>
                <w:rFonts w:hint="eastAsia"/>
                <w:highlight w:val="none"/>
              </w:rPr>
              <w:t>（4）社团活动查询</w:t>
            </w:r>
          </w:p>
          <w:p w14:paraId="270448B1">
            <w:pPr>
              <w:widowControl/>
              <w:ind w:firstLine="420" w:firstLineChars="200"/>
              <w:textAlignment w:val="center"/>
              <w:rPr>
                <w:highlight w:val="none"/>
              </w:rPr>
            </w:pPr>
            <w:r>
              <w:rPr>
                <w:rFonts w:hint="eastAsia"/>
                <w:highlight w:val="none"/>
              </w:rPr>
              <w:t>支持用户关键字查询社团活动。</w:t>
            </w:r>
          </w:p>
          <w:p w14:paraId="40E0D896">
            <w:pPr>
              <w:widowControl/>
              <w:ind w:firstLine="420" w:firstLineChars="200"/>
              <w:textAlignment w:val="center"/>
              <w:rPr>
                <w:highlight w:val="none"/>
              </w:rPr>
            </w:pPr>
            <w:r>
              <w:rPr>
                <w:rFonts w:hint="eastAsia"/>
                <w:highlight w:val="none"/>
              </w:rPr>
              <w:t>4.活动消息发布</w:t>
            </w:r>
          </w:p>
          <w:p w14:paraId="2A229939">
            <w:pPr>
              <w:widowControl/>
              <w:ind w:firstLine="420" w:firstLineChars="200"/>
              <w:textAlignment w:val="center"/>
              <w:rPr>
                <w:highlight w:val="none"/>
              </w:rPr>
            </w:pPr>
            <w:r>
              <w:rPr>
                <w:rFonts w:hint="eastAsia"/>
                <w:highlight w:val="none"/>
              </w:rPr>
              <w:t>通过校园网、微信等渠道发布活动信息，吸引学生参与。</w:t>
            </w:r>
          </w:p>
          <w:p w14:paraId="370C074A">
            <w:pPr>
              <w:widowControl/>
              <w:ind w:firstLine="420" w:firstLineChars="200"/>
              <w:textAlignment w:val="center"/>
              <w:rPr>
                <w:highlight w:val="none"/>
              </w:rPr>
            </w:pPr>
            <w:r>
              <w:rPr>
                <w:rFonts w:hint="eastAsia"/>
                <w:highlight w:val="none"/>
              </w:rPr>
              <w:t>5.活动报名与签到</w:t>
            </w:r>
          </w:p>
          <w:p w14:paraId="071ADCEE">
            <w:pPr>
              <w:widowControl/>
              <w:ind w:firstLine="420" w:firstLineChars="200"/>
              <w:textAlignment w:val="center"/>
              <w:rPr>
                <w:highlight w:val="none"/>
              </w:rPr>
            </w:pPr>
            <w:r>
              <w:rPr>
                <w:rFonts w:hint="eastAsia"/>
                <w:highlight w:val="none"/>
              </w:rPr>
              <w:t>提供在线报名和现场签到功能，便于活动组织和管理。</w:t>
            </w:r>
          </w:p>
          <w:p w14:paraId="3D8295AD">
            <w:pPr>
              <w:widowControl/>
              <w:ind w:firstLine="420" w:firstLineChars="200"/>
              <w:textAlignment w:val="center"/>
              <w:rPr>
                <w:highlight w:val="none"/>
              </w:rPr>
            </w:pPr>
            <w:r>
              <w:rPr>
                <w:rFonts w:hint="eastAsia"/>
                <w:highlight w:val="none"/>
              </w:rPr>
              <w:t>（1）学生线上报名</w:t>
            </w:r>
          </w:p>
          <w:p w14:paraId="3817203C">
            <w:pPr>
              <w:widowControl/>
              <w:ind w:firstLine="420" w:firstLineChars="200"/>
              <w:textAlignment w:val="center"/>
              <w:rPr>
                <w:highlight w:val="none"/>
              </w:rPr>
            </w:pPr>
            <w:r>
              <w:rPr>
                <w:rFonts w:hint="eastAsia"/>
                <w:highlight w:val="none"/>
              </w:rPr>
              <w:t>支持学生线上查看社团活动，线上申请参加社团活动。</w:t>
            </w:r>
          </w:p>
          <w:p w14:paraId="6257DAF6">
            <w:pPr>
              <w:widowControl/>
              <w:ind w:firstLine="420" w:firstLineChars="200"/>
              <w:textAlignment w:val="center"/>
              <w:rPr>
                <w:highlight w:val="none"/>
              </w:rPr>
            </w:pPr>
            <w:r>
              <w:rPr>
                <w:rFonts w:hint="eastAsia"/>
                <w:highlight w:val="none"/>
              </w:rPr>
              <w:t>（2）活动报名审核</w:t>
            </w:r>
          </w:p>
          <w:p w14:paraId="19107EFA">
            <w:pPr>
              <w:widowControl/>
              <w:ind w:firstLine="420" w:firstLineChars="200"/>
              <w:textAlignment w:val="center"/>
              <w:rPr>
                <w:highlight w:val="none"/>
              </w:rPr>
            </w:pPr>
            <w:r>
              <w:rPr>
                <w:rFonts w:hint="eastAsia"/>
                <w:highlight w:val="none"/>
              </w:rPr>
              <w:t>学生线上报名后，活动发布者可以线上审核报名人员。</w:t>
            </w:r>
          </w:p>
          <w:p w14:paraId="5A8CAAF5">
            <w:pPr>
              <w:widowControl/>
              <w:ind w:firstLine="420" w:firstLineChars="200"/>
              <w:textAlignment w:val="center"/>
              <w:rPr>
                <w:highlight w:val="none"/>
              </w:rPr>
            </w:pPr>
            <w:r>
              <w:rPr>
                <w:rFonts w:hint="eastAsia"/>
                <w:highlight w:val="none"/>
              </w:rPr>
              <w:t>（3）活动签到</w:t>
            </w:r>
          </w:p>
          <w:p w14:paraId="3ED41F3E">
            <w:pPr>
              <w:widowControl/>
              <w:ind w:firstLine="420" w:firstLineChars="200"/>
              <w:textAlignment w:val="center"/>
              <w:rPr>
                <w:highlight w:val="none"/>
              </w:rPr>
            </w:pPr>
            <w:r>
              <w:rPr>
                <w:rFonts w:hint="eastAsia"/>
                <w:highlight w:val="none"/>
              </w:rPr>
              <w:t>报名参加社团活动的学生可以现场扫码签到。</w:t>
            </w:r>
          </w:p>
          <w:p w14:paraId="01E62839">
            <w:pPr>
              <w:widowControl/>
              <w:ind w:firstLine="420" w:firstLineChars="200"/>
              <w:textAlignment w:val="center"/>
              <w:rPr>
                <w:highlight w:val="none"/>
              </w:rPr>
            </w:pPr>
            <w:r>
              <w:rPr>
                <w:rFonts w:hint="eastAsia"/>
                <w:highlight w:val="none"/>
              </w:rPr>
              <w:t>6.活动学分管理</w:t>
            </w:r>
          </w:p>
          <w:p w14:paraId="21563824">
            <w:pPr>
              <w:pStyle w:val="102"/>
              <w:ind w:firstLine="420" w:firstLineChars="200"/>
              <w:jc w:val="left"/>
              <w:rPr>
                <w:rFonts w:ascii="宋体" w:hAnsi="宋体" w:cs="宋体"/>
                <w:bCs/>
                <w:sz w:val="24"/>
                <w:szCs w:val="24"/>
                <w:highlight w:val="none"/>
              </w:rPr>
            </w:pPr>
            <w:r>
              <w:rPr>
                <w:rFonts w:hint="eastAsia"/>
                <w:highlight w:val="none"/>
              </w:rPr>
              <w:t>对参与活动所获得的学分进行记录和管理，作为学生评价的依据。</w:t>
            </w:r>
          </w:p>
        </w:tc>
        <w:tc>
          <w:tcPr>
            <w:tcW w:w="635" w:type="pct"/>
            <w:vAlign w:val="center"/>
          </w:tcPr>
          <w:p w14:paraId="2076A9C6">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7D20508">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7F04A500">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1556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8" w:type="pct"/>
            <w:vAlign w:val="center"/>
          </w:tcPr>
          <w:p w14:paraId="6D510B7B">
            <w:pPr>
              <w:jc w:val="center"/>
              <w:rPr>
                <w:rFonts w:ascii="宋体" w:hAnsi="宋体" w:eastAsia="宋体" w:cs="宋体"/>
                <w:sz w:val="24"/>
                <w:highlight w:val="none"/>
              </w:rPr>
            </w:pPr>
            <w:r>
              <w:rPr>
                <w:rFonts w:hint="eastAsia" w:cs="宋体" w:asciiTheme="minorEastAsia" w:hAnsiTheme="minorEastAsia"/>
                <w:b/>
                <w:bCs/>
                <w:sz w:val="24"/>
                <w:highlight w:val="none"/>
              </w:rPr>
              <w:t>3</w:t>
            </w:r>
          </w:p>
        </w:tc>
        <w:tc>
          <w:tcPr>
            <w:tcW w:w="778" w:type="pct"/>
            <w:vAlign w:val="center"/>
          </w:tcPr>
          <w:p w14:paraId="22FC2565">
            <w:pPr>
              <w:pStyle w:val="102"/>
              <w:jc w:val="center"/>
              <w:rPr>
                <w:rFonts w:ascii="宋体" w:hAnsi="宋体" w:cs="宋体"/>
                <w:bCs/>
                <w:sz w:val="24"/>
                <w:szCs w:val="24"/>
                <w:highlight w:val="none"/>
              </w:rPr>
            </w:pPr>
            <w:r>
              <w:rPr>
                <w:rFonts w:hint="eastAsia"/>
                <w:highlight w:val="none"/>
              </w:rPr>
              <w:t>思政管理系统</w:t>
            </w:r>
          </w:p>
        </w:tc>
        <w:tc>
          <w:tcPr>
            <w:tcW w:w="2378" w:type="pct"/>
            <w:vAlign w:val="center"/>
          </w:tcPr>
          <w:p w14:paraId="4B71E64E">
            <w:pPr>
              <w:widowControl/>
              <w:ind w:firstLine="420" w:firstLineChars="200"/>
              <w:textAlignment w:val="center"/>
              <w:rPr>
                <w:highlight w:val="none"/>
              </w:rPr>
            </w:pPr>
            <w:r>
              <w:rPr>
                <w:rFonts w:hint="eastAsia"/>
                <w:highlight w:val="none"/>
              </w:rPr>
              <w:t>1.思政教职工管理</w:t>
            </w:r>
          </w:p>
          <w:p w14:paraId="22C49DEF">
            <w:pPr>
              <w:widowControl/>
              <w:ind w:firstLine="420" w:firstLineChars="200"/>
              <w:textAlignment w:val="center"/>
              <w:rPr>
                <w:highlight w:val="none"/>
              </w:rPr>
            </w:pPr>
            <w:r>
              <w:rPr>
                <w:rFonts w:hint="eastAsia"/>
                <w:highlight w:val="none"/>
              </w:rPr>
              <w:t>对思政教育工作人员进行管理，包括人员配置、培训、考核等。</w:t>
            </w:r>
          </w:p>
          <w:p w14:paraId="6A4969D4">
            <w:pPr>
              <w:widowControl/>
              <w:ind w:firstLine="420" w:firstLineChars="200"/>
              <w:textAlignment w:val="center"/>
              <w:rPr>
                <w:highlight w:val="none"/>
              </w:rPr>
            </w:pPr>
            <w:r>
              <w:rPr>
                <w:rFonts w:hint="eastAsia"/>
                <w:highlight w:val="none"/>
              </w:rPr>
              <w:t>（1）思政教职工添加</w:t>
            </w:r>
          </w:p>
          <w:p w14:paraId="5F8C60AD">
            <w:pPr>
              <w:widowControl/>
              <w:ind w:firstLine="420" w:firstLineChars="200"/>
              <w:textAlignment w:val="center"/>
              <w:rPr>
                <w:highlight w:val="none"/>
              </w:rPr>
            </w:pPr>
            <w:r>
              <w:rPr>
                <w:rFonts w:hint="eastAsia"/>
                <w:highlight w:val="none"/>
              </w:rPr>
              <w:t>支持用户添加思政教职工，字段：教工号、教师姓名、人员类型、教龄、专科所学专业名称、本科所学专业名称、硕士所学专业名称、博士所学专业名称、班主任辅导员年限/思政课年限、是否心理健康课教师、是否心理咨询师、是否持有“心理咨询师”资格证书、“心理咨询师”资格证书编号。</w:t>
            </w:r>
          </w:p>
          <w:p w14:paraId="214E8CE9">
            <w:pPr>
              <w:widowControl/>
              <w:ind w:firstLine="420" w:firstLineChars="200"/>
              <w:textAlignment w:val="center"/>
              <w:rPr>
                <w:highlight w:val="none"/>
              </w:rPr>
            </w:pPr>
            <w:r>
              <w:rPr>
                <w:rFonts w:hint="eastAsia"/>
                <w:highlight w:val="none"/>
              </w:rPr>
              <w:t>（2）思政教职工删除</w:t>
            </w:r>
          </w:p>
          <w:p w14:paraId="1AC2E51D">
            <w:pPr>
              <w:widowControl/>
              <w:ind w:firstLine="420" w:firstLineChars="200"/>
              <w:textAlignment w:val="center"/>
              <w:rPr>
                <w:highlight w:val="none"/>
              </w:rPr>
            </w:pPr>
            <w:r>
              <w:rPr>
                <w:rFonts w:hint="eastAsia"/>
                <w:highlight w:val="none"/>
              </w:rPr>
              <w:t>支持用户删除思政教职工。</w:t>
            </w:r>
          </w:p>
          <w:p w14:paraId="78E9531B">
            <w:pPr>
              <w:widowControl/>
              <w:ind w:firstLine="420" w:firstLineChars="200"/>
              <w:textAlignment w:val="center"/>
              <w:rPr>
                <w:highlight w:val="none"/>
              </w:rPr>
            </w:pPr>
            <w:r>
              <w:rPr>
                <w:rFonts w:hint="eastAsia"/>
                <w:highlight w:val="none"/>
              </w:rPr>
              <w:t>（3）思政教职工修改</w:t>
            </w:r>
          </w:p>
          <w:p w14:paraId="6780E174">
            <w:pPr>
              <w:widowControl/>
              <w:ind w:firstLine="420" w:firstLineChars="200"/>
              <w:textAlignment w:val="center"/>
              <w:rPr>
                <w:highlight w:val="none"/>
              </w:rPr>
            </w:pPr>
            <w:r>
              <w:rPr>
                <w:rFonts w:hint="eastAsia"/>
                <w:highlight w:val="none"/>
              </w:rPr>
              <w:t>支持用户修改思政教职工信息</w:t>
            </w:r>
          </w:p>
          <w:p w14:paraId="754708D0">
            <w:pPr>
              <w:widowControl/>
              <w:ind w:firstLine="420" w:firstLineChars="200"/>
              <w:textAlignment w:val="center"/>
              <w:rPr>
                <w:highlight w:val="none"/>
              </w:rPr>
            </w:pPr>
            <w:r>
              <w:rPr>
                <w:rFonts w:hint="eastAsia"/>
                <w:highlight w:val="none"/>
              </w:rPr>
              <w:t>（4）思政教职工查询</w:t>
            </w:r>
          </w:p>
          <w:p w14:paraId="5DD77750">
            <w:pPr>
              <w:widowControl/>
              <w:ind w:firstLine="420" w:firstLineChars="200"/>
              <w:textAlignment w:val="center"/>
              <w:rPr>
                <w:highlight w:val="none"/>
              </w:rPr>
            </w:pPr>
            <w:r>
              <w:rPr>
                <w:rFonts w:hint="eastAsia"/>
                <w:highlight w:val="none"/>
              </w:rPr>
              <w:t>支持用户关键字查询思政教职工。</w:t>
            </w:r>
          </w:p>
          <w:p w14:paraId="49F9FFB7">
            <w:pPr>
              <w:widowControl/>
              <w:ind w:firstLine="420" w:firstLineChars="200"/>
              <w:textAlignment w:val="center"/>
              <w:rPr>
                <w:highlight w:val="none"/>
              </w:rPr>
            </w:pPr>
            <w:r>
              <w:rPr>
                <w:rFonts w:hint="eastAsia"/>
                <w:highlight w:val="none"/>
              </w:rPr>
              <w:t>2.思政活动管理</w:t>
            </w:r>
          </w:p>
          <w:p w14:paraId="2B021CCA">
            <w:pPr>
              <w:widowControl/>
              <w:ind w:firstLine="420" w:firstLineChars="200"/>
              <w:textAlignment w:val="center"/>
              <w:rPr>
                <w:highlight w:val="none"/>
              </w:rPr>
            </w:pPr>
            <w:r>
              <w:rPr>
                <w:rFonts w:hint="eastAsia"/>
                <w:highlight w:val="none"/>
              </w:rPr>
              <w:t>组织思政教育活动，提升学生的思想政治素养。</w:t>
            </w:r>
          </w:p>
          <w:p w14:paraId="454E1E4F">
            <w:pPr>
              <w:widowControl/>
              <w:ind w:firstLine="420" w:firstLineChars="200"/>
              <w:textAlignment w:val="center"/>
              <w:rPr>
                <w:highlight w:val="none"/>
              </w:rPr>
            </w:pPr>
            <w:r>
              <w:rPr>
                <w:rFonts w:hint="eastAsia"/>
                <w:highlight w:val="none"/>
              </w:rPr>
              <w:t>（1）思政活动添加</w:t>
            </w:r>
          </w:p>
          <w:p w14:paraId="75AE62EB">
            <w:pPr>
              <w:widowControl/>
              <w:ind w:firstLine="420" w:firstLineChars="200"/>
              <w:textAlignment w:val="center"/>
              <w:rPr>
                <w:highlight w:val="none"/>
              </w:rPr>
            </w:pPr>
            <w:r>
              <w:rPr>
                <w:rFonts w:hint="eastAsia"/>
                <w:highlight w:val="none"/>
              </w:rPr>
              <w:t>支持用户添加思政活动，字段：活动编号、活动名称、所属专题、活动板块、活动主题、活动类型、活动内容、主办单位、主办单位级别、活动开始日期、活动结束日期、学校负责人、负责人联系方式等。</w:t>
            </w:r>
          </w:p>
          <w:p w14:paraId="2D97BCF2">
            <w:pPr>
              <w:widowControl/>
              <w:ind w:firstLine="420" w:firstLineChars="200"/>
              <w:textAlignment w:val="center"/>
              <w:rPr>
                <w:highlight w:val="none"/>
              </w:rPr>
            </w:pPr>
            <w:r>
              <w:rPr>
                <w:rFonts w:hint="eastAsia"/>
                <w:highlight w:val="none"/>
              </w:rPr>
              <w:t>（2）思政活动删除</w:t>
            </w:r>
          </w:p>
          <w:p w14:paraId="522BCCAD">
            <w:pPr>
              <w:widowControl/>
              <w:ind w:firstLine="420" w:firstLineChars="200"/>
              <w:textAlignment w:val="center"/>
              <w:rPr>
                <w:highlight w:val="none"/>
              </w:rPr>
            </w:pPr>
            <w:r>
              <w:rPr>
                <w:rFonts w:hint="eastAsia"/>
                <w:highlight w:val="none"/>
              </w:rPr>
              <w:t>支持用户删除思政活动。</w:t>
            </w:r>
          </w:p>
          <w:p w14:paraId="5F0F0532">
            <w:pPr>
              <w:widowControl/>
              <w:ind w:firstLine="420" w:firstLineChars="200"/>
              <w:textAlignment w:val="center"/>
              <w:rPr>
                <w:highlight w:val="none"/>
              </w:rPr>
            </w:pPr>
            <w:r>
              <w:rPr>
                <w:rFonts w:hint="eastAsia"/>
                <w:highlight w:val="none"/>
              </w:rPr>
              <w:t>（3）思政活动修改</w:t>
            </w:r>
          </w:p>
          <w:p w14:paraId="53F69058">
            <w:pPr>
              <w:widowControl/>
              <w:ind w:firstLine="420" w:firstLineChars="200"/>
              <w:textAlignment w:val="center"/>
              <w:rPr>
                <w:highlight w:val="none"/>
              </w:rPr>
            </w:pPr>
            <w:r>
              <w:rPr>
                <w:rFonts w:hint="eastAsia"/>
                <w:highlight w:val="none"/>
              </w:rPr>
              <w:t>支持用户修改思政活动。</w:t>
            </w:r>
          </w:p>
          <w:p w14:paraId="3F398E20">
            <w:pPr>
              <w:widowControl/>
              <w:ind w:firstLine="420" w:firstLineChars="200"/>
              <w:textAlignment w:val="center"/>
              <w:rPr>
                <w:highlight w:val="none"/>
              </w:rPr>
            </w:pPr>
            <w:r>
              <w:rPr>
                <w:rFonts w:hint="eastAsia"/>
                <w:highlight w:val="none"/>
              </w:rPr>
              <w:t>（4）思政活动查询</w:t>
            </w:r>
          </w:p>
          <w:p w14:paraId="1DBCA463">
            <w:pPr>
              <w:widowControl/>
              <w:ind w:firstLine="420" w:firstLineChars="200"/>
              <w:textAlignment w:val="center"/>
              <w:rPr>
                <w:highlight w:val="none"/>
              </w:rPr>
            </w:pPr>
            <w:r>
              <w:rPr>
                <w:rFonts w:hint="eastAsia"/>
                <w:highlight w:val="none"/>
              </w:rPr>
              <w:t>支持用户关键字查询思政活动。</w:t>
            </w:r>
          </w:p>
          <w:p w14:paraId="46B0B2A3">
            <w:pPr>
              <w:widowControl/>
              <w:ind w:firstLine="420" w:firstLineChars="200"/>
              <w:textAlignment w:val="center"/>
              <w:rPr>
                <w:highlight w:val="none"/>
              </w:rPr>
            </w:pPr>
            <w:r>
              <w:rPr>
                <w:rFonts w:hint="eastAsia"/>
                <w:highlight w:val="none"/>
              </w:rPr>
              <w:t>3.思政活动报名与签到</w:t>
            </w:r>
          </w:p>
          <w:p w14:paraId="6B038AA1">
            <w:pPr>
              <w:pStyle w:val="102"/>
              <w:ind w:firstLine="420" w:firstLineChars="200"/>
              <w:jc w:val="left"/>
              <w:rPr>
                <w:rFonts w:ascii="宋体" w:hAnsi="宋体" w:cs="宋体"/>
                <w:bCs/>
                <w:sz w:val="24"/>
                <w:szCs w:val="24"/>
                <w:highlight w:val="none"/>
              </w:rPr>
            </w:pPr>
            <w:r>
              <w:rPr>
                <w:rFonts w:hint="eastAsia"/>
                <w:highlight w:val="none"/>
              </w:rPr>
              <w:t>与活动报名和签到系统结合，确保思政活动的参与度。</w:t>
            </w:r>
          </w:p>
        </w:tc>
        <w:tc>
          <w:tcPr>
            <w:tcW w:w="635" w:type="pct"/>
            <w:vAlign w:val="center"/>
          </w:tcPr>
          <w:p w14:paraId="5FCF1BE0">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66359898">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50B9C717">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2086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3B0BC4C3">
            <w:pPr>
              <w:jc w:val="center"/>
              <w:rPr>
                <w:rFonts w:ascii="宋体" w:hAnsi="宋体" w:eastAsia="宋体" w:cs="宋体"/>
                <w:sz w:val="24"/>
                <w:highlight w:val="none"/>
              </w:rPr>
            </w:pPr>
            <w:r>
              <w:rPr>
                <w:rFonts w:hint="eastAsia" w:cs="宋体" w:asciiTheme="minorEastAsia" w:hAnsiTheme="minorEastAsia"/>
                <w:b/>
                <w:bCs/>
                <w:sz w:val="24"/>
                <w:highlight w:val="none"/>
              </w:rPr>
              <w:t>4</w:t>
            </w:r>
          </w:p>
        </w:tc>
        <w:tc>
          <w:tcPr>
            <w:tcW w:w="778" w:type="pct"/>
            <w:vAlign w:val="center"/>
          </w:tcPr>
          <w:p w14:paraId="2E3F3331">
            <w:pPr>
              <w:pStyle w:val="102"/>
              <w:jc w:val="center"/>
              <w:rPr>
                <w:rFonts w:ascii="宋体" w:hAnsi="宋体" w:cs="宋体"/>
                <w:bCs/>
                <w:sz w:val="24"/>
                <w:szCs w:val="24"/>
                <w:highlight w:val="none"/>
              </w:rPr>
            </w:pPr>
            <w:r>
              <w:rPr>
                <w:rFonts w:hint="eastAsia" w:ascii="宋体" w:hAnsi="宋体" w:cs="宋体"/>
                <w:kern w:val="0"/>
                <w:highlight w:val="none"/>
                <w:lang w:bidi="ar"/>
              </w:rPr>
              <w:t>心理管理系统</w:t>
            </w:r>
          </w:p>
        </w:tc>
        <w:tc>
          <w:tcPr>
            <w:tcW w:w="2378" w:type="pct"/>
            <w:vAlign w:val="center"/>
          </w:tcPr>
          <w:p w14:paraId="3EF3770A">
            <w:pPr>
              <w:widowControl/>
              <w:ind w:firstLine="420" w:firstLineChars="200"/>
              <w:textAlignment w:val="center"/>
              <w:rPr>
                <w:highlight w:val="none"/>
                <w:lang w:val="zh-CN"/>
              </w:rPr>
            </w:pPr>
            <w:r>
              <w:rPr>
                <w:rFonts w:hint="eastAsia"/>
                <w:highlight w:val="none"/>
                <w:lang w:val="zh-CN"/>
              </w:rPr>
              <w:t>1.心理咨询管理</w:t>
            </w:r>
          </w:p>
          <w:p w14:paraId="0F76FF95">
            <w:pPr>
              <w:widowControl/>
              <w:ind w:firstLine="420" w:firstLineChars="200"/>
              <w:textAlignment w:val="center"/>
              <w:rPr>
                <w:highlight w:val="none"/>
                <w:lang w:val="zh-CN"/>
              </w:rPr>
            </w:pPr>
            <w:r>
              <w:rPr>
                <w:rFonts w:hint="eastAsia"/>
                <w:highlight w:val="none"/>
                <w:lang w:val="zh-CN"/>
              </w:rPr>
              <w:t>为学生提供心理咨询服务，包括心理咨询预约、咨询记录等。</w:t>
            </w:r>
          </w:p>
          <w:p w14:paraId="0CC3E93C">
            <w:pPr>
              <w:widowControl/>
              <w:ind w:firstLine="420" w:firstLineChars="200"/>
              <w:textAlignment w:val="center"/>
              <w:rPr>
                <w:highlight w:val="none"/>
                <w:lang w:val="zh-CN"/>
              </w:rPr>
            </w:pPr>
            <w:r>
              <w:rPr>
                <w:rFonts w:hint="eastAsia"/>
                <w:highlight w:val="none"/>
                <w:lang w:val="zh-CN"/>
              </w:rPr>
              <w:t>（1）心理咨询师管理</w:t>
            </w:r>
          </w:p>
          <w:p w14:paraId="0E62D3FB">
            <w:pPr>
              <w:widowControl/>
              <w:ind w:firstLine="420" w:firstLineChars="200"/>
              <w:textAlignment w:val="center"/>
              <w:rPr>
                <w:highlight w:val="none"/>
                <w:lang w:val="zh-CN"/>
              </w:rPr>
            </w:pPr>
            <w:r>
              <w:rPr>
                <w:rFonts w:hint="eastAsia"/>
                <w:highlight w:val="none"/>
                <w:lang w:val="zh-CN"/>
              </w:rPr>
              <w:t>支持用户添加心理咨询师，通过人员选择器选择。</w:t>
            </w:r>
          </w:p>
          <w:p w14:paraId="313641A3">
            <w:pPr>
              <w:widowControl/>
              <w:ind w:firstLine="420" w:firstLineChars="200"/>
              <w:textAlignment w:val="center"/>
              <w:rPr>
                <w:highlight w:val="none"/>
                <w:lang w:val="zh-CN"/>
              </w:rPr>
            </w:pPr>
            <w:r>
              <w:rPr>
                <w:rFonts w:hint="eastAsia"/>
                <w:highlight w:val="none"/>
                <w:lang w:val="zh-CN"/>
              </w:rPr>
              <w:t>支持通过姓名/卡号、所属学院搜索咨询师。</w:t>
            </w:r>
          </w:p>
          <w:p w14:paraId="52F28ED6">
            <w:pPr>
              <w:widowControl/>
              <w:ind w:firstLine="420" w:firstLineChars="200"/>
              <w:textAlignment w:val="center"/>
              <w:rPr>
                <w:highlight w:val="none"/>
                <w:lang w:val="zh-CN"/>
              </w:rPr>
            </w:pPr>
            <w:r>
              <w:rPr>
                <w:rFonts w:hint="eastAsia"/>
                <w:highlight w:val="none"/>
                <w:lang w:val="zh-CN"/>
              </w:rPr>
              <w:t>咨询师列表，字段：卡号、姓名、院系、当前预约状态、咨询个案、总排班、近30天被预约数、操作，操作包括查看和删除。点击查看，跳转到该咨询师每周排班页面，显示该咨询师当周排班，可以选择上一周和下一周排班，可以通过咨询地址和预约状态查询排班。</w:t>
            </w:r>
          </w:p>
          <w:p w14:paraId="1F35475C">
            <w:pPr>
              <w:widowControl/>
              <w:ind w:firstLine="420" w:firstLineChars="200"/>
              <w:textAlignment w:val="center"/>
              <w:rPr>
                <w:highlight w:val="none"/>
                <w:lang w:val="zh-CN"/>
              </w:rPr>
            </w:pPr>
            <w:r>
              <w:rPr>
                <w:rFonts w:hint="eastAsia"/>
                <w:highlight w:val="none"/>
                <w:lang w:val="zh-CN"/>
              </w:rPr>
              <w:t>（2）场地管理</w:t>
            </w:r>
          </w:p>
          <w:p w14:paraId="77464468">
            <w:pPr>
              <w:widowControl/>
              <w:ind w:firstLine="420" w:firstLineChars="200"/>
              <w:textAlignment w:val="center"/>
              <w:rPr>
                <w:highlight w:val="none"/>
                <w:lang w:val="zh-CN"/>
              </w:rPr>
            </w:pPr>
            <w:r>
              <w:rPr>
                <w:rFonts w:hint="eastAsia"/>
                <w:highlight w:val="none"/>
                <w:lang w:val="zh-CN"/>
              </w:rPr>
              <w:t>支持用户添加、删除、编辑、查询场地。</w:t>
            </w:r>
          </w:p>
          <w:p w14:paraId="69E49941">
            <w:pPr>
              <w:widowControl/>
              <w:ind w:firstLine="420" w:firstLineChars="200"/>
              <w:textAlignment w:val="center"/>
              <w:rPr>
                <w:highlight w:val="none"/>
                <w:lang w:val="zh-CN"/>
              </w:rPr>
            </w:pPr>
            <w:r>
              <w:rPr>
                <w:rFonts w:hint="eastAsia"/>
                <w:highlight w:val="none"/>
                <w:lang w:val="zh-CN"/>
              </w:rPr>
              <w:t>（3）咨询排班</w:t>
            </w:r>
          </w:p>
          <w:p w14:paraId="1A7C8C80">
            <w:pPr>
              <w:widowControl/>
              <w:ind w:firstLine="420" w:firstLineChars="200"/>
              <w:textAlignment w:val="center"/>
              <w:rPr>
                <w:highlight w:val="none"/>
                <w:lang w:val="zh-CN"/>
              </w:rPr>
            </w:pPr>
            <w:r>
              <w:rPr>
                <w:rFonts w:hint="eastAsia"/>
                <w:highlight w:val="none"/>
                <w:lang w:val="zh-CN"/>
              </w:rPr>
              <w:t>支持用户咨询排班，添加字段：咨询地点、所在日期、咨询开始时间、单次咨询时长、休息间隔、连续几小节，添加后在排班列表显示。支持按排班模板排班，添加后可以更新到每周排班</w:t>
            </w:r>
          </w:p>
          <w:p w14:paraId="3E864BE8">
            <w:pPr>
              <w:widowControl/>
              <w:ind w:firstLine="420" w:firstLineChars="200"/>
              <w:textAlignment w:val="center"/>
              <w:rPr>
                <w:highlight w:val="none"/>
                <w:lang w:val="zh-CN"/>
              </w:rPr>
            </w:pPr>
            <w:r>
              <w:rPr>
                <w:rFonts w:hint="eastAsia"/>
                <w:highlight w:val="none"/>
                <w:lang w:val="zh-CN"/>
              </w:rPr>
              <w:t>（4）心理咨询</w:t>
            </w:r>
          </w:p>
          <w:p w14:paraId="58368BC7">
            <w:pPr>
              <w:widowControl/>
              <w:ind w:firstLine="420" w:firstLineChars="200"/>
              <w:textAlignment w:val="center"/>
              <w:rPr>
                <w:highlight w:val="none"/>
                <w:lang w:val="zh-CN"/>
              </w:rPr>
            </w:pPr>
            <w:r>
              <w:rPr>
                <w:rFonts w:hint="eastAsia"/>
                <w:highlight w:val="none"/>
                <w:lang w:val="zh-CN"/>
              </w:rPr>
              <w:t>学生可以通过移动端查看咨询师排班，选择咨询师预约心理咨询。咨询师可以审批预约学生。学生进行心理咨询后，咨询师可以记录学生咨询情况。</w:t>
            </w:r>
          </w:p>
          <w:p w14:paraId="0C82C2A6">
            <w:pPr>
              <w:widowControl/>
              <w:ind w:firstLine="420" w:firstLineChars="200"/>
              <w:textAlignment w:val="center"/>
              <w:rPr>
                <w:highlight w:val="none"/>
                <w:lang w:val="zh-CN"/>
              </w:rPr>
            </w:pPr>
            <w:r>
              <w:rPr>
                <w:rFonts w:hint="eastAsia"/>
                <w:highlight w:val="none"/>
                <w:lang w:val="zh-CN"/>
              </w:rPr>
              <w:t>（5）咨询列表</w:t>
            </w:r>
          </w:p>
          <w:p w14:paraId="4EF98AA1">
            <w:pPr>
              <w:widowControl/>
              <w:ind w:firstLine="420" w:firstLineChars="200"/>
              <w:textAlignment w:val="center"/>
              <w:rPr>
                <w:highlight w:val="none"/>
                <w:lang w:val="zh-CN"/>
              </w:rPr>
            </w:pPr>
            <w:r>
              <w:rPr>
                <w:rFonts w:hint="eastAsia"/>
                <w:highlight w:val="none"/>
                <w:lang w:val="zh-CN"/>
              </w:rPr>
              <w:t>可以通过咨询师/学生、咨询状态、所属院系查询咨询情况。</w:t>
            </w:r>
          </w:p>
          <w:p w14:paraId="28EEBAF6">
            <w:pPr>
              <w:widowControl/>
              <w:ind w:firstLine="420" w:firstLineChars="200"/>
              <w:textAlignment w:val="center"/>
              <w:rPr>
                <w:highlight w:val="none"/>
                <w:lang w:val="zh-CN"/>
              </w:rPr>
            </w:pPr>
            <w:r>
              <w:rPr>
                <w:rFonts w:hint="eastAsia"/>
                <w:highlight w:val="none"/>
                <w:lang w:val="zh-CN"/>
              </w:rPr>
              <w:t>列表显示咨询情况、字段：所属院系、学生、咨询师、咨询时间、咨询地点、咨询状态、发起时间、查看详情等。点击查看详情，显示学生基本信息、预约信息、咨询情况等。</w:t>
            </w:r>
          </w:p>
          <w:p w14:paraId="22D7C2E2">
            <w:pPr>
              <w:widowControl/>
              <w:ind w:firstLine="420" w:firstLineChars="200"/>
              <w:textAlignment w:val="center"/>
              <w:rPr>
                <w:highlight w:val="none"/>
                <w:lang w:val="zh-CN"/>
              </w:rPr>
            </w:pPr>
            <w:r>
              <w:rPr>
                <w:rFonts w:hint="eastAsia"/>
                <w:highlight w:val="none"/>
                <w:lang w:val="zh-CN"/>
              </w:rPr>
              <w:t>2.心理测评管理</w:t>
            </w:r>
          </w:p>
          <w:p w14:paraId="586E428F">
            <w:pPr>
              <w:pStyle w:val="102"/>
              <w:ind w:firstLine="420" w:firstLineChars="200"/>
              <w:jc w:val="left"/>
              <w:rPr>
                <w:rFonts w:ascii="宋体" w:hAnsi="宋体" w:cs="宋体"/>
                <w:bCs/>
                <w:sz w:val="24"/>
                <w:szCs w:val="24"/>
                <w:highlight w:val="none"/>
              </w:rPr>
            </w:pPr>
            <w:r>
              <w:rPr>
                <w:rFonts w:hint="eastAsia"/>
                <w:highlight w:val="none"/>
                <w:lang w:val="zh-CN"/>
              </w:rPr>
              <w:t>通过心理测评工具，了解学生的心理状态，提供针对性的辅导。</w:t>
            </w:r>
          </w:p>
        </w:tc>
        <w:tc>
          <w:tcPr>
            <w:tcW w:w="635" w:type="pct"/>
            <w:vAlign w:val="center"/>
          </w:tcPr>
          <w:p w14:paraId="2AF2106A">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7845EF35">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3E36A612">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3057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7DD40377">
            <w:pPr>
              <w:jc w:val="center"/>
              <w:rPr>
                <w:rFonts w:ascii="宋体" w:hAnsi="宋体" w:eastAsia="宋体" w:cs="宋体"/>
                <w:sz w:val="24"/>
                <w:highlight w:val="none"/>
              </w:rPr>
            </w:pPr>
            <w:r>
              <w:rPr>
                <w:rFonts w:hint="eastAsia" w:cs="宋体" w:asciiTheme="minorEastAsia" w:hAnsiTheme="minorEastAsia"/>
                <w:b/>
                <w:bCs/>
                <w:sz w:val="24"/>
                <w:highlight w:val="none"/>
              </w:rPr>
              <w:t>5</w:t>
            </w:r>
          </w:p>
        </w:tc>
        <w:tc>
          <w:tcPr>
            <w:tcW w:w="778" w:type="pct"/>
            <w:vAlign w:val="center"/>
          </w:tcPr>
          <w:p w14:paraId="1A3E5BE9">
            <w:pPr>
              <w:pStyle w:val="102"/>
              <w:jc w:val="center"/>
              <w:rPr>
                <w:rFonts w:ascii="宋体" w:hAnsi="宋体" w:cs="宋体"/>
                <w:bCs/>
                <w:sz w:val="24"/>
                <w:szCs w:val="24"/>
                <w:highlight w:val="none"/>
              </w:rPr>
            </w:pPr>
            <w:r>
              <w:rPr>
                <w:rFonts w:hint="eastAsia" w:ascii="宋体" w:hAnsi="宋体" w:cs="宋体"/>
                <w:kern w:val="0"/>
                <w:highlight w:val="none"/>
                <w:lang w:bidi="ar"/>
              </w:rPr>
              <w:t>证书管理系统</w:t>
            </w:r>
          </w:p>
        </w:tc>
        <w:tc>
          <w:tcPr>
            <w:tcW w:w="2378" w:type="pct"/>
            <w:vAlign w:val="center"/>
          </w:tcPr>
          <w:p w14:paraId="28A35A99">
            <w:pPr>
              <w:widowControl/>
              <w:ind w:firstLine="420" w:firstLineChars="200"/>
              <w:textAlignment w:val="center"/>
              <w:rPr>
                <w:highlight w:val="none"/>
                <w:lang w:val="zh-CN"/>
              </w:rPr>
            </w:pPr>
            <w:r>
              <w:rPr>
                <w:rFonts w:hint="eastAsia"/>
                <w:highlight w:val="none"/>
              </w:rPr>
              <w:t xml:space="preserve">1.  </w:t>
            </w:r>
            <w:r>
              <w:rPr>
                <w:rFonts w:hint="eastAsia"/>
                <w:highlight w:val="none"/>
                <w:lang w:val="zh-CN"/>
              </w:rPr>
              <w:t>1+X证书管理</w:t>
            </w:r>
          </w:p>
          <w:p w14:paraId="3AEB430E">
            <w:pPr>
              <w:widowControl/>
              <w:ind w:firstLine="420" w:firstLineChars="200"/>
              <w:textAlignment w:val="center"/>
              <w:rPr>
                <w:highlight w:val="none"/>
                <w:lang w:val="zh-CN"/>
              </w:rPr>
            </w:pPr>
            <w:r>
              <w:rPr>
                <w:rFonts w:hint="eastAsia"/>
                <w:highlight w:val="none"/>
                <w:lang w:val="zh-CN"/>
              </w:rPr>
              <w:t>1+X证书管理是指对学生的1+X职业技能证书进行管理，包括证书的记录、审核等。</w:t>
            </w:r>
          </w:p>
          <w:p w14:paraId="3AD9856F">
            <w:pPr>
              <w:widowControl/>
              <w:ind w:firstLine="420" w:firstLineChars="200"/>
              <w:textAlignment w:val="center"/>
              <w:rPr>
                <w:highlight w:val="none"/>
                <w:lang w:val="zh-CN"/>
              </w:rPr>
            </w:pPr>
            <w:r>
              <w:rPr>
                <w:rFonts w:hint="eastAsia"/>
                <w:highlight w:val="none"/>
                <w:lang w:val="zh-CN"/>
              </w:rPr>
              <w:t>1.1  1+X证书类型管理</w:t>
            </w:r>
          </w:p>
          <w:p w14:paraId="475F93E2">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）1+X证书类型：根据1+X职业技能证书的分类，识别并区分不同类型的证书。</w:t>
            </w:r>
          </w:p>
          <w:p w14:paraId="098F8F23">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）1+X证书信息：对各类证书的信息进行管理，包括证书名称、颁发机构、颁发时间等。</w:t>
            </w:r>
          </w:p>
          <w:p w14:paraId="1A493C8C">
            <w:pPr>
              <w:widowControl/>
              <w:ind w:firstLine="420" w:firstLineChars="200"/>
              <w:textAlignment w:val="center"/>
              <w:rPr>
                <w:highlight w:val="none"/>
                <w:lang w:val="zh-CN"/>
              </w:rPr>
            </w:pPr>
            <w:r>
              <w:rPr>
                <w:rFonts w:hint="eastAsia"/>
                <w:highlight w:val="none"/>
                <w:lang w:val="zh-CN"/>
              </w:rPr>
              <w:t>1.2  1+X证书记录</w:t>
            </w:r>
          </w:p>
          <w:p w14:paraId="5256271F">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）记录学生1+X证书信息：记录持有1+X证书的学生信息，如姓名、学号、专业等。</w:t>
            </w:r>
          </w:p>
          <w:p w14:paraId="78473A21">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）记录1+X证书信息：记录学生持有的1+X证书信息，包括证书编号、证书类型、颁发时间等。</w:t>
            </w:r>
          </w:p>
          <w:p w14:paraId="2E7B9793">
            <w:pPr>
              <w:widowControl/>
              <w:ind w:firstLine="420" w:firstLineChars="200"/>
              <w:textAlignment w:val="center"/>
              <w:rPr>
                <w:highlight w:val="none"/>
                <w:lang w:val="zh-CN"/>
              </w:rPr>
            </w:pPr>
            <w:r>
              <w:rPr>
                <w:rFonts w:hint="eastAsia"/>
                <w:highlight w:val="none"/>
                <w:lang w:val="zh-CN"/>
              </w:rPr>
              <w:t>1.3  1+X证书审核</w:t>
            </w:r>
          </w:p>
          <w:p w14:paraId="107646DE">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）审核1+X证书真实性：对上传的1+X证书进行真实性审核，确保证书信息的准确性。</w:t>
            </w:r>
          </w:p>
          <w:p w14:paraId="369F09C5">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）审核流程：设定1+X证书审核流程，明确审核责任人和审核标准。</w:t>
            </w:r>
          </w:p>
          <w:p w14:paraId="0228241E">
            <w:pPr>
              <w:widowControl/>
              <w:ind w:firstLine="420" w:firstLineChars="200"/>
              <w:textAlignment w:val="center"/>
              <w:rPr>
                <w:highlight w:val="none"/>
                <w:lang w:val="zh-CN"/>
              </w:rPr>
            </w:pPr>
            <w:r>
              <w:rPr>
                <w:rFonts w:hint="eastAsia"/>
                <w:highlight w:val="none"/>
                <w:lang w:val="zh-CN"/>
              </w:rPr>
              <w:t>1.4  1+X证书更新</w:t>
            </w:r>
          </w:p>
          <w:p w14:paraId="1A6107AA">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）更新1+X证书信息：定期更新学生持有的1+X证书信息，确保信息的时效性。</w:t>
            </w:r>
          </w:p>
          <w:p w14:paraId="25B382F5">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）1+X证书失效处理：对失效的1+X证书进行处理，如标记为失效或删除。</w:t>
            </w:r>
          </w:p>
          <w:p w14:paraId="57D4991C">
            <w:pPr>
              <w:widowControl/>
              <w:ind w:firstLine="420" w:firstLineChars="200"/>
              <w:textAlignment w:val="center"/>
              <w:rPr>
                <w:highlight w:val="none"/>
                <w:lang w:val="zh-CN"/>
              </w:rPr>
            </w:pPr>
            <w:r>
              <w:rPr>
                <w:rFonts w:hint="eastAsia"/>
                <w:highlight w:val="none"/>
              </w:rPr>
              <w:t>2.</w:t>
            </w:r>
            <w:r>
              <w:rPr>
                <w:rFonts w:hint="eastAsia"/>
                <w:highlight w:val="none"/>
                <w:lang w:val="zh-CN"/>
              </w:rPr>
              <w:t>学生技能证书管理</w:t>
            </w:r>
          </w:p>
          <w:p w14:paraId="0D3CDDF5">
            <w:pPr>
              <w:widowControl/>
              <w:ind w:firstLine="420" w:firstLineChars="200"/>
              <w:textAlignment w:val="center"/>
              <w:rPr>
                <w:highlight w:val="none"/>
                <w:lang w:val="zh-CN"/>
              </w:rPr>
            </w:pPr>
            <w:r>
              <w:rPr>
                <w:rFonts w:hint="eastAsia"/>
                <w:highlight w:val="none"/>
                <w:lang w:val="zh-CN"/>
              </w:rPr>
              <w:t>学生技能证书管理是指记录和管理学生所获得的各类技能证书，作为其技能水平的证明。</w:t>
            </w:r>
          </w:p>
          <w:p w14:paraId="24C8436C">
            <w:pPr>
              <w:widowControl/>
              <w:ind w:firstLine="420" w:firstLineChars="200"/>
              <w:textAlignment w:val="center"/>
              <w:rPr>
                <w:highlight w:val="none"/>
                <w:lang w:val="zh-CN"/>
              </w:rPr>
            </w:pPr>
            <w:r>
              <w:rPr>
                <w:rFonts w:hint="eastAsia"/>
                <w:highlight w:val="none"/>
                <w:lang w:val="zh-CN"/>
              </w:rPr>
              <w:t>2.1 技能证书分类管理</w:t>
            </w:r>
          </w:p>
          <w:p w14:paraId="7D4B9193">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）技能证书分类存储：将学生获得的技能证书按照类别进行分类存储，如计算机技能、外语水平、专业技能等。</w:t>
            </w:r>
          </w:p>
          <w:p w14:paraId="07496BC6">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）技能证书分类标准：制定合理的技能证书分类标准，方便证书的管理和查询。</w:t>
            </w:r>
          </w:p>
          <w:p w14:paraId="0DB1EA7D">
            <w:pPr>
              <w:widowControl/>
              <w:ind w:firstLine="420" w:firstLineChars="200"/>
              <w:textAlignment w:val="center"/>
              <w:rPr>
                <w:highlight w:val="none"/>
                <w:lang w:val="zh-CN"/>
              </w:rPr>
            </w:pPr>
            <w:r>
              <w:rPr>
                <w:rFonts w:hint="eastAsia"/>
                <w:highlight w:val="none"/>
                <w:lang w:val="zh-CN"/>
              </w:rPr>
              <w:t>2.2 证书信息录入</w:t>
            </w:r>
          </w:p>
          <w:p w14:paraId="00E6F614">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）技能证书信息录入：录入学生获得的技能证书信息，包括证书名称、颁发机构、颁发时间等。</w:t>
            </w:r>
          </w:p>
          <w:p w14:paraId="33F979D0">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）技能证书</w:t>
            </w:r>
            <w:r>
              <w:rPr>
                <w:rFonts w:hint="eastAsia"/>
                <w:highlight w:val="none"/>
              </w:rPr>
              <w:t>信息审核</w:t>
            </w:r>
            <w:r>
              <w:rPr>
                <w:rFonts w:hint="eastAsia"/>
                <w:highlight w:val="none"/>
                <w:lang w:val="zh-CN"/>
              </w:rPr>
              <w:t>：</w:t>
            </w:r>
            <w:r>
              <w:rPr>
                <w:rFonts w:hint="eastAsia"/>
                <w:highlight w:val="none"/>
              </w:rPr>
              <w:t>审核</w:t>
            </w:r>
            <w:r>
              <w:rPr>
                <w:rFonts w:hint="eastAsia"/>
                <w:highlight w:val="none"/>
                <w:lang w:val="zh-CN"/>
              </w:rPr>
              <w:t>录入技能证书信息的准确性，避免错误信息影响学生的技能证书</w:t>
            </w:r>
            <w:r>
              <w:rPr>
                <w:rFonts w:hint="eastAsia"/>
                <w:highlight w:val="none"/>
              </w:rPr>
              <w:t>数据</w:t>
            </w:r>
            <w:r>
              <w:rPr>
                <w:rFonts w:hint="eastAsia"/>
                <w:highlight w:val="none"/>
                <w:lang w:val="zh-CN"/>
              </w:rPr>
              <w:t>。</w:t>
            </w:r>
          </w:p>
          <w:p w14:paraId="753C4948">
            <w:pPr>
              <w:widowControl/>
              <w:ind w:firstLine="420" w:firstLineChars="200"/>
              <w:textAlignment w:val="center"/>
              <w:rPr>
                <w:highlight w:val="none"/>
                <w:lang w:val="zh-CN"/>
              </w:rPr>
            </w:pPr>
            <w:r>
              <w:rPr>
                <w:rFonts w:hint="eastAsia"/>
                <w:highlight w:val="none"/>
                <w:lang w:val="zh-CN"/>
              </w:rPr>
              <w:t>2.3 技能证书更新管理</w:t>
            </w:r>
          </w:p>
          <w:p w14:paraId="07F660E5">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）更新技能证书信息：定期更新学生持有的技能证书信息，确保信息的时效性。</w:t>
            </w:r>
          </w:p>
          <w:p w14:paraId="6EC18D27">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）技能证书变更处理：对变更的证书进行处理，如更新证书信息或重新录入。</w:t>
            </w:r>
          </w:p>
          <w:p w14:paraId="74113D6B">
            <w:pPr>
              <w:widowControl/>
              <w:ind w:firstLine="420" w:firstLineChars="200"/>
              <w:textAlignment w:val="center"/>
              <w:rPr>
                <w:highlight w:val="none"/>
                <w:lang w:val="zh-CN"/>
              </w:rPr>
            </w:pPr>
            <w:r>
              <w:rPr>
                <w:rFonts w:hint="eastAsia"/>
                <w:highlight w:val="none"/>
                <w:lang w:val="zh-CN"/>
              </w:rPr>
              <w:t>3.证书附件管理</w:t>
            </w:r>
          </w:p>
          <w:p w14:paraId="3318A890">
            <w:pPr>
              <w:widowControl/>
              <w:ind w:firstLine="420" w:firstLineChars="200"/>
              <w:textAlignment w:val="center"/>
              <w:rPr>
                <w:highlight w:val="none"/>
                <w:lang w:val="zh-CN"/>
              </w:rPr>
            </w:pPr>
            <w:r>
              <w:rPr>
                <w:rFonts w:hint="eastAsia"/>
                <w:highlight w:val="none"/>
                <w:lang w:val="zh-CN"/>
              </w:rPr>
              <w:t>证书附件管理是指对证书相关的证明材料进行管理。</w:t>
            </w:r>
          </w:p>
          <w:p w14:paraId="1FEEBB22">
            <w:pPr>
              <w:widowControl/>
              <w:ind w:firstLine="420" w:firstLineChars="200"/>
              <w:textAlignment w:val="center"/>
              <w:rPr>
                <w:highlight w:val="none"/>
                <w:lang w:val="zh-CN"/>
              </w:rPr>
            </w:pPr>
            <w:r>
              <w:rPr>
                <w:rFonts w:hint="eastAsia"/>
                <w:highlight w:val="none"/>
                <w:lang w:val="zh-CN"/>
              </w:rPr>
              <w:t>3.1 附件类型管理</w:t>
            </w:r>
          </w:p>
          <w:p w14:paraId="6F59E20B">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）附件类型：确定证书相关的证明材料类型，如成绩单、实习证明、作品集等。</w:t>
            </w:r>
          </w:p>
          <w:p w14:paraId="0C6B91EB">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）附件信息：对附件信息进行管理，包括附件名称、上传时间、关联证书等。</w:t>
            </w:r>
          </w:p>
          <w:p w14:paraId="25206630">
            <w:pPr>
              <w:widowControl/>
              <w:ind w:firstLine="420" w:firstLineChars="200"/>
              <w:textAlignment w:val="center"/>
              <w:rPr>
                <w:highlight w:val="none"/>
                <w:lang w:val="zh-CN"/>
              </w:rPr>
            </w:pPr>
            <w:r>
              <w:rPr>
                <w:rFonts w:hint="eastAsia"/>
                <w:highlight w:val="none"/>
                <w:lang w:val="zh-CN"/>
              </w:rPr>
              <w:t>3.2 附件上传</w:t>
            </w:r>
          </w:p>
          <w:p w14:paraId="2841502F">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）附件上传功能：提供附件上传功能，方便学生和教师上传证书相关证明材料。</w:t>
            </w:r>
          </w:p>
          <w:p w14:paraId="4A6D5E44">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）附件审核：对上传的附件进行审核，确保附件的真实性和关联性。</w:t>
            </w:r>
          </w:p>
          <w:p w14:paraId="359EF7C6">
            <w:pPr>
              <w:widowControl/>
              <w:ind w:firstLine="420" w:firstLineChars="200"/>
              <w:textAlignment w:val="center"/>
              <w:rPr>
                <w:highlight w:val="none"/>
                <w:lang w:val="zh-CN"/>
              </w:rPr>
            </w:pPr>
            <w:r>
              <w:rPr>
                <w:rFonts w:hint="eastAsia"/>
                <w:highlight w:val="none"/>
                <w:lang w:val="zh-CN"/>
              </w:rPr>
              <w:t>3.3 附件更新管理</w:t>
            </w:r>
          </w:p>
          <w:p w14:paraId="2F4B369E">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）更新附件信息：定期更新附件信息，确保信息的时效性。</w:t>
            </w:r>
          </w:p>
          <w:p w14:paraId="6C951323">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）附件删除处理：对失效或不再需要的附件进行处理，如标记为失效或删除。</w:t>
            </w:r>
          </w:p>
          <w:p w14:paraId="1AF8F255">
            <w:pPr>
              <w:widowControl/>
              <w:ind w:firstLine="420" w:firstLineChars="200"/>
              <w:textAlignment w:val="center"/>
              <w:rPr>
                <w:highlight w:val="none"/>
                <w:lang w:val="zh-CN"/>
              </w:rPr>
            </w:pPr>
            <w:r>
              <w:rPr>
                <w:rFonts w:hint="eastAsia"/>
                <w:highlight w:val="none"/>
                <w:lang w:val="zh-CN"/>
              </w:rPr>
              <w:t>4.学生证书查询及下载</w:t>
            </w:r>
          </w:p>
          <w:p w14:paraId="064FDCFF">
            <w:pPr>
              <w:widowControl/>
              <w:ind w:firstLine="420" w:firstLineChars="200"/>
              <w:textAlignment w:val="center"/>
              <w:rPr>
                <w:highlight w:val="none"/>
                <w:lang w:val="zh-CN"/>
              </w:rPr>
            </w:pPr>
            <w:r>
              <w:rPr>
                <w:rFonts w:hint="eastAsia"/>
                <w:highlight w:val="none"/>
                <w:lang w:val="zh-CN"/>
              </w:rPr>
              <w:t>学生证书查询及下载功能提供学生证书的在线查询服务，便于学生和教师了解证书信息。</w:t>
            </w:r>
          </w:p>
          <w:p w14:paraId="116C02D8">
            <w:pPr>
              <w:widowControl/>
              <w:ind w:firstLine="420" w:firstLineChars="200"/>
              <w:textAlignment w:val="center"/>
              <w:rPr>
                <w:highlight w:val="none"/>
                <w:lang w:val="zh-CN"/>
              </w:rPr>
            </w:pPr>
            <w:r>
              <w:rPr>
                <w:rFonts w:hint="eastAsia"/>
                <w:highlight w:val="none"/>
                <w:lang w:val="zh-CN"/>
              </w:rPr>
              <w:t>4.1 在线查询</w:t>
            </w:r>
          </w:p>
          <w:p w14:paraId="4A7D2994">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）查询界面设计：设计友好的查询界面，方便用户进行证书查询。</w:t>
            </w:r>
          </w:p>
          <w:p w14:paraId="4CFEEC0D">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）查询功能实现：实现证书在线查询功能，支持按学生姓名、学号、证书类型等条件查询。</w:t>
            </w:r>
          </w:p>
          <w:p w14:paraId="27F82779">
            <w:pPr>
              <w:widowControl/>
              <w:ind w:firstLine="420" w:firstLineChars="200"/>
              <w:textAlignment w:val="center"/>
              <w:rPr>
                <w:highlight w:val="none"/>
                <w:lang w:val="zh-CN"/>
              </w:rPr>
            </w:pPr>
            <w:r>
              <w:rPr>
                <w:rFonts w:hint="eastAsia"/>
                <w:highlight w:val="none"/>
                <w:lang w:val="zh-CN"/>
              </w:rPr>
              <w:t>4.2 证书下载</w:t>
            </w:r>
          </w:p>
          <w:p w14:paraId="29D2B09C">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）下载功能实现：实现证书在线下载功能，支持学生下载自己的证书。</w:t>
            </w:r>
          </w:p>
          <w:p w14:paraId="4B4B583C">
            <w:pPr>
              <w:widowControl/>
              <w:ind w:firstLine="420" w:firstLineChars="200"/>
              <w:textAlignment w:val="center"/>
              <w:rPr>
                <w:highlight w:val="none"/>
                <w:lang w:val="zh-CN"/>
              </w:rPr>
            </w:pPr>
            <w:r>
              <w:rPr>
                <w:rFonts w:hint="eastAsia"/>
                <w:highlight w:val="none"/>
                <w:lang w:val="zh-CN"/>
              </w:rPr>
              <w:t>（</w:t>
            </w:r>
            <w:r>
              <w:rPr>
                <w:rFonts w:hint="eastAsia"/>
                <w:highlight w:val="none"/>
              </w:rPr>
              <w:t>2</w:t>
            </w:r>
            <w:r>
              <w:rPr>
                <w:rFonts w:hint="eastAsia"/>
                <w:highlight w:val="none"/>
                <w:lang w:val="zh-CN"/>
              </w:rPr>
              <w:t>）安全性保证：确保证书下载的安全性，防止证书信息泄露。</w:t>
            </w:r>
          </w:p>
          <w:p w14:paraId="5276FCDA">
            <w:pPr>
              <w:widowControl/>
              <w:ind w:firstLine="420" w:firstLineChars="200"/>
              <w:textAlignment w:val="center"/>
              <w:rPr>
                <w:highlight w:val="none"/>
                <w:lang w:val="zh-CN"/>
              </w:rPr>
            </w:pPr>
            <w:r>
              <w:rPr>
                <w:rFonts w:hint="eastAsia"/>
                <w:highlight w:val="none"/>
                <w:lang w:val="zh-CN"/>
              </w:rPr>
              <w:t>4.3 用户权限管理</w:t>
            </w:r>
          </w:p>
          <w:p w14:paraId="69F2C40B">
            <w:pPr>
              <w:widowControl/>
              <w:ind w:firstLine="420" w:firstLineChars="200"/>
              <w:textAlignment w:val="center"/>
              <w:rPr>
                <w:highlight w:val="none"/>
                <w:lang w:val="zh-CN"/>
              </w:rPr>
            </w:pPr>
            <w:r>
              <w:rPr>
                <w:rFonts w:hint="eastAsia"/>
                <w:highlight w:val="none"/>
                <w:lang w:val="zh-CN"/>
              </w:rPr>
              <w:t>（</w:t>
            </w:r>
            <w:r>
              <w:rPr>
                <w:rFonts w:hint="eastAsia"/>
                <w:highlight w:val="none"/>
              </w:rPr>
              <w:t>1</w:t>
            </w:r>
            <w:r>
              <w:rPr>
                <w:rFonts w:hint="eastAsia"/>
                <w:highlight w:val="none"/>
                <w:lang w:val="zh-CN"/>
              </w:rPr>
              <w:t>）用户权限设置：设定不同的用户权限，确保只有授权用户才能查询和下载证书。</w:t>
            </w:r>
          </w:p>
          <w:p w14:paraId="4C37F377">
            <w:pPr>
              <w:widowControl/>
              <w:ind w:firstLine="420" w:firstLineChars="200"/>
              <w:textAlignment w:val="center"/>
              <w:rPr>
                <w:rFonts w:ascii="宋体" w:hAnsi="宋体" w:eastAsia="宋体" w:cs="宋体"/>
                <w:bCs/>
                <w:sz w:val="24"/>
                <w:highlight w:val="none"/>
              </w:rPr>
            </w:pPr>
            <w:r>
              <w:rPr>
                <w:rFonts w:hint="eastAsia"/>
                <w:highlight w:val="none"/>
                <w:lang w:val="zh-CN"/>
              </w:rPr>
              <w:t>（</w:t>
            </w:r>
            <w:r>
              <w:rPr>
                <w:rFonts w:hint="eastAsia"/>
                <w:highlight w:val="none"/>
              </w:rPr>
              <w:t>2</w:t>
            </w:r>
            <w:r>
              <w:rPr>
                <w:rFonts w:hint="eastAsia"/>
                <w:highlight w:val="none"/>
                <w:lang w:val="zh-CN"/>
              </w:rPr>
              <w:t>）权限管理：对用户权限进行管理，包括用户添加、权限分配等。</w:t>
            </w:r>
          </w:p>
        </w:tc>
        <w:tc>
          <w:tcPr>
            <w:tcW w:w="635" w:type="pct"/>
            <w:vAlign w:val="center"/>
          </w:tcPr>
          <w:p w14:paraId="3AE839E7">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5AFBBE6E">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13FD3969">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142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28" w:type="pct"/>
            <w:vAlign w:val="center"/>
          </w:tcPr>
          <w:p w14:paraId="2B665B9B">
            <w:pPr>
              <w:jc w:val="center"/>
              <w:rPr>
                <w:rFonts w:ascii="宋体" w:hAnsi="宋体" w:eastAsia="宋体" w:cs="宋体"/>
                <w:sz w:val="24"/>
                <w:highlight w:val="none"/>
              </w:rPr>
            </w:pPr>
            <w:r>
              <w:rPr>
                <w:rFonts w:hint="eastAsia" w:cs="宋体" w:asciiTheme="minorEastAsia" w:hAnsiTheme="minorEastAsia"/>
                <w:b/>
                <w:bCs/>
                <w:sz w:val="24"/>
                <w:highlight w:val="none"/>
              </w:rPr>
              <w:t>6</w:t>
            </w:r>
          </w:p>
        </w:tc>
        <w:tc>
          <w:tcPr>
            <w:tcW w:w="778" w:type="pct"/>
            <w:vAlign w:val="center"/>
          </w:tcPr>
          <w:p w14:paraId="7408E47E">
            <w:pPr>
              <w:pStyle w:val="102"/>
              <w:jc w:val="center"/>
              <w:rPr>
                <w:rFonts w:ascii="宋体" w:hAnsi="宋体" w:cs="宋体"/>
                <w:bCs/>
                <w:sz w:val="24"/>
                <w:szCs w:val="24"/>
                <w:highlight w:val="none"/>
              </w:rPr>
            </w:pPr>
            <w:r>
              <w:rPr>
                <w:rFonts w:hint="eastAsia" w:ascii="宋体" w:hAnsi="宋体" w:cs="宋体"/>
                <w:kern w:val="0"/>
                <w:highlight w:val="none"/>
                <w:lang w:bidi="ar"/>
              </w:rPr>
              <w:t>实践活动管理系统</w:t>
            </w:r>
          </w:p>
        </w:tc>
        <w:tc>
          <w:tcPr>
            <w:tcW w:w="2378" w:type="pct"/>
            <w:vAlign w:val="center"/>
          </w:tcPr>
          <w:p w14:paraId="5246E6A1">
            <w:pPr>
              <w:widowControl/>
              <w:ind w:firstLine="420" w:firstLineChars="200"/>
              <w:textAlignment w:val="center"/>
              <w:rPr>
                <w:highlight w:val="none"/>
                <w:lang w:val="zh-CN"/>
              </w:rPr>
            </w:pPr>
            <w:r>
              <w:rPr>
                <w:rFonts w:hint="eastAsia"/>
                <w:highlight w:val="none"/>
                <w:lang w:val="zh-CN"/>
              </w:rPr>
              <w:t>1.竞赛活动管理</w:t>
            </w:r>
          </w:p>
          <w:p w14:paraId="7EE73A59">
            <w:pPr>
              <w:widowControl/>
              <w:ind w:firstLine="420" w:firstLineChars="200"/>
              <w:textAlignment w:val="center"/>
              <w:rPr>
                <w:highlight w:val="none"/>
                <w:lang w:val="zh-CN"/>
              </w:rPr>
            </w:pPr>
            <w:r>
              <w:rPr>
                <w:rFonts w:hint="eastAsia"/>
                <w:highlight w:val="none"/>
                <w:lang w:val="zh-CN"/>
              </w:rPr>
              <w:t>竞赛活动管理是实践活动管理系统的重要功能，它通过组织和管理学生参与的各种竞赛活动，提升学生的实践能力。</w:t>
            </w:r>
          </w:p>
          <w:p w14:paraId="45AF732A">
            <w:pPr>
              <w:widowControl/>
              <w:ind w:firstLine="420" w:firstLineChars="200"/>
              <w:textAlignment w:val="center"/>
              <w:rPr>
                <w:highlight w:val="none"/>
                <w:lang w:val="zh-CN"/>
              </w:rPr>
            </w:pPr>
            <w:r>
              <w:rPr>
                <w:rFonts w:hint="eastAsia"/>
                <w:highlight w:val="none"/>
                <w:lang w:val="zh-CN"/>
              </w:rPr>
              <w:t>1.1 竞赛类型管理</w:t>
            </w:r>
          </w:p>
          <w:p w14:paraId="0DE8F136">
            <w:pPr>
              <w:widowControl/>
              <w:ind w:firstLine="420" w:firstLineChars="200"/>
              <w:textAlignment w:val="center"/>
              <w:rPr>
                <w:highlight w:val="none"/>
                <w:lang w:val="zh-CN"/>
              </w:rPr>
            </w:pPr>
            <w:r>
              <w:rPr>
                <w:rFonts w:hint="eastAsia"/>
                <w:highlight w:val="none"/>
                <w:lang w:val="zh-CN"/>
              </w:rPr>
              <w:t>添加竞赛类型：系统支持用户添加新的竞赛活动类型，如科技竞赛、艺术竞赛、体育竞赛等。</w:t>
            </w:r>
          </w:p>
          <w:p w14:paraId="1C90A05B">
            <w:pPr>
              <w:widowControl/>
              <w:ind w:firstLine="420" w:firstLineChars="200"/>
              <w:textAlignment w:val="center"/>
              <w:rPr>
                <w:highlight w:val="none"/>
                <w:lang w:val="zh-CN"/>
              </w:rPr>
            </w:pPr>
            <w:r>
              <w:rPr>
                <w:rFonts w:hint="eastAsia"/>
                <w:highlight w:val="none"/>
                <w:lang w:val="zh-CN"/>
              </w:rPr>
              <w:t>管理竞赛类型：对已添加的竞赛类型进行管理，包括类型名称、描述、分类等信息的维护。</w:t>
            </w:r>
          </w:p>
          <w:p w14:paraId="53AE3624">
            <w:pPr>
              <w:widowControl/>
              <w:ind w:firstLine="420" w:firstLineChars="200"/>
              <w:textAlignment w:val="center"/>
              <w:rPr>
                <w:highlight w:val="none"/>
                <w:lang w:val="zh-CN"/>
              </w:rPr>
            </w:pPr>
            <w:r>
              <w:rPr>
                <w:rFonts w:hint="eastAsia"/>
                <w:highlight w:val="none"/>
                <w:lang w:val="zh-CN"/>
              </w:rPr>
              <w:t>1.2 竞赛活动发布</w:t>
            </w:r>
          </w:p>
          <w:p w14:paraId="18B49BDE">
            <w:pPr>
              <w:widowControl/>
              <w:ind w:firstLine="420" w:firstLineChars="200"/>
              <w:textAlignment w:val="center"/>
              <w:rPr>
                <w:highlight w:val="none"/>
                <w:lang w:val="zh-CN"/>
              </w:rPr>
            </w:pPr>
            <w:r>
              <w:rPr>
                <w:rFonts w:hint="eastAsia"/>
                <w:highlight w:val="none"/>
                <w:lang w:val="zh-CN"/>
              </w:rPr>
              <w:t>活动信息填写：用户填写竞赛活动的详细信息，包括赛事活动编号、赛事活动名称、赛事活动类型、活动开始日期、活动结束日期、参与教师数、参与学生数等。</w:t>
            </w:r>
          </w:p>
          <w:p w14:paraId="6348711A">
            <w:pPr>
              <w:widowControl/>
              <w:ind w:firstLine="420" w:firstLineChars="200"/>
              <w:textAlignment w:val="center"/>
              <w:rPr>
                <w:highlight w:val="none"/>
                <w:lang w:val="zh-CN"/>
              </w:rPr>
            </w:pPr>
            <w:r>
              <w:rPr>
                <w:rFonts w:hint="eastAsia"/>
                <w:highlight w:val="none"/>
                <w:lang w:val="zh-CN"/>
              </w:rPr>
              <w:t>活动发布：填写完毕后，系统将竞赛活动发布至平台，供学生查看和报名。</w:t>
            </w:r>
          </w:p>
          <w:p w14:paraId="0ABD8F82">
            <w:pPr>
              <w:widowControl/>
              <w:ind w:firstLine="420" w:firstLineChars="200"/>
              <w:textAlignment w:val="center"/>
              <w:rPr>
                <w:highlight w:val="none"/>
                <w:lang w:val="zh-CN"/>
              </w:rPr>
            </w:pPr>
            <w:r>
              <w:rPr>
                <w:rFonts w:hint="eastAsia"/>
                <w:highlight w:val="none"/>
                <w:lang w:val="zh-CN"/>
              </w:rPr>
              <w:t>活动信息维护：支持用户对已发布的竞赛活动信息进行修改和更新。</w:t>
            </w:r>
          </w:p>
          <w:p w14:paraId="6CCBAC0C">
            <w:pPr>
              <w:widowControl/>
              <w:ind w:firstLine="420" w:firstLineChars="200"/>
              <w:textAlignment w:val="center"/>
              <w:rPr>
                <w:highlight w:val="none"/>
                <w:lang w:val="zh-CN"/>
              </w:rPr>
            </w:pPr>
            <w:r>
              <w:rPr>
                <w:rFonts w:hint="eastAsia"/>
                <w:highlight w:val="none"/>
                <w:lang w:val="zh-CN"/>
              </w:rPr>
              <w:t>1.3 竞赛报名</w:t>
            </w:r>
          </w:p>
          <w:p w14:paraId="56CABE84">
            <w:pPr>
              <w:widowControl/>
              <w:ind w:firstLine="420" w:firstLineChars="200"/>
              <w:textAlignment w:val="center"/>
              <w:rPr>
                <w:highlight w:val="none"/>
                <w:lang w:val="zh-CN"/>
              </w:rPr>
            </w:pPr>
            <w:r>
              <w:rPr>
                <w:rFonts w:hint="eastAsia"/>
                <w:highlight w:val="none"/>
                <w:lang w:val="zh-CN"/>
              </w:rPr>
              <w:t>活动查看：学生可以通过系统查看所有已发布的竞赛活动，了解活动详情。</w:t>
            </w:r>
          </w:p>
          <w:p w14:paraId="32485A9F">
            <w:pPr>
              <w:widowControl/>
              <w:ind w:firstLine="420" w:firstLineChars="200"/>
              <w:textAlignment w:val="center"/>
              <w:rPr>
                <w:highlight w:val="none"/>
                <w:lang w:val="zh-CN"/>
              </w:rPr>
            </w:pPr>
            <w:r>
              <w:rPr>
                <w:rFonts w:hint="eastAsia"/>
                <w:highlight w:val="none"/>
                <w:lang w:val="zh-CN"/>
              </w:rPr>
              <w:t>线上报名：学生可以在线上报名参加感兴趣的竞赛活动，系统自动记录报名信息。</w:t>
            </w:r>
          </w:p>
          <w:p w14:paraId="6A6E42D7">
            <w:pPr>
              <w:widowControl/>
              <w:ind w:firstLine="420" w:firstLineChars="200"/>
              <w:textAlignment w:val="center"/>
              <w:rPr>
                <w:highlight w:val="none"/>
                <w:lang w:val="zh-CN"/>
              </w:rPr>
            </w:pPr>
            <w:r>
              <w:rPr>
                <w:rFonts w:hint="eastAsia"/>
                <w:highlight w:val="none"/>
                <w:lang w:val="zh-CN"/>
              </w:rPr>
              <w:t>报名审核：管理员可以对学生的报名信息进行审核，确保报名信息的准确性和合理性。</w:t>
            </w:r>
          </w:p>
          <w:p w14:paraId="17E83D10">
            <w:pPr>
              <w:widowControl/>
              <w:ind w:firstLine="420" w:firstLineChars="200"/>
              <w:textAlignment w:val="center"/>
              <w:rPr>
                <w:highlight w:val="none"/>
                <w:lang w:val="zh-CN"/>
              </w:rPr>
            </w:pPr>
            <w:r>
              <w:rPr>
                <w:rFonts w:hint="eastAsia"/>
                <w:highlight w:val="none"/>
                <w:lang w:val="zh-CN"/>
              </w:rPr>
              <w:t>2.社会实践活动管理</w:t>
            </w:r>
          </w:p>
          <w:p w14:paraId="0EDCEEF9">
            <w:pPr>
              <w:widowControl/>
              <w:ind w:firstLine="420" w:firstLineChars="200"/>
              <w:textAlignment w:val="center"/>
              <w:rPr>
                <w:highlight w:val="none"/>
                <w:lang w:val="zh-CN"/>
              </w:rPr>
            </w:pPr>
            <w:r>
              <w:rPr>
                <w:rFonts w:hint="eastAsia"/>
                <w:highlight w:val="none"/>
                <w:lang w:val="zh-CN"/>
              </w:rPr>
              <w:t>社会实践活动管理是对学生的社会实践活动进行管理，包括活动审批、成果评价等。</w:t>
            </w:r>
          </w:p>
          <w:p w14:paraId="767A9A65">
            <w:pPr>
              <w:widowControl/>
              <w:ind w:firstLine="420" w:firstLineChars="200"/>
              <w:textAlignment w:val="center"/>
              <w:rPr>
                <w:highlight w:val="none"/>
                <w:lang w:val="zh-CN"/>
              </w:rPr>
            </w:pPr>
            <w:r>
              <w:rPr>
                <w:rFonts w:hint="eastAsia"/>
                <w:highlight w:val="none"/>
                <w:lang w:val="zh-CN"/>
              </w:rPr>
              <w:t>2.1 社会实践活动申请</w:t>
            </w:r>
          </w:p>
          <w:p w14:paraId="1D3A06D5">
            <w:pPr>
              <w:widowControl/>
              <w:ind w:firstLine="420" w:firstLineChars="200"/>
              <w:textAlignment w:val="center"/>
              <w:rPr>
                <w:highlight w:val="none"/>
                <w:lang w:val="zh-CN"/>
              </w:rPr>
            </w:pPr>
            <w:r>
              <w:rPr>
                <w:rFonts w:hint="eastAsia"/>
                <w:highlight w:val="none"/>
                <w:lang w:val="zh-CN"/>
              </w:rPr>
              <w:t>申请信息填写：用户填写社会实践活动申请信息，包括实践单位、实践地点、实践项目、实践内容、实践起始日期、实践终止日期、实践类别、指导教师工号等。</w:t>
            </w:r>
          </w:p>
          <w:p w14:paraId="086C068E">
            <w:pPr>
              <w:widowControl/>
              <w:ind w:firstLine="420" w:firstLineChars="200"/>
              <w:textAlignment w:val="center"/>
              <w:rPr>
                <w:highlight w:val="none"/>
                <w:lang w:val="zh-CN"/>
              </w:rPr>
            </w:pPr>
            <w:r>
              <w:rPr>
                <w:rFonts w:hint="eastAsia"/>
                <w:highlight w:val="none"/>
                <w:lang w:val="zh-CN"/>
              </w:rPr>
              <w:t>申请提交：填写完毕后，用户提交社会实践活动的申请。</w:t>
            </w:r>
          </w:p>
          <w:p w14:paraId="228A65A6">
            <w:pPr>
              <w:widowControl/>
              <w:ind w:firstLine="420" w:firstLineChars="200"/>
              <w:textAlignment w:val="center"/>
              <w:rPr>
                <w:highlight w:val="none"/>
                <w:lang w:val="zh-CN"/>
              </w:rPr>
            </w:pPr>
            <w:r>
              <w:rPr>
                <w:rFonts w:hint="eastAsia"/>
                <w:highlight w:val="none"/>
                <w:lang w:val="zh-CN"/>
              </w:rPr>
              <w:t>申请信息维护：支持用户对已提交的申请信息进行修改和更新。</w:t>
            </w:r>
          </w:p>
          <w:p w14:paraId="22692C22">
            <w:pPr>
              <w:widowControl/>
              <w:ind w:firstLine="420" w:firstLineChars="200"/>
              <w:textAlignment w:val="center"/>
              <w:rPr>
                <w:highlight w:val="none"/>
                <w:lang w:val="zh-CN"/>
              </w:rPr>
            </w:pPr>
            <w:r>
              <w:rPr>
                <w:rFonts w:hint="eastAsia"/>
                <w:highlight w:val="none"/>
                <w:lang w:val="zh-CN"/>
              </w:rPr>
              <w:t>2.2 社会实践活动审批</w:t>
            </w:r>
          </w:p>
          <w:p w14:paraId="797C5F81">
            <w:pPr>
              <w:widowControl/>
              <w:ind w:firstLine="420" w:firstLineChars="200"/>
              <w:textAlignment w:val="center"/>
              <w:rPr>
                <w:highlight w:val="none"/>
                <w:lang w:val="zh-CN"/>
              </w:rPr>
            </w:pPr>
            <w:r>
              <w:rPr>
                <w:rFonts w:hint="eastAsia"/>
                <w:highlight w:val="none"/>
                <w:lang w:val="zh-CN"/>
              </w:rPr>
              <w:t>审批流程：管理员根据学校规定和实践活动的具体要求，对申请进行审批。</w:t>
            </w:r>
          </w:p>
          <w:p w14:paraId="3FBEB396">
            <w:pPr>
              <w:widowControl/>
              <w:ind w:firstLine="420" w:firstLineChars="200"/>
              <w:textAlignment w:val="center"/>
              <w:rPr>
                <w:highlight w:val="none"/>
                <w:lang w:val="zh-CN"/>
              </w:rPr>
            </w:pPr>
            <w:r>
              <w:rPr>
                <w:rFonts w:hint="eastAsia"/>
                <w:highlight w:val="none"/>
                <w:lang w:val="zh-CN"/>
              </w:rPr>
              <w:t>审批意见：管理员给出审批意见，如同意、拒绝等，并说明理由。</w:t>
            </w:r>
          </w:p>
          <w:p w14:paraId="542670EB">
            <w:pPr>
              <w:widowControl/>
              <w:ind w:firstLine="420" w:firstLineChars="200"/>
              <w:textAlignment w:val="center"/>
              <w:rPr>
                <w:highlight w:val="none"/>
                <w:lang w:val="zh-CN"/>
              </w:rPr>
            </w:pPr>
            <w:r>
              <w:rPr>
                <w:rFonts w:hint="eastAsia"/>
                <w:highlight w:val="none"/>
                <w:lang w:val="zh-CN"/>
              </w:rPr>
              <w:t>审批记录：系统自动记录所有审批操作，便于查询和追溯。</w:t>
            </w:r>
          </w:p>
          <w:p w14:paraId="344C19B3">
            <w:pPr>
              <w:widowControl/>
              <w:ind w:firstLine="420" w:firstLineChars="200"/>
              <w:textAlignment w:val="center"/>
              <w:rPr>
                <w:highlight w:val="none"/>
                <w:lang w:val="zh-CN"/>
              </w:rPr>
            </w:pPr>
            <w:r>
              <w:rPr>
                <w:rFonts w:hint="eastAsia"/>
                <w:highlight w:val="none"/>
                <w:lang w:val="zh-CN"/>
              </w:rPr>
              <w:t>2.3 社会实践活动报名</w:t>
            </w:r>
          </w:p>
          <w:p w14:paraId="3A62F14E">
            <w:pPr>
              <w:widowControl/>
              <w:ind w:firstLine="420" w:firstLineChars="200"/>
              <w:textAlignment w:val="center"/>
              <w:rPr>
                <w:highlight w:val="none"/>
                <w:lang w:val="zh-CN"/>
              </w:rPr>
            </w:pPr>
            <w:r>
              <w:rPr>
                <w:rFonts w:hint="eastAsia"/>
                <w:highlight w:val="none"/>
                <w:lang w:val="zh-CN"/>
              </w:rPr>
              <w:t>活动查看：教师、学生可以查看所有已批准的社会实践活动，了解活动详情。</w:t>
            </w:r>
          </w:p>
          <w:p w14:paraId="6547B012">
            <w:pPr>
              <w:widowControl/>
              <w:ind w:firstLine="420" w:firstLineChars="200"/>
              <w:textAlignment w:val="center"/>
              <w:rPr>
                <w:highlight w:val="none"/>
                <w:lang w:val="zh-CN"/>
              </w:rPr>
            </w:pPr>
            <w:r>
              <w:rPr>
                <w:rFonts w:hint="eastAsia"/>
                <w:highlight w:val="none"/>
                <w:lang w:val="zh-CN"/>
              </w:rPr>
              <w:t>线上报名：教师、学生可以在线上报名参加社会实践活动的申请。</w:t>
            </w:r>
          </w:p>
          <w:p w14:paraId="58533A5B">
            <w:pPr>
              <w:widowControl/>
              <w:ind w:firstLine="420" w:firstLineChars="200"/>
              <w:textAlignment w:val="center"/>
              <w:rPr>
                <w:highlight w:val="none"/>
                <w:lang w:val="zh-CN"/>
              </w:rPr>
            </w:pPr>
            <w:r>
              <w:rPr>
                <w:rFonts w:hint="eastAsia"/>
                <w:highlight w:val="none"/>
                <w:lang w:val="zh-CN"/>
              </w:rPr>
              <w:t>报名审核：管理员可以对报名信息进行审核，确保报名信息的准确性和合理性。</w:t>
            </w:r>
          </w:p>
          <w:p w14:paraId="2B0A3C36">
            <w:pPr>
              <w:widowControl/>
              <w:ind w:firstLine="420" w:firstLineChars="200"/>
              <w:textAlignment w:val="center"/>
              <w:rPr>
                <w:highlight w:val="none"/>
                <w:lang w:val="zh-CN"/>
              </w:rPr>
            </w:pPr>
            <w:r>
              <w:rPr>
                <w:rFonts w:hint="eastAsia"/>
                <w:highlight w:val="none"/>
                <w:lang w:val="zh-CN"/>
              </w:rPr>
              <w:t>2.4 社会实践活动签到</w:t>
            </w:r>
          </w:p>
          <w:p w14:paraId="75F2121D">
            <w:pPr>
              <w:widowControl/>
              <w:ind w:firstLine="420" w:firstLineChars="200"/>
              <w:textAlignment w:val="center"/>
              <w:rPr>
                <w:highlight w:val="none"/>
                <w:lang w:val="zh-CN"/>
              </w:rPr>
            </w:pPr>
            <w:r>
              <w:rPr>
                <w:rFonts w:hint="eastAsia"/>
                <w:highlight w:val="none"/>
                <w:lang w:val="zh-CN"/>
              </w:rPr>
              <w:t>签到功能：报名参加社会实践活动的教师、学生可以通过扫码方式进行签到。</w:t>
            </w:r>
          </w:p>
          <w:p w14:paraId="6197AEB4">
            <w:pPr>
              <w:widowControl/>
              <w:ind w:firstLine="420" w:firstLineChars="200"/>
              <w:textAlignment w:val="center"/>
              <w:rPr>
                <w:highlight w:val="none"/>
                <w:lang w:val="zh-CN"/>
              </w:rPr>
            </w:pPr>
            <w:r>
              <w:rPr>
                <w:rFonts w:hint="eastAsia"/>
                <w:highlight w:val="none"/>
                <w:lang w:val="zh-CN"/>
              </w:rPr>
              <w:t>签到记录：系统自动记录签到信息，便于管理和监督。</w:t>
            </w:r>
          </w:p>
          <w:p w14:paraId="41CAD4CC">
            <w:pPr>
              <w:pStyle w:val="102"/>
              <w:ind w:firstLine="420" w:firstLineChars="200"/>
              <w:jc w:val="left"/>
              <w:rPr>
                <w:rFonts w:ascii="宋体" w:hAnsi="宋体" w:cs="宋体"/>
                <w:bCs/>
                <w:sz w:val="24"/>
                <w:szCs w:val="24"/>
                <w:highlight w:val="none"/>
              </w:rPr>
            </w:pPr>
            <w:r>
              <w:rPr>
                <w:rFonts w:hint="eastAsia"/>
                <w:highlight w:val="none"/>
                <w:lang w:val="zh-CN"/>
              </w:rPr>
              <w:t>签到统计：系统统计签到数据，为活动的管理和评价提供依据。</w:t>
            </w:r>
          </w:p>
        </w:tc>
        <w:tc>
          <w:tcPr>
            <w:tcW w:w="635" w:type="pct"/>
            <w:vAlign w:val="center"/>
          </w:tcPr>
          <w:p w14:paraId="126A1BF3">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0F773D1B">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2E2EC8C2">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799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365CFBF4">
            <w:pPr>
              <w:jc w:val="center"/>
              <w:rPr>
                <w:rFonts w:ascii="宋体" w:hAnsi="宋体" w:eastAsia="宋体" w:cs="宋体"/>
                <w:sz w:val="24"/>
                <w:highlight w:val="none"/>
              </w:rPr>
            </w:pPr>
            <w:r>
              <w:rPr>
                <w:rFonts w:hint="eastAsia" w:cs="宋体" w:asciiTheme="minorEastAsia" w:hAnsiTheme="minorEastAsia"/>
                <w:b/>
                <w:bCs/>
                <w:sz w:val="24"/>
                <w:highlight w:val="none"/>
              </w:rPr>
              <w:t>7</w:t>
            </w:r>
          </w:p>
        </w:tc>
        <w:tc>
          <w:tcPr>
            <w:tcW w:w="778" w:type="pct"/>
            <w:vAlign w:val="center"/>
          </w:tcPr>
          <w:p w14:paraId="11BDBE97">
            <w:pPr>
              <w:pStyle w:val="102"/>
              <w:jc w:val="center"/>
              <w:rPr>
                <w:rFonts w:ascii="宋体" w:hAnsi="宋体" w:cs="宋体"/>
                <w:bCs/>
                <w:sz w:val="24"/>
                <w:szCs w:val="24"/>
                <w:highlight w:val="none"/>
              </w:rPr>
            </w:pPr>
            <w:r>
              <w:rPr>
                <w:rFonts w:hint="eastAsia" w:ascii="宋体" w:hAnsi="宋体" w:cs="宋体"/>
                <w:kern w:val="0"/>
                <w:highlight w:val="none"/>
                <w:lang w:bidi="ar"/>
              </w:rPr>
              <w:t>学生综合评价管理系统</w:t>
            </w:r>
          </w:p>
        </w:tc>
        <w:tc>
          <w:tcPr>
            <w:tcW w:w="2378" w:type="pct"/>
            <w:vAlign w:val="center"/>
          </w:tcPr>
          <w:p w14:paraId="5F81E94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1.评价维度管理</w:t>
            </w:r>
          </w:p>
          <w:p w14:paraId="4FABE7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评价维度管理是学生综合评价管理系统的基石，它定义了评价学生的不同维度，以下是评价维度管理的详细描述：</w:t>
            </w:r>
          </w:p>
          <w:p w14:paraId="6C68258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 维度定义</w:t>
            </w:r>
          </w:p>
          <w:p w14:paraId="7A3FDDC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确定评价维度：根据教育目标和人才培养要求，确定评价维度，如德、智、体、美、劳等。</w:t>
            </w:r>
          </w:p>
          <w:p w14:paraId="71B101E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维度细分：对每个评价维度进行细分指标，如德育可分为道德品质、行为规范等。</w:t>
            </w:r>
          </w:p>
          <w:p w14:paraId="0A4148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 维度权重</w:t>
            </w:r>
          </w:p>
          <w:p w14:paraId="2B1870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设定维度权重：根据各个维度的重要性，设定相应的权重。</w:t>
            </w:r>
          </w:p>
          <w:p w14:paraId="2016BD1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调整维度权重：根据实际情况和反馈，适时调整维度权重。</w:t>
            </w:r>
          </w:p>
          <w:p w14:paraId="192DDD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 维度指标数据来源</w:t>
            </w:r>
          </w:p>
          <w:p w14:paraId="7B88BB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制定维度指标数据来源：为每个维度的指标制定具体的数据来源，支持sql来源。</w:t>
            </w:r>
          </w:p>
          <w:p w14:paraId="5DB5D6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更新维度指标数据来源：支持更新每个维度指标数据来源。</w:t>
            </w:r>
          </w:p>
          <w:p w14:paraId="3D7837C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2.评价批次管理</w:t>
            </w:r>
          </w:p>
          <w:p w14:paraId="523945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评价批次管理是对评价活动的时间、对象、标准等进行有序管理，以下是评价批次管理的详细描述：</w:t>
            </w:r>
          </w:p>
          <w:p w14:paraId="59EC4E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2.1 评价计划</w:t>
            </w:r>
          </w:p>
          <w:p w14:paraId="2600390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制定评价计划：根据学校评价安排，制定评价的时间。</w:t>
            </w:r>
          </w:p>
          <w:p w14:paraId="3223D7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发布评价通知：通过微信公众号，发布评价通知，提醒相关人员进行评价。</w:t>
            </w:r>
          </w:p>
          <w:p w14:paraId="77D4E8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2.2 评价对象</w:t>
            </w:r>
          </w:p>
          <w:p w14:paraId="3F2EBD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确定评价对象：明确评价的学生范围，如全体学生、特定年级或专业等。</w:t>
            </w:r>
          </w:p>
          <w:p w14:paraId="59CC78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确保评价覆盖率：确保评价对象覆盖到所有应评价的学生。</w:t>
            </w:r>
          </w:p>
          <w:p w14:paraId="2DEDC5A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2.3 评价数据汇总</w:t>
            </w:r>
          </w:p>
          <w:p w14:paraId="6E30FAD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查看评价数据：根据评价批次，可查看评价数据汇总。</w:t>
            </w:r>
          </w:p>
          <w:p w14:paraId="3ED765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撤回评价数据：对评价数据进行撤回，让评价人可重新进行评价。</w:t>
            </w:r>
          </w:p>
          <w:p w14:paraId="5A00299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3.评价数据管理</w:t>
            </w:r>
          </w:p>
          <w:p w14:paraId="4D176A3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评价数据管理是学生综合评价管理系统的核心，它涉及评价数据的收集、整理和分析，以下是评价数据管理的详细描述：</w:t>
            </w:r>
          </w:p>
          <w:p w14:paraId="3903B8C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3.1 数据收集</w:t>
            </w:r>
          </w:p>
          <w:p w14:paraId="13516E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汇总数据源：通过数据源配置方式，汇总学生各项原始数据。</w:t>
            </w:r>
          </w:p>
          <w:p w14:paraId="02F04FA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查询数据源：支持查询、导入、导出数据源。</w:t>
            </w:r>
          </w:p>
          <w:p w14:paraId="05883A7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3.2 数据整理</w:t>
            </w:r>
          </w:p>
          <w:p w14:paraId="37670C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整理评价数据：对收集到的数据进行整理，清洗无效或错误的数据。</w:t>
            </w:r>
          </w:p>
          <w:p w14:paraId="2CB02AB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数据分类存储：将整理好的数据按照不同层面进行分类存储。</w:t>
            </w:r>
          </w:p>
          <w:p w14:paraId="1ABFB4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4.学生评价雷达图</w:t>
            </w:r>
          </w:p>
          <w:p w14:paraId="01D2069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学生评价雷达图是通过图形化的方式展示学生的综合评价结果，以下是学生评价雷达图的详细描述：</w:t>
            </w:r>
          </w:p>
          <w:p w14:paraId="1CD68C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4.1 雷达图设计</w:t>
            </w:r>
          </w:p>
          <w:p w14:paraId="17FF4B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设计雷达图模板：根据评价维度，设计雷达图的模板。</w:t>
            </w:r>
          </w:p>
          <w:p w14:paraId="250D03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个性化定制：根据学生的评价结果，生成个性化的雷达图。</w:t>
            </w:r>
          </w:p>
          <w:p w14:paraId="419784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4.2 雷达图展示</w:t>
            </w:r>
          </w:p>
          <w:p w14:paraId="4D129E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展示评价结果：通过雷达图，直观展示学生的评价结果。</w:t>
            </w:r>
          </w:p>
          <w:p w14:paraId="76E4FCF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交互式操作：提供交互式操作，允许用户查看具体维度的评价数据。</w:t>
            </w:r>
          </w:p>
          <w:p w14:paraId="0C579D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4.3 雷达图应用</w:t>
            </w:r>
          </w:p>
          <w:p w14:paraId="551AED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辅助教育决策：管理人员可查看所管理学生评价雷达图，辅助学校进行个性化教育。</w:t>
            </w:r>
          </w:p>
          <w:p w14:paraId="0D2E9AB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指导学生发展：学生可查看个人雷达图，指导学生了解自己的优势和不足，促进全面发展。</w:t>
            </w:r>
          </w:p>
          <w:p w14:paraId="7A7288BF">
            <w:pPr>
              <w:pStyle w:val="102"/>
              <w:ind w:firstLine="480" w:firstLineChars="200"/>
              <w:jc w:val="left"/>
              <w:rPr>
                <w:rFonts w:ascii="宋体" w:hAnsi="宋体" w:cs="宋体"/>
                <w:bCs/>
                <w:sz w:val="24"/>
                <w:szCs w:val="24"/>
                <w:highlight w:val="none"/>
              </w:rPr>
            </w:pPr>
          </w:p>
        </w:tc>
        <w:tc>
          <w:tcPr>
            <w:tcW w:w="635" w:type="pct"/>
            <w:vAlign w:val="center"/>
          </w:tcPr>
          <w:p w14:paraId="2F0DA667">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4F5CA804">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09BC16CD">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5D4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6798676">
            <w:pPr>
              <w:jc w:val="center"/>
              <w:rPr>
                <w:rFonts w:ascii="宋体" w:hAnsi="宋体" w:eastAsia="宋体" w:cs="宋体"/>
                <w:sz w:val="24"/>
                <w:highlight w:val="none"/>
              </w:rPr>
            </w:pPr>
            <w:r>
              <w:rPr>
                <w:rFonts w:hint="eastAsia" w:cs="宋体" w:asciiTheme="minorEastAsia" w:hAnsiTheme="minorEastAsia"/>
                <w:b/>
                <w:bCs/>
                <w:sz w:val="24"/>
                <w:highlight w:val="none"/>
              </w:rPr>
              <w:t>8</w:t>
            </w:r>
          </w:p>
        </w:tc>
        <w:tc>
          <w:tcPr>
            <w:tcW w:w="778" w:type="pct"/>
            <w:vAlign w:val="center"/>
          </w:tcPr>
          <w:p w14:paraId="176C55AA">
            <w:pPr>
              <w:pStyle w:val="102"/>
              <w:jc w:val="center"/>
              <w:rPr>
                <w:rFonts w:ascii="宋体" w:hAnsi="宋体" w:cs="宋体"/>
                <w:bCs/>
                <w:sz w:val="24"/>
                <w:szCs w:val="24"/>
                <w:highlight w:val="none"/>
              </w:rPr>
            </w:pPr>
            <w:r>
              <w:rPr>
                <w:rFonts w:hint="eastAsia" w:ascii="宋体" w:hAnsi="宋体" w:cs="宋体"/>
                <w:kern w:val="0"/>
                <w:highlight w:val="none"/>
                <w:lang w:bidi="ar"/>
              </w:rPr>
              <w:t>离校管理系统</w:t>
            </w:r>
          </w:p>
        </w:tc>
        <w:tc>
          <w:tcPr>
            <w:tcW w:w="2378" w:type="pct"/>
            <w:vAlign w:val="center"/>
          </w:tcPr>
          <w:p w14:paraId="79EFF0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1.离校批次管理</w:t>
            </w:r>
          </w:p>
          <w:p w14:paraId="6603D24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对学生的离校批次进行管理，包括批次设置、离校流程等。</w:t>
            </w:r>
          </w:p>
          <w:p w14:paraId="4E4AF6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（1）批次添加</w:t>
            </w:r>
          </w:p>
          <w:p w14:paraId="4E5B134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支持批次添加，字段：批次名称、批次描述、所属年份</w:t>
            </w:r>
          </w:p>
          <w:p w14:paraId="1EC49E3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（2）批次查询</w:t>
            </w:r>
          </w:p>
          <w:p w14:paraId="4F3612E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支持输入关键字查询。</w:t>
            </w:r>
          </w:p>
          <w:p w14:paraId="1AF59B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（3）批次列表</w:t>
            </w:r>
          </w:p>
          <w:p w14:paraId="5108E4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列表显示字段：批次名称、批次描述、所属年份、启用状态、更新时间、操作，操作包括编辑和删除。点击编辑，跳转到批次编辑页面，支持基本信息、离校办理和添加学生。</w:t>
            </w:r>
          </w:p>
          <w:p w14:paraId="452621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基本信息编辑：批次名称、批次描述、所属年份，</w:t>
            </w:r>
          </w:p>
          <w:p w14:paraId="20844B6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离校办理编辑：添加业务，字段：业务名称、数据源、关联流程、业务描述、业务成功提示模板、业务失败提示模板、负责人。</w:t>
            </w:r>
          </w:p>
          <w:p w14:paraId="35E1A8E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添加学生：支持学生查询、添加、批量操作，学生列表字段：学号、姓名、院系、专业、班级、年级、离校状态、离校时间和操作。</w:t>
            </w:r>
          </w:p>
          <w:p w14:paraId="5809DE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2.离校流程管理</w:t>
            </w:r>
          </w:p>
          <w:p w14:paraId="675ABE2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制定和管理学生的离校流程，确保学生顺利毕业。</w:t>
            </w:r>
          </w:p>
          <w:p w14:paraId="32ED84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（1）流程查询</w:t>
            </w:r>
          </w:p>
          <w:p w14:paraId="3D5771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支持关键字查询流程。</w:t>
            </w:r>
          </w:p>
          <w:p w14:paraId="670DE1E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（2）流程添加</w:t>
            </w:r>
          </w:p>
          <w:p w14:paraId="48A00C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支持用户添加流程，字段：流程名称、流程描述。</w:t>
            </w:r>
          </w:p>
          <w:p w14:paraId="5AF0495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（3）流程列表</w:t>
            </w:r>
          </w:p>
          <w:p w14:paraId="0D4360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列表显示流程名称、流程描述、启用状态和操作，操作包括设计和删除。点击设计，跳转到流程设计页面。</w:t>
            </w:r>
          </w:p>
          <w:p w14:paraId="2941A6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（4）流程设计</w:t>
            </w:r>
          </w:p>
          <w:p w14:paraId="42F8E6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图形页面流转配置，支持添加流转节点，设置节点属性，包括节点名称、节点负责人、节点操作。</w:t>
            </w:r>
          </w:p>
          <w:p w14:paraId="46F3A5C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3.离校节点办理</w:t>
            </w:r>
          </w:p>
          <w:p w14:paraId="7E6F9F8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对离校流程中的各个节点进行办理，如图书归还、学费结算等。</w:t>
            </w:r>
          </w:p>
          <w:p w14:paraId="4C1BD46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4.离校结果统计</w:t>
            </w:r>
          </w:p>
          <w:p w14:paraId="19F16A35">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统计学生的离校情况，分析毕业生的离校情况。</w:t>
            </w:r>
          </w:p>
        </w:tc>
        <w:tc>
          <w:tcPr>
            <w:tcW w:w="635" w:type="pct"/>
            <w:vAlign w:val="center"/>
          </w:tcPr>
          <w:p w14:paraId="335B47CE">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71942C2C">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2479E09D">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18BA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27F543E3">
            <w:pPr>
              <w:jc w:val="center"/>
              <w:rPr>
                <w:rFonts w:ascii="宋体" w:hAnsi="宋体" w:eastAsia="宋体" w:cs="宋体"/>
                <w:sz w:val="24"/>
                <w:highlight w:val="none"/>
              </w:rPr>
            </w:pPr>
            <w:r>
              <w:rPr>
                <w:rFonts w:hint="eastAsia" w:cs="宋体" w:asciiTheme="minorEastAsia" w:hAnsiTheme="minorEastAsia"/>
                <w:b/>
                <w:bCs/>
                <w:sz w:val="24"/>
                <w:highlight w:val="none"/>
              </w:rPr>
              <w:t>9</w:t>
            </w:r>
          </w:p>
        </w:tc>
        <w:tc>
          <w:tcPr>
            <w:tcW w:w="778" w:type="pct"/>
            <w:vAlign w:val="center"/>
          </w:tcPr>
          <w:p w14:paraId="3FB343EB">
            <w:pPr>
              <w:pStyle w:val="102"/>
              <w:jc w:val="center"/>
              <w:rPr>
                <w:rFonts w:ascii="宋体" w:hAnsi="宋体" w:cs="宋体"/>
                <w:bCs/>
                <w:sz w:val="24"/>
                <w:szCs w:val="24"/>
                <w:highlight w:val="none"/>
              </w:rPr>
            </w:pPr>
            <w:r>
              <w:rPr>
                <w:rFonts w:hint="eastAsia" w:ascii="宋体" w:hAnsi="宋体" w:cs="宋体"/>
                <w:kern w:val="0"/>
                <w:highlight w:val="none"/>
                <w:lang w:bidi="ar"/>
              </w:rPr>
              <w:t>体测管理系统</w:t>
            </w:r>
          </w:p>
        </w:tc>
        <w:tc>
          <w:tcPr>
            <w:tcW w:w="2378" w:type="pct"/>
            <w:vAlign w:val="center"/>
          </w:tcPr>
          <w:p w14:paraId="7D10F1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1.体测项目管理</w:t>
            </w:r>
          </w:p>
          <w:p w14:paraId="6DB1054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体测项目管理是体质管理的基础和核心，涉及学生体质测试的标准化、流程化，以及测试项目的科学设置。</w:t>
            </w:r>
          </w:p>
          <w:p w14:paraId="7F9413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 测试标准制定</w:t>
            </w:r>
          </w:p>
          <w:p w14:paraId="4445F04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测试标准是体质测试的准绳，确保测试的客观性和公正性。以下是测试标准制定的详细描述：</w:t>
            </w:r>
          </w:p>
          <w:p w14:paraId="7A399D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（1）新建测试标准</w:t>
            </w:r>
          </w:p>
          <w:p w14:paraId="0B74EA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测试标准应包括以下内容：</w:t>
            </w:r>
          </w:p>
          <w:p w14:paraId="43E385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测试项目的选择：根据学生的年龄、性别、发育水平等因素，选择合适的测试项目，如身高、体重、视力、肺活量、力量、速度、耐力、柔韧性等。</w:t>
            </w:r>
          </w:p>
          <w:p w14:paraId="6B9926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测试方法的规定：对每个测试项目的方法进行详细规定，包括测试的姿势、动作要领、测试时间等。</w:t>
            </w:r>
          </w:p>
          <w:p w14:paraId="14B46B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测试结果的评分标准：根据测试结果，制定相应的评分等级，如优秀、良好、及格、不及格等。</w:t>
            </w:r>
          </w:p>
          <w:p w14:paraId="245C97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（2）标准的动态调整</w:t>
            </w:r>
          </w:p>
          <w:p w14:paraId="5B1D38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随着学生体质状况的变化和体育政策要求的发展，测试标准应进行动态调整，以适应新的需求。</w:t>
            </w:r>
          </w:p>
          <w:p w14:paraId="7907625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 体测流程的设计</w:t>
            </w:r>
          </w:p>
          <w:p w14:paraId="7DD0A2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体测流程的设计旨在确保体测的顺利进行，以下是测体测流程设计的详细描述：</w:t>
            </w:r>
          </w:p>
          <w:p w14:paraId="756A7D4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（1）体测前的准备</w:t>
            </w:r>
          </w:p>
          <w:p w14:paraId="4F55A76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场地设置：设置体测所需场地。</w:t>
            </w:r>
          </w:p>
          <w:p w14:paraId="403B56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器材设置：设置体测所需器材。</w:t>
            </w:r>
          </w:p>
          <w:p w14:paraId="59A9636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体测人员设置：设置体测负责人员。</w:t>
            </w:r>
          </w:p>
          <w:p w14:paraId="4C2170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（2）体测的实施</w:t>
            </w:r>
          </w:p>
          <w:p w14:paraId="46BBBCD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设置学生分组：根据测试项目和场地情况，合理设置学生分组，确保测试秩序井然。</w:t>
            </w:r>
          </w:p>
          <w:p w14:paraId="72517D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设置体测顺序：设置体测项目的顺序，避免因连续进行高强度测试导致学生疲劳。</w:t>
            </w:r>
          </w:p>
          <w:p w14:paraId="0547275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体测在线记录：测试过程中，支持专人进行在线体测成绩记录，确保测试的公正性和安全性。</w:t>
            </w:r>
          </w:p>
          <w:p w14:paraId="66AD01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2.体测成绩录入</w:t>
            </w:r>
          </w:p>
          <w:p w14:paraId="0A7C15A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体测成绩录入是体质管理的重要环节，它为后续的统计和分析提供基础数据。</w:t>
            </w:r>
          </w:p>
          <w:p w14:paraId="1C8BCC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2.1 录入方式</w:t>
            </w:r>
          </w:p>
          <w:p w14:paraId="7AA0A75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（1）手工在线录入</w:t>
            </w:r>
          </w:p>
          <w:p w14:paraId="36E83C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支持体测记录人员在线填写学生体测成绩。</w:t>
            </w:r>
          </w:p>
          <w:p w14:paraId="0D2BB6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（2）批量导入</w:t>
            </w:r>
          </w:p>
          <w:p w14:paraId="7AB6E42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支持体测管理人员批量导入学生体测成绩。</w:t>
            </w:r>
          </w:p>
          <w:p w14:paraId="311CB92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2.2 录入内容的规范</w:t>
            </w:r>
          </w:p>
          <w:p w14:paraId="5886F7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（1）学生信息规范</w:t>
            </w:r>
          </w:p>
          <w:p w14:paraId="35E363E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录入成绩时，自动关联学生基本信息，如姓名、性别、年龄、班级、学号等，确保学生基础信息准确无误，以便于后续的统计和分析。</w:t>
            </w:r>
          </w:p>
          <w:p w14:paraId="611719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（2）测试成绩转化</w:t>
            </w:r>
          </w:p>
          <w:p w14:paraId="4E8B210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支持录入每个学生的测试成绩，根据测试标准，将测试成绩转换为相应的分数或等级。</w:t>
            </w:r>
          </w:p>
          <w:p w14:paraId="2BA7D1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3.体测结果统计</w:t>
            </w:r>
          </w:p>
          <w:p w14:paraId="138B91E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体测结果统计是对学生体质状况的量化分析，为学校体育工作提供数据支持。</w:t>
            </w:r>
          </w:p>
          <w:p w14:paraId="777E6C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3.1 统计内容</w:t>
            </w:r>
          </w:p>
          <w:p w14:paraId="3EA8DF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（1）学生个体统计</w:t>
            </w:r>
          </w:p>
          <w:p w14:paraId="47A56A0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对学生个体进行统计，包括身高、体重、肺活量、视力等各项测试成绩。</w:t>
            </w:r>
          </w:p>
          <w:p w14:paraId="65E53B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分析体质发展趋势，为制定个性化锻炼计划提供依据。</w:t>
            </w:r>
          </w:p>
          <w:p w14:paraId="27F08A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（2）班级统计</w:t>
            </w:r>
          </w:p>
          <w:p w14:paraId="2FBA75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对班级进行统计，包括班级的平均分、合格率、优秀率等。</w:t>
            </w:r>
          </w:p>
          <w:p w14:paraId="74CCDEA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分析班级之间的差异，为教师调整教学方法提供参考。</w:t>
            </w:r>
          </w:p>
          <w:p w14:paraId="370EFF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（3）学校统计</w:t>
            </w:r>
          </w:p>
          <w:p w14:paraId="5D198E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对学校进行统计，包括学校的总体平均分、合格率、优秀率等。</w:t>
            </w:r>
          </w:p>
          <w:p w14:paraId="48D03AD9">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分析学校的整体体质状况，为学校体育工作提供决策依据。</w:t>
            </w:r>
          </w:p>
        </w:tc>
        <w:tc>
          <w:tcPr>
            <w:tcW w:w="635" w:type="pct"/>
            <w:vAlign w:val="center"/>
          </w:tcPr>
          <w:p w14:paraId="135AE509">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47AB949D">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4D43FDCC">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413F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5A900620">
            <w:pPr>
              <w:jc w:val="center"/>
              <w:rPr>
                <w:rFonts w:ascii="宋体" w:hAnsi="宋体" w:eastAsia="宋体" w:cs="宋体"/>
                <w:sz w:val="24"/>
                <w:highlight w:val="none"/>
              </w:rPr>
            </w:pPr>
            <w:r>
              <w:rPr>
                <w:rFonts w:hint="eastAsia" w:cs="宋体" w:asciiTheme="minorEastAsia" w:hAnsiTheme="minorEastAsia"/>
                <w:b/>
                <w:bCs/>
                <w:sz w:val="24"/>
                <w:highlight w:val="none"/>
              </w:rPr>
              <w:t>10</w:t>
            </w:r>
          </w:p>
        </w:tc>
        <w:tc>
          <w:tcPr>
            <w:tcW w:w="778" w:type="pct"/>
            <w:vAlign w:val="center"/>
          </w:tcPr>
          <w:p w14:paraId="44DA2960">
            <w:pPr>
              <w:pStyle w:val="102"/>
              <w:jc w:val="center"/>
              <w:rPr>
                <w:rFonts w:ascii="宋体" w:hAnsi="宋体" w:cs="宋体"/>
                <w:bCs/>
                <w:sz w:val="24"/>
                <w:szCs w:val="24"/>
                <w:highlight w:val="none"/>
              </w:rPr>
            </w:pPr>
            <w:r>
              <w:rPr>
                <w:rFonts w:hint="eastAsia" w:ascii="宋体" w:hAnsi="宋体" w:cs="宋体"/>
                <w:kern w:val="0"/>
                <w:highlight w:val="none"/>
                <w:lang w:bidi="ar"/>
              </w:rPr>
              <w:t>校企合作管理系统</w:t>
            </w:r>
          </w:p>
        </w:tc>
        <w:tc>
          <w:tcPr>
            <w:tcW w:w="2378" w:type="pct"/>
            <w:vAlign w:val="center"/>
          </w:tcPr>
          <w:p w14:paraId="11084E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1.产学合作管理</w:t>
            </w:r>
          </w:p>
          <w:p w14:paraId="3F56864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与企业的合作项目，促进学校与产业的融合发展，支持维护学校产学合作数据，包括合作专业、合作企业名称、企业统一社会信用代码、合作开始年月、订单培养人数、共同开发课程门数、共同开发教材数、支持学校兼职教师数、接受顶岗实习学生数、接受毕业生就业数、学校为企业技术服务年收入等信息。</w:t>
            </w:r>
          </w:p>
          <w:p w14:paraId="3D7CDC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2.职业技能鉴定机构管理</w:t>
            </w:r>
          </w:p>
          <w:p w14:paraId="1B27630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负责对职业技能鉴定机构的资质审核、认证及管理，确保职业技能鉴定的权威性和准确性，支持维护学校职业技能鉴定机构相关信息，包括鉴定机构名称、鉴定证书名称、鉴定等级、建立单位级别、建立单位部门、鉴定人数、鉴定年度等信息。</w:t>
            </w:r>
          </w:p>
          <w:p w14:paraId="3B7344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3.访企拓岗管理</w:t>
            </w:r>
          </w:p>
          <w:p w14:paraId="342687C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组织学校师生访问企业，了解企业需求，开拓学生实习和就业岗位，促进校企合作，支持维护访企拓岗相关信息，包括走访企业名称、走访企业统一社会信用代码、需求专业名称、需求专业层次、可提供岗位数、平均薪酬、牵头拜访人、职务、拜访时间、企业接待人姓名、接待人职务、访谈成果主要形式、接受实习专业名称、接受实习专业层次、接受实习生人数、接受实习报酬、接受学生就业专业名称、接受学生就业层次、接受学生就业人数、接受学生就业起薪线及其他达成意向合作等信息。</w:t>
            </w:r>
          </w:p>
          <w:p w14:paraId="4C07F9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4.校企合作共同开发课程管理</w:t>
            </w:r>
          </w:p>
          <w:p w14:paraId="71AD54B0">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管理与企业合作共同开发的课程，结合行业需求，优化课程内容，支持维护校企合作开发课程号、课程名称、课程简介、合作企业统一社会信用代码、合作企业名称、开始日期、结束日期、学校负责人、企业负责人等信息。</w:t>
            </w:r>
          </w:p>
        </w:tc>
        <w:tc>
          <w:tcPr>
            <w:tcW w:w="635" w:type="pct"/>
            <w:vAlign w:val="center"/>
          </w:tcPr>
          <w:p w14:paraId="7BB8F452">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52F67906">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4ABE5311">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B65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735277E0">
            <w:pPr>
              <w:jc w:val="center"/>
              <w:rPr>
                <w:rFonts w:ascii="宋体" w:hAnsi="宋体" w:eastAsia="宋体" w:cs="宋体"/>
                <w:sz w:val="24"/>
                <w:highlight w:val="none"/>
              </w:rPr>
            </w:pPr>
            <w:bookmarkStart w:id="36" w:name="_Toc18135"/>
            <w:bookmarkStart w:id="37" w:name="_Toc16712"/>
            <w:bookmarkStart w:id="38" w:name="_Toc14278"/>
            <w:r>
              <w:rPr>
                <w:rFonts w:hint="eastAsia" w:cs="宋体" w:asciiTheme="minorEastAsia" w:hAnsiTheme="minorEastAsia"/>
                <w:b/>
                <w:bCs/>
                <w:sz w:val="24"/>
                <w:highlight w:val="none"/>
              </w:rPr>
              <w:t>11</w:t>
            </w:r>
          </w:p>
        </w:tc>
        <w:tc>
          <w:tcPr>
            <w:tcW w:w="778" w:type="pct"/>
            <w:vAlign w:val="center"/>
          </w:tcPr>
          <w:p w14:paraId="7CCDC164">
            <w:pPr>
              <w:pStyle w:val="102"/>
              <w:jc w:val="center"/>
              <w:rPr>
                <w:rFonts w:ascii="宋体" w:hAnsi="宋体" w:cs="宋体"/>
                <w:bCs/>
                <w:sz w:val="24"/>
                <w:szCs w:val="24"/>
                <w:highlight w:val="none"/>
              </w:rPr>
            </w:pPr>
            <w:r>
              <w:rPr>
                <w:rFonts w:hint="eastAsia" w:ascii="宋体" w:hAnsi="宋体" w:cs="宋体"/>
                <w:kern w:val="0"/>
                <w:highlight w:val="none"/>
                <w:lang w:bidi="ar"/>
              </w:rPr>
              <w:t>国际交流管理系统</w:t>
            </w:r>
          </w:p>
        </w:tc>
        <w:tc>
          <w:tcPr>
            <w:tcW w:w="2378" w:type="pct"/>
            <w:vAlign w:val="center"/>
          </w:tcPr>
          <w:p w14:paraId="755EAC3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1.中外合作办学基础数据管理</w:t>
            </w:r>
          </w:p>
          <w:p w14:paraId="782D48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维护中外合作办学的基础数据，包括合作伙伴信息、专业设置、教学计划等。</w:t>
            </w:r>
          </w:p>
          <w:p w14:paraId="6127ADD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2.国（境）外办学情况数据管理</w:t>
            </w:r>
          </w:p>
          <w:p w14:paraId="2B3193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收集和管理学校在国（境）外办学的情况，如合作院校信息、学生流动等。</w:t>
            </w:r>
          </w:p>
          <w:p w14:paraId="603E25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3.接收国（境）外留学生来华留学数据管理</w:t>
            </w:r>
          </w:p>
          <w:p w14:paraId="0533FBA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管理接收国（境）外留学生的数据，包括留学生信息、学习情况等。</w:t>
            </w:r>
          </w:p>
          <w:p w14:paraId="52F0351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4.开发并被国（境）外采用的教学标准数据管理</w:t>
            </w:r>
          </w:p>
          <w:p w14:paraId="53D7E7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管理学校开发并被国（境）外采用的教学标准，促进教育国际化。</w:t>
            </w:r>
          </w:p>
          <w:p w14:paraId="205E153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5.中外合作办学学生基础数据管理</w:t>
            </w:r>
          </w:p>
          <w:p w14:paraId="2E44F2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维护中外合作办学学生的基础数据，包括个人信息、学习情况等。</w:t>
            </w:r>
          </w:p>
          <w:p w14:paraId="3C42FAC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6.国际交流大数据统计分析</w:t>
            </w:r>
          </w:p>
          <w:p w14:paraId="022702AA">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对国际交流的数据进行统计分析，为学校国际化的决策提供支持。</w:t>
            </w:r>
          </w:p>
        </w:tc>
        <w:tc>
          <w:tcPr>
            <w:tcW w:w="635" w:type="pct"/>
            <w:vAlign w:val="center"/>
          </w:tcPr>
          <w:p w14:paraId="53A98B34">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44398999">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11A176D">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93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22C5CBDB">
            <w:pPr>
              <w:jc w:val="center"/>
              <w:rPr>
                <w:rFonts w:ascii="宋体" w:hAnsi="宋体" w:eastAsia="宋体" w:cs="宋体"/>
                <w:sz w:val="24"/>
                <w:highlight w:val="none"/>
              </w:rPr>
            </w:pPr>
            <w:r>
              <w:rPr>
                <w:rFonts w:hint="eastAsia" w:cs="宋体" w:asciiTheme="minorEastAsia" w:hAnsiTheme="minorEastAsia"/>
                <w:b/>
                <w:bCs/>
                <w:sz w:val="24"/>
                <w:highlight w:val="none"/>
              </w:rPr>
              <w:t>12</w:t>
            </w:r>
          </w:p>
        </w:tc>
        <w:tc>
          <w:tcPr>
            <w:tcW w:w="778" w:type="pct"/>
            <w:vAlign w:val="center"/>
          </w:tcPr>
          <w:p w14:paraId="7075C614">
            <w:pPr>
              <w:pStyle w:val="102"/>
              <w:jc w:val="center"/>
              <w:rPr>
                <w:rFonts w:ascii="宋体" w:hAnsi="宋体" w:cs="宋体"/>
                <w:bCs/>
                <w:sz w:val="24"/>
                <w:szCs w:val="24"/>
                <w:highlight w:val="none"/>
              </w:rPr>
            </w:pPr>
            <w:r>
              <w:rPr>
                <w:rFonts w:hint="eastAsia" w:ascii="宋体" w:hAnsi="宋体" w:cs="宋体"/>
                <w:kern w:val="0"/>
                <w:highlight w:val="none"/>
                <w:lang w:bidi="ar"/>
              </w:rPr>
              <w:t>培训管理系统</w:t>
            </w:r>
          </w:p>
        </w:tc>
        <w:tc>
          <w:tcPr>
            <w:tcW w:w="2378" w:type="pct"/>
            <w:vAlign w:val="center"/>
          </w:tcPr>
          <w:p w14:paraId="39C8D40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1.培训信息发布</w:t>
            </w:r>
          </w:p>
          <w:p w14:paraId="226AE0C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通过校园网站、公告栏等渠道发布培训信息，包括培训内容、时间、地点等。</w:t>
            </w:r>
          </w:p>
          <w:p w14:paraId="36ED8F2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2.培训名单管理</w:t>
            </w:r>
          </w:p>
          <w:p w14:paraId="3A3D01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管理参与培训的学生名单，包括报名、录取、取消等操作。</w:t>
            </w:r>
          </w:p>
          <w:p w14:paraId="2C42D39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3.培训计划管理</w:t>
            </w:r>
          </w:p>
          <w:p w14:paraId="3B5B160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制定和调整培训计划，确保培训内容的合理安排和培训目标的实现。</w:t>
            </w:r>
          </w:p>
          <w:p w14:paraId="669C7D2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4.培训过程管理</w:t>
            </w:r>
          </w:p>
          <w:p w14:paraId="743484B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监督和记录培训过程，包括教师授课、学生参与情况等。</w:t>
            </w:r>
          </w:p>
          <w:p w14:paraId="5208CFE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5.培训成绩录入</w:t>
            </w:r>
          </w:p>
          <w:p w14:paraId="7DE6215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收集和录入学生的培训成绩，为评价培训效果提供依据。</w:t>
            </w:r>
          </w:p>
          <w:p w14:paraId="32AC5FC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6.培训数据统计</w:t>
            </w:r>
          </w:p>
          <w:p w14:paraId="087237E6">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对培训数据进行分析统计，评估培训效果，优化培训内容。</w:t>
            </w:r>
          </w:p>
        </w:tc>
        <w:tc>
          <w:tcPr>
            <w:tcW w:w="635" w:type="pct"/>
            <w:vAlign w:val="center"/>
          </w:tcPr>
          <w:p w14:paraId="1B985EE2">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4985E02">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52FFA3B5">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0543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362C6BE9">
            <w:pPr>
              <w:jc w:val="center"/>
              <w:rPr>
                <w:rFonts w:ascii="宋体" w:hAnsi="宋体" w:eastAsia="宋体" w:cs="宋体"/>
                <w:sz w:val="24"/>
                <w:highlight w:val="none"/>
              </w:rPr>
            </w:pPr>
            <w:r>
              <w:rPr>
                <w:rFonts w:hint="eastAsia" w:cs="宋体" w:asciiTheme="minorEastAsia" w:hAnsiTheme="minorEastAsia"/>
                <w:b/>
                <w:bCs/>
                <w:sz w:val="24"/>
                <w:highlight w:val="none"/>
              </w:rPr>
              <w:t>13</w:t>
            </w:r>
          </w:p>
        </w:tc>
        <w:tc>
          <w:tcPr>
            <w:tcW w:w="778" w:type="pct"/>
            <w:vAlign w:val="center"/>
          </w:tcPr>
          <w:p w14:paraId="7B5259EF">
            <w:pPr>
              <w:pStyle w:val="102"/>
              <w:jc w:val="center"/>
              <w:rPr>
                <w:rFonts w:ascii="宋体" w:hAnsi="宋体" w:cs="宋体"/>
                <w:bCs/>
                <w:sz w:val="24"/>
                <w:szCs w:val="24"/>
                <w:highlight w:val="none"/>
              </w:rPr>
            </w:pPr>
            <w:r>
              <w:rPr>
                <w:rFonts w:hint="eastAsia" w:ascii="宋体" w:hAnsi="宋体" w:cs="宋体"/>
                <w:kern w:val="0"/>
                <w:highlight w:val="none"/>
                <w:lang w:bidi="ar"/>
              </w:rPr>
              <w:t>教科研工作量化系统</w:t>
            </w:r>
          </w:p>
        </w:tc>
        <w:tc>
          <w:tcPr>
            <w:tcW w:w="2378" w:type="pct"/>
            <w:vAlign w:val="center"/>
          </w:tcPr>
          <w:p w14:paraId="106A9B4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1.数据来源管理</w:t>
            </w:r>
          </w:p>
          <w:p w14:paraId="109AAF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 数据来源识别</w:t>
            </w:r>
          </w:p>
          <w:p w14:paraId="5452C8E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确定数据类型：根据教科研工作的特点，确定所需的数据类型，如发表论文、科研项目、专利成果等。</w:t>
            </w:r>
          </w:p>
          <w:p w14:paraId="05A797A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识别数据来源：识别数据的来源，包括内部数据库、外部数据库等。</w:t>
            </w:r>
          </w:p>
          <w:p w14:paraId="4C3DAB9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 数据质量审核</w:t>
            </w:r>
          </w:p>
          <w:p w14:paraId="52BD41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数据真实性审核：审核数据的真实性，避免虚假数据对量化评价的干扰。</w:t>
            </w:r>
          </w:p>
          <w:p w14:paraId="5D0E23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数据完整性审核：审核数据的完整性，避免关键数据的缺失影响评价结果。</w:t>
            </w:r>
          </w:p>
          <w:p w14:paraId="080CFF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 数据透明度</w:t>
            </w:r>
          </w:p>
          <w:p w14:paraId="780DF2D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数据公开：对数据进行公开，接受监督，增强管理的透明度。</w:t>
            </w:r>
          </w:p>
          <w:p w14:paraId="4669A8E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数据查询：提供数据查询功能，方便用户查询数据来源和更新情况。</w:t>
            </w:r>
          </w:p>
          <w:p w14:paraId="53802D6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2.量化评分管理</w:t>
            </w:r>
          </w:p>
          <w:p w14:paraId="3A3F54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2.1 评分标准设置</w:t>
            </w:r>
          </w:p>
          <w:p w14:paraId="53D982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制定评分规则：根据教科研工作的特点和评价需求，制定详细的评分规则。</w:t>
            </w:r>
          </w:p>
          <w:p w14:paraId="208B3F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设定评分权重：为不同的评价指标设定合理的权重，确保评价的公正性。</w:t>
            </w:r>
          </w:p>
          <w:p w14:paraId="38CA16F8">
            <w:pPr>
              <w:pStyle w:val="12"/>
              <w:ind w:firstLine="420" w:firstLineChars="200"/>
              <w:rPr>
                <w:rFonts w:ascii="宋体" w:hAnsi="宋体" w:cs="宋体"/>
                <w:kern w:val="0"/>
                <w:highlight w:val="none"/>
                <w:lang w:bidi="ar"/>
              </w:rPr>
            </w:pPr>
            <w:r>
              <w:rPr>
                <w:rFonts w:hint="eastAsia" w:ascii="宋体" w:hAnsi="宋体" w:cs="宋体"/>
                <w:kern w:val="0"/>
                <w:highlight w:val="none"/>
                <w:lang w:bidi="ar"/>
              </w:rPr>
              <w:t>表单自定义配置：</w:t>
            </w:r>
          </w:p>
          <w:p w14:paraId="3B73B0BC">
            <w:pPr>
              <w:pStyle w:val="12"/>
              <w:spacing w:after="0"/>
              <w:ind w:firstLine="420" w:firstLineChars="200"/>
              <w:rPr>
                <w:rFonts w:ascii="宋体" w:hAnsi="宋体" w:cs="宋体"/>
                <w:kern w:val="0"/>
                <w:highlight w:val="none"/>
                <w:lang w:bidi="ar"/>
              </w:rPr>
            </w:pPr>
            <w:r>
              <w:rPr>
                <w:rFonts w:hint="eastAsia" w:ascii="宋体" w:hAnsi="宋体" w:cs="宋体"/>
                <w:kern w:val="0"/>
                <w:highlight w:val="none"/>
                <w:lang w:bidi="ar"/>
              </w:rPr>
              <w:t>（1）支持系统后台自定义配置表单字段，可以自定义不同操作情景显示不同的表单，如管理员添加、修改教工表单，教工修改个人信息表单，添加、修改兼职教师表单，外部人员添加、修改表单，应聘人员入职信息完善表单，各类表单都可以自定义显示不同内容，如教工添加页面表单调整字段顺序后，在添加教工时字段也会实时变化顺序。</w:t>
            </w:r>
          </w:p>
          <w:p w14:paraId="703814DD">
            <w:pPr>
              <w:pStyle w:val="12"/>
              <w:spacing w:after="0"/>
              <w:ind w:firstLine="420" w:firstLineChars="200"/>
              <w:rPr>
                <w:rFonts w:ascii="宋体" w:hAnsi="宋体" w:cs="宋体"/>
                <w:kern w:val="0"/>
                <w:highlight w:val="none"/>
                <w:lang w:bidi="ar"/>
              </w:rPr>
            </w:pPr>
            <w:r>
              <w:rPr>
                <w:rFonts w:hint="eastAsia" w:ascii="宋体" w:hAnsi="宋体" w:cs="宋体"/>
                <w:kern w:val="0"/>
                <w:highlight w:val="none"/>
                <w:lang w:bidi="ar"/>
              </w:rPr>
              <w:t>（2）支持系统后台通过拖动的方式任意排列表单字段，可以设置表单字段的名称，长度，是否必填等属性，每个表单字段可以在前端页面配置不同的js代码，通过前端js代码可以实现身份证号自动截取出生年月等功能，支持配置工号生成规则，在添加教工时，能选择对应规则自动生成工号，如工号生成规则涉及部门等字段，会自动监测未填字段并提示。</w:t>
            </w:r>
          </w:p>
          <w:p w14:paraId="66EAD3FA">
            <w:pPr>
              <w:pStyle w:val="12"/>
              <w:ind w:firstLine="422" w:firstLineChars="200"/>
              <w:rPr>
                <w:rFonts w:ascii="宋体" w:hAnsi="宋体" w:cs="宋体"/>
                <w:b/>
                <w:bCs/>
                <w:kern w:val="0"/>
                <w:highlight w:val="none"/>
                <w:lang w:bidi="ar"/>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表单自定义配置</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p w14:paraId="0879EA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2.2 评分过程管理</w:t>
            </w:r>
          </w:p>
          <w:p w14:paraId="455A8CC4">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评分数据分项管理：</w:t>
            </w:r>
          </w:p>
          <w:p w14:paraId="2906BF1E">
            <w:pPr>
              <w:widowControl/>
              <w:numPr>
                <w:ilvl w:val="0"/>
                <w:numId w:val="3"/>
              </w:numPr>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支持管理员进行教职工部分字段批量更新，可选择按工号或身份证号导入更新，支持选择任意更新字段，下载模板后填写更新字段内容，再上传更新。</w:t>
            </w:r>
          </w:p>
          <w:p w14:paraId="300B2CC2">
            <w:pPr>
              <w:widowControl/>
              <w:numPr>
                <w:ilvl w:val="0"/>
                <w:numId w:val="3"/>
              </w:numPr>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支持设置教师分项信息管理员，分项信息管理员只可以操作自己所管辖的分项数据，无法操作权限以外的其它数据。</w:t>
            </w:r>
          </w:p>
          <w:p w14:paraId="3394007A">
            <w:pPr>
              <w:pStyle w:val="12"/>
              <w:ind w:firstLine="422" w:firstLineChars="200"/>
              <w:rPr>
                <w:rFonts w:ascii="宋体" w:hAnsi="宋体" w:cs="宋体"/>
                <w:b/>
                <w:bCs/>
                <w:kern w:val="0"/>
                <w:highlight w:val="none"/>
                <w:lang w:bidi="ar"/>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val="en-US" w:eastAsia="zh-CN" w:bidi="ar"/>
              </w:rPr>
              <w:t>评分数据分项管理</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p w14:paraId="08E8A6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评分任务分配：将评分任务分配给不同的部门和人员，确保评分工作的有序进行。</w:t>
            </w:r>
          </w:p>
          <w:p w14:paraId="2BD9866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评分过程监控：对评分过程进行监控，确保评分的公正性和客观性。</w:t>
            </w:r>
          </w:p>
          <w:p w14:paraId="4A47D81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2.3 评分结果审核</w:t>
            </w:r>
          </w:p>
          <w:p w14:paraId="0C3B26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审核评分结果：对评分结果进行审核，确保评分结果的准确性。</w:t>
            </w:r>
          </w:p>
          <w:p w14:paraId="6376E3B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评分结果反馈：将评分结果反馈给被评价者，并提供改进建议。</w:t>
            </w:r>
          </w:p>
          <w:p w14:paraId="716EEAE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3.量化结果统计</w:t>
            </w:r>
          </w:p>
          <w:p w14:paraId="392184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3.1 数据统计分析</w:t>
            </w:r>
          </w:p>
          <w:p w14:paraId="763497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数据汇总：对量化评价的数据进行汇总，形成统计数据。</w:t>
            </w:r>
          </w:p>
          <w:p w14:paraId="442F1A5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数据分析：运用统计分析方法，对数据进行深入分析，提取有价值的信息。</w:t>
            </w:r>
          </w:p>
          <w:p w14:paraId="688F70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3.2 工作量计算</w:t>
            </w:r>
          </w:p>
          <w:p w14:paraId="4B5282A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工作量计算公式：根据量化评分结果，制定工作量计算公式。</w:t>
            </w:r>
          </w:p>
          <w:p w14:paraId="4600BD0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自动计算：系统自动根据评分结果和计算公式，计算教科研工作量。</w:t>
            </w:r>
          </w:p>
          <w:p w14:paraId="73C418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3.3 结果呈现</w:t>
            </w:r>
          </w:p>
          <w:p w14:paraId="1CB9383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生成报表：生成教科研工作量报表，包括各项指标的详细数据和总体评价。</w:t>
            </w:r>
          </w:p>
          <w:p w14:paraId="60D3D6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数据可视化：通过图表、图形等方式，直观展示量化评价结果。</w:t>
            </w:r>
          </w:p>
          <w:p w14:paraId="1BEB957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3.4 结果应用</w:t>
            </w:r>
          </w:p>
          <w:p w14:paraId="65A9CB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评价绩效：根据量化结果，对教科研工作进行绩效评价。</w:t>
            </w:r>
          </w:p>
          <w:p w14:paraId="299639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优化资源配置：根据量化结果，优化教科研资源的配置。</w:t>
            </w:r>
          </w:p>
          <w:p w14:paraId="6D11F4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3.5 教师数字画像</w:t>
            </w:r>
          </w:p>
          <w:p w14:paraId="43AB129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教师个人数据画像：支持教职工大数据人脸搜索，上传教职工照片后，点击开始识别，即可通过教职工照片进行教职工信息搜索，如匹配成功，则展示匹配人员照片、工号、姓名、部门，支持点击姓名跳转至教工个人画像，跳转教工个人画像后，支持查看教师基本信息、学习经历、工作经历、年度考核等数据，支持切换版面色调，支持一键导出教工简历，可下载pdf及word版本。</w:t>
            </w:r>
          </w:p>
          <w:p w14:paraId="223D78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整体人事数据画像：支持“学校人事数据分析”&gt;&gt;“二级部门人事数据分析”&gt;&gt;“三级部门人事数据分析”逐级深挖。</w:t>
            </w:r>
          </w:p>
          <w:p w14:paraId="28CA16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主页面为学校人事数据页面，包含“部门教师数量统计”、“校本部教职工人数”、“各类教职工人数统计”、“教职工人数类型数量统计”、“专技职务数量统计”、“最高学历数量统计”、“最高学位数量统计”、“行政职务级别数量统计”等统计分析，支持点击单个教师可以查看教师个人档案，个人档案页面支持切换深浅背景色。</w:t>
            </w:r>
          </w:p>
          <w:p w14:paraId="3F6D25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支持主页面点击部门跳转至二级部门人事数据分析页面，以图形化的方式分析展示部门各类人事数据，包含：“最高学位比例统计”、“最高学历比例统计”、“部门教工人数”、“各类教职工人数统计”、“专技职务比例”、“行政职务级别比例”，支持数据深挖到教工个人档案。</w:t>
            </w:r>
          </w:p>
          <w:p w14:paraId="681C18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支持由二级部门人事数据分析页面跳转至三级部门人事数据分析页面，以图形化的方式分析展示部门各类人事数据，包含：“政治面貌分布统计”、“最高学位比例统计”、“最高学历比例统计”、“三级部门教职工人数”、“年龄统计”、“教龄统计”、“性别比例”，支持数据深挖到教工个人画像。</w:t>
            </w:r>
          </w:p>
          <w:p w14:paraId="05EFD166">
            <w:pPr>
              <w:widowControl/>
              <w:ind w:firstLine="420" w:firstLineChars="200"/>
              <w:jc w:val="left"/>
              <w:textAlignment w:val="center"/>
              <w:rPr>
                <w:rFonts w:hint="eastAsia" w:ascii="宋体" w:hAnsi="宋体" w:cs="宋体"/>
                <w:kern w:val="0"/>
                <w:highlight w:val="none"/>
                <w:lang w:bidi="ar"/>
              </w:rPr>
            </w:pPr>
            <w:r>
              <w:rPr>
                <w:rFonts w:hint="eastAsia" w:ascii="宋体" w:hAnsi="宋体" w:cs="宋体"/>
                <w:kern w:val="0"/>
                <w:highlight w:val="none"/>
                <w:lang w:bidi="ar"/>
              </w:rPr>
              <w:t>（4）支持人事系统中修改的数据实时联动人事数据分析中的数据，管理员修改</w:t>
            </w:r>
            <w:r>
              <w:rPr>
                <w:rFonts w:hint="eastAsia" w:ascii="宋体" w:hAnsi="宋体" w:cs="宋体"/>
                <w:kern w:val="0"/>
                <w:highlight w:val="none"/>
                <w:lang w:val="en-US" w:eastAsia="zh-CN" w:bidi="ar"/>
              </w:rPr>
              <w:t>人事系统中某位教师的</w:t>
            </w:r>
            <w:r>
              <w:rPr>
                <w:rFonts w:hint="eastAsia" w:ascii="宋体" w:hAnsi="宋体" w:cs="宋体"/>
                <w:kern w:val="0"/>
                <w:highlight w:val="none"/>
                <w:lang w:bidi="ar"/>
              </w:rPr>
              <w:t>教师部门、最高学历、最高学位后，教师发展数据中部门教师数量统计数据、最高学历比例统计、最高学位比例统计会实时变化。</w:t>
            </w:r>
          </w:p>
          <w:p w14:paraId="07248F8A">
            <w:pPr>
              <w:pStyle w:val="12"/>
              <w:ind w:firstLine="422" w:firstLineChars="200"/>
              <w:rPr>
                <w:rFonts w:hint="eastAsia" w:ascii="宋体" w:hAnsi="宋体" w:cs="宋体"/>
                <w:kern w:val="0"/>
                <w:highlight w:val="none"/>
                <w:lang w:bidi="ar"/>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val="en-US" w:eastAsia="zh-CN" w:bidi="ar"/>
              </w:rPr>
              <w:t>3.5 教师数字画像</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tc>
        <w:tc>
          <w:tcPr>
            <w:tcW w:w="635" w:type="pct"/>
            <w:vAlign w:val="center"/>
          </w:tcPr>
          <w:p w14:paraId="21B68E31">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6D550687">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60E012DA">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17A0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CF0A86D">
            <w:pPr>
              <w:jc w:val="center"/>
              <w:rPr>
                <w:rFonts w:ascii="宋体" w:hAnsi="宋体" w:eastAsia="宋体" w:cs="宋体"/>
                <w:sz w:val="24"/>
                <w:highlight w:val="none"/>
              </w:rPr>
            </w:pPr>
            <w:r>
              <w:rPr>
                <w:rFonts w:hint="eastAsia" w:cs="宋体" w:asciiTheme="minorEastAsia" w:hAnsiTheme="minorEastAsia"/>
                <w:b/>
                <w:bCs/>
                <w:sz w:val="24"/>
                <w:highlight w:val="none"/>
              </w:rPr>
              <w:t>14</w:t>
            </w:r>
          </w:p>
        </w:tc>
        <w:tc>
          <w:tcPr>
            <w:tcW w:w="778" w:type="pct"/>
            <w:vAlign w:val="center"/>
          </w:tcPr>
          <w:p w14:paraId="48606112">
            <w:pPr>
              <w:pStyle w:val="102"/>
              <w:jc w:val="center"/>
              <w:rPr>
                <w:rFonts w:ascii="宋体" w:hAnsi="宋体" w:cs="宋体"/>
                <w:bCs/>
                <w:sz w:val="24"/>
                <w:szCs w:val="24"/>
                <w:highlight w:val="none"/>
              </w:rPr>
            </w:pPr>
            <w:r>
              <w:rPr>
                <w:rFonts w:hint="eastAsia" w:ascii="宋体" w:hAnsi="宋体" w:cs="宋体"/>
                <w:kern w:val="0"/>
                <w:highlight w:val="none"/>
                <w:lang w:bidi="ar"/>
              </w:rPr>
              <w:t>宿舍评优管理系统</w:t>
            </w:r>
          </w:p>
        </w:tc>
        <w:tc>
          <w:tcPr>
            <w:tcW w:w="2378" w:type="pct"/>
            <w:vAlign w:val="center"/>
          </w:tcPr>
          <w:p w14:paraId="3BDF5E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本功能模块主要实现对学生宿舍进行打分按分值进行评级的功能。支持在评分周期结束前一周时间，如评分小组成员未完成评分的，则推送提醒信息，提醒评分人员按时评分；支持评分结束后必须实时拍照上床才能完成评分工作，显示分数。</w:t>
            </w:r>
          </w:p>
          <w:p w14:paraId="5BF568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管理员可通过本模块进行配置相应打分模板、评分等级、打分项目等，设定本模块的运转模式。</w:t>
            </w:r>
          </w:p>
          <w:p w14:paraId="57D73E9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学生志愿者按照管理员设定内容执行宿舍打分。</w:t>
            </w:r>
          </w:p>
          <w:p w14:paraId="51041EC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3.1打分任务</w:t>
            </w:r>
          </w:p>
          <w:p w14:paraId="482676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（1）打分任务信息</w:t>
            </w:r>
          </w:p>
          <w:p w14:paraId="42FDCC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系统支持宿舍评分功能通过下发打分任务，宿舍评分打分任务信息包含批次、未打分宿舍数量、是否在打分周期、截止打分时间、标题、宿舍、参与评分小组类型等。用户可以进行打分、查看等操作。</w:t>
            </w:r>
          </w:p>
          <w:p w14:paraId="3D822B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（2）打分任务批次列表</w:t>
            </w:r>
          </w:p>
          <w:p w14:paraId="7CC9463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以列表形式向用户提供打分任务批次数据，列表展示包含批次、未打分宿舍数量、是否在打分周期、截止打分时间等，用户可通过分页翻页查看列表。</w:t>
            </w:r>
          </w:p>
          <w:p w14:paraId="5807DE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（3）打分任务批次查询</w:t>
            </w:r>
          </w:p>
          <w:p w14:paraId="46DC7F1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打分模板、日期条件对打分任务批次列表进行查询。</w:t>
            </w:r>
          </w:p>
          <w:p w14:paraId="7C34B0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（4）打分任务列表</w:t>
            </w:r>
          </w:p>
          <w:p w14:paraId="4C3DE85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系统以列表形式展示所有打分任务的概览，包括任务的当前状态和关键信息，方便管理员和志愿者了解任务进展。</w:t>
            </w:r>
          </w:p>
          <w:p w14:paraId="4E273F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（5）打分任务查询</w:t>
            </w:r>
          </w:p>
          <w:p w14:paraId="2A3C8FD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支持选定按打分模板、日期条件查询打分任务。</w:t>
            </w:r>
          </w:p>
          <w:p w14:paraId="0C9CD7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（6）打分任务打分概况查看</w:t>
            </w:r>
          </w:p>
          <w:p w14:paraId="5C9CBC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管理员和志愿者可以查看每个打分任务的总体评分情况，以评估整体表现。</w:t>
            </w:r>
          </w:p>
          <w:p w14:paraId="7946C79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（7）打分任务评分列表</w:t>
            </w:r>
          </w:p>
          <w:p w14:paraId="06DD3D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展示每个宿舍在打分任务中的得分情况，包括每项评分的详细数据，便于进一步查看。</w:t>
            </w:r>
          </w:p>
          <w:p w14:paraId="2F031C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（8）打分任务评分详情修改</w:t>
            </w:r>
          </w:p>
          <w:p w14:paraId="161CE6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用户可以在打分任务评分列表中，通过修改按钮，对打分任务评分详情进行修改。</w:t>
            </w:r>
          </w:p>
          <w:p w14:paraId="54FA6C6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3.2评分小组</w:t>
            </w:r>
          </w:p>
          <w:p w14:paraId="5BEF6C4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（1）评分小组类别列表</w:t>
            </w:r>
          </w:p>
          <w:p w14:paraId="48C1BE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以列表形式向用户展示小组类别信息，小组类别信息展示内容包含编号、名称、创建人员、创建时间。</w:t>
            </w:r>
          </w:p>
          <w:p w14:paraId="4F8304A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（2）评分小组类别添加</w:t>
            </w:r>
          </w:p>
          <w:p w14:paraId="6385103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用户可以通过添加按钮，在弹出的添加评分小组类别表单页面，按要求填写表单信息，完成评分小组类别的添加。</w:t>
            </w:r>
          </w:p>
          <w:p w14:paraId="01569ED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（3）评分小组类别修改</w:t>
            </w:r>
          </w:p>
          <w:p w14:paraId="60CB456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用户可以在评分小组类别列表中，通过编辑按钮，对评分小组类别进行修改操作。</w:t>
            </w:r>
          </w:p>
          <w:p w14:paraId="414A844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（4）评分小组类别删除</w:t>
            </w:r>
          </w:p>
          <w:p w14:paraId="08C003A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当用户发现评分小组类别不再使用时，可以通过删除按钮，移除评分小组类别，保障数据准确性。</w:t>
            </w:r>
          </w:p>
          <w:p w14:paraId="21FB4F3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（5）评分小组列表</w:t>
            </w:r>
          </w:p>
          <w:p w14:paraId="1FE0607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展示所有评分小组的列表，包括小组名称、成员数量。</w:t>
            </w:r>
          </w:p>
          <w:p w14:paraId="4B9EBA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（6）评分小组添加</w:t>
            </w:r>
          </w:p>
          <w:p w14:paraId="04C503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允许管理员创建新的评分小组，指定小组名称。</w:t>
            </w:r>
          </w:p>
          <w:p w14:paraId="3FC17A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（7）评分小组修改</w:t>
            </w:r>
          </w:p>
          <w:p w14:paraId="524305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用户检查评分小组信息，如果发现有错误时，可以通过修改功能，修改评分小组信息，保障数据的准确性。</w:t>
            </w:r>
          </w:p>
          <w:p w14:paraId="030CF6A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（8）评分小组删除</w:t>
            </w:r>
          </w:p>
          <w:p w14:paraId="0A7E483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用户如果检查已录入评分小组信息，如果发现不需要时，可以通过删除功能，删除信息，减少冗余的信息，系统将不再保留该信息。</w:t>
            </w:r>
          </w:p>
          <w:p w14:paraId="5578DD5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（9）评分小组组长列表</w:t>
            </w:r>
          </w:p>
          <w:p w14:paraId="511A2E3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列出所有评分小组组长的详细信息，便于管理和联系。</w:t>
            </w:r>
          </w:p>
          <w:p w14:paraId="1246F77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（10）评分小组组长添加</w:t>
            </w:r>
          </w:p>
          <w:p w14:paraId="10AE475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为评分小组指定或更换组长，确保评分工作的顺利进行。</w:t>
            </w:r>
          </w:p>
          <w:p w14:paraId="0F4A78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（11）评分小组组长删除</w:t>
            </w:r>
          </w:p>
          <w:p w14:paraId="079F9D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用户可以通过删除功能，删除错误或多余的评分小组组长信息，系统将不再保留该信息。</w:t>
            </w:r>
          </w:p>
          <w:p w14:paraId="418CF54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（12）评分小组组长修改</w:t>
            </w:r>
          </w:p>
          <w:p w14:paraId="44CEEE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用户检查评分小组组长信息，如果发现有错误时，可以通过修改功能，修改评分小组组长信息，保障数据的准确性。</w:t>
            </w:r>
          </w:p>
          <w:p w14:paraId="403614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3.3打分模板</w:t>
            </w:r>
          </w:p>
          <w:p w14:paraId="74892C9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（1）打分模板列表</w:t>
            </w:r>
          </w:p>
          <w:p w14:paraId="734A8A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允许管理员创建新的打分模板，定义评分标准和项目。</w:t>
            </w:r>
          </w:p>
          <w:p w14:paraId="6894683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（2）打分模板添加</w:t>
            </w:r>
          </w:p>
          <w:p w14:paraId="22DBC30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允许管理员创建新的打分模板，定义评分标准和项目。</w:t>
            </w:r>
          </w:p>
          <w:p w14:paraId="31A3C51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（3）打分模板修改</w:t>
            </w:r>
          </w:p>
          <w:p w14:paraId="43DA15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允许管理员通过修改功能，修改评分小组信息，保障数据的准确性。</w:t>
            </w:r>
          </w:p>
          <w:p w14:paraId="1B1D6F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3.4区域范围</w:t>
            </w:r>
          </w:p>
          <w:p w14:paraId="4849F8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（1）区域范围列表</w:t>
            </w:r>
          </w:p>
          <w:p w14:paraId="0DE9EF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展示所有定义的区域范围，便于管理和分配评分任务。</w:t>
            </w:r>
          </w:p>
          <w:p w14:paraId="6C8D5A1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（2）区域范围添加</w:t>
            </w:r>
          </w:p>
          <w:p w14:paraId="6791EB9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允许管理员添加新的区域范围，定义区域的名称和坐标。</w:t>
            </w:r>
          </w:p>
          <w:p w14:paraId="4E3ABF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（3）区域范围楼栋列表</w:t>
            </w:r>
          </w:p>
          <w:p w14:paraId="627B84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展示特定区域范围内的楼栋列表，便于进一步的评分任务分配。</w:t>
            </w:r>
          </w:p>
          <w:p w14:paraId="6BA53B9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（4）区域范围修改</w:t>
            </w:r>
          </w:p>
          <w:p w14:paraId="34B176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允许管理员对区域范围列表中的区域范围进行修改，保障数据的准确性。</w:t>
            </w:r>
          </w:p>
          <w:p w14:paraId="252418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（5）区域范围删除</w:t>
            </w:r>
          </w:p>
          <w:p w14:paraId="413AD4D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用户可以通过删除功能，删除错误或多余的区域范围信息，系统将不再保留该信息。</w:t>
            </w:r>
          </w:p>
          <w:p w14:paraId="032AFA8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3.5宿舍打分</w:t>
            </w:r>
          </w:p>
          <w:p w14:paraId="24D3CD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（1）宿舍打分工作组列表</w:t>
            </w:r>
          </w:p>
          <w:p w14:paraId="567F7A2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展示所有宿舍打分工作组的列表，包括组长和成员信息。</w:t>
            </w:r>
          </w:p>
          <w:p w14:paraId="58472D6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（2）宿舍打分工作组负责区域列表</w:t>
            </w:r>
          </w:p>
          <w:p w14:paraId="593CB4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展示每个工作组负责的区域范围，确保评分任务的明确性。</w:t>
            </w:r>
          </w:p>
          <w:p w14:paraId="4DA8803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（3）宿舍打分工作组组长列表</w:t>
            </w:r>
          </w:p>
          <w:p w14:paraId="272478F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列出所有宿舍打分工作组组长的详细信息，便于管理和联系。</w:t>
            </w:r>
          </w:p>
          <w:p w14:paraId="3045145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（4）宿舍打分小组成员列表</w:t>
            </w:r>
          </w:p>
          <w:p w14:paraId="2C39FD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展示评分小组的所有成员信息，便于管理和协调。</w:t>
            </w:r>
          </w:p>
          <w:p w14:paraId="4799E1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（5）宿舍打分小组成员参与评分模板列表</w:t>
            </w:r>
          </w:p>
          <w:p w14:paraId="2495421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展示小组成员参与评分的所有模板，便于跟踪和管理。</w:t>
            </w:r>
          </w:p>
          <w:p w14:paraId="6B5FD2E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（6）宿舍打分小组评分模板列表</w:t>
            </w:r>
          </w:p>
          <w:p w14:paraId="0AB068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展示评分小组使用的评分模板，便于查看和选择。</w:t>
            </w:r>
          </w:p>
          <w:p w14:paraId="518E01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（7）宿舍打分小组评分模板批次列表</w:t>
            </w:r>
          </w:p>
          <w:p w14:paraId="4BED7B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展示评分模板的批次信息，便于管理和分配任务。</w:t>
            </w:r>
          </w:p>
          <w:p w14:paraId="5EE61B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（8）宿舍打分小组评分模板批次查询</w:t>
            </w:r>
          </w:p>
          <w:p w14:paraId="6941AB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允许通过开始时间、周期、模版名称条件对打分小组评分模板进行查询。</w:t>
            </w:r>
          </w:p>
          <w:p w14:paraId="25C3E76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（9）宿舍打分小组评分模板批次评分任务列表</w:t>
            </w:r>
          </w:p>
          <w:p w14:paraId="2FCC8BE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展示每个评分模板批次的具体评分任务，便于执行和跟踪。</w:t>
            </w:r>
          </w:p>
          <w:p w14:paraId="509B162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（10）宿舍打分小组评分模板批次评分任务查询</w:t>
            </w:r>
          </w:p>
          <w:p w14:paraId="5516D0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用户可以通过开始时间、参与人的条件进行宿舍打分小组评分模板批次评分任务查询</w:t>
            </w:r>
          </w:p>
          <w:p w14:paraId="49B994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（11）宿舍打分小组评分模板批次评分任务打分概况列表</w:t>
            </w:r>
          </w:p>
          <w:p w14:paraId="112C6A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展示评分任务的打分概况，包括总分、评分时间、打分人员等。</w:t>
            </w:r>
          </w:p>
          <w:p w14:paraId="547FA03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（12）宿舍打分小组评分模板成员列表</w:t>
            </w:r>
          </w:p>
          <w:p w14:paraId="2B2CE5E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展示参与评分模板的所有成员，便于管理和协调。</w:t>
            </w:r>
          </w:p>
          <w:p w14:paraId="26C8994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（13）宿舍打分小组评分模板成员添加</w:t>
            </w:r>
          </w:p>
          <w:p w14:paraId="26CB192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允许管理员添加新的评分模板成员，扩大评分团队。</w:t>
            </w:r>
          </w:p>
          <w:p w14:paraId="3B07D63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（14）宿舍打分小组评分模板成员负责区域修改</w:t>
            </w:r>
          </w:p>
          <w:p w14:paraId="01BE79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用户检查宿舍打分小组评分模板成员负责区域信息，如果发现有错误时，可以通过修改功能，修改对应信息，保障数据的准确性。</w:t>
            </w:r>
          </w:p>
          <w:p w14:paraId="4C609C0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（15）宿舍打分小组评分模板检查列表</w:t>
            </w:r>
          </w:p>
          <w:p w14:paraId="07B43615">
            <w:pPr>
              <w:widowControl/>
              <w:ind w:firstLine="420" w:firstLineChars="200"/>
              <w:jc w:val="left"/>
              <w:textAlignment w:val="center"/>
              <w:rPr>
                <w:rFonts w:ascii="宋体" w:hAnsi="宋体" w:eastAsia="宋体" w:cs="宋体"/>
                <w:bCs/>
                <w:sz w:val="24"/>
                <w:highlight w:val="none"/>
              </w:rPr>
            </w:pPr>
            <w:r>
              <w:rPr>
                <w:rFonts w:hint="eastAsia" w:ascii="宋体" w:hAnsi="宋体" w:cs="宋体"/>
                <w:kern w:val="0"/>
                <w:highlight w:val="none"/>
                <w:lang w:bidi="ar"/>
              </w:rPr>
              <w:t>展示评分模板的检查记录，确保评分的准确性和一致性。</w:t>
            </w:r>
          </w:p>
        </w:tc>
        <w:tc>
          <w:tcPr>
            <w:tcW w:w="635" w:type="pct"/>
            <w:vAlign w:val="center"/>
          </w:tcPr>
          <w:p w14:paraId="11C83D5B">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5E11C6C8">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66EA62D">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44A8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4A359CC">
            <w:pPr>
              <w:jc w:val="center"/>
              <w:rPr>
                <w:rFonts w:ascii="宋体" w:hAnsi="宋体" w:eastAsia="宋体" w:cs="宋体"/>
                <w:sz w:val="24"/>
                <w:highlight w:val="none"/>
              </w:rPr>
            </w:pPr>
            <w:r>
              <w:rPr>
                <w:rFonts w:hint="eastAsia" w:cs="宋体" w:asciiTheme="minorEastAsia" w:hAnsiTheme="minorEastAsia"/>
                <w:b/>
                <w:bCs/>
                <w:sz w:val="24"/>
                <w:highlight w:val="none"/>
              </w:rPr>
              <w:t>15</w:t>
            </w:r>
          </w:p>
        </w:tc>
        <w:tc>
          <w:tcPr>
            <w:tcW w:w="778" w:type="pct"/>
            <w:vAlign w:val="center"/>
          </w:tcPr>
          <w:p w14:paraId="77B7F4D6">
            <w:pPr>
              <w:pStyle w:val="102"/>
              <w:jc w:val="center"/>
              <w:rPr>
                <w:rFonts w:ascii="宋体" w:hAnsi="宋体" w:cs="宋体"/>
                <w:bCs/>
                <w:sz w:val="24"/>
                <w:szCs w:val="24"/>
                <w:highlight w:val="none"/>
              </w:rPr>
            </w:pPr>
            <w:r>
              <w:rPr>
                <w:rFonts w:hint="eastAsia" w:ascii="宋体" w:hAnsi="宋体" w:cs="宋体"/>
                <w:kern w:val="0"/>
                <w:highlight w:val="none"/>
                <w:lang w:bidi="ar"/>
              </w:rPr>
              <w:t>查寝管理系统</w:t>
            </w:r>
          </w:p>
        </w:tc>
        <w:tc>
          <w:tcPr>
            <w:tcW w:w="2378" w:type="pct"/>
            <w:vAlign w:val="center"/>
          </w:tcPr>
          <w:p w14:paraId="7A43C5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1.查寝任务发布</w:t>
            </w:r>
          </w:p>
          <w:p w14:paraId="34B9AE3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制定查寝计划：根据学校宿舍管理的实际情况，制定查寝计划，包括查寝时间、查寝人员、查寝范围等。</w:t>
            </w:r>
          </w:p>
          <w:p w14:paraId="341FEB0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发布查寝通知：通过校园网、宿舍公告栏、班级群等渠道，发布查寝通知，确保每位学生都能及时了解查寝信息。</w:t>
            </w:r>
          </w:p>
          <w:p w14:paraId="030280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分配查寝任务：将查寝任务分配给宿舍管理员、班主任或学生自律委员会等，明确各自职责。</w:t>
            </w:r>
          </w:p>
          <w:p w14:paraId="5F5A0F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2.查寝表单配置</w:t>
            </w:r>
          </w:p>
          <w:p w14:paraId="5797D6D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设定表单结构：根据查寝的需要，设计包含宿舍基本信息、学生信息、查寝评分、存在问题等内容的表单结构。</w:t>
            </w:r>
          </w:p>
          <w:p w14:paraId="7E9040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选择表单字段：包括宿舍号、学生姓名、床铺整理情况、物品摆放情况、卫生状况、安全隐患等字段。</w:t>
            </w:r>
          </w:p>
          <w:p w14:paraId="635286C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设置表单样式：根据学校的要求，设置表单的样式，包括输入框长短、布局等。</w:t>
            </w:r>
          </w:p>
          <w:p w14:paraId="16F790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3.手机查寝填报</w:t>
            </w:r>
          </w:p>
          <w:p w14:paraId="248A461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移动端查寝：开发专用的查寝手机应用，实现查寝信息的实时填报和反馈。</w:t>
            </w:r>
          </w:p>
          <w:p w14:paraId="5D6683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查寝消息提醒：包括查寝任务接收、查寝信息填报、查寝结果查看等。</w:t>
            </w:r>
          </w:p>
          <w:p w14:paraId="0D9DD76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接收查寝任务：查寝人员通过手机应用接收查寝任务，了解查寝要求。</w:t>
            </w:r>
          </w:p>
          <w:p w14:paraId="49FD254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填报查寝信息：查寝人员根据实际情况，通过手机应用填报查寝信息。</w:t>
            </w:r>
          </w:p>
          <w:p w14:paraId="0BC5A8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提交查寝结果：查寝人员提交查寝结果，系统自动记录并反馈。</w:t>
            </w:r>
          </w:p>
          <w:p w14:paraId="1E810C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4.查寝结果统计</w:t>
            </w:r>
          </w:p>
          <w:p w14:paraId="26B6AC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数据分析：对查寝数据进行分析，如统计各宿舍的卫生情况、安全隐患情况等。</w:t>
            </w:r>
          </w:p>
          <w:p w14:paraId="3E7ACB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趋势预测：根据历史数据，分析宿舍查寝各项数据趋势。</w:t>
            </w:r>
          </w:p>
          <w:p w14:paraId="079A015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改进宿舍管理：根据统计分析结果，改进宿舍管理措施，提升宿舍环境。</w:t>
            </w:r>
          </w:p>
          <w:p w14:paraId="743C23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完善查寝机制：根据统计结果，调整查寝频率、查寝内容等，完善查寝机制。</w:t>
            </w:r>
          </w:p>
          <w:p w14:paraId="595E45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反馈给学校管理层：将统计结果反馈给学校管理层，为决策提供依据。</w:t>
            </w:r>
          </w:p>
          <w:p w14:paraId="0740D2EF">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反馈给学生：将查寝结果反馈给学生，激励学生改善宿舍环境。</w:t>
            </w:r>
          </w:p>
        </w:tc>
        <w:tc>
          <w:tcPr>
            <w:tcW w:w="635" w:type="pct"/>
            <w:vAlign w:val="center"/>
          </w:tcPr>
          <w:p w14:paraId="2B1F1A31">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E447CFE">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BC486EE">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386E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E0BDC30">
            <w:pPr>
              <w:jc w:val="center"/>
              <w:rPr>
                <w:rFonts w:ascii="宋体" w:hAnsi="宋体" w:eastAsia="宋体" w:cs="宋体"/>
                <w:sz w:val="24"/>
                <w:highlight w:val="none"/>
              </w:rPr>
            </w:pPr>
            <w:r>
              <w:rPr>
                <w:rFonts w:hint="eastAsia" w:cs="宋体" w:asciiTheme="minorEastAsia" w:hAnsiTheme="minorEastAsia"/>
                <w:b/>
                <w:bCs/>
                <w:sz w:val="24"/>
                <w:highlight w:val="none"/>
              </w:rPr>
              <w:t>16</w:t>
            </w:r>
          </w:p>
        </w:tc>
        <w:tc>
          <w:tcPr>
            <w:tcW w:w="778" w:type="pct"/>
            <w:vAlign w:val="center"/>
          </w:tcPr>
          <w:p w14:paraId="09FAE98D">
            <w:pPr>
              <w:pStyle w:val="102"/>
              <w:jc w:val="center"/>
              <w:rPr>
                <w:rFonts w:ascii="宋体" w:hAnsi="宋体" w:cs="宋体"/>
                <w:bCs/>
                <w:sz w:val="24"/>
                <w:szCs w:val="24"/>
                <w:highlight w:val="none"/>
              </w:rPr>
            </w:pPr>
            <w:r>
              <w:rPr>
                <w:rFonts w:hint="eastAsia" w:ascii="宋体" w:hAnsi="宋体" w:cs="宋体"/>
                <w:kern w:val="0"/>
                <w:highlight w:val="none"/>
                <w:lang w:bidi="ar"/>
              </w:rPr>
              <w:t>视频巡课管理平台</w:t>
            </w:r>
          </w:p>
        </w:tc>
        <w:tc>
          <w:tcPr>
            <w:tcW w:w="2378" w:type="pct"/>
            <w:vAlign w:val="center"/>
          </w:tcPr>
          <w:p w14:paraId="2F5A878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1.巡课任务管理</w:t>
            </w:r>
          </w:p>
          <w:p w14:paraId="0E1D706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负责安排和监督教师的巡课任务，提高教学质量和教学管理效率。</w:t>
            </w:r>
          </w:p>
          <w:p w14:paraId="02E5C6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（1）巡课任务设置</w:t>
            </w:r>
          </w:p>
          <w:p w14:paraId="5042BC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支持设置（增删查改）巡课任务，包括巡课任务批次、开始时间、结束时间、巡课范围、巡课周期、巡课教师、巡课模板等信息。</w:t>
            </w:r>
          </w:p>
          <w:p w14:paraId="7DBCA15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（2）巡课任务发布</w:t>
            </w:r>
          </w:p>
          <w:p w14:paraId="560FEF8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支持将设置好的巡课任务进行发布，该任务相关巡课人员会接受到巡课任务提醒，接受巡课任务后，会按照巡课任务进行自动提醒巡课。</w:t>
            </w:r>
          </w:p>
          <w:p w14:paraId="2A2744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（3）巡课任务提醒</w:t>
            </w:r>
          </w:p>
          <w:p w14:paraId="6ABAB3E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支持设置巡课任务提醒时间，每个周期定时提醒相关巡课人员有巡课任务，点击可跳转至巡课填报页面。</w:t>
            </w:r>
          </w:p>
          <w:p w14:paraId="4FF13B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（4）巡课任务进度查看</w:t>
            </w:r>
          </w:p>
          <w:p w14:paraId="275B05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支持设置巡课任务后，自动获取巡课任务中课表信息，自动计算巡课任务量，并统计已完成的巡课任务量，以进度条形式展示。</w:t>
            </w:r>
          </w:p>
          <w:p w14:paraId="6BDEDE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2.巡课视频流配置</w:t>
            </w:r>
          </w:p>
          <w:p w14:paraId="53BE8E8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配置巡课所需的视频流，确保巡课过程中的实时监控。</w:t>
            </w:r>
          </w:p>
          <w:p w14:paraId="0E813C8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3.巡课表单管理</w:t>
            </w:r>
          </w:p>
          <w:p w14:paraId="79A757A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设计和维护巡课表单，收集巡课过程中的反馈和评价。</w:t>
            </w:r>
          </w:p>
          <w:p w14:paraId="53CFCF6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4.巡课任务填写</w:t>
            </w:r>
          </w:p>
          <w:p w14:paraId="67C9AE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教师根据巡课任务填写相关表单，记录巡课情况和教学评价。</w:t>
            </w:r>
          </w:p>
          <w:p w14:paraId="02F5DD0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（1）移动端填报</w:t>
            </w:r>
          </w:p>
          <w:p w14:paraId="7FA9A95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1）选择巡课任务</w:t>
            </w:r>
          </w:p>
          <w:p w14:paraId="1B0284C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支持移动端选择巡课任务，巡课老师只能选择包含自己的巡课任务。</w:t>
            </w:r>
          </w:p>
          <w:p w14:paraId="1F8095F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2）选择教室</w:t>
            </w:r>
          </w:p>
          <w:p w14:paraId="25ABD7C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支持选择巡课任务后，自动按照巡课任务中所包含巡课区域，展示可选的巡课教室，选择对应教室。</w:t>
            </w:r>
          </w:p>
          <w:p w14:paraId="34239C5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3）选择课程</w:t>
            </w:r>
          </w:p>
          <w:p w14:paraId="42C77E8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支持选择教室后，自动按照排课表，列出该教室今日上课列表，包括节次等信息，老师自行选择对应课程。</w:t>
            </w:r>
          </w:p>
          <w:p w14:paraId="6EA5BC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4）填写巡课信息</w:t>
            </w:r>
          </w:p>
          <w:p w14:paraId="3A3DDE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支持选择课程后，自动生成周次、星期几、上课节次、应到学生数、上课教师等信息，其他信息按巡课模板题目供巡课老师进行填写。</w:t>
            </w:r>
          </w:p>
          <w:p w14:paraId="2DAED4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（2）PC端填报</w:t>
            </w:r>
          </w:p>
          <w:p w14:paraId="6A81BE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1）选择巡课任务</w:t>
            </w:r>
          </w:p>
          <w:p w14:paraId="399227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支持PC端选择巡课任务，巡课老师只能选择包含自己的巡课任务。</w:t>
            </w:r>
          </w:p>
          <w:p w14:paraId="10CF3F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2）选择教室</w:t>
            </w:r>
          </w:p>
          <w:p w14:paraId="7709D5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支持选择巡课任务后，自动按照巡课任务中所包含巡课清单，以平铺的方式展示可查看的巡课教室，选择对应教室，点击教室后进入巡课填报页面。</w:t>
            </w:r>
          </w:p>
          <w:p w14:paraId="6892DEA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3）巡课填报页面</w:t>
            </w:r>
          </w:p>
          <w:p w14:paraId="1DC8D19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进入巡课页面后，支持选择课程，课程自动按照排课表，列出该教室今日上课列表，包括节次等信息，老师自行选择对应课程，选择课程后，自动生成周次、星期几、上课节次、应到学生数、上课教师等信息，其他信息按巡课模板题目供巡课老师进行填写。</w:t>
            </w:r>
          </w:p>
          <w:p w14:paraId="1E208E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5.巡课数据统计</w:t>
            </w:r>
          </w:p>
          <w:p w14:paraId="566F5601">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对巡课数据进行分析统计，为教学质量的改进提供依据。</w:t>
            </w:r>
          </w:p>
        </w:tc>
        <w:tc>
          <w:tcPr>
            <w:tcW w:w="635" w:type="pct"/>
            <w:vAlign w:val="center"/>
          </w:tcPr>
          <w:p w14:paraId="0293D0B7">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C42CB58">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4190F8C">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0F51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7150F1E5">
            <w:pPr>
              <w:jc w:val="center"/>
              <w:rPr>
                <w:rFonts w:ascii="宋体" w:hAnsi="宋体" w:eastAsia="宋体" w:cs="宋体"/>
                <w:sz w:val="24"/>
                <w:highlight w:val="none"/>
              </w:rPr>
            </w:pPr>
            <w:r>
              <w:rPr>
                <w:rFonts w:hint="eastAsia" w:cs="宋体" w:asciiTheme="minorEastAsia" w:hAnsiTheme="minorEastAsia"/>
                <w:b/>
                <w:bCs/>
                <w:sz w:val="24"/>
                <w:highlight w:val="none"/>
              </w:rPr>
              <w:t>17</w:t>
            </w:r>
          </w:p>
        </w:tc>
        <w:tc>
          <w:tcPr>
            <w:tcW w:w="778" w:type="pct"/>
            <w:vAlign w:val="center"/>
          </w:tcPr>
          <w:p w14:paraId="2AD1EAC2">
            <w:pPr>
              <w:pStyle w:val="102"/>
              <w:jc w:val="center"/>
              <w:rPr>
                <w:rFonts w:ascii="宋体" w:hAnsi="宋体" w:cs="宋体"/>
                <w:bCs/>
                <w:sz w:val="24"/>
                <w:szCs w:val="24"/>
                <w:highlight w:val="none"/>
              </w:rPr>
            </w:pPr>
            <w:r>
              <w:rPr>
                <w:rFonts w:hint="eastAsia" w:ascii="宋体" w:hAnsi="宋体" w:cs="宋体"/>
                <w:kern w:val="0"/>
                <w:highlight w:val="none"/>
                <w:lang w:bidi="ar"/>
              </w:rPr>
              <w:t>升级科研管理系统</w:t>
            </w:r>
          </w:p>
        </w:tc>
        <w:tc>
          <w:tcPr>
            <w:tcW w:w="2378" w:type="pct"/>
            <w:vAlign w:val="center"/>
          </w:tcPr>
          <w:p w14:paraId="0E209E1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1.科研项目管理</w:t>
            </w:r>
          </w:p>
          <w:p w14:paraId="400CAD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（1）项目批次模块</w:t>
            </w:r>
          </w:p>
          <w:p w14:paraId="40DB07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批次设置：该模块由院级或校级管理人员管理，可以设置批次名称、项目来源、项目级别、项目类别、申请起止时间等内容，系统会自动根据所设置的申报类别和起止时间进行申报控制。同时支持对设置好的项目批次进行查询，通过可配置化配置，调整筛选条件，展示不同内容，方便科研人员更好的管理项目批次内容设置。</w:t>
            </w:r>
          </w:p>
          <w:p w14:paraId="21B9507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批次查询：该模块展示已配置好的项目批次设置列表，展示项目批次名称，项目申报时间，项目申报状态，项目申请情况，项目申报评审情况等内容。通过项目名称，项目申报类别，项目申报起始时间等条件查询需要查看或编辑的项目批次，支持导出项目批次，统计历年项目批次设置情况等。</w:t>
            </w:r>
          </w:p>
          <w:p w14:paraId="15B3C09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（2）项目评审模块</w:t>
            </w:r>
          </w:p>
          <w:p w14:paraId="616769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评审方案设置：该模块可以设置评审方案名称，根据需要选择不同评分项，评审状态，评审起止时间，评审参考文件，评审注意事项，分配评审专家等。通过管理项目批次，管理不同类别项目，针对性的甄选专家进行评审，同时支持评审方案导出。</w:t>
            </w:r>
          </w:p>
          <w:p w14:paraId="2215FF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评审方案查询：该模块展示评审方案列表，展示评审方案名称，评审起始时间，评审关联的项目批次信息，通过评审方案不同条件，查询详细的评审方案设置内容，管理人员在此跳转进入评审方案设置页面，可以编辑或修改评审方案条件，针对不同分类项目进行设置。该模块支持可配置化展示列表与搜索条件，方便对评审方案内容的管理。</w:t>
            </w:r>
          </w:p>
          <w:p w14:paraId="2B6C46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评审专家设置：该模块可以通过筛选不同背景评审专家，关联评审方案与项目批次，让其对进行申报的项目进行评审，同时展示评审专家的详细信息，姓名，科研背景，联系方式，评审具体项目情况等。帮助管理人员随时查看评审情况。</w:t>
            </w:r>
          </w:p>
          <w:p w14:paraId="0C1083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评审专家库管理：该模块用于管理人员添加修改删除评审专家，并支持分配账号信息，让专家登录系统进行评审，录入专家的信息可以通过专家展示列表进行查看与管理。</w:t>
            </w:r>
          </w:p>
          <w:p w14:paraId="50D382C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评审评分项目设置：为评审方案提供不同的评分项目，评分分值标准，评分说明等提供参考或标准。同时支持评审参考文件上传，让专家在评审时可以随时查看评审要求或评分标准等。</w:t>
            </w:r>
          </w:p>
          <w:p w14:paraId="42557D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（3）项目分类模块</w:t>
            </w:r>
          </w:p>
          <w:p w14:paraId="74C99CA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项目分类设置：该模块用于设置项目类型，分类名称，教育部归属，项目来源，项目级别，预算标准等。并支持针对不同类别项目进行申报时跳转不同业务流程，展示不同填报表单，更灵活管理项目申报内容。</w:t>
            </w:r>
          </w:p>
          <w:p w14:paraId="2A8FDC4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分类查询：展示项目分类的分类名称，项目来源，管理的预算标准等信息，通过可配置化的条件，查询不同项目分类，不同项目来源的基础设置。支持批量关联项目批次，更好设置项目申报条件，帮助科研人员在申报项目填写时有详细的预算标准设置与申报说明作为参考。</w:t>
            </w:r>
          </w:p>
          <w:p w14:paraId="47E73F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（4）预算标准</w:t>
            </w:r>
          </w:p>
          <w:p w14:paraId="02FEF6F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预算标准设置：该模块用于设置项目预算类别，预算填写说明，使用备注等使用标准。通过预算使用标准，帮助科研人员填报时更好的填写预算使用说明。支持预算填写时间设置，针对不同年份，可以使用不同项目分类的预算标准进行设置，提供更灵活的预算申请使用方案。</w:t>
            </w:r>
          </w:p>
          <w:p w14:paraId="00A14D1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预算标准查询：展示预算使用标准设置列表，展示预算标准名称，预算标准使用时间，预算标准关联的项目分类名称等内容，点击可以查询详细的预算标准甚至内容，可以进行编辑修改，提供预算标准名称，备注，预算使用说明等条件筛选，查询预算标准信息。</w:t>
            </w:r>
          </w:p>
          <w:p w14:paraId="343280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（5）项目奖励考核模块</w:t>
            </w:r>
          </w:p>
          <w:p w14:paraId="2B5C33F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奖励设置：该模块可以对不同科研工作类型进行不同程度奖励设置，通过配置科研工作填写表单的填写内容进行不同等级的奖励设置，例如论文成果不同收录类别可以获得不同奖励，并支持对不同项目来源，不同项目分类进行不同的奖励设置。</w:t>
            </w:r>
          </w:p>
          <w:p w14:paraId="43E9AFC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奖励查询：该模块展示项目奖励设置列表，管理员可以通过奖励名称，奖励的项目分类，项目来源等条件，查询或编辑已设置的项目奖励详情。项目奖励同时支持可配置化的真是内容，根据实际需要展示项目奖励设置的相关信息，便于查找关联项目奖励设置。</w:t>
            </w:r>
          </w:p>
          <w:p w14:paraId="0FD545A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奖励统计：该模块展示科研系统内所有的科研工作情况的奖励统计情况，可以通过后台配置，分门别类展示不同科研工作或者不同部门的奖励情况，也可以展示奖励人的获奖情况，细致统计到个人的奖励情况。</w:t>
            </w:r>
          </w:p>
          <w:p w14:paraId="6210C4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工作量设置：对成果情况、项目情况、专利、著作及论文情况、参加学术会议情况，通过量化计分的方法，根据完成的科研工作量，赋予不同的分值进行考核。通过可配置化编辑，细致到科研工作具体的工作内容进行考核，并进行不同等级工作量的设置，计算具体的科研工作量，方便管理人员对科研工作的考核情况进行管理。</w:t>
            </w:r>
          </w:p>
          <w:p w14:paraId="0E0A69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项目工作量查询：展示科研工作量具体的计分项，工作量等级，考核名称，考核类别等内容，通过工作量设置的名称，内容，工作量得分标准进行快速查询，编辑修改需要管理的工作量考核设置。</w:t>
            </w:r>
          </w:p>
          <w:p w14:paraId="19F2DF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工作量统计：统计所有科研工作的工作量，通过编辑统计项，展示不同的统计内容，可分为个人，院级，校级三个维度去查看科研工作者的工作量，支持工作量等级统计划分，针对工作量不达标的用户进行消息推送通知，同时支持导出excel表格，方便线下科研考核工作的进行。</w:t>
            </w:r>
          </w:p>
          <w:p w14:paraId="2334306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（6）项目申报模块</w:t>
            </w:r>
          </w:p>
          <w:p w14:paraId="666FCD6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选题：在项目申报设置中配置完善后，科研人员可以在此进行项目选题，课题主要来源有多个方面：上级安排、外单位委托企业研究、与外单位合作科研项目以及企业内各单位的申请等。科研人员可以根据需要选择对应课题进行项目申报，选题过程中填写项目申报相关信息，由管理员审查通过后即可继续进行项目申报流程。</w:t>
            </w:r>
          </w:p>
          <w:p w14:paraId="021FC1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立项：科研人员在此可以进行对申报的项目进行立项登记，填写项目名称，项目来源，项目分类，上传项目申报申请书，编辑项目参与人员，编写项目摘要，所属学科等内容后提交立项申请，待管理员审查通过后即可进入下一环节。支持管理员对表单属性，例如表单宽度、对齐方式、标签宽等自定义修改；支持对表单字段进行自定义修改、增加、删除、拖拽排序等操作。</w:t>
            </w:r>
          </w:p>
          <w:p w14:paraId="4C5BC11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审核：该模块主要由管理人分配权限给院级与校级审核人员，对项目申报全生命周期进行审核，支持多人审核与根据不同项目分类区分审核，审核人员可以对项目申报进行审核通过，退回或转办等操作，并填写审核意见。审核通过的项目申报即可进行结题环节。</w:t>
            </w:r>
          </w:p>
          <w:p w14:paraId="2923B9D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评审：该模块由项目申报关联的项目批次的评审方案确定评审专家，专家评审可以设置在任意环节，根据实际情况灵活修改。评审专家评审时根据预先配置好的评分项与评审参考文件进行评分，支持多个或单个评审专家为主的评审模式，设定灵活的评审制度方便项目申报的评审。</w:t>
            </w:r>
          </w:p>
          <w:p w14:paraId="0E3DA4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结题：项目申报在项目评审与审核通过后即可进入结题环节，该阶段提供表单让科研人员上传结题材料，填写结题信息，包括阶段性成果，实验性成果，实效性成果等材料入库，结题由拥有响应权限的用户审核，审核通过的项目申请即可归档，进入档案库。</w:t>
            </w:r>
          </w:p>
          <w:p w14:paraId="5937962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申报查询：该模块真是项目申报信息列表，包括项目申报名称，项目来源，经费使用情况，负责人，申报阶段等信息，可以通过申报内容，申报人名称，审核人名称，审核阶段等条件筛选查询需要了解的项目申报，并点击查看详情。</w:t>
            </w:r>
          </w:p>
          <w:p w14:paraId="1AB7F6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（7）纵向项目模块</w:t>
            </w:r>
          </w:p>
          <w:p w14:paraId="322C822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项目立项登记：用于项目负责人申请与录入立项项目信息，主要包含项目名称，项目分类，负责人，批准经费，立项时间，所属单位，项目立项文件，审核状态，项目流转情况等信息。该模块又学校科研处发布通知，征集选题，并对选题推荐人提交的材料进行审核通过后，发送消息推送，让其进入系统进行项目立项登记，开始进行纵向项目管理，帮助科研人员进行项目登记。审核人员需要对申请人提供的申请材料进行审核，包括且不仅限于登记信息，申报材料盖章，签字是否齐全等。</w:t>
            </w:r>
          </w:p>
          <w:p w14:paraId="1007F37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纵向项目中检：审核人员根据立项部门中检或年检通知，组织中期检查或年度检查，改模块用于立项项目中检业务办理，主要包含项目名称，负责人姓名，所属单位，项目分类，中检报告，中检说明等信息。</w:t>
            </w:r>
          </w:p>
          <w:p w14:paraId="1BC504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纵向项目延期：用于项目因为不同原因需要延迟项目结项时间的申请与管理，主要包含项目名称，负责人姓名，延迟申请日期，延期完成日期，延期说明等信息。管理人员审核通过后，项目相关流程即可延期办理，例如中期检查等。</w:t>
            </w:r>
          </w:p>
          <w:p w14:paraId="5E779CD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纵向项目预算：用于项目经费使用的管理，主要包含项目名称，负责人姓名，预算经费，预算状态，预算明细等信息。审核人员审查预算使用说明与预算申请材料通过后，科研人员可以打印预算申请单，即可到财务处进行项目预算到账，报销等申请。</w:t>
            </w:r>
          </w:p>
          <w:p w14:paraId="503FBF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纵向项目结题：用于项目结题的管理，主要包含项目名称，负责人姓名，结题时间，结题材料等信息，材料包含结项申请书，结项成果等，审核部门按照立项部门以及科研处要求，审查结项提交的材料，包含签字与盖章等，审核通过即可下发结项证书，并消息推送通知项目负责人。同时该纵向项目全生命周期走完归档，进入档案库。</w:t>
            </w:r>
          </w:p>
          <w:p w14:paraId="4758896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纵向项目查询：展示纵向项目，项目负责人，申请人，项目立项时间，项目学科分类等信息，通过项目名称，负责人，审核人或审核阶段等条件进行快速查找，获取需要查看的纵向项目信息，点击即可跳转查看详情项目内容。</w:t>
            </w:r>
          </w:p>
          <w:p w14:paraId="47103DA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（8）横向项目模块</w:t>
            </w:r>
          </w:p>
          <w:p w14:paraId="5066538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登记：对横向项目合同进行相应管理，主要包含：合同编号，合同名称，负责人，合同经费，签订日期，起始日期，甲方信息，教育部统计信息，合同文件，参与成员等信息，不同项目金额审核流程也不同，可以灵活配置校级或院级需要审核的合同金额，根据实际情况进行项目流程。审核人员在此环节可以对合作单位进行资格审查，了解合作单位基本情况。同时确保项目合同的合同模板是否规范、双方单位信息、合作内容（二级学院负责审查合同的技术可行性）、银行账户及付款方式、考核指标、验收方式、知识产权归属问题及违约责任、风险责任与纠纷解决方式等。</w:t>
            </w:r>
          </w:p>
          <w:p w14:paraId="62519E0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变更：对需要进行变更的合同进行变更，审核通过即完成变更。主要包含合同名称，负责人，变更前后状态，变更日期，变更说明，变更文件等信息。科研负责人按照要求填写与准备变更、终止向科研项目申请，提交变更、终止横向科研项目的会议纪要等相关信息，审核人员根据提交材料协助办理变更、终止横向科研项目协议。</w:t>
            </w:r>
          </w:p>
          <w:p w14:paraId="3E16436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预算：主要用于横向项目合同预算使用管理，主要包含项目名称，项目负责人，预算经费，预算状态，预算使用明细，预算文件等信息。预算申请审核通过后即可打印预算申请证明，到财务处进行预算报销到账等业务办理。项目负责人根据学校相关经费文件进行合理的项目经费支出，并及时结项。</w:t>
            </w:r>
          </w:p>
          <w:p w14:paraId="2E13186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级别认定：项目经费全部到账后，项目负责人填写相关级别认定材料，到科研处办理级别认定，该认定可以对项目进行分门别类，以便在项目业务办理过程中，通过不用业务流程，不同审核部门，以便快速办理业务。</w:t>
            </w:r>
          </w:p>
          <w:p w14:paraId="7CE25F9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验收结题：该模块提供结项填写信息，结项所需材料说明等参考内容，让科研人员进行横向项目结项申请，包括项目分类，项目来源，项目负责人，项目结项申请书，项目预算使用情况等内容。审核人员审查通过后即可归档，进入档案库。同时发送消息推送通知项目负责人。</w:t>
            </w:r>
          </w:p>
          <w:p w14:paraId="6BEB8BF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横向项目查询：该模块展示横向项目名称，项目金额，项目管理办法，项目合作单位信息，项目预算信息等列表内容，通过可配置化条件，可通过项目内容，项目名称，审核情况等条件进行查询。</w:t>
            </w:r>
          </w:p>
          <w:p w14:paraId="77D5F19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2.科研项目研究活动管理</w:t>
            </w:r>
          </w:p>
          <w:p w14:paraId="569517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（1）主办会议</w:t>
            </w:r>
          </w:p>
          <w:p w14:paraId="2CEF77F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主办会议申请：科研人员在该模块可以提交主办会议相关申请，填写会议名称，会议主题，会议类型，主办单位，会议地点开始时间，结束时间等信息，同时上传会议相关文件材料。</w:t>
            </w:r>
          </w:p>
          <w:p w14:paraId="2702F8A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主办会议审核：拥有相关权限人员在该模块中审核主办会议内容，查看提交的材料，审核通过后自动推送消息通知，让主办会议申请人打印相关证明，进行科研活动。</w:t>
            </w:r>
          </w:p>
          <w:p w14:paraId="6507ED6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主办会议查询：展示所有主办会议记录，包含主办会议名称，会议主办单位，会议地点等信息，通过可配置化编辑修改查询条件，可通过会议名称，会议开始结束时间等内容查询会议详情。</w:t>
            </w:r>
          </w:p>
          <w:p w14:paraId="0BA407C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主办会议统计：统计学校主办会议数量，并支持修改行标题与列标题，根据需要展示不同属性的统计内容，例如不同部门的主办会议情况，不同专业学科分类的会议情况等，支持多种图表类型并导出到excel表格。</w:t>
            </w:r>
          </w:p>
          <w:p w14:paraId="045365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（2）学术会议</w:t>
            </w:r>
          </w:p>
          <w:p w14:paraId="2BF820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学术会议申请：科研人员在该模块可以提交参加的学术会议的相关申请，填写会议名称，会议主题，会议类型，主办单位，会议地点开始时间，结束时间等信息，同时上传会议相关纪实文件材料。</w:t>
            </w:r>
          </w:p>
          <w:p w14:paraId="5CFF13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学术会议审核：拥有相关权限人员在该模块中审核科研人员参与的会议情况，查看提交的材料，审核通过后自动推送消息通知，归档进入档案库，帮助绩效成果或工作量计算。</w:t>
            </w:r>
          </w:p>
          <w:p w14:paraId="33EC42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学会会议查询：展示所有科研人员参加的会议记录，包含会议名称，会议主办单位，会议地点等信息，通过可配置化编辑修改查询条件，可通过会议名称，会议开始结束时间等内容查询会议详情。</w:t>
            </w:r>
          </w:p>
          <w:p w14:paraId="434C629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术会议统计：统计学校科研人员参加的会议数量，并支持修改行标题与列标题，根据需要展示不同属性的统计内容，例如不同部门的会议参与情况，不同专业学科分类的会议情况等，支持多种图表类型并导出到excel表格。</w:t>
            </w:r>
          </w:p>
          <w:p w14:paraId="3AD5FF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3.科研经费管理</w:t>
            </w:r>
          </w:p>
          <w:p w14:paraId="5CDF13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（1）经费预算</w:t>
            </w:r>
          </w:p>
          <w:p w14:paraId="2D0E28E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预算申请：科研人员对科研项目经费使用的计划进行申请，主要包含项目名称，负责人姓名，预算经费，预算状态，预算明细等信息。支持管理员对表单属性，例如表单宽度、对齐方式、标签宽等自定义修改；支持对表单字段进行自定义修改、增加、删除、拖拽排序等操作。</w:t>
            </w:r>
          </w:p>
          <w:p w14:paraId="10075D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经费预算审核：管理人员对科研人员的预算使用申请进行审核，根据预算金额不同，转到不同办公室或校级部门进行深审核，审核通过即可通知项目负责人打印预算申请证明书，到财务处进行预算申请。</w:t>
            </w:r>
          </w:p>
          <w:p w14:paraId="06527A5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经费预算查询：展示预算申请人员名称，使用项目名称，提交日期，预算金额等内容，通过可配置化调整查询条件，通过匹配对应经费内容，快递查询经费预算业务信息。</w:t>
            </w:r>
          </w:p>
          <w:p w14:paraId="613518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经费预算统计：统计学校科研人员经费预算申请，并支持修改行标题与列标题，根据需要展示不同属性的统计内容，例如不同部门的经费预算申请情况，支持多种图表类型并导出到excel表格。</w:t>
            </w:r>
          </w:p>
          <w:p w14:paraId="58D8AB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（2）经费支出</w:t>
            </w:r>
          </w:p>
          <w:p w14:paraId="45B65E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经费支出申请：科研人员通过管理人员预先设置好的预算支出使用说明进行填写，对科研项目经费使用支出的情况进行说明，主要包含项目名称，负责人姓名，报账日期，报账金额等。</w:t>
            </w:r>
          </w:p>
          <w:p w14:paraId="13404DF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经费支出审核：管理人员对科研人员的预算支出申请进行审核，根据预算金额不同，转到不同办公室或校级部门进行深审核，审核通过即可通知项目负责人打印报销证明，到财务处进行报账。</w:t>
            </w:r>
          </w:p>
          <w:p w14:paraId="4DF4638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经费支出查询：展示经费支出申请人员名称，使用项目名称，报账日期，报账金额等内容，通过可配置化调整查询条件，通过匹配对应经费内容，快递查询经费预算业务信息。</w:t>
            </w:r>
          </w:p>
          <w:p w14:paraId="404E8B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经费支出统计：统计学校科研人员经费报账情况，并支持修改行标题与列标题，根据需要展示不同属性的统计内容，例如不同部门的经费预算报账情况，支持多种图表类型并导出到excel表格。</w:t>
            </w:r>
          </w:p>
          <w:p w14:paraId="0D5CCF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（3）经费到账</w:t>
            </w:r>
          </w:p>
          <w:p w14:paraId="0158D85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经费到账录入：该模块是科研经费到账认领是将单笔到账款项确认为科研收入的过程。</w:t>
            </w:r>
          </w:p>
          <w:p w14:paraId="5B18E35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经费到账确认：科研收入确认后，科研处才能给财务处提交到账经费科研预算明细，财务处按负责人逐笔录入系统并给科研负责人通知后，该科研项目进入报账环节。</w:t>
            </w:r>
          </w:p>
          <w:p w14:paraId="16C021E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经费到账统计：统计学校科研人员经费到账情况，并支持修改行标题与列标题，根据需要展示不同属性的统计内容，例如不同部门的经费预算报账情况，支持多种图表类型并导出到excel表格。</w:t>
            </w:r>
          </w:p>
          <w:p w14:paraId="42C84F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4.论文管理</w:t>
            </w:r>
          </w:p>
          <w:p w14:paraId="753CBB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（1）科研成果-论文管理</w:t>
            </w:r>
          </w:p>
          <w:p w14:paraId="68FABA4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论文申请：科研人员在该模块可以提交论文成果申请，填写论文名称，出版时间，刊物文集，论文类型，收录类别，学科分类，刊物级别等基本信息，录入论文成果参与作者信息，包括作者名称，作者类型，作者单位等信息。关联论文成果依托项目，包含项目名称，项目负责人，项目类别等信息。支持管理员对表单属性，例如表单宽度、对齐方式、标签宽等自定义修改；支持对表单字段进行自定义修改、增加、删除、拖拽排序等操作。</w:t>
            </w:r>
          </w:p>
          <w:p w14:paraId="1EFA6D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论文审核：拥有权限的管理人员对科研人员提交的论文成果进行审核，根据学校论文管理办法，对科研论文提交的材料进行审查，审核通过即可进入档案库进行归档。</w:t>
            </w:r>
          </w:p>
          <w:p w14:paraId="61B2DB3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论文附件管理：该模块主要用于管理论文成果申请需要提交的文件材料，统一在成果管理库中管理，通过关联对应的论文成果来确定归属，同时提供途径由管理人员进行审核。</w:t>
            </w:r>
          </w:p>
          <w:p w14:paraId="6CEE6FB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论文列表查询：该模块展示论文成果名称，刊物级别，发表文集，出版时间，论文参与成员，所属单位，收录类别等信息，可以通过可配置化条件，除上述展示内容以外的项目来源，学科分类，依托项目等信息进行查询。</w:t>
            </w:r>
          </w:p>
          <w:p w14:paraId="5C7CECC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论文成果统计：该模块可以通过修改列标题与行标题，灵活配置统计页面，展示不同部门，不同负责人，不同项目分类，不同收录类别的统计情况。同时支持统计柱状，折线，饼图等多种图表类型，并导出到excel数据中。</w:t>
            </w:r>
          </w:p>
          <w:p w14:paraId="7B9F489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5.专利管理</w:t>
            </w:r>
          </w:p>
          <w:p w14:paraId="356657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（1）科研成果-专利管理</w:t>
            </w:r>
          </w:p>
          <w:p w14:paraId="5F20C7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专利申请：科研人员在该模块可以提交专利成果申请，填写专利名称，专利类型，专利状态，申请号，申请日期，学校署名，是否职务专利等基本信息，录入专利成果参与作者信息，包括作者名称，作者类型，作者单位等信息。关联专利成果依托项目，包含项目名称，项目负责人，项目类别等信息。</w:t>
            </w:r>
          </w:p>
          <w:p w14:paraId="249809C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专利审核：拥有权限的管理人员对科研人员提交的专利成果进行审核，根据学校专利管理办法，对科研专利提交的材料进行审查，审核通过即可进入档案库进行归档。</w:t>
            </w:r>
          </w:p>
          <w:p w14:paraId="582571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专利附件管理：该模块主要用于管理专利成果申请需要提交的文件材料，统一在成果管理库中管理，通过关联对应的专利成果来确定归属，同时提供途径由管理人员进行审核。</w:t>
            </w:r>
          </w:p>
          <w:p w14:paraId="663CDC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专利列表查询：该模块展示专利成果名称，所属单位，专利类型，申请日期，专利参与成员，所属单位，收录类别等信息，可以通过可配置化条件，除上述展示内容以外的项目来源，学科分类，依托项目等信息进行查询。</w:t>
            </w:r>
          </w:p>
          <w:p w14:paraId="7E86DB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专利成果统计：该模块可以通过修改列标题与行标题，灵活配置统计页面，展示不同部门，不同负责人，不同项目分类，不同收录类别的统计情况。同时支持统计柱状，折线，饼图等多种图表类型，并导出到excel数据中。</w:t>
            </w:r>
          </w:p>
          <w:p w14:paraId="1ADF73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6.专著管理</w:t>
            </w:r>
          </w:p>
          <w:p w14:paraId="48CF21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（1）著作管理</w:t>
            </w:r>
          </w:p>
          <w:p w14:paraId="0359E0C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著作申请：科研人员在该模块可以提交著作成果申请，填写著作名称，出版时间，出版单位，著作类别，出版社级别，学科分类，教育部统计归属等基本信息，录入著作成果参与作者信息，包括作者名称，作者类型，作者单位等信息。关联著作成果依托项目，包含项目名称，项目负责人，项目类别等信息。</w:t>
            </w:r>
          </w:p>
          <w:p w14:paraId="0703FA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著作审核：拥有权限的管理人员对科研人员提交的著作成果进行审核，根据学校著作管理办法，对科研著作提交的材料进行审查，审核通过即可进入档案库进行归档。</w:t>
            </w:r>
          </w:p>
          <w:p w14:paraId="66C848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著作附件管理：该模块主要用于管理著作成果申请需要提交的文件材料，统一在成果管理库中管理，通过关联对应的著作成果来确定归属，同时提供途径由管理人员进行审核。</w:t>
            </w:r>
          </w:p>
          <w:p w14:paraId="4FFFCE2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著作列表查询：该模块展示著作成果名称，语种，项目成员，出版时间，参与成员，所属单位，著作类别等信息，可以通过可配置化条件，除上述展示内容以外的项目来源，学科分类，依托项目等信息进行查询。</w:t>
            </w:r>
          </w:p>
          <w:p w14:paraId="38483D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著作成果统计：该模块可以通过修改列标题与行标题，灵活配置统计页面，展示不同部门，不同负责人，不同项目分类，不同收录类别的统计情况。同时支持统计柱状，折线，饼图等多种图表类型，并导出到excel数据中。</w:t>
            </w:r>
          </w:p>
          <w:p w14:paraId="052793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7.学术讲座管理</w:t>
            </w:r>
          </w:p>
          <w:p w14:paraId="2FBBC8A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组织学术讲座活动，邀请校内外专家进行学术交流。</w:t>
            </w:r>
          </w:p>
          <w:p w14:paraId="26A6192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8.科研成果获奖管理</w:t>
            </w:r>
          </w:p>
          <w:p w14:paraId="2E3EBF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（1）获奖管理</w:t>
            </w:r>
          </w:p>
          <w:p w14:paraId="395597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获奖申请：科研人员在该模块可以提交获奖成果申请，填写获奖名称，颁奖单位，获奖级别，获奖等级，获奖证书编号，学科分类，获奖部门等基本信息，录入获奖成果参与作者信息，包括作者名称，作者类型，作者单位等信息。关联获奖成果依托项目，包含项目名称，项目负责人，项目类别等信息。</w:t>
            </w:r>
          </w:p>
          <w:p w14:paraId="6497C37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获奖审核：拥有权限的管理人员对科研人员提交的获奖成果进行审核，根据学校获奖管理办法，对科研获奖提交的材料进行审查，审核通过即可进入档案库进行归档。</w:t>
            </w:r>
          </w:p>
          <w:p w14:paraId="44DD6E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获奖附件管理：该模块主要用于管理获奖成果申请需要提交的文件材料，统一在成果管理库中管理，通过关联对应的获奖成果来确定归属，同时提供途径由管理人员进行审核。</w:t>
            </w:r>
          </w:p>
          <w:p w14:paraId="409DEA9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获奖列表查询：该模块展示获奖成果名称，获奖名称，颁奖单位，获奖时间，获奖参与成员，所属单位，收录类别等信息，可以通过可配置化条件，除上述展示内容以外的项目来源，学科分类，依托项目等信息进行查询。</w:t>
            </w:r>
          </w:p>
          <w:p w14:paraId="73C0427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获奖成果统计：该模块可以通过修改列标题与行标题，灵活配置统计页面，展示不同部门，不同负责人，不同项目分类，不同收录类别的统计情况。同时支持统计柱状，折线，饼图等多种图表类型，并导出到excel数据中。</w:t>
            </w:r>
          </w:p>
          <w:p w14:paraId="69F60D6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9.科技成果转化管理</w:t>
            </w:r>
          </w:p>
          <w:p w14:paraId="33CEA1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促进科技成果的转化，包括技术转移、产业孵化等。</w:t>
            </w:r>
          </w:p>
          <w:p w14:paraId="456428F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10.科研平台管理</w:t>
            </w:r>
          </w:p>
          <w:p w14:paraId="4AC0F1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管理和维护科研平台，为科研人员提供必要的资源和服务。</w:t>
            </w:r>
          </w:p>
          <w:p w14:paraId="1A80CD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11.咨询建议管理</w:t>
            </w:r>
          </w:p>
          <w:p w14:paraId="1E9358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收集并处理师生对科研工作的咨询和建议，提高科研管理质量。</w:t>
            </w:r>
          </w:p>
          <w:p w14:paraId="3D8216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12.科研大数据分析与深挖</w:t>
            </w:r>
          </w:p>
          <w:p w14:paraId="33F169E9">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对科研数据进行分析，挖掘科研趋势和潜在价值。</w:t>
            </w:r>
          </w:p>
        </w:tc>
        <w:tc>
          <w:tcPr>
            <w:tcW w:w="635" w:type="pct"/>
            <w:vAlign w:val="center"/>
          </w:tcPr>
          <w:p w14:paraId="6724EB21">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04E3E424">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53EA1756">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5D74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8F253E5">
            <w:pPr>
              <w:jc w:val="center"/>
              <w:rPr>
                <w:rFonts w:ascii="宋体" w:hAnsi="宋体" w:eastAsia="宋体" w:cs="宋体"/>
                <w:sz w:val="24"/>
                <w:highlight w:val="none"/>
              </w:rPr>
            </w:pPr>
            <w:r>
              <w:rPr>
                <w:rFonts w:hint="eastAsia" w:cs="宋体" w:asciiTheme="minorEastAsia" w:hAnsiTheme="minorEastAsia"/>
                <w:b/>
                <w:bCs/>
                <w:sz w:val="24"/>
                <w:highlight w:val="none"/>
              </w:rPr>
              <w:t>18</w:t>
            </w:r>
          </w:p>
        </w:tc>
        <w:tc>
          <w:tcPr>
            <w:tcW w:w="778" w:type="pct"/>
            <w:vAlign w:val="center"/>
          </w:tcPr>
          <w:p w14:paraId="6D1E5859">
            <w:pPr>
              <w:pStyle w:val="102"/>
              <w:jc w:val="center"/>
              <w:rPr>
                <w:rFonts w:ascii="宋体" w:hAnsi="宋体" w:cs="宋体"/>
                <w:bCs/>
                <w:sz w:val="24"/>
                <w:szCs w:val="24"/>
                <w:highlight w:val="none"/>
              </w:rPr>
            </w:pPr>
            <w:r>
              <w:rPr>
                <w:rFonts w:hint="eastAsia" w:ascii="宋体" w:hAnsi="宋体" w:cs="宋体"/>
                <w:kern w:val="0"/>
                <w:highlight w:val="none"/>
                <w:lang w:bidi="ar"/>
              </w:rPr>
              <w:t>升级党务管理系统</w:t>
            </w:r>
          </w:p>
        </w:tc>
        <w:tc>
          <w:tcPr>
            <w:tcW w:w="2378" w:type="pct"/>
            <w:vAlign w:val="center"/>
          </w:tcPr>
          <w:p w14:paraId="2CC09BF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1.党组织管理</w:t>
            </w:r>
          </w:p>
          <w:p w14:paraId="39FF69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负责学校的党组织信息，包括党组织名称、编号、人数等。</w:t>
            </w:r>
          </w:p>
          <w:p w14:paraId="20828F7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字段：党组织类型（党委、党总支、党支部）、党组织名称、党组织编号、隶属上级党组织名称、党内领导姓名、党内领导教工号、党内领导职务（书记、副书记、组织委员、宣传委员、纪检委员、青年委员、统战委员、保密委员、妇女委员、其他）、党组织党员人数、党组织状态（正常、撤销、合并中、已合并、其他）。</w:t>
            </w:r>
          </w:p>
          <w:p w14:paraId="364C689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树形结构显示党组织，点击某个节点，右边显示该节点及子节点的党组织信息，字段包括：党组织类型、党组织名称、党组织编号、隶属上级党组织名称、党内领导姓名、党内领导教工号、党内领导职务、党组织党员人数、党组织状态。点击某个节点，可以添加、修改子节点。</w:t>
            </w:r>
          </w:p>
          <w:p w14:paraId="4DA7B56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2.党员发展管理</w:t>
            </w:r>
          </w:p>
          <w:p w14:paraId="358BCE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管理党员发展基础数据，包括积极分子，预备党员，正式党员等信息，包含添加、导入、修改、批量修改、批量导入更新、查询功能。</w:t>
            </w:r>
          </w:p>
          <w:p w14:paraId="186F052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添加字段：党组织类型（不可编辑，根据党组织名称填充）、党组织名称（根据党组织勾选）、党组织编号（不可编辑，根据党组织名称填充）、新党员类型（教职工、学生）、姓名、人员编号、党员发展状态（积极分子、预备党员、正式党员）、成为积极分子日期、成为预备党员日期、成为正式党员日期。其中，党组织名称、新党员类型、人员编号、党员发展状态、成为积极分子日期必填。</w:t>
            </w:r>
          </w:p>
          <w:p w14:paraId="1FF69F5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列表显示字段：党组织类型、党组织名称、党组织编号、新党员类型、姓名、人员编号、党员发展状态、成为积极分子日期、成为预备党员日期、成为正式党员日期、编辑，支持多个勾选，批量删除。</w:t>
            </w:r>
          </w:p>
          <w:p w14:paraId="12D517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3.党员关系转移管理</w:t>
            </w:r>
          </w:p>
          <w:p w14:paraId="461EC0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处理党员关系的转入和转出，确保党员信息的准确性。</w:t>
            </w:r>
          </w:p>
          <w:p w14:paraId="5C38C8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列表字段：姓名、人员编号、离校日期、组织关系去向。</w:t>
            </w:r>
          </w:p>
          <w:p w14:paraId="676462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4.党组织活动管理</w:t>
            </w:r>
          </w:p>
          <w:p w14:paraId="10B36B4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管理党建活动相关数据，便于党建活动记录与查询。</w:t>
            </w:r>
          </w:p>
          <w:p w14:paraId="1C1A142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（1）党员干部学习</w:t>
            </w:r>
          </w:p>
          <w:p w14:paraId="53ECBAD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支持添加、修改、删除、查询、提交、撤回功能。可以根据列表的每个字段查询，提交后不能修改。</w:t>
            </w:r>
          </w:p>
          <w:p w14:paraId="7E7971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添加字段：党组织名称（根据党组织勾选）、党组织编号（不可编辑，根据选择的党组织填充）、党员干部学习培训主要途径和载体（实践活动、会议、讲座报告、学校定期集中学习、支部定期集中学习、微信 QQ、移动端培训平台、分发图书资料、个人学习、在线教育网站、参观学习、其他）、</w:t>
            </w:r>
          </w:p>
          <w:p w14:paraId="7BF315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党员干部学习培训内容（党的理论、相关政策文件、党规党纪及国家法律法规、教育教学业务、学校管理、文化建设、经济方面、互联网与新媒体方面、心理健康、师德师风、其他）、活动开始日期、活动结束日期、参与学生（通过人员选择器勾选，人员选择器只有党员）、参与教师（通过人员选择器勾选，人员选择器只有党员）。添加字段后可以选择保存或者提交。</w:t>
            </w:r>
          </w:p>
          <w:p w14:paraId="12B56C7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字段：党组织名称、党员干部学习培训主要途径和载体、党员干部学习培训内容、活动开始日期、活动结束日期、参与学生人数、参与教师人数、状态（待提交、待审核、在途、已通过）、详情，点击详情可以查看明细，待提交状态可以修改、保存、提交，待审核状态可以撤回。</w:t>
            </w:r>
          </w:p>
          <w:p w14:paraId="0DD1D5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可以勾选单项或者多项批量删除。已提交的（待审核、在途、已通过的）不能删除。</w:t>
            </w:r>
          </w:p>
          <w:p w14:paraId="784DD4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（2）党课管理</w:t>
            </w:r>
          </w:p>
          <w:p w14:paraId="4D05FC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支持添加、修改、删除、查询、提交、撤回功能。可以根据列表的每个字段查询，提交后不能修改。</w:t>
            </w:r>
          </w:p>
          <w:p w14:paraId="55AB84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添加字段：党组织名称（根据党组织勾选）、党组织编号（不可编辑，根据选择的党组织填充）、活动形式（实践活动、会议、讲座报告、学校定期集中学习、支部定期集中学习、微信QQ、移动端培训平台、分发图书资料、个人学习、在线教育网站、参观学习、其他）、党课主讲人（通过人员选择器勾选，人员选择器只有党员）、活动内容、活动开始日期、活动结束日期、参与学生（通过人员选择器勾选，人员选择器只有党员）、参与教师（通过人员选择器勾选，人员选择器只有党员）。添加字段后可以选择保存或者提交。</w:t>
            </w:r>
          </w:p>
          <w:p w14:paraId="689B323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列表字段：党组织名称、活动形式、党课主讲人、活动内容、活动开始日期、活动结束日期、参与学生人数、参与教师人数、状态（待提交、待审核、在途、已通过）、详情，点击详情可以查看明细。</w:t>
            </w:r>
          </w:p>
          <w:p w14:paraId="6AD9A32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（3）党员活动管理</w:t>
            </w:r>
          </w:p>
          <w:p w14:paraId="4A0C96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 xml:space="preserve"> 支持添加、修改、删除、查询、提交、撤回功能。可以根据列表的每个字段查询，提交后不能修改。</w:t>
            </w:r>
          </w:p>
          <w:p w14:paraId="16DC45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添加字段：党组织名称（根据党组织勾选）、党组织编号（不可编辑，根据选择的党组织填充）、活动形式（三会、党员日常活动、党员主题党日）、活动地点、活动内容、活动开始日期、活动结束日期、参与学生（通过人员选择器勾选，人员选择器只有党员）、参与教师（通过人员选择器勾选，人员选择器只有党员）。添加字段后可以选择保存或者提交。</w:t>
            </w:r>
          </w:p>
          <w:p w14:paraId="5C8D797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列表字段：党组织名称、活动形式、活动地点、活动内容、活动开始日期、活动结束日期、参与学生人数、参与教师人数、状态（待提交、待审核、在途、已通过）、详情，点击详情可以查看明细。</w:t>
            </w:r>
          </w:p>
          <w:p w14:paraId="5DE55C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5.党员服务管理</w:t>
            </w:r>
          </w:p>
          <w:p w14:paraId="5756E68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（1）党员之家</w:t>
            </w:r>
          </w:p>
          <w:p w14:paraId="28358C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搭建党员之间分享交流平台。</w:t>
            </w:r>
          </w:p>
          <w:p w14:paraId="1D1831FC">
            <w:pPr>
              <w:widowControl/>
              <w:numPr>
                <w:ilvl w:val="0"/>
                <w:numId w:val="4"/>
              </w:numPr>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为群众办实事</w:t>
            </w:r>
          </w:p>
          <w:p w14:paraId="154D0D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支持党员添加为群众办实事记录及上传附件。</w:t>
            </w:r>
          </w:p>
          <w:p w14:paraId="221EE902">
            <w:pPr>
              <w:widowControl/>
              <w:numPr>
                <w:ilvl w:val="0"/>
                <w:numId w:val="4"/>
              </w:numPr>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工作督办</w:t>
            </w:r>
          </w:p>
          <w:p w14:paraId="16A44C7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支持系统查看党员办实事工作进度及督办进度。</w:t>
            </w:r>
          </w:p>
          <w:p w14:paraId="3484EFB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6.品牌建设动态展示</w:t>
            </w:r>
          </w:p>
          <w:p w14:paraId="4FF4558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支持发布各类党务新闻及动态，各党员可在线进行查看。</w:t>
            </w:r>
          </w:p>
          <w:p w14:paraId="555957C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7.理论学习平台</w:t>
            </w:r>
          </w:p>
          <w:p w14:paraId="3259FE4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支持上传各类党理论学习视频或文章，各党员可在线进行查看学习。</w:t>
            </w:r>
          </w:p>
          <w:p w14:paraId="443E646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8.党建数据分析</w:t>
            </w:r>
          </w:p>
          <w:p w14:paraId="28A2B6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（1）党建活动统计分析</w:t>
            </w:r>
          </w:p>
          <w:p w14:paraId="67866F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对党建活动进行统计分析，评估活动效果。</w:t>
            </w:r>
          </w:p>
          <w:p w14:paraId="255E804C">
            <w:pPr>
              <w:widowControl/>
              <w:numPr>
                <w:ilvl w:val="0"/>
                <w:numId w:val="5"/>
              </w:numPr>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党员活动实绩统计分析</w:t>
            </w:r>
          </w:p>
          <w:p w14:paraId="6A8261A3">
            <w:pPr>
              <w:pStyle w:val="102"/>
              <w:ind w:firstLine="420" w:firstLineChars="200"/>
              <w:jc w:val="left"/>
              <w:rPr>
                <w:rFonts w:ascii="宋体" w:hAnsi="宋体" w:cs="宋体"/>
                <w:bCs/>
                <w:sz w:val="24"/>
                <w:szCs w:val="24"/>
                <w:highlight w:val="none"/>
              </w:rPr>
            </w:pPr>
            <w:r>
              <w:rPr>
                <w:rFonts w:ascii="宋体" w:hAnsi="宋体" w:cs="宋体"/>
                <w:kern w:val="0"/>
                <w:highlight w:val="none"/>
                <w:lang w:bidi="ar"/>
              </w:rPr>
              <w:t>统计党员在党务、业务工作中的实绩，作为评价党员、分析党员发挥作用的依据。</w:t>
            </w:r>
          </w:p>
        </w:tc>
        <w:tc>
          <w:tcPr>
            <w:tcW w:w="635" w:type="pct"/>
            <w:vAlign w:val="center"/>
          </w:tcPr>
          <w:p w14:paraId="00B4C8B7">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428C212">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6ECB300">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049D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5C35B092">
            <w:pPr>
              <w:jc w:val="center"/>
              <w:rPr>
                <w:rFonts w:ascii="宋体" w:hAnsi="宋体" w:eastAsia="宋体" w:cs="宋体"/>
                <w:sz w:val="24"/>
                <w:highlight w:val="none"/>
              </w:rPr>
            </w:pPr>
            <w:r>
              <w:rPr>
                <w:rFonts w:hint="eastAsia" w:cs="宋体" w:asciiTheme="minorEastAsia" w:hAnsiTheme="minorEastAsia"/>
                <w:b/>
                <w:bCs/>
                <w:sz w:val="24"/>
                <w:highlight w:val="none"/>
              </w:rPr>
              <w:t>19</w:t>
            </w:r>
          </w:p>
        </w:tc>
        <w:tc>
          <w:tcPr>
            <w:tcW w:w="778" w:type="pct"/>
            <w:vAlign w:val="center"/>
          </w:tcPr>
          <w:p w14:paraId="32CF3AF7">
            <w:pPr>
              <w:pStyle w:val="102"/>
              <w:jc w:val="center"/>
              <w:rPr>
                <w:rFonts w:ascii="宋体" w:hAnsi="宋体" w:cs="宋体"/>
                <w:bCs/>
                <w:sz w:val="24"/>
                <w:szCs w:val="24"/>
                <w:highlight w:val="none"/>
              </w:rPr>
            </w:pPr>
            <w:r>
              <w:rPr>
                <w:rFonts w:hint="eastAsia" w:ascii="宋体" w:hAnsi="宋体" w:cs="宋体"/>
                <w:kern w:val="0"/>
                <w:highlight w:val="none"/>
                <w:lang w:bidi="ar"/>
              </w:rPr>
              <w:t>升级资助管理系统</w:t>
            </w:r>
          </w:p>
        </w:tc>
        <w:tc>
          <w:tcPr>
            <w:tcW w:w="2378" w:type="pct"/>
            <w:vAlign w:val="center"/>
          </w:tcPr>
          <w:p w14:paraId="405C08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1.贫困生认定管理</w:t>
            </w:r>
          </w:p>
          <w:p w14:paraId="39ED9D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包括学生类别、认定等级、认定设置、认定批次、认定中心、档案库相关信息。</w:t>
            </w:r>
          </w:p>
          <w:p w14:paraId="797C90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1.1学生类别</w:t>
            </w:r>
          </w:p>
          <w:p w14:paraId="14B30B9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（1）学生认定学生类别管理信息</w:t>
            </w:r>
          </w:p>
          <w:p w14:paraId="6F7298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学生认定学生类别相关信息管理，学生认定学生类别包括学生类别、类别归属、设定单位、创建人、创建时间、启用状态等信息，用户可以在系统中进行学生认定学生类别创建、编辑、删除等操作。</w:t>
            </w:r>
          </w:p>
          <w:p w14:paraId="50E1D2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1）学生认定学生类别添加</w:t>
            </w:r>
          </w:p>
          <w:p w14:paraId="78BC12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用户针对学生认定学生类别，点击新增按钮，输入学生类别、类别归属、设定单位，点击添加完成添加工作。</w:t>
            </w:r>
          </w:p>
          <w:p w14:paraId="44C34C7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2）学生认定学生类别编辑</w:t>
            </w:r>
          </w:p>
          <w:p w14:paraId="11EE5F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用户可以对学生类别进行编辑，点击编辑按钮，可以修改学生类别相关信息。</w:t>
            </w:r>
          </w:p>
          <w:p w14:paraId="652D45B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3）学生认定学生类别删除</w:t>
            </w:r>
          </w:p>
          <w:p w14:paraId="14E962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用户可以对学生类别进行删除，点击删除按钮，可以删除学生类别。</w:t>
            </w:r>
          </w:p>
          <w:p w14:paraId="58B0EC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1.2认定登记</w:t>
            </w:r>
          </w:p>
          <w:p w14:paraId="1CACD7D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（1）学生认定等级管理信息</w:t>
            </w:r>
          </w:p>
          <w:p w14:paraId="74B5BB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系统可以支持用户进行学生认定等级相关信息管理，学生认定等级包括学生类别、等级名称、创建人、创建时间、用状态等信息，用户可以在系统中进行学生认定等级创建、编辑、删除等操作。</w:t>
            </w:r>
          </w:p>
          <w:p w14:paraId="2325320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1）学生认定等级添加</w:t>
            </w:r>
          </w:p>
          <w:p w14:paraId="7C2522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用户针对学生认定等级，点击新增按钮，输入学生类别、等级名称，点击添加完成添加工作。</w:t>
            </w:r>
          </w:p>
          <w:p w14:paraId="2782DA8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2）学生认定等级编辑</w:t>
            </w:r>
          </w:p>
          <w:p w14:paraId="241793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用户可以对认定等级进行编辑，点击编辑按钮，可以修改认定等级相关信息。</w:t>
            </w:r>
          </w:p>
          <w:p w14:paraId="0922D8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3）学生认定等级删除</w:t>
            </w:r>
          </w:p>
          <w:p w14:paraId="16F1E0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用户可以对认定等级进行删除，点击删除按钮，可以删除认定等级。</w:t>
            </w:r>
          </w:p>
          <w:p w14:paraId="43DCA16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1.3认定设置</w:t>
            </w:r>
          </w:p>
          <w:p w14:paraId="3B592F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（1）学生认定方案管理信息</w:t>
            </w:r>
          </w:p>
          <w:p w14:paraId="6F8C1D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系统可以支持用户进行学生认定方案相关信息管理，学生认定类别、方案名称、启用状态、方案描述、承诺书内容等信息，用户可以在系统中进行学生认定方案创建、编辑、删除等操作。</w:t>
            </w:r>
          </w:p>
          <w:p w14:paraId="08AF5F2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1）学生认定方案添加</w:t>
            </w:r>
          </w:p>
          <w:p w14:paraId="27D1EA8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用户针对学生认定方案，点击新增按钮，添加表单完成添加工作。</w:t>
            </w:r>
          </w:p>
          <w:p w14:paraId="3EBAFDC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2）学生认定方案编辑</w:t>
            </w:r>
          </w:p>
          <w:p w14:paraId="4C830D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用户可以对认定方案进行编辑，点击编辑按钮，可以修改认定方案相关信息，包括学生类别、方案名称、启用状态、方案描述、承诺书内容等。</w:t>
            </w:r>
          </w:p>
          <w:p w14:paraId="16AB9A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3）学生认定方案删除</w:t>
            </w:r>
          </w:p>
          <w:p w14:paraId="669A91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用户可以对认定方案进行删除，点击删除按钮，可以删除认定方案。</w:t>
            </w:r>
          </w:p>
          <w:p w14:paraId="28A56DC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（2）学生认定方案附件管理信息</w:t>
            </w:r>
          </w:p>
          <w:p w14:paraId="414BF01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系统可以支持用户进行认定方案附件相关信息管理，认定方案附件包括文件名称、文件类型、文件大小(MB)、文件模板等信息，用户可以在系统中进行认定方案附件创建、编辑、删除等操作。</w:t>
            </w:r>
          </w:p>
          <w:p w14:paraId="1A26503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1）学生认定方案附件添加</w:t>
            </w:r>
          </w:p>
          <w:p w14:paraId="3483C5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用户针对认定方案附件，点击新增按钮，输入文件名称、文件类型、文件大小(MB)，点击添加完成添加工作，支持托拉拽形式上传附件。</w:t>
            </w:r>
          </w:p>
          <w:p w14:paraId="6AC489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2）学生认定方案附件编辑</w:t>
            </w:r>
          </w:p>
          <w:p w14:paraId="6A5FA6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用户可以对认定方案附件进行编辑，点击编辑按钮，可以修改认定方案附件相关信息。</w:t>
            </w:r>
          </w:p>
          <w:p w14:paraId="0C09D42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3）学生认定方案附件删除</w:t>
            </w:r>
          </w:p>
          <w:p w14:paraId="6F342D0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用户可以对认定方案进行删除，点击删除按钮，可以删除认定方案。</w:t>
            </w:r>
          </w:p>
          <w:p w14:paraId="1235B4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（3）学生认定流程管理信息</w:t>
            </w:r>
          </w:p>
          <w:p w14:paraId="65AE932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系统可以支持用户进行认定流程相关信息管理，认定流程包括流程名称、关联方案、流程描述、启用状态等信息，用户可以在系统中进行认定流程创建、编辑、删除等操作。</w:t>
            </w:r>
          </w:p>
          <w:p w14:paraId="3116D9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1）学生认定流程添加</w:t>
            </w:r>
          </w:p>
          <w:p w14:paraId="5B9E1E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用户针对认定流程，点击新增按钮，输入学生类别、等级名称，点击添加完成添加工作。</w:t>
            </w:r>
          </w:p>
          <w:p w14:paraId="18634C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2）学生认定流程编辑</w:t>
            </w:r>
          </w:p>
          <w:p w14:paraId="6B22DDF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用户可以对认定流程进行编辑，点击编辑按钮，可以修改相关信息。</w:t>
            </w:r>
          </w:p>
          <w:p w14:paraId="7779451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3）学生认定流程删除</w:t>
            </w:r>
          </w:p>
          <w:p w14:paraId="372622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用户可以对认定流程进行删除，点击删除按钮，可以删除认定流程。</w:t>
            </w:r>
          </w:p>
          <w:p w14:paraId="7FB0A3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（4）学生认定批次管理信息</w:t>
            </w:r>
          </w:p>
          <w:p w14:paraId="458E48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系统可以支持用户进行认定批次相关信息管理，认定批次包括批次名称、关联方案、关联流程、所属年度、批次描述、启用状态等信息，用户可以在系统中进行认定批次创建、编辑、删除等操作。</w:t>
            </w:r>
          </w:p>
          <w:p w14:paraId="1D674F5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1）学生认定批次添加</w:t>
            </w:r>
          </w:p>
          <w:p w14:paraId="1F06686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用户针对认定批次，点击新增按钮，输入批次名称、所属年份、批次开始时间、批次结束时间、申请开始时间、申请结束时间、使用的方案、使用的流程、批次申请条件，点击添加完成添加工作。</w:t>
            </w:r>
          </w:p>
          <w:p w14:paraId="50E4EF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2）学生认定批次编辑</w:t>
            </w:r>
          </w:p>
          <w:p w14:paraId="2308935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用户可以对认定批次进行编辑，点击编辑按钮，可以修改相关信息。</w:t>
            </w:r>
          </w:p>
          <w:p w14:paraId="6E25FFB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3）学生认定批次删除</w:t>
            </w:r>
          </w:p>
          <w:p w14:paraId="0D9A07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用户可以对认定批次进行删除，点击删除按钮，可以删除认定批次。</w:t>
            </w:r>
          </w:p>
          <w:p w14:paraId="346FB3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（5）学生认定中心管理信息</w:t>
            </w:r>
          </w:p>
          <w:p w14:paraId="459893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中心相关信息管理，认定中心包括姓名、学号、认定等级、金额、民主评议、应参与人数、民主评议、实际参与人数、公示开始、公示截止、记录状态、当前环节、环节状态、学院、专业、身份证号、民族、政治面貌、奖项、批次、班级等信息，用户可以在系统中进行认定中心查询、导出等操作。</w:t>
            </w:r>
          </w:p>
          <w:p w14:paraId="73F1DF7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1）学生认定中心查询</w:t>
            </w:r>
          </w:p>
          <w:p w14:paraId="0AD3D0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用户可以对认定中心进行查询，选择相应的节点，点击查看详情按钮，可以查看学生申请的资助信息。</w:t>
            </w:r>
          </w:p>
          <w:p w14:paraId="37AD7DD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2）学生认定中心导出</w:t>
            </w:r>
          </w:p>
          <w:p w14:paraId="753BDAF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用户可以对认定中心进行导出，选择相应的节点，点击查看导出按钮，可以导出学生单个申请表或汇总表格数据。</w:t>
            </w:r>
          </w:p>
          <w:p w14:paraId="634CAED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（6）学生认定档案库管理信息</w:t>
            </w:r>
          </w:p>
          <w:p w14:paraId="72578B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档案库相关信息管理，档案库包括姓名、学号、认定等级、金额、民主评议、应参与人数、民主评议、实际参与人数、公示开始、公示截止、记录状态、当前环节、环节状态、学院、专业、身份证号、民族、政治面貌、奖项、批次、班级等信息，用户可以在系统中进行档案库查询、导出等操作。</w:t>
            </w:r>
          </w:p>
          <w:p w14:paraId="29D05E4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1）学生认定档案库查询</w:t>
            </w:r>
          </w:p>
          <w:p w14:paraId="5F5C39C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用户可以对档案库进行查询，选择相应的节点，点击查看详情按钮，可以查看学生申请的资助信息。</w:t>
            </w:r>
          </w:p>
          <w:p w14:paraId="5D96B2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2）学生认定档案库导出</w:t>
            </w:r>
          </w:p>
          <w:p w14:paraId="5008761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用户可以对档案库进行导出，选择相应的节点，点击查看导出按钮，可以导出学生单个申请表或汇总表格数据。</w:t>
            </w:r>
          </w:p>
          <w:p w14:paraId="2F45147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2.助学金管理</w:t>
            </w:r>
          </w:p>
          <w:p w14:paraId="50AA85B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（1）助学金类别管理信息</w:t>
            </w:r>
          </w:p>
          <w:p w14:paraId="08C1C6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系统可以支持用户进行助学金类别相关信息管理，助学金类别包括助学金类别、类别归属、设定单位、创建人、创建时间、启用状态等信息，用户可以在系统中进行助学金类别创建、编辑、删除等操作。</w:t>
            </w:r>
          </w:p>
          <w:p w14:paraId="29B69B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1）助学金类别添加</w:t>
            </w:r>
          </w:p>
          <w:p w14:paraId="71D46B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用户针对助学金类别，点击新增按钮，输入助学金类别、类别归属、设定单位，点击添加完成添加工作。</w:t>
            </w:r>
          </w:p>
          <w:p w14:paraId="2E5D04D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2）助学金类别编辑</w:t>
            </w:r>
          </w:p>
          <w:p w14:paraId="3A8297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用户可以对类别进行编辑，点击编辑按钮，可以修改类别相关信息。</w:t>
            </w:r>
          </w:p>
          <w:p w14:paraId="1429F11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3）助学金类别删除</w:t>
            </w:r>
          </w:p>
          <w:p w14:paraId="43D7F7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用户可以对类别进行删除，点击删除按钮，可以删除类别。</w:t>
            </w:r>
          </w:p>
          <w:p w14:paraId="2E6C02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（2）助学金等级管理信息</w:t>
            </w:r>
          </w:p>
          <w:p w14:paraId="602172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系统可以支持用户进行助学金等级相关信息管理，助学金等级包括助学金类别、等级名称、等级金额、创建人、创建时间、用状态等信息，用户可以在系统中进行助学金等级创建、编辑、删除等操作。</w:t>
            </w:r>
          </w:p>
          <w:p w14:paraId="62DC43D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1）助学金等级添加</w:t>
            </w:r>
          </w:p>
          <w:p w14:paraId="34CA8B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用户针对助学金等级，点击新增按钮，输入助学金类别、等级名称，点击添加完成添加工作。</w:t>
            </w:r>
          </w:p>
          <w:p w14:paraId="7522A30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1）助学金等级编辑</w:t>
            </w:r>
          </w:p>
          <w:p w14:paraId="392498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用户可以对认定等级进行编辑，点击编辑按钮，可以修改认定等级相关信息。</w:t>
            </w:r>
          </w:p>
          <w:p w14:paraId="12D672B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2）助学金等级删除</w:t>
            </w:r>
          </w:p>
          <w:p w14:paraId="0E6D072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用户可以对认定等级进行删除，点击删除按钮，可以删除认定等级。</w:t>
            </w:r>
          </w:p>
          <w:p w14:paraId="0B91E8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（3）助学金认定方案管理信息</w:t>
            </w:r>
          </w:p>
          <w:p w14:paraId="614A66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系统可以支持用户进行助学金认定方案相关信息管理，助学金认定方案包括表单名称、表单类型、文件模板、启用状态等信息，用户可以在系统中进行助学金认定方案创建、编辑、删除等操作。</w:t>
            </w:r>
          </w:p>
          <w:p w14:paraId="742D070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1）助学金认定方案添加</w:t>
            </w:r>
          </w:p>
          <w:p w14:paraId="2766CEE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用户针对助学金认定方案，点击新增按钮，添加表单、附件完成添加工作。</w:t>
            </w:r>
          </w:p>
          <w:p w14:paraId="1E2A76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2）助学金认定方案编辑</w:t>
            </w:r>
          </w:p>
          <w:p w14:paraId="43C9666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用户可以对助学金认定方案进行编辑，点击编辑按钮，可以修改助学金认定方案相关信息，包括类别、方案名称、启用状态、方案描述、承诺书内容等。</w:t>
            </w:r>
          </w:p>
          <w:p w14:paraId="36E0AB3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3）助学金认定方案删除</w:t>
            </w:r>
          </w:p>
          <w:p w14:paraId="3E6676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用户可以对助学金认定方案进行删除，点击删除按钮，可以删除助学金认定方案。</w:t>
            </w:r>
          </w:p>
          <w:p w14:paraId="4D61DE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（4）助学金认定方案附件管理信息</w:t>
            </w:r>
          </w:p>
          <w:p w14:paraId="03DDE1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系统可以支持用户进行助学金认定方案附件相关信息管理，助学金认定方案附件包括文件名称、文件类型、文件大小(MB)、文件模板等信息，用户可以在系统中进行助学金认定方案附件创建、编辑、删除等操作。</w:t>
            </w:r>
          </w:p>
          <w:p w14:paraId="01FEED1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1）助学金认定方案附件添加</w:t>
            </w:r>
          </w:p>
          <w:p w14:paraId="10EA2E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用户针对助学金认定方案附件，点击新增按钮，输入文件名称、文件类型、文件大小(MB)，点击添加完成添加工作，支持托拉拽形式上传附件。</w:t>
            </w:r>
          </w:p>
          <w:p w14:paraId="6752DAA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2）助学金认定方案附件编辑</w:t>
            </w:r>
          </w:p>
          <w:p w14:paraId="221459A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用户可以对助学金认定方案附件进行编辑，点击编辑按钮，可以修改助学金认定方案附件相关信息。</w:t>
            </w:r>
          </w:p>
          <w:p w14:paraId="245925D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3）助学金认定方案附件删除</w:t>
            </w:r>
          </w:p>
          <w:p w14:paraId="58FF51A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用户可以对助学金认定方案进行删除，点击删除按钮，可以删除助学金认定方案。</w:t>
            </w:r>
          </w:p>
          <w:p w14:paraId="77ACF5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（5）助学金认定流程管理信息</w:t>
            </w:r>
          </w:p>
          <w:p w14:paraId="0FF77C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系统可以支持用户进行认定流程相关信息管理，认定流程包括流程名称、关联方案、流程描述、启用状态等信息，用户可以在系统中进行认定流程创建、编辑、删除等操作。</w:t>
            </w:r>
          </w:p>
          <w:p w14:paraId="31BD3D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1）助学金认定流程添加</w:t>
            </w:r>
          </w:p>
          <w:p w14:paraId="321147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用户针对认定流程，点击新增按钮，输入流程名称、关联方案、流程描述，点击添加完成添加工作。</w:t>
            </w:r>
          </w:p>
          <w:p w14:paraId="72FAEE8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2）助学金认定流程编辑</w:t>
            </w:r>
          </w:p>
          <w:p w14:paraId="6BB1F3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用户可以对认定流程进行编辑，点击编辑按钮，可以修改相关信息。</w:t>
            </w:r>
          </w:p>
          <w:p w14:paraId="45D83E9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3）助学金认定流程删除</w:t>
            </w:r>
          </w:p>
          <w:p w14:paraId="34FCA8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用户可以对认定流程进行删除，点击删除按钮，可以删除认定流程。</w:t>
            </w:r>
          </w:p>
          <w:p w14:paraId="39DC3C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4）助学金认定流程附件导入</w:t>
            </w:r>
          </w:p>
          <w:p w14:paraId="417F874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用户可以对认定流程节点进行审批按钮，点击上传资料按钮，可以指定某个认定流程节点的审核人上传附件到系统。</w:t>
            </w:r>
          </w:p>
          <w:p w14:paraId="1D4879F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（6）助学金认定批次管理信息</w:t>
            </w:r>
          </w:p>
          <w:p w14:paraId="0665C6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系统可以支持用户进行认定批次相关信息管理，认定批次包括批次名称、关联方案、关联流程、所属年度、批次描述、启用状态等信息，用户可以在系统中进行认定批次创建、编辑、删除等操作。</w:t>
            </w:r>
          </w:p>
          <w:p w14:paraId="5F51AAB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1）助学金认定批次添加</w:t>
            </w:r>
          </w:p>
          <w:p w14:paraId="59DC29A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用户针对认定批次，点击新增按钮，输入批次名称、所属年份、批次开始时间、批次结束时间、申请开始时间、申请结束时间、使用的方案、使用的流程、批次申请条件，点击添加完成添加工作。</w:t>
            </w:r>
          </w:p>
          <w:p w14:paraId="0F5C272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2）助学金认定批次编辑</w:t>
            </w:r>
          </w:p>
          <w:p w14:paraId="680E487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用户可以对认定批次进行编辑，点击编辑按钮，可以修改相关信息。</w:t>
            </w:r>
          </w:p>
          <w:p w14:paraId="4CFF24B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3）助学金认定批次删除</w:t>
            </w:r>
          </w:p>
          <w:p w14:paraId="5D3D022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用户可以对认定批次进行删除，点击删除按钮，可以删除认定批次。</w:t>
            </w:r>
          </w:p>
          <w:p w14:paraId="788A12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4）助学金认定批次附件导入</w:t>
            </w:r>
          </w:p>
          <w:p w14:paraId="1E711C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用户可以对认定批次进行上传按钮，点击上传按钮，可以上传模板和申请说明到系统。</w:t>
            </w:r>
          </w:p>
          <w:p w14:paraId="20B06C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（7）助学金认定中心管理信息</w:t>
            </w:r>
          </w:p>
          <w:p w14:paraId="783DE2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中心相关信息管理，认定中心包括姓名、学号、认定等级、金额、民主评议、应参与人数、民主评议、实际参与人数、公示开始、公示截止、记录状态、当前环节、环节状态、学院、专业、身份证号、民族、政治面貌、奖项、批次、班级等信息，用户可以在系统中进行认定中心查询、导出等操作。</w:t>
            </w:r>
          </w:p>
          <w:p w14:paraId="62B409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1）助学金认定中心查询</w:t>
            </w:r>
          </w:p>
          <w:p w14:paraId="24F5C04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用户可以对认定中心进行查询，选择相应的节点，点击查看详情按钮，可以查看学生申请的资助信息。</w:t>
            </w:r>
          </w:p>
          <w:p w14:paraId="2D1E6DF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2）助学金认定中心导出</w:t>
            </w:r>
          </w:p>
          <w:p w14:paraId="55A98D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用户可以对认定中心进行导出，选择相应的节点，点击查看导出按钮，可以导出学生单个申请表或汇总表格数据。</w:t>
            </w:r>
          </w:p>
          <w:p w14:paraId="1A63FF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（8）助学金档案库管理信息</w:t>
            </w:r>
          </w:p>
          <w:p w14:paraId="3C335B9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档案库相关信息管理，档案库包括姓名、学号、认定等级、金额、民主评议、应参与人数、民主评议、实际参与人数、公示开始、公示截止、记录状态、当前环节、环节状态、学院、专业、身份证号、民族、政治面貌、奖项、批次、班级等信息，用户可以在系统中进行档案库查询、导出等操作。</w:t>
            </w:r>
          </w:p>
          <w:p w14:paraId="7B5760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1）助学金档案库查询</w:t>
            </w:r>
          </w:p>
          <w:p w14:paraId="13F7F77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用户可以对档案库进行查询，选择相应的节点，点击查看详情按钮，可以查看学生申请的资助信息。</w:t>
            </w:r>
          </w:p>
          <w:p w14:paraId="2E407C7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2）助学金档案库导出</w:t>
            </w:r>
          </w:p>
          <w:p w14:paraId="69901D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用户可以对档案库进行导出，选择相应的节点，点击查看导出按钮，可以导出学生单个申请表或汇总表格数据。</w:t>
            </w:r>
          </w:p>
          <w:p w14:paraId="7FCE9A1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3.奖学金管理</w:t>
            </w:r>
          </w:p>
          <w:p w14:paraId="15DC31E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3.1奖学金类别</w:t>
            </w:r>
          </w:p>
          <w:p w14:paraId="3724D2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（1）奖学金类别管理信息</w:t>
            </w:r>
          </w:p>
          <w:p w14:paraId="1AFF95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系统可以支持用户进行奖学金类别相关信息管理，奖学金类别包括奖学金类别、类别归属、设定单位、创建人、创建时间、启用状态等信息，用户可以在系统中进行奖学金类别创建、编辑、删除等操作。</w:t>
            </w:r>
          </w:p>
          <w:p w14:paraId="19B08D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1）奖学金类别添加</w:t>
            </w:r>
          </w:p>
          <w:p w14:paraId="0ED64C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用户针对奖学金类别，点击新增按钮，输入奖学金类别、类别归属、设定单位，点击添加完成添加工作。</w:t>
            </w:r>
          </w:p>
          <w:p w14:paraId="69C5DB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2）奖学金类别编辑</w:t>
            </w:r>
          </w:p>
          <w:p w14:paraId="1E9CCA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用户可以对类别进行编辑，点击编辑按钮，可以修改类别相关信息。</w:t>
            </w:r>
          </w:p>
          <w:p w14:paraId="60DA24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3）奖学金类别删除</w:t>
            </w:r>
          </w:p>
          <w:p w14:paraId="5A6AD02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用户可以对类别进行删除，点击删除按钮，可以删除类别。</w:t>
            </w:r>
          </w:p>
          <w:p w14:paraId="2B0421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（2）奖学金等级管理信息</w:t>
            </w:r>
          </w:p>
          <w:p w14:paraId="5D0A394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系统可以支持用户进行奖学金等级相关信息管理，奖学金等级包括奖学金类别、等级名称、等级金额、创建人、创建时间、状态等信息，用户可以在系统中进行奖学金等级创建、编辑、删除等操作。</w:t>
            </w:r>
          </w:p>
          <w:p w14:paraId="612D37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1）奖学金等级添加</w:t>
            </w:r>
          </w:p>
          <w:p w14:paraId="536324B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用户针对奖学金等级，点击新增按钮，输入奖学金类别、等级名称，点击添加完成添加工作。</w:t>
            </w:r>
          </w:p>
          <w:p w14:paraId="5EE692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2）奖学金等级编辑</w:t>
            </w:r>
          </w:p>
          <w:p w14:paraId="3BFA1C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用户可以对认定等级进行编辑，点击编辑按钮，可以修改认定等级相关信息。</w:t>
            </w:r>
          </w:p>
          <w:p w14:paraId="2FCD1C1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3）奖学金等级删除</w:t>
            </w:r>
          </w:p>
          <w:p w14:paraId="1285A67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用户可以对认定等级进行删除，点击删除按钮，可以删除认定等级。</w:t>
            </w:r>
          </w:p>
          <w:p w14:paraId="08B2990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（3）奖学金认定方案管理信息</w:t>
            </w:r>
          </w:p>
          <w:p w14:paraId="264C266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系统可以支持用户进行奖学金认定方案相关信息管理，奖学金认定方案包括表单名称、表单类型、文件模板、启用状态等信息，用户可以在系统中进行奖学金认定方案创建、编辑、删除等操作。</w:t>
            </w:r>
          </w:p>
          <w:p w14:paraId="3262B9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1）奖学金认定方案添加</w:t>
            </w:r>
          </w:p>
          <w:p w14:paraId="1448FB4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用户针对奖学金认定方案，点击新增按钮，添加表单、附件完成添加工作。</w:t>
            </w:r>
          </w:p>
          <w:p w14:paraId="27F4EFE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2）奖学金认定方案编辑</w:t>
            </w:r>
          </w:p>
          <w:p w14:paraId="33AF03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用户可以对奖学金认定方案进行编辑，点击编辑按钮，可以修改奖学金认定方案相关信息，包括类别、方案名称、启用状态、方案描述、承诺书内容等。</w:t>
            </w:r>
          </w:p>
          <w:p w14:paraId="488EC8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3）奖学金认定方案删除</w:t>
            </w:r>
          </w:p>
          <w:p w14:paraId="0D9526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用户可以对奖学金认定方案进行删除，点击删除按钮，可以删除奖学金认定方案。</w:t>
            </w:r>
          </w:p>
          <w:p w14:paraId="3E9FDC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（4）奖学金认定方案附件管理信息</w:t>
            </w:r>
          </w:p>
          <w:p w14:paraId="2C97F3B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系统可以支持用户进行奖学金认定方案附件相关信息管理，奖学金认定方案附件包括文件名称、文件类型、文件大小(MB)、文件模板等信息，用户可以在系统中进行奖学金认定方案附件创建、编辑、删除等操作。</w:t>
            </w:r>
          </w:p>
          <w:p w14:paraId="204948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1）奖学金认定方案附件添加</w:t>
            </w:r>
          </w:p>
          <w:p w14:paraId="5B4DA0E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用户针对奖学金认定方案附件，点击新增按钮，输入文件名称、文件类型、文件大小(MB)，点击添加完成添加工作，支持托拉拽形式上传附件。</w:t>
            </w:r>
          </w:p>
          <w:p w14:paraId="2771C42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2）奖学金认定方案附件编辑</w:t>
            </w:r>
          </w:p>
          <w:p w14:paraId="5A1C5E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用户可以对奖学金认定方案附件进行编辑，点击编辑按钮，可以修改奖学金认定。</w:t>
            </w:r>
          </w:p>
          <w:p w14:paraId="4F2C27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4）奖学金认定方案附件删除</w:t>
            </w:r>
          </w:p>
          <w:p w14:paraId="20232D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用户可以对奖学金认定方案进行删除，点击删除按钮，可以删除奖学金认定方案。</w:t>
            </w:r>
          </w:p>
          <w:p w14:paraId="708654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（5）奖学金认定流程管理信息</w:t>
            </w:r>
          </w:p>
          <w:p w14:paraId="4068D6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系统可以支持用户进行认定流程相关信息管理，认定流程包括流程名称、关联方案、流程描述、启用状态等信息，用户可以在系统中进行认定流程创建、编辑、删除等操作。</w:t>
            </w:r>
          </w:p>
          <w:p w14:paraId="71663CD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1）奖学金认定流程添加</w:t>
            </w:r>
          </w:p>
          <w:p w14:paraId="63DD5E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用户针对认定流程，点击新增按钮，输入类别、等级名称，点击添加完成添加工作。</w:t>
            </w:r>
          </w:p>
          <w:p w14:paraId="1623C64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2）奖学金认定流程编辑</w:t>
            </w:r>
          </w:p>
          <w:p w14:paraId="272E25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用户可以对认定流程进行编辑，点击编辑按钮，可以修改相关信息。</w:t>
            </w:r>
          </w:p>
          <w:p w14:paraId="146E45B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3）奖学金认定流程删除</w:t>
            </w:r>
          </w:p>
          <w:p w14:paraId="19EC1F3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用户可以对认定流程进行删除，点击删除按钮，可以删除认定流程。</w:t>
            </w:r>
          </w:p>
          <w:p w14:paraId="4B830E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（6）奖学金认定批次管理信息</w:t>
            </w:r>
          </w:p>
          <w:p w14:paraId="14C3769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系统可以支持用户进行认定批次相关信息管理，认定批次包括批次名称、关联方案、关联流程、所属年度、批次描述、启用状态等信息，用户可以在系统中进行认定批次创建、编辑、删除等操作。</w:t>
            </w:r>
          </w:p>
          <w:p w14:paraId="50C2F90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1）奖学金认定批次添加</w:t>
            </w:r>
          </w:p>
          <w:p w14:paraId="2379C0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用户针对认定批次，点击新增按钮，输入批次名称、所属年份、批次开始时间、批次结束时间、申请开始时间、申请结束时间、使用的方案、使用的流程、批次申请条件，点击添加完成添加工作。</w:t>
            </w:r>
          </w:p>
          <w:p w14:paraId="7BB05F2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2）奖学金认定批次编辑</w:t>
            </w:r>
          </w:p>
          <w:p w14:paraId="7E900AE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用户可以对认定批次进行编辑，点击编辑按钮，可以修改相关信息。</w:t>
            </w:r>
          </w:p>
          <w:p w14:paraId="264E6A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3）奖学金认定批次删除</w:t>
            </w:r>
          </w:p>
          <w:p w14:paraId="09CF00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用户可以对认定批次进行删除，点击删除按钮，可以删除认定批次。</w:t>
            </w:r>
          </w:p>
          <w:p w14:paraId="0666BA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4）奖学金认定批次模板导入</w:t>
            </w:r>
          </w:p>
          <w:p w14:paraId="6A4947F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用户可以对认定批次进行上传按钮，点击上传按钮，可以上传模板和申请说明到系统。</w:t>
            </w:r>
          </w:p>
          <w:p w14:paraId="683F12B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（7）奖学金认定中心管理信息</w:t>
            </w:r>
          </w:p>
          <w:p w14:paraId="2AC3D02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中心相关信息管理，认定中心包括姓名、学号、认定等级、金额、民主评议、应参与人数、民主评议、实际参与人数、公示开始、公示截止、记录状态、当前环节、环节状态、学院、专业、身份证号、民族、政治面貌、奖项、批次、班级等信息，用户可以在系统中进行认定中心查询、导出等操作。</w:t>
            </w:r>
          </w:p>
          <w:p w14:paraId="7D8F66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1）奖学金认定中心查询</w:t>
            </w:r>
          </w:p>
          <w:p w14:paraId="65E0E6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用户可以对认定中心进行查询，选择相应的节点，点击查看详情按钮，可以查看学生申请的资助信息。</w:t>
            </w:r>
          </w:p>
          <w:p w14:paraId="5FA8C03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2）奖学金认定中心导出</w:t>
            </w:r>
          </w:p>
          <w:p w14:paraId="04E484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用户可以对认定中心进行导出，选择相应的节点，点击查看导出按钮，可以导出学生单个申请表或汇总表格数据。</w:t>
            </w:r>
          </w:p>
          <w:p w14:paraId="24F096E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（8）奖学金档案库管理信息</w:t>
            </w:r>
          </w:p>
          <w:p w14:paraId="3A1DA4A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档案库相关信息管理，档案库包括姓名、学号、认定等级、金额、民主评议、应参与人数、民主评议、实际参与人数、公示开始、公示截止、记录状态、当前环节、环节状态、学院、专业、身份证号、民族、政治面貌、奖项、批次、班级等信息，用户可以在系统中进行档案库查询、导出等操作。</w:t>
            </w:r>
          </w:p>
          <w:p w14:paraId="7C9CD9A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1）奖学金档案库查询</w:t>
            </w:r>
          </w:p>
          <w:p w14:paraId="7027B68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用户可以对档案库进行查询，选择相应的节点，点击查看详情按钮，可以查看学生申请的资助信息。</w:t>
            </w:r>
          </w:p>
          <w:p w14:paraId="30AB54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2）奖学金档案库导出</w:t>
            </w:r>
          </w:p>
          <w:p w14:paraId="07F920D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用户可以对档案库进行导出，选择相应的节点，点击查看导出按钮，可以导出学生单个申请表或汇总表格数据。</w:t>
            </w:r>
          </w:p>
          <w:p w14:paraId="72D119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4.勤工俭学管理</w:t>
            </w:r>
          </w:p>
          <w:p w14:paraId="6A3F6A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（1）勤工助学管理信息</w:t>
            </w:r>
          </w:p>
          <w:p w14:paraId="76888D6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勤工助学相关信息管理，勤工助学包括姓名、学号、记录状态、当前环节、环节状态、学院、专业、身份证号、民族、政治面貌、岗位等信息，用户可以在系统中进行勤工助学查询、导出等操作。</w:t>
            </w:r>
          </w:p>
          <w:p w14:paraId="0CD2F7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1）勤工助学查询</w:t>
            </w:r>
          </w:p>
          <w:p w14:paraId="1A066C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用户可以对岗位招聘中心进行查询，点击查看详情按钮，可以查看学生申请的资助信息。</w:t>
            </w:r>
          </w:p>
          <w:p w14:paraId="39C259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2）勤工助学导出</w:t>
            </w:r>
          </w:p>
          <w:p w14:paraId="61C7EA7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用户可以对岗位招聘中心进行导出，点击查看导出按钮，可以导出学生单个申请表或汇总表格数据。</w:t>
            </w:r>
          </w:p>
          <w:p w14:paraId="4AB0DCC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（2）勤工助学岗位管理信息</w:t>
            </w:r>
          </w:p>
          <w:p w14:paraId="0D8136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勤工助学岗位相关信息管理，勤工助学岗位包括岗位名称、用人单位、校区、工作地点、工作时间、岗位类别、酬金标准(元/小时）、发布人联系电话、每月最高小时数、岗位要求、岗位描述、等级名称、创建人、创建时间、启用状态等信息，用户可以在系统中进行勤工助学岗位创建、编辑、删除等操作。</w:t>
            </w:r>
          </w:p>
          <w:p w14:paraId="64AD2E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1）勤工助学岗位添加</w:t>
            </w:r>
          </w:p>
          <w:p w14:paraId="59B7BA6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勤工助学岗位，点击新增按钮，输入岗位名称、用人单位、校区、工作地点、工作时间、岗位类别、酬金标准(元/小时）、发布人联系电话、每月最高小时数、岗位要求、岗位描述、等级名称、创建人、创建时间、启用状态、附件，点击添加完成添加工作。</w:t>
            </w:r>
          </w:p>
          <w:p w14:paraId="3897F9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2）勤工助学岗位编辑</w:t>
            </w:r>
          </w:p>
          <w:p w14:paraId="1B14281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用户可以对勤工助学岗位进行编辑，点击编辑按钮，可以修改相关信息。</w:t>
            </w:r>
          </w:p>
          <w:p w14:paraId="14E7201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3）勤工助学岗位删除</w:t>
            </w:r>
          </w:p>
          <w:p w14:paraId="5B74411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用户可以对勤工助学岗位进行删除，点击删除按钮，可以删除勤工助学岗位。</w:t>
            </w:r>
          </w:p>
          <w:p w14:paraId="3F2EADC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4）勤工助学岗位附件导入</w:t>
            </w:r>
          </w:p>
          <w:p w14:paraId="7064291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用户可以对勤工助学岗位附件进行导入，点击导入按钮，可以上传勤工助学岗位相关附件资料。</w:t>
            </w:r>
          </w:p>
          <w:p w14:paraId="3EFEE3C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（3）勤工助学岗位审批管理信息</w:t>
            </w:r>
          </w:p>
          <w:p w14:paraId="68BB925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勤工助学岗位审批相关信息管理，勤工助学岗位审批包括招聘岗位、招聘流程、招聘计划名称、招聘计划描述、申请时间-开始、申请时间-结束、有效时间-开始、有效时间-结束、拟招聘总人数、困难生人数(至少)、申请上限人数、状态等信息，用户可以在系统中进行勤工助学岗位审批查询、审批等操作。</w:t>
            </w:r>
          </w:p>
          <w:p w14:paraId="755738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1）勤工助学岗位审批查询</w:t>
            </w:r>
          </w:p>
          <w:p w14:paraId="0BD6A37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用户可以对勤工助学岗位审批进行查询，点击查看详情按钮，可以查看学生申请的资助信息。</w:t>
            </w:r>
          </w:p>
          <w:p w14:paraId="1C67833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2）勤工助学岗位审批添加</w:t>
            </w:r>
          </w:p>
          <w:p w14:paraId="6E473EA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用户针对勤工助学岗位审批，点击审批按钮，输入审批意见完成添加工作。</w:t>
            </w:r>
          </w:p>
          <w:p w14:paraId="60F92E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（4）助学金岗位招聘方案管理信息</w:t>
            </w:r>
          </w:p>
          <w:p w14:paraId="14788A9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系统可以支持用户进行助学金岗位招聘方案相关信息管理，助学金岗位招聘方案、表单名称、表单类型、文件模板、启用状态等信息，用户可以在系统中进行助学金岗位招聘方案创建、编辑、删除等操作。</w:t>
            </w:r>
          </w:p>
          <w:p w14:paraId="2CC353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1）助学金岗位招聘方案添加</w:t>
            </w:r>
          </w:p>
          <w:p w14:paraId="69E6AE3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用户针对助学金岗位招聘方案，点击新增按钮，添加表单、附件完成添加工作。</w:t>
            </w:r>
          </w:p>
          <w:p w14:paraId="735F73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2）助学金岗位招聘方案编辑</w:t>
            </w:r>
          </w:p>
          <w:p w14:paraId="7679DE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用户可以对岗位招聘方案进行编辑，点击编辑按钮，可以修改岗位招聘方案相关信息，包括类别、方案名称、启用状态、方案描述、承诺书内容等。</w:t>
            </w:r>
          </w:p>
          <w:p w14:paraId="4EC13CD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3）助学金岗位招聘方案删除</w:t>
            </w:r>
          </w:p>
          <w:p w14:paraId="0E05E7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用户可以对岗位招聘方案进行删除，点击删除按钮，可以删除岗位招聘方案。</w:t>
            </w:r>
          </w:p>
          <w:p w14:paraId="11E0A6E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（5）岗位招聘方案附件管理信息</w:t>
            </w:r>
          </w:p>
          <w:p w14:paraId="261F220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系统可以支持用户进行岗位招聘方案附件相关信息管理，岗位招聘方案附件包括文件名称、文件类型、文件大小(MB)、文件模板等信息，用户可以在系统中进行岗位招聘方案附件创建、编辑、删除等操作。</w:t>
            </w:r>
          </w:p>
          <w:p w14:paraId="2F53E8C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1）岗位招聘方案附件添加</w:t>
            </w:r>
          </w:p>
          <w:p w14:paraId="1BEFA8A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用户针对岗位招聘方案附件，点击新增按钮，输入文件名称、文件类型、文件大小(MB)，点击添加完成添加工作，支持托拉拽形式上传附件。</w:t>
            </w:r>
          </w:p>
          <w:p w14:paraId="3B815C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2）岗位招聘方案附件编辑</w:t>
            </w:r>
          </w:p>
          <w:p w14:paraId="43BC982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用户可以对岗位招聘方案附件进行编辑，点击编辑按钮，可以修改岗位招聘方案附件相关信息。</w:t>
            </w:r>
          </w:p>
          <w:p w14:paraId="51698B5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3）岗位招聘方案附件删除</w:t>
            </w:r>
          </w:p>
          <w:p w14:paraId="5CEE45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用户可以对岗位招聘方案进行删除，点击删除按钮，可以删除岗位招聘方案。</w:t>
            </w:r>
          </w:p>
          <w:p w14:paraId="2BE5A48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（6）岗位招聘流程管理信息</w:t>
            </w:r>
          </w:p>
          <w:p w14:paraId="2BA16FB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系统可以支持用户进行认定流程相关信息管理，认定流程包括流程名称、关联方案、流程描述、启用状态等信息，用户可以在系统中进行认定流程创建、编辑、删除等操作。</w:t>
            </w:r>
          </w:p>
          <w:p w14:paraId="0D8A148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1）岗位招聘流程添加</w:t>
            </w:r>
          </w:p>
          <w:p w14:paraId="72B82C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用户针对认定流程，点击新增按钮，输入类别、等级名称，点击添加完成添加工作。</w:t>
            </w:r>
          </w:p>
          <w:p w14:paraId="37154F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2）岗位招聘流程编辑</w:t>
            </w:r>
          </w:p>
          <w:p w14:paraId="0B3A53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用户可以对认定流程进行编辑，点击编辑按钮，可以修改相关信息。</w:t>
            </w:r>
          </w:p>
          <w:p w14:paraId="5B077D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3）岗位招聘流程删除</w:t>
            </w:r>
          </w:p>
          <w:p w14:paraId="5784C3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用户可以对认定流程进行删除，点击删除按钮，可以删除认定流程。</w:t>
            </w:r>
          </w:p>
          <w:p w14:paraId="45CA013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4）岗位招聘流程附件导入</w:t>
            </w:r>
          </w:p>
          <w:p w14:paraId="43CDBB24">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用户可以对认定流程节点进行审批按钮，点击上传资料按钮，可以指定某个认定流程节点的审核人上传附件到系统。</w:t>
            </w:r>
          </w:p>
        </w:tc>
        <w:tc>
          <w:tcPr>
            <w:tcW w:w="635" w:type="pct"/>
            <w:vAlign w:val="center"/>
          </w:tcPr>
          <w:p w14:paraId="6C381619">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35599BF5">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30CC3AAC">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7D69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1C4BCFA5">
            <w:pPr>
              <w:jc w:val="center"/>
              <w:rPr>
                <w:rFonts w:ascii="宋体" w:hAnsi="宋体" w:eastAsia="宋体" w:cs="宋体"/>
                <w:sz w:val="24"/>
                <w:highlight w:val="none"/>
              </w:rPr>
            </w:pPr>
            <w:r>
              <w:rPr>
                <w:rFonts w:hint="eastAsia" w:cs="宋体" w:asciiTheme="minorEastAsia" w:hAnsiTheme="minorEastAsia"/>
                <w:b/>
                <w:bCs/>
                <w:sz w:val="24"/>
                <w:highlight w:val="none"/>
              </w:rPr>
              <w:t>20</w:t>
            </w:r>
          </w:p>
        </w:tc>
        <w:tc>
          <w:tcPr>
            <w:tcW w:w="778" w:type="pct"/>
            <w:vAlign w:val="center"/>
          </w:tcPr>
          <w:p w14:paraId="399D0995">
            <w:pPr>
              <w:pStyle w:val="102"/>
              <w:jc w:val="center"/>
              <w:rPr>
                <w:rFonts w:ascii="宋体" w:hAnsi="宋体" w:cs="宋体"/>
                <w:bCs/>
                <w:sz w:val="24"/>
                <w:szCs w:val="24"/>
                <w:highlight w:val="none"/>
              </w:rPr>
            </w:pPr>
            <w:r>
              <w:rPr>
                <w:rFonts w:hint="eastAsia" w:ascii="宋体" w:hAnsi="宋体" w:cs="宋体"/>
                <w:kern w:val="0"/>
                <w:highlight w:val="none"/>
                <w:lang w:bidi="ar"/>
              </w:rPr>
              <w:t>升级统一门户</w:t>
            </w:r>
          </w:p>
        </w:tc>
        <w:tc>
          <w:tcPr>
            <w:tcW w:w="2378" w:type="pct"/>
            <w:vAlign w:val="center"/>
          </w:tcPr>
          <w:p w14:paraId="47543E1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1.统一认证</w:t>
            </w:r>
          </w:p>
          <w:p w14:paraId="7F2BC77A">
            <w:pPr>
              <w:widowControl/>
              <w:ind w:firstLine="420" w:firstLineChars="200"/>
              <w:jc w:val="left"/>
              <w:textAlignment w:val="center"/>
              <w:rPr>
                <w:rFonts w:ascii="宋体" w:hAnsi="宋体" w:cs="宋体"/>
                <w:kern w:val="0"/>
                <w:highlight w:val="none"/>
                <w:lang w:bidi="ar"/>
              </w:rPr>
            </w:pPr>
            <w:r>
              <w:rPr>
                <w:rFonts w:ascii="宋体" w:hAnsi="宋体" w:cs="宋体"/>
                <w:kern w:val="0"/>
                <w:highlight w:val="none"/>
                <w:lang w:bidi="ar"/>
              </w:rPr>
              <w:t>基于认证</w:t>
            </w:r>
            <w:r>
              <w:rPr>
                <w:rFonts w:hint="eastAsia" w:ascii="宋体" w:hAnsi="宋体" w:cs="宋体"/>
                <w:kern w:val="0"/>
                <w:highlight w:val="none"/>
                <w:lang w:bidi="ar"/>
              </w:rPr>
              <w:t>、</w:t>
            </w:r>
            <w:r>
              <w:rPr>
                <w:rFonts w:ascii="宋体" w:hAnsi="宋体" w:cs="宋体"/>
                <w:kern w:val="0"/>
                <w:highlight w:val="none"/>
                <w:lang w:bidi="ar"/>
              </w:rPr>
              <w:t>授权</w:t>
            </w:r>
            <w:r>
              <w:rPr>
                <w:rFonts w:hint="eastAsia" w:ascii="宋体" w:hAnsi="宋体" w:cs="宋体"/>
                <w:kern w:val="0"/>
                <w:highlight w:val="none"/>
                <w:lang w:bidi="ar"/>
              </w:rPr>
              <w:t>、</w:t>
            </w:r>
            <w:r>
              <w:rPr>
                <w:rFonts w:ascii="宋体" w:hAnsi="宋体" w:cs="宋体"/>
                <w:kern w:val="0"/>
                <w:highlight w:val="none"/>
                <w:lang w:bidi="ar"/>
              </w:rPr>
              <w:t>账号</w:t>
            </w:r>
            <w:r>
              <w:rPr>
                <w:rFonts w:hint="eastAsia" w:ascii="宋体" w:hAnsi="宋体" w:cs="宋体"/>
                <w:kern w:val="0"/>
                <w:highlight w:val="none"/>
                <w:lang w:bidi="ar"/>
              </w:rPr>
              <w:t>、</w:t>
            </w:r>
            <w:r>
              <w:rPr>
                <w:rFonts w:ascii="宋体" w:hAnsi="宋体" w:cs="宋体"/>
                <w:kern w:val="0"/>
                <w:highlight w:val="none"/>
                <w:lang w:bidi="ar"/>
              </w:rPr>
              <w:t>审计规范</w:t>
            </w:r>
            <w:r>
              <w:rPr>
                <w:rFonts w:hint="eastAsia" w:ascii="宋体" w:hAnsi="宋体" w:cs="宋体"/>
                <w:kern w:val="0"/>
                <w:highlight w:val="none"/>
                <w:lang w:bidi="ar"/>
              </w:rPr>
              <w:t>，实现</w:t>
            </w:r>
            <w:r>
              <w:rPr>
                <w:rFonts w:ascii="宋体" w:hAnsi="宋体" w:cs="宋体"/>
                <w:kern w:val="0"/>
                <w:highlight w:val="none"/>
                <w:lang w:bidi="ar"/>
              </w:rPr>
              <w:t>访问控制</w:t>
            </w:r>
            <w:r>
              <w:rPr>
                <w:rFonts w:hint="eastAsia" w:ascii="宋体" w:hAnsi="宋体" w:cs="宋体"/>
                <w:kern w:val="0"/>
                <w:highlight w:val="none"/>
                <w:lang w:bidi="ar"/>
              </w:rPr>
              <w:t>、</w:t>
            </w:r>
            <w:r>
              <w:rPr>
                <w:rFonts w:ascii="宋体" w:hAnsi="宋体" w:cs="宋体"/>
                <w:kern w:val="0"/>
                <w:highlight w:val="none"/>
                <w:lang w:bidi="ar"/>
              </w:rPr>
              <w:t>身份管理</w:t>
            </w:r>
            <w:r>
              <w:rPr>
                <w:rFonts w:hint="eastAsia" w:ascii="宋体" w:hAnsi="宋体" w:cs="宋体"/>
                <w:kern w:val="0"/>
                <w:highlight w:val="none"/>
                <w:lang w:bidi="ar"/>
              </w:rPr>
              <w:t>、</w:t>
            </w:r>
            <w:r>
              <w:rPr>
                <w:rFonts w:ascii="宋体" w:hAnsi="宋体" w:cs="宋体"/>
                <w:kern w:val="0"/>
                <w:highlight w:val="none"/>
                <w:lang w:bidi="ar"/>
              </w:rPr>
              <w:t>统一授权</w:t>
            </w:r>
            <w:r>
              <w:rPr>
                <w:rFonts w:hint="eastAsia" w:ascii="宋体" w:hAnsi="宋体" w:cs="宋体"/>
                <w:kern w:val="0"/>
                <w:highlight w:val="none"/>
                <w:lang w:bidi="ar"/>
              </w:rPr>
              <w:t>、</w:t>
            </w:r>
            <w:r>
              <w:rPr>
                <w:rFonts w:ascii="宋体" w:hAnsi="宋体" w:cs="宋体"/>
                <w:kern w:val="0"/>
                <w:highlight w:val="none"/>
                <w:lang w:bidi="ar"/>
              </w:rPr>
              <w:t>安全审计等</w:t>
            </w:r>
            <w:r>
              <w:rPr>
                <w:rFonts w:hint="eastAsia" w:ascii="宋体" w:hAnsi="宋体" w:cs="宋体"/>
                <w:kern w:val="0"/>
                <w:highlight w:val="none"/>
                <w:lang w:bidi="ar"/>
              </w:rPr>
              <w:t>4个</w:t>
            </w:r>
            <w:r>
              <w:rPr>
                <w:rFonts w:ascii="宋体" w:hAnsi="宋体" w:cs="宋体"/>
                <w:kern w:val="0"/>
                <w:highlight w:val="none"/>
                <w:lang w:bidi="ar"/>
              </w:rPr>
              <w:t>方面</w:t>
            </w:r>
            <w:r>
              <w:rPr>
                <w:rFonts w:hint="eastAsia" w:ascii="宋体" w:hAnsi="宋体" w:cs="宋体"/>
                <w:kern w:val="0"/>
                <w:highlight w:val="none"/>
                <w:lang w:bidi="ar"/>
              </w:rPr>
              <w:t>功能。</w:t>
            </w:r>
          </w:p>
          <w:p w14:paraId="2E10F1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（1）用户认证：</w:t>
            </w:r>
          </w:p>
          <w:p w14:paraId="7BD4D4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PC端密码登录：采用用户名、密码、动态验证码及生物识别（人脸、指纹）等验证方式，并对用户登录行为进行审计，如果某个用户输入三次密码错误，账号将被进行锁定10分钟。用户登录成功后获取系统token，通过这个token可以访问各个子系统。</w:t>
            </w:r>
          </w:p>
          <w:p w14:paraId="03E01D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PC端扫描二维码登录：用户通过微信、QQ扫描二维码进行登录，在用户绑定微信服务号后，用户可以通过扫描登录页面的二维码进行登录，并且获取token。如果用户还没有绑定微信，则跳转到微信绑定界面，通过界面绑定微信，然后再进行二维码登录。</w:t>
            </w:r>
          </w:p>
          <w:p w14:paraId="28675BC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3）微信端登录：关注微信服务号后，可以直接在微信上通过微信的接口进行登录，并在手机上操作。</w:t>
            </w:r>
          </w:p>
          <w:p w14:paraId="1B2D716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（2）用户权限（角色）分配模块</w:t>
            </w:r>
          </w:p>
          <w:p w14:paraId="6C49173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各个子系统的管理员登录系统后，可以对角色进行分配，不同角色对应不同的用户权限。</w:t>
            </w:r>
          </w:p>
          <w:p w14:paraId="404EE7D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1）用户角色添加：在用户角色分配界面进行用户角色添加，增加用户权限。</w:t>
            </w:r>
          </w:p>
          <w:p w14:paraId="0E874F6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2）用户角色删除：在用户角色分配界面进行用户角色删除，删除用户权限。</w:t>
            </w:r>
          </w:p>
          <w:p w14:paraId="4886D0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3）用户角色修改：在用户角色分配界面进行用户角色修改，修改用户权限。</w:t>
            </w:r>
          </w:p>
          <w:p w14:paraId="32CD39B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（3）系统角色管理模块</w:t>
            </w:r>
          </w:p>
          <w:p w14:paraId="77B7F5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用户的权限就是通过角色控制API的访问，实现最细粒度的权限管理。</w:t>
            </w:r>
          </w:p>
          <w:p w14:paraId="576369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1）新建系统角色：在不同系统间创建系统角色，可以设置系统角色名称和角色说明。</w:t>
            </w:r>
          </w:p>
          <w:p w14:paraId="4DAE74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2）删除系统角色：删除系统角色，同时将与角色相关的API权限、外部系统权限、用户类型角色、用户角色清除。</w:t>
            </w:r>
          </w:p>
          <w:p w14:paraId="02C055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3）修改系统角色：修改系统角色的名称和说明。</w:t>
            </w:r>
          </w:p>
          <w:p w14:paraId="027ED3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4）API权限分配：将角色分配不同API权限。</w:t>
            </w:r>
          </w:p>
          <w:p w14:paraId="3AA262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5）外部系统分配：将角色分配到不同外部系统，外部系统对接的时候可以按照自己的角色获取一定的权限。</w:t>
            </w:r>
          </w:p>
          <w:p w14:paraId="3748D73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（4）API管理模块</w:t>
            </w:r>
          </w:p>
          <w:p w14:paraId="7D128E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API是系统操作的接口，是系统权限的最小单位，通过API操作的权限分配，可以控制每一个系统操作。</w:t>
            </w:r>
          </w:p>
          <w:p w14:paraId="3CA616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1）新建API：创建不同系统的API描述，可以设置API名称和API说明。</w:t>
            </w:r>
          </w:p>
          <w:p w14:paraId="258DE79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2）删除API：删除API，同时将与其相关的角色权限清除。</w:t>
            </w:r>
          </w:p>
          <w:p w14:paraId="3D7A42B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3）修改API：修改API的名称和说明。</w:t>
            </w:r>
          </w:p>
          <w:p w14:paraId="0EECB9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（5）模块管理（子系统管理模块）</w:t>
            </w:r>
          </w:p>
          <w:p w14:paraId="4800297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1）新建模块：创建新的模块（子系统），可以设置模块名称和模块说明。</w:t>
            </w:r>
          </w:p>
          <w:p w14:paraId="298C7D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2）删除模块：删除模块，但是如果模块下面有角色或者API则必须清除才可以删除。</w:t>
            </w:r>
          </w:p>
          <w:p w14:paraId="3A6A78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3）修改模块：修改模块的名称和说明。</w:t>
            </w:r>
          </w:p>
          <w:p w14:paraId="57292F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（6）外部系统管理模块</w:t>
            </w:r>
          </w:p>
          <w:p w14:paraId="7EAD664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外部系统是系统对外接口的授权部分，负责给外部系统分发密钥和验证。</w:t>
            </w:r>
          </w:p>
          <w:p w14:paraId="0B70FE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1）创建外部系统：创建外部系统，可以设置系统名称和模块说明，并自动生成公钥和私钥。</w:t>
            </w:r>
          </w:p>
          <w:p w14:paraId="5693C1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2）删除外部系统：删除外部系统。</w:t>
            </w:r>
          </w:p>
          <w:p w14:paraId="2962819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3）修改外部系统：修改外部系统的名称和说明。</w:t>
            </w:r>
          </w:p>
          <w:p w14:paraId="44684A6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4）更新密钥：更新外部系统的公钥和私钥。</w:t>
            </w:r>
          </w:p>
          <w:p w14:paraId="0AA8A0E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5）角色权限分配：给外部系统分配角色，这里只允许给外部系统分配属于该外部系统的角色。</w:t>
            </w:r>
          </w:p>
          <w:p w14:paraId="05C0D9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（7）用户管理模块</w:t>
            </w:r>
          </w:p>
          <w:p w14:paraId="318230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用户管理主要负责认证过程中用户的密码、管理权限和角色权限进行管理。</w:t>
            </w:r>
          </w:p>
          <w:p w14:paraId="7EBC2B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1）用户密码初始化：初始化用户密码，并将密码发送给用户。</w:t>
            </w:r>
          </w:p>
          <w:p w14:paraId="125254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2）管理权限：本模块负责管理用户的管理权限，相当于给用户分配管理各个子系统的角色分配权限，用户在授权后可以给子系统分配子系统相对应的权限。</w:t>
            </w:r>
          </w:p>
          <w:p w14:paraId="3404999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3）用户角色分配：分配用户角色，授权给用户访问系统。</w:t>
            </w:r>
          </w:p>
          <w:p w14:paraId="3F77695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4）用户锁定：用户锁定后，用户将无法使用账号。</w:t>
            </w:r>
          </w:p>
          <w:p w14:paraId="50B8621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（8）token管理模块：</w:t>
            </w:r>
          </w:p>
          <w:p w14:paraId="52C661C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token是用户登录系统的凭证，系统通过token可以授权用户访问不同的API。</w:t>
            </w:r>
          </w:p>
          <w:p w14:paraId="227A6A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1）清除token：清除用户的token，强制用户下线，用户在清除token后要重新登录。</w:t>
            </w:r>
          </w:p>
          <w:p w14:paraId="1B7B2D1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2）批量清除token：批量清除token，可以对不同子系统或者全部系统的用户清除token。</w:t>
            </w:r>
          </w:p>
          <w:p w14:paraId="664B35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3）token参数设置：可以设置用户token的时间参数，包括生效时长、续签时长和总时长。通过设置token参数控制用户登录时长。</w:t>
            </w:r>
          </w:p>
          <w:p w14:paraId="6E8C05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4）批量设置token参数：可以批量设置不同子系统或者全部用户的token参数。</w:t>
            </w:r>
          </w:p>
          <w:p w14:paraId="6FE6D1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（9）用户类型管理模块</w:t>
            </w:r>
          </w:p>
          <w:p w14:paraId="3139D41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用户类型用来作为不同用户的默认权限管理，只需要设置好用户类型的权限，这一类的用户就可以不需要重新设置。</w:t>
            </w:r>
          </w:p>
          <w:p w14:paraId="1A40E5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1）用户类型创建：创建新的用户类型，可以设置用户类型名称和说明。</w:t>
            </w:r>
          </w:p>
          <w:p w14:paraId="19C2CF5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2）用户类型删除：删除用户类型。</w:t>
            </w:r>
          </w:p>
          <w:p w14:paraId="2453AF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3）用户类型编辑：可以编辑用户类型的名称和说明。</w:t>
            </w:r>
          </w:p>
          <w:p w14:paraId="23A56E8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4）角色分配：分配不同的角色，该用户类型的用户全部拥有该角色，可以不需要重新设置角色。</w:t>
            </w:r>
          </w:p>
          <w:p w14:paraId="25640CC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（10）日志管理模块</w:t>
            </w:r>
          </w:p>
          <w:p w14:paraId="587CB4D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1）登录日志：可以查看登录的时间、ip、使用设备等信息，每次登录都存储在日志中。</w:t>
            </w:r>
          </w:p>
          <w:p w14:paraId="53D82F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2）权限配置日志：可以查看子系统、角色、API等各种操作的日志。</w:t>
            </w:r>
          </w:p>
          <w:p w14:paraId="31A8EC6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（11）密码管理模块</w:t>
            </w:r>
          </w:p>
          <w:p w14:paraId="6BBAACA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用户修改密码功能，要求限定用户使用强密码。</w:t>
            </w:r>
          </w:p>
          <w:p w14:paraId="12841F5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（12）用户登录监控模块</w:t>
            </w:r>
          </w:p>
          <w:p w14:paraId="43C239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用户登录后可以将登录信息发送到用户微信，如果不是本人登录，可以强制下线。</w:t>
            </w:r>
          </w:p>
          <w:p w14:paraId="777DC39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（13）微信密钥管理模块</w:t>
            </w:r>
          </w:p>
          <w:p w14:paraId="405E321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管理微信使用的密钥，包括认证密钥和消息发送模板密钥，可以通过增加新的模板消息密钥实现不同的模板消息发送。</w:t>
            </w:r>
          </w:p>
          <w:p w14:paraId="66AAC4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1）增加密钥：可以增加微信消息模板密钥。</w:t>
            </w:r>
          </w:p>
          <w:p w14:paraId="723308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2）删除密钥：可以删除微信消息模板密钥。</w:t>
            </w:r>
          </w:p>
          <w:p w14:paraId="6C6B9BF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3）修改密钥：可以修改密钥的值，包括消息模板密钥和认证密钥。</w:t>
            </w:r>
          </w:p>
          <w:p w14:paraId="7552A8C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（14）微信绑定管理模块</w:t>
            </w:r>
          </w:p>
          <w:p w14:paraId="10F1E71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1）解除绑定：可以解除多个用户的微信绑定，解除之后将不能使用微信的功能。</w:t>
            </w:r>
          </w:p>
          <w:p w14:paraId="2CF9BF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2）绑定用户：将用户绑定到某个微信上，用户可以使用系统的微信功能。</w:t>
            </w:r>
          </w:p>
          <w:p w14:paraId="0491510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3）解除用户绑定：将指定用户的微信绑定解除。</w:t>
            </w:r>
          </w:p>
          <w:p w14:paraId="732BF24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4）更新用户信息：更新用户的微信信息，包括头像、昵称、省份、城市信息。</w:t>
            </w:r>
          </w:p>
          <w:p w14:paraId="440F93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2.统一门户</w:t>
            </w:r>
          </w:p>
          <w:p w14:paraId="449EAE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对校内各类信息和应用系统进行整合，支持多主题PC门户、移动H5门户和门户小程序构建，为用户提供统一的访问入口。为学校师生提供一体化、一站式信息服务。根据标题角色展示多维度业务场景下的内容。</w:t>
            </w:r>
          </w:p>
          <w:p w14:paraId="1D93DDC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1.信息显示</w:t>
            </w:r>
          </w:p>
          <w:p w14:paraId="78AE8DF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（1）内部邮件信息提醒</w:t>
            </w:r>
          </w:p>
          <w:p w14:paraId="5BB5A30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提供内部邮件管理系统未阅读条数提醒信息和点击查看未读邮件列表的功能。</w:t>
            </w:r>
          </w:p>
          <w:p w14:paraId="54FCB6B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（2）任务信息提醒</w:t>
            </w:r>
          </w:p>
          <w:p w14:paraId="0EEBCF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提供各业务应用系统的任务推送提醒信息和点击查看未处理任务列表的功能。</w:t>
            </w:r>
          </w:p>
          <w:p w14:paraId="07B651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2.个性化常用应用显示</w:t>
            </w:r>
          </w:p>
          <w:p w14:paraId="7AEA73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（1）常用应用图标列表</w:t>
            </w:r>
          </w:p>
          <w:p w14:paraId="4433707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展示用户收藏的常用应用，点击可以跳转至相应的功能模块，首次登陆时展示后台设置的默认应用列表。</w:t>
            </w:r>
          </w:p>
          <w:p w14:paraId="41E03F3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（2）更多应用</w:t>
            </w:r>
          </w:p>
          <w:p w14:paraId="08960D2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点击跳转至展示所有应用的页面，所有应用顶部有应用分类快捷导航栏，可以点击快速定位至相应的应用分类；可通过搜索应用名称快速定位至相应的应用。</w:t>
            </w:r>
          </w:p>
          <w:p w14:paraId="2279604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3.个人周程</w:t>
            </w:r>
          </w:p>
          <w:p w14:paraId="3CF8DF2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（1）周程表</w:t>
            </w:r>
          </w:p>
          <w:p w14:paraId="481178D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以日历形式展示，可切换上个月，下个月，可快速切换回当天日期。</w:t>
            </w:r>
          </w:p>
          <w:p w14:paraId="4B417DC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（2）颜色区分</w:t>
            </w:r>
          </w:p>
          <w:p w14:paraId="07C956E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周程表以颜色自动区分不同日期，本月日期以深色显示，非本月信息以浅色显示，当天日期自动标为浅蓝色背景，如有任务的日期背景自动变为浅红色。</w:t>
            </w:r>
          </w:p>
          <w:p w14:paraId="094AE40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（3）数据关联</w:t>
            </w:r>
          </w:p>
          <w:p w14:paraId="18B3C6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周程表关联值班管理，会议管理，个人周程模块，自动获取个人会议，个人值班，个人周程展示至周程表中，鼠标悬浮可查看日程记要，点击可跳转至个人周程模块中查看详细信息。</w:t>
            </w:r>
          </w:p>
          <w:p w14:paraId="6B76300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4.个人应用链接</w:t>
            </w:r>
          </w:p>
          <w:p w14:paraId="79E8DA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（1）默认链接</w:t>
            </w:r>
          </w:p>
          <w:p w14:paraId="67D664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自动读取后台管理员设置的默认链接列表，点击可以跳转。</w:t>
            </w:r>
          </w:p>
          <w:p w14:paraId="141BE6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（2）自定义链接</w:t>
            </w:r>
          </w:p>
          <w:p w14:paraId="14076F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自动读取个人后台设置的自定义链接列表，点击可以跳转。</w:t>
            </w:r>
          </w:p>
          <w:p w14:paraId="63FEAD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5.快捷应用链接</w:t>
            </w:r>
          </w:p>
          <w:p w14:paraId="6FD6DA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（1）个人档案</w:t>
            </w:r>
          </w:p>
          <w:p w14:paraId="30D422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提供人事系统中个人档案模块的录入链接。</w:t>
            </w:r>
          </w:p>
          <w:p w14:paraId="3C151D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（2）工资查询</w:t>
            </w:r>
          </w:p>
          <w:p w14:paraId="1DB8F0E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提供工资管理系统的个人工资查询入口。</w:t>
            </w:r>
          </w:p>
          <w:p w14:paraId="68608C5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（3）个人周程</w:t>
            </w:r>
          </w:p>
          <w:p w14:paraId="296A53A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提供个人周程（有课、有会、值班等）的提醒及访问入口。</w:t>
            </w:r>
          </w:p>
          <w:p w14:paraId="2B03D4E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（4）校历</w:t>
            </w:r>
          </w:p>
          <w:p w14:paraId="6F680F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提供校历查看功能。</w:t>
            </w:r>
          </w:p>
          <w:p w14:paraId="506D5F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（5）外部邮件（对接外部邮箱）</w:t>
            </w:r>
          </w:p>
          <w:p w14:paraId="35F1FEF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提供腾讯企业邮箱等公有邮箱的对接、人事信息的对接、邮箱的单点链接。</w:t>
            </w:r>
          </w:p>
          <w:p w14:paraId="27E0BE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6.其它功能</w:t>
            </w:r>
          </w:p>
          <w:p w14:paraId="6D1AA2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（1）刷新</w:t>
            </w:r>
          </w:p>
          <w:p w14:paraId="3A95C55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提供OA主页的刷新功能，点击后实时刷新OA页面所有消息与任务。</w:t>
            </w:r>
          </w:p>
          <w:p w14:paraId="09A65C7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（2）密码修改</w:t>
            </w:r>
          </w:p>
          <w:p w14:paraId="27E0803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提供密码的二次修改功能（需有原密码），修改密码有密码复杂度校验规则，会自动校验用户输入的新密码的复杂程度，过于简单的密码无法修改。</w:t>
            </w:r>
          </w:p>
          <w:p w14:paraId="0DDEA88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（3）退出</w:t>
            </w:r>
          </w:p>
          <w:p w14:paraId="7CCA157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退出系统，清除登录信息。</w:t>
            </w:r>
          </w:p>
          <w:p w14:paraId="4B1AD2C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7.门户后台管理</w:t>
            </w:r>
          </w:p>
          <w:p w14:paraId="41E820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（1）个人链接设置</w:t>
            </w:r>
          </w:p>
          <w:p w14:paraId="477DBE1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可自定义添加个人链接，包含链接名称，链接地址，链接描述；可编辑或删除已添加的自定义链接；可通过下拉框选择链接是否显示在首页，选是则链接会显示在OA首页的常用链接列表；此项添加的链接只有用户本人可见。</w:t>
            </w:r>
          </w:p>
          <w:p w14:paraId="04AA5B6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（2）默认链接设置</w:t>
            </w:r>
          </w:p>
          <w:p w14:paraId="06F8A8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可添加默认链接，包含链接名称，链接地址，链接描述；可编辑或删除已添加的默认链接；可通过下拉框选择链接是否启用；可通过下拉框选择应用是否显示在首页，选是则链接会显示在OA首页的常用链接列表；此项添加的链接所有用户都可见。</w:t>
            </w:r>
          </w:p>
          <w:p w14:paraId="1C0559B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（3）角色分配</w:t>
            </w:r>
          </w:p>
          <w:p w14:paraId="7E9CFC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显示jwt统一认证中的权限角色列表，可查看所有权限角色已分配的用户名单，可快速搜索指定权限角色；可以在权限角色中添加用户，以提供相应的功能模块的登入权限；</w:t>
            </w:r>
          </w:p>
          <w:p w14:paraId="7FE989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（4）用户管理</w:t>
            </w:r>
          </w:p>
          <w:p w14:paraId="30B217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显示所有用户列表，可查看用户所拥有的权限；可为指定用户分配权限；可初始化用户密码为不规则的复杂密码。</w:t>
            </w:r>
          </w:p>
          <w:p w14:paraId="666EF43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（5）图标管理</w:t>
            </w:r>
          </w:p>
          <w:p w14:paraId="58AE62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按分类展示图标库列表，每个图标显示在功能模块中的引用次数；可添加新图标，包括图标类型，图标名称，图标所属主题，以及上传图标文件；可编辑或删除已添加的图标。</w:t>
            </w:r>
          </w:p>
          <w:p w14:paraId="46B1221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（6）系统设置</w:t>
            </w:r>
          </w:p>
          <w:p w14:paraId="783C24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提供对OA系统登出跳转地址、首页logo配置的功能。</w:t>
            </w:r>
          </w:p>
          <w:p w14:paraId="46DD9F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（7）教师应用管理</w:t>
            </w:r>
          </w:p>
          <w:p w14:paraId="156FE07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添加、编辑、删除教师系统模块功能，可设置模块名称、模块说明、模块的排序等；提供添加、编辑、删除教师应用的功能，可往具体的模块中添加教师应用，设置应用名称、应用链接、应用说明、上传图标，可设置应用在模块中的排序、设置是否启用、设置非管理员的常用应用列表默认显示应用。</w:t>
            </w:r>
          </w:p>
          <w:p w14:paraId="019F30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（8）教师快捷链接管理</w:t>
            </w:r>
          </w:p>
          <w:p w14:paraId="61E8DEE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提供添加、编辑、删除教师快捷链接功能，可设置链接名称、链接地址、链接文件、链接描述、上传图标等功能</w:t>
            </w:r>
          </w:p>
          <w:p w14:paraId="675A700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（9）学生应用管理</w:t>
            </w:r>
          </w:p>
          <w:p w14:paraId="7817B7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添加、编辑、删除学生系统模块功能，可设置模块名称、模块说明、模块的排序等；提供添加、编辑、删除学生应用的功能，可往具体的模块中添加教师应用，设置应用名称、应用链接、应用说明、上传图标，可设置应用在模块中的排序、设置是否启用。</w:t>
            </w:r>
          </w:p>
          <w:p w14:paraId="6D3DEF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（10）学生快捷链接管理</w:t>
            </w:r>
          </w:p>
          <w:p w14:paraId="0223D19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提供添加、编辑、删除学生快捷链接功能，可设置链接名称、链接地址、链接文件、链接描述、上传图标等功能。</w:t>
            </w:r>
          </w:p>
          <w:p w14:paraId="02852C0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7.统一移动端</w:t>
            </w:r>
          </w:p>
          <w:p w14:paraId="3C54E461">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升级师生统一移动端，页面更加美观，功能更加丰富，使用体验更加流畅。</w:t>
            </w:r>
          </w:p>
        </w:tc>
        <w:tc>
          <w:tcPr>
            <w:tcW w:w="635" w:type="pct"/>
            <w:vAlign w:val="center"/>
          </w:tcPr>
          <w:p w14:paraId="0951E5CA">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3A211734">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4B646C92">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是</w:t>
            </w:r>
          </w:p>
        </w:tc>
      </w:tr>
      <w:tr w14:paraId="296B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533C2136">
            <w:pPr>
              <w:jc w:val="center"/>
              <w:rPr>
                <w:rFonts w:ascii="宋体" w:hAnsi="宋体" w:eastAsia="宋体" w:cs="宋体"/>
                <w:sz w:val="24"/>
                <w:highlight w:val="none"/>
              </w:rPr>
            </w:pPr>
            <w:r>
              <w:rPr>
                <w:rFonts w:hint="eastAsia" w:cs="宋体" w:asciiTheme="minorEastAsia" w:hAnsiTheme="minorEastAsia"/>
                <w:b/>
                <w:bCs/>
                <w:sz w:val="24"/>
                <w:highlight w:val="none"/>
              </w:rPr>
              <w:t>21</w:t>
            </w:r>
          </w:p>
        </w:tc>
        <w:tc>
          <w:tcPr>
            <w:tcW w:w="778" w:type="pct"/>
            <w:vAlign w:val="center"/>
          </w:tcPr>
          <w:p w14:paraId="15B3EABC">
            <w:pPr>
              <w:pStyle w:val="102"/>
              <w:jc w:val="center"/>
              <w:rPr>
                <w:rFonts w:ascii="宋体" w:hAnsi="宋体" w:cs="宋体"/>
                <w:bCs/>
                <w:sz w:val="24"/>
                <w:szCs w:val="24"/>
                <w:highlight w:val="none"/>
              </w:rPr>
            </w:pPr>
            <w:r>
              <w:rPr>
                <w:rFonts w:hint="eastAsia" w:ascii="宋体" w:hAnsi="宋体" w:cs="宋体"/>
                <w:kern w:val="0"/>
                <w:highlight w:val="none"/>
                <w:lang w:bidi="ar"/>
              </w:rPr>
              <w:t>升级教务管理系统</w:t>
            </w:r>
          </w:p>
        </w:tc>
        <w:tc>
          <w:tcPr>
            <w:tcW w:w="2378" w:type="pct"/>
            <w:vAlign w:val="center"/>
          </w:tcPr>
          <w:p w14:paraId="68F8D1A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1.教务参数配置</w:t>
            </w:r>
          </w:p>
          <w:p w14:paraId="4C62DC8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配置教务相关参数，包括学期、教室、人员权限等各类基础配置。</w:t>
            </w:r>
          </w:p>
          <w:p w14:paraId="0F9316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2.教学班管理</w:t>
            </w:r>
          </w:p>
          <w:p w14:paraId="28C2B92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设置学期开课计划，生成教学班，可方便快捷进行各类拆合班功能，满足学校各类教学管理需求。</w:t>
            </w:r>
          </w:p>
          <w:p w14:paraId="63BBA0A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3.排课管理</w:t>
            </w:r>
          </w:p>
          <w:p w14:paraId="398F5D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图形化的排课方式，让排课功能更加直观易操作，同时支持自动排课，极大减少教师排课工作量。</w:t>
            </w:r>
          </w:p>
          <w:p w14:paraId="17BA785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（1）排课参数设置</w:t>
            </w:r>
          </w:p>
          <w:p w14:paraId="007356C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授课计划设置：授课计划设置主要针对授课计划的课程详细信息进行重新调整设置，包括总课时、总周数、开始周、结束周、每周节数、连排节数、连排次数、优先级、周课时设置、课室要求、时段要求、周课时分配等信息。</w:t>
            </w:r>
          </w:p>
          <w:p w14:paraId="602D7E1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2)教室优先级设置：对教室优先级设置，在排课中优先匹配。</w:t>
            </w:r>
          </w:p>
          <w:p w14:paraId="4BEA937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3)可排课时间点设置：对允许排课（一节课）的时间点进行智能设置，即对一周7天的时间点开关设置（可排课或不可排课）。</w:t>
            </w:r>
          </w:p>
          <w:p w14:paraId="7FF4699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4)时间段设置优先级：时间段是时间点的结合而产生连续的时间点（例如：时间点1|2|3）即第1-3节课，主要对应自动排课的连排节数的设置，在排课中优先匹配。</w:t>
            </w:r>
          </w:p>
          <w:p w14:paraId="0CE440A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默认系统参数设置，参数主要包括以下几点：排课周数、默认教学班的排课优先级、未指定排课教室匹配规则、未指定排课教室匹配运用、排课课程性质强制优先、基础连排节数、学期课时分配方式、周课时分配方式、算法搜索次数、排课默认权重设置。</w:t>
            </w:r>
          </w:p>
          <w:p w14:paraId="27DE809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（2）自动排课</w:t>
            </w:r>
          </w:p>
          <w:p w14:paraId="3E2D850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自动排课通过蚁群算法进行排课，对已经设置好的授课计划进行自动智能排课，适合以下几种情况：</w:t>
            </w:r>
          </w:p>
          <w:p w14:paraId="0222AED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1)自动根据排课参数进行周课时分配；</w:t>
            </w:r>
          </w:p>
          <w:p w14:paraId="02E0E0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2)自动根据优先级匹配课室要求；</w:t>
            </w:r>
          </w:p>
          <w:p w14:paraId="037D7D4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3)自动根据时段要求匹配上课时间等</w:t>
            </w:r>
          </w:p>
          <w:p w14:paraId="79FCBB1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（3）手工排课</w:t>
            </w:r>
          </w:p>
          <w:p w14:paraId="592C88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手工排课属于基础性功能，能够满足复杂性排课需求。排课的页面分为六个内容区域，目的是细化排课操作，其内容为以下进行涵盖。手工排课支持按照班级、教师、课程多种方式排课，可以查看班级、教师和教室等排课课表。支持图形化拖拽排课及点击排课两种方式，排课时自动检测排课冲突；排课页面点击教学班可快速调整总学时、总周数、连排节数等信息，修改后的结果实时同步至排课页面。</w:t>
            </w:r>
          </w:p>
          <w:p w14:paraId="75281DC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第一个内容区域：行政班级筛选页（同时可按系部、年级进行筛选），教师筛选页（也可按系部、年级进行筛选）。</w:t>
            </w:r>
          </w:p>
          <w:p w14:paraId="4E3BE7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第二个内容区域：对选中的行政班或是教师进行周课时安排，同时系统会根据条数分页显示，并自动根据系统参数切分连排节次、周节次等。</w:t>
            </w:r>
          </w:p>
          <w:p w14:paraId="13A25D6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三个内容区域：排课区域，在此区域可以进行拖拽排课，也可以双击课程删除，或者进行快捷键在选中单门课程之后进行修改场地时段等，大大减轻了教学秘书的工作。如课程发生冲突或者是拆分班级的授课情况，会自动生成黄色的小按钮，点击黄色小按钮即可展出列表，在列表中选中即可操作重叠覆盖的其中一门课。</w:t>
            </w:r>
          </w:p>
          <w:p w14:paraId="6054E50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第四个内容区域：教室课表，此区域类似于行政班及教师的课表。</w:t>
            </w:r>
          </w:p>
          <w:p w14:paraId="37A062E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第五个内容区域：场地排课区域，在此区域可以进行拖拽排课，也可以双击课程删除，或者进行快捷键在选中单门课程之后进行修改场地时段等。</w:t>
            </w:r>
          </w:p>
          <w:p w14:paraId="63E9C1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第六个内容区域：排课内容提示区域，所有操作提示都展示于此页面</w:t>
            </w:r>
          </w:p>
          <w:p w14:paraId="3F04732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4.调停补管理</w:t>
            </w:r>
          </w:p>
          <w:p w14:paraId="4CEC13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（1）调课申请</w:t>
            </w:r>
          </w:p>
          <w:p w14:paraId="593052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课堂教学是教师向学生系统传授知识、培养能力的基本教学形式。教师应按课表规定的时间进行课堂教学。因特殊原因需要办理长期调课、调换任课教师、调换上课地点，需要填写相应申请表。</w:t>
            </w:r>
          </w:p>
          <w:p w14:paraId="17B436F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授课教师选中需申请的调课节数，填写调课申请表，调课申请表包括内容：学年学期、教学班名称、课程名称、行政班名称等。现教学方案包括内容：任课周数、任课教师、上课场地、任课星期、上课节次等。调课方案包括：调课方式（更换教师、更换场地、更换时段、对调课程、自习课程）、现教学周数、目标周数、新任课教师、新更换场地、更换星期、更换节次等。</w:t>
            </w:r>
          </w:p>
          <w:p w14:paraId="1E5B8FF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b.申请人名单内容包括：教学班名称、申请人、申请时间、申请类型、学期、申请理由、审核状态、操作等。</w:t>
            </w:r>
          </w:p>
          <w:p w14:paraId="0321FD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（2）教秘调课</w:t>
            </w:r>
          </w:p>
          <w:p w14:paraId="37A28E8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a.对调课程查询</w:t>
            </w:r>
          </w:p>
          <w:p w14:paraId="09723D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列举出行政班的本周的可对调课程。点击调课查询，然后可调的目标课程，进行调课操作，课更换教师或者时段以及场地。</w:t>
            </w:r>
          </w:p>
          <w:p w14:paraId="62F47B9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5.教师日志</w:t>
            </w:r>
          </w:p>
          <w:p w14:paraId="34CE465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PC端：</w:t>
            </w:r>
          </w:p>
          <w:p w14:paraId="556787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（1）我的日志：</w:t>
            </w:r>
          </w:p>
          <w:p w14:paraId="4E4177A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查看当前已填写的教学日志内容：包括教学名称、课程名称、周数、上课日期、节次，打卡详情等信息。</w:t>
            </w:r>
          </w:p>
          <w:p w14:paraId="3CCBA5D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（2）我的课程：</w:t>
            </w:r>
          </w:p>
          <w:p w14:paraId="567F004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查看每周的上课课程：显示教师每周的上课课程列表，包括课程名称、上课时间等信息。</w:t>
            </w:r>
          </w:p>
          <w:p w14:paraId="4FA76F8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查看授课场地：显示教师每周的授课场地信息。</w:t>
            </w:r>
          </w:p>
          <w:p w14:paraId="70FCE77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（3）数据查询：</w:t>
            </w:r>
          </w:p>
          <w:p w14:paraId="404E92C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日志列表：查询教师教学日志内容，包括姓名、教学名称、课程名称、周数、上课日期、节次、提交时间、签到详情等信息。</w:t>
            </w:r>
          </w:p>
          <w:p w14:paraId="78D25A3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课时报表查询：查询教师的课时报表，包括姓名、卡号、院系名称、教学班系数、课程名称、人数、周数、教学课时合计等信息，可以进行筛选并导出教师个人每周的签到记录。</w:t>
            </w:r>
          </w:p>
          <w:p w14:paraId="370D4E5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教学班系数设置：查询教学班信息，设置教学班的课时系数。</w:t>
            </w:r>
          </w:p>
          <w:p w14:paraId="440344F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系统设置：可进行人员权限管理，设置管理员。</w:t>
            </w:r>
          </w:p>
          <w:p w14:paraId="3F366B2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 配置表参数：</w:t>
            </w:r>
          </w:p>
          <w:p w14:paraId="20A4183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设置消息推送：配置消息推送的相关参数。</w:t>
            </w:r>
          </w:p>
          <w:p w14:paraId="68B637D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签到定位经纬度：设置签到定位的经纬度范围。</w:t>
            </w:r>
          </w:p>
          <w:p w14:paraId="2F4BF9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照片显示定位：设置照片显示时的定位信息。</w:t>
            </w:r>
          </w:p>
          <w:p w14:paraId="70F5142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 配置参数：</w:t>
            </w:r>
          </w:p>
          <w:p w14:paraId="7C3367E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配置学生出勤情况：设置学生的出勤情况相关参数。</w:t>
            </w:r>
          </w:p>
          <w:p w14:paraId="725D43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配置课堂表现：设置学生的课堂表现相关参数。</w:t>
            </w:r>
          </w:p>
          <w:p w14:paraId="1D3D4D2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配置授课情况：设置教师的授课情况相关参数。</w:t>
            </w:r>
          </w:p>
          <w:p w14:paraId="03681A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教师移动端：</w:t>
            </w:r>
          </w:p>
          <w:p w14:paraId="4C26DF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（1）填写日志：</w:t>
            </w:r>
          </w:p>
          <w:p w14:paraId="4AE0FB3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查看当前需要填写的授课日志：显示需要填写的授课日志列表，包括教学名称、课程名称、周数、上课日期、节次等信息。</w:t>
            </w:r>
          </w:p>
          <w:p w14:paraId="1D235FD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定位签到：使用定位功能进行签到，记录教师的签到位置。</w:t>
            </w:r>
          </w:p>
          <w:p w14:paraId="1F83EC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拍照定位打卡：使用手机进行拍照打卡，记录教师授课场地情况。</w:t>
            </w:r>
          </w:p>
          <w:p w14:paraId="40DA7DC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（2）已填日志：</w:t>
            </w:r>
          </w:p>
          <w:p w14:paraId="5CE97D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查看已填写的教学日志内容：显示已填写的教学日志列表，包括授课课程、上课时间、上课地点、上课时间等信息。</w:t>
            </w:r>
          </w:p>
          <w:p w14:paraId="43DD8A7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（3）我的课程：</w:t>
            </w:r>
          </w:p>
          <w:p w14:paraId="3A6153A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查看每周的上课时间：显示教师每周的上课时间列表。</w:t>
            </w:r>
          </w:p>
          <w:p w14:paraId="221F3D96">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查看授课场地：显示教师每周的授课场地信息。</w:t>
            </w:r>
          </w:p>
        </w:tc>
        <w:tc>
          <w:tcPr>
            <w:tcW w:w="635" w:type="pct"/>
            <w:vAlign w:val="center"/>
          </w:tcPr>
          <w:p w14:paraId="36C9A723">
            <w:pPr>
              <w:widowControl/>
              <w:jc w:val="center"/>
              <w:textAlignment w:val="bottom"/>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2F652E33">
            <w:pPr>
              <w:widowControl/>
              <w:jc w:val="center"/>
              <w:textAlignment w:val="bottom"/>
              <w:rPr>
                <w:rFonts w:eastAsia="宋体" w:cs="Times New Roman"/>
                <w:highlight w:val="none"/>
              </w:rPr>
            </w:pPr>
            <w:r>
              <w:rPr>
                <w:rFonts w:hint="eastAsia"/>
                <w:highlight w:val="none"/>
              </w:rPr>
              <w:t>软件和信息技术服务业</w:t>
            </w:r>
          </w:p>
        </w:tc>
        <w:tc>
          <w:tcPr>
            <w:tcW w:w="366" w:type="pct"/>
            <w:vAlign w:val="center"/>
          </w:tcPr>
          <w:p w14:paraId="699B4EA8">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430C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4471D95">
            <w:pPr>
              <w:jc w:val="center"/>
              <w:rPr>
                <w:rFonts w:ascii="宋体" w:hAnsi="宋体" w:eastAsia="宋体" w:cs="宋体"/>
                <w:sz w:val="24"/>
                <w:highlight w:val="none"/>
              </w:rPr>
            </w:pPr>
            <w:r>
              <w:rPr>
                <w:rFonts w:hint="eastAsia" w:cs="宋体" w:asciiTheme="minorEastAsia" w:hAnsiTheme="minorEastAsia"/>
                <w:b/>
                <w:bCs/>
                <w:sz w:val="24"/>
                <w:highlight w:val="none"/>
              </w:rPr>
              <w:t>22</w:t>
            </w:r>
          </w:p>
        </w:tc>
        <w:tc>
          <w:tcPr>
            <w:tcW w:w="778" w:type="pct"/>
            <w:vAlign w:val="center"/>
          </w:tcPr>
          <w:p w14:paraId="5FC4F683">
            <w:pPr>
              <w:pStyle w:val="102"/>
              <w:jc w:val="center"/>
              <w:rPr>
                <w:rFonts w:ascii="宋体" w:hAnsi="宋体" w:cs="宋体"/>
                <w:bCs/>
                <w:sz w:val="24"/>
                <w:szCs w:val="24"/>
                <w:highlight w:val="none"/>
              </w:rPr>
            </w:pPr>
            <w:r>
              <w:rPr>
                <w:rFonts w:hint="eastAsia" w:ascii="宋体" w:hAnsi="宋体" w:cs="宋体"/>
                <w:kern w:val="0"/>
                <w:highlight w:val="none"/>
                <w:lang w:bidi="ar"/>
              </w:rPr>
              <w:t>升级成绩管理系统</w:t>
            </w:r>
          </w:p>
        </w:tc>
        <w:tc>
          <w:tcPr>
            <w:tcW w:w="2378" w:type="pct"/>
            <w:vAlign w:val="center"/>
          </w:tcPr>
          <w:p w14:paraId="17DF41F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1.成绩配置</w:t>
            </w:r>
          </w:p>
          <w:p w14:paraId="6CE36A2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支持配置成绩各类参数，包括录入时间、成绩类型、成绩占比、分数线配置、不及格配置、绩点配置、录入教师配置等。</w:t>
            </w:r>
          </w:p>
          <w:p w14:paraId="5F33C4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成绩管理系统主要功能为教师对学生成绩的管理，让其能方便快捷的对学生成绩的进行录入，把成绩进行统计分析打印，让老师能轻松直观的了解学生成绩情况。管理员可以分配不同权限，教师依据不同角色权限，进行不同维度的成绩管理。</w:t>
            </w:r>
          </w:p>
          <w:p w14:paraId="5F2BF6F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（1）批次管理</w:t>
            </w:r>
          </w:p>
          <w:p w14:paraId="7A37352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管理员在该模块中，可以依据学年学期设置成绩录入的批次与阶段，关联所需录入的课程，关联的课程实际有效项以阶段的为准，同时设置成绩录入的时间。</w:t>
            </w:r>
          </w:p>
          <w:p w14:paraId="5D8DF90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（2）批次列表</w:t>
            </w:r>
          </w:p>
          <w:p w14:paraId="2512D38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包含批次所属学期，批次名称，有效时间，是否启用，备注，关联的课程，关联的阶段信息。</w:t>
            </w:r>
          </w:p>
          <w:p w14:paraId="31B8FD4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（3）批次编辑</w:t>
            </w:r>
          </w:p>
          <w:p w14:paraId="312D721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设置批次关联的阶段以及所属学期，名称，有效时间，关联的课程等信息。</w:t>
            </w:r>
          </w:p>
          <w:p w14:paraId="08F992F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（4）阶段列表</w:t>
            </w:r>
          </w:p>
          <w:p w14:paraId="6BB5A03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包含阶段名称，阶段有效时间，是否启用，备注，关联的课程，关联的成绩占比，关联的成绩类型等信息。</w:t>
            </w:r>
          </w:p>
          <w:p w14:paraId="41B32BA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（5）阶段编辑</w:t>
            </w:r>
          </w:p>
          <w:p w14:paraId="5B84D3B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设置阶段关联的课程，所属批次，是否启用，正考录入时间，补考录入时间，清考/重修录入时间等信息。</w:t>
            </w:r>
          </w:p>
          <w:p w14:paraId="0DFD470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（6）关联配置课程列表</w:t>
            </w:r>
          </w:p>
          <w:p w14:paraId="085A3F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包含课程名称，课程性质，学分，教学班名称，授课教师，上课人数等信息。</w:t>
            </w:r>
          </w:p>
          <w:p w14:paraId="5368289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（7）成绩配置</w:t>
            </w:r>
          </w:p>
          <w:p w14:paraId="1B66CC5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管理员在该模块，可以设置成绩的录入状态例如缓考，免考等，设置成绩类型，公用占比，分数线配置等多项与管理成绩相关的配置。</w:t>
            </w:r>
          </w:p>
          <w:p w14:paraId="2A458C2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（8）基础配置</w:t>
            </w:r>
          </w:p>
          <w:p w14:paraId="3E6812A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包含基础配置项的key，参数名称，参数值，备注等信息，同时支持新增编辑修改，参数名称，参数值，备注等信息。</w:t>
            </w:r>
          </w:p>
          <w:p w14:paraId="36BC71A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（9）成绩类型</w:t>
            </w:r>
          </w:p>
          <w:p w14:paraId="7CAA98D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包含成绩类型名称，是否为多级录入，是否需要录入考试状态，所属类型，成绩分值类型，备注等信息。其中成绩分值类型包含数字与等级，等级制包含等级名称与对应分数。</w:t>
            </w:r>
          </w:p>
          <w:p w14:paraId="35F93A1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（10）成绩占比</w:t>
            </w:r>
          </w:p>
          <w:p w14:paraId="311E34B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包含成绩占比名称，占比详情，所属类型，备注等信息，通过选择成绩类型，并设置好对应比重后形成成绩占比，可用于成绩录入修改等管理工作。</w:t>
            </w:r>
          </w:p>
          <w:p w14:paraId="081F8A8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（11）考试状态</w:t>
            </w:r>
          </w:p>
          <w:p w14:paraId="2C36B7B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包含考试状态名称，状态默认分值，备注等信息。用于成绩录入修改等操作时，对学生不同成绩类型的考试状态进行管理。</w:t>
            </w:r>
          </w:p>
          <w:p w14:paraId="30CB782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（12）分数线配置</w:t>
            </w:r>
          </w:p>
          <w:p w14:paraId="6A8022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包含成绩等级名称，最小分数，最大分数，备注等信息。用于统计分析与判断学生成绩是否及格时使用，便于智能处理不及格成绩数据，并以此为条件之一判断学生是否需要补考或清考/重修等。</w:t>
            </w:r>
          </w:p>
          <w:p w14:paraId="745A50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（13）不及格配置</w:t>
            </w:r>
          </w:p>
          <w:p w14:paraId="39BC49D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包含课程名称，课程性质，学分，教学班名称，授课教师，上课人数，不及格配置说明等信息。用于对特殊课程或教学班进行设置，勾选课程并设置对应项目后，学生在该课程不及格后需要直接重修或清考。</w:t>
            </w:r>
          </w:p>
          <w:p w14:paraId="01FD32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（14）绩点配置</w:t>
            </w:r>
          </w:p>
          <w:p w14:paraId="1A2AD3C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包含绩点，成绩上限，成绩下限等信息。该页面用于计算学生绩点，通过配置项自动计算。</w:t>
            </w:r>
          </w:p>
          <w:p w14:paraId="3A25D5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（15）录入教师</w:t>
            </w:r>
          </w:p>
          <w:p w14:paraId="46206A9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管理员或有权限的角色在该模块可以对不同考试类型（如正考，补考，清考）以及不同批次下不同阶段的课程分配录入教师，支持批量设置分配与取消分配。</w:t>
            </w:r>
          </w:p>
          <w:p w14:paraId="78DB2F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（16）配置正考录入教师</w:t>
            </w:r>
          </w:p>
          <w:p w14:paraId="69CB34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包含批次，阶段，开课院系，教学班名称，课程名称，课程性质，上课人数，学分，授课教师，填写人等信息。该功能用于分配正考考试不同教学班或者不同课程的成绩数据录入人员。</w:t>
            </w:r>
          </w:p>
          <w:p w14:paraId="4D60BF0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（17）配置补考录入教师</w:t>
            </w:r>
          </w:p>
          <w:p w14:paraId="45E08C5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包含批次，阶段，开课院系，教学班名称，课程名称，课程性质，上课人数，学分，授课教师，填写人等信息。该功能用于分配补考考试不同教学班或者不同课程的成绩数据录入人员。</w:t>
            </w:r>
          </w:p>
          <w:p w14:paraId="248CAC5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（18）配置清考录入教师</w:t>
            </w:r>
          </w:p>
          <w:p w14:paraId="2CBF2CA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包含批次，阶段，开课院系，教学班名称，课程名称，课程性质，上课人数，学分，授课教师，填写人等信息。该功能用于分配补考考试不同教学班或者不同课程的成绩数据录入人员。</w:t>
            </w:r>
          </w:p>
          <w:p w14:paraId="722F4C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2.成绩录入</w:t>
            </w:r>
          </w:p>
          <w:p w14:paraId="533A897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支持录入正考成绩、补考成绩、清考成绩等各类成绩，成绩录入时支持自动保存及手动保存，更便于老师录入成绩。</w:t>
            </w:r>
          </w:p>
          <w:p w14:paraId="5FC7500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普通教师或有权限的角色可以在该模块录入并提交学生的正考，补考以及清考成绩。可以在此编辑录入课程所需的成绩类型（如平时成绩，实验成绩等）和成绩占比，帮助完成成绩录入。同时支持打印成绩统计分析清考。</w:t>
            </w:r>
          </w:p>
          <w:p w14:paraId="1EF2A7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（1）正考成绩列表</w:t>
            </w:r>
          </w:p>
          <w:p w14:paraId="27D5CD4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当前录入状态，成绩明细页面，成绩统计分析打印等信息。该模块可以通过学年学期，批次，阶段等参数，结合高级搜索，查询并统计分析学生的正考成绩情况。</w:t>
            </w:r>
          </w:p>
          <w:p w14:paraId="1D7797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（2）补考成绩列表</w:t>
            </w:r>
          </w:p>
          <w:p w14:paraId="7F2439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当前录入状态，成绩明细页面，成绩统计分析打印等信息。该模块可以通过学年学期，批次，阶段等参数，结合高级搜索，查询并统计分析学生的补考成绩情况。</w:t>
            </w:r>
          </w:p>
          <w:p w14:paraId="7292347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（3）清考/重修成绩列表</w:t>
            </w:r>
          </w:p>
          <w:p w14:paraId="4EF38B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当前录入状态，成绩明细页面，成绩统计分析打印等信息。该模块可以通过学年学期，批次，阶段等参数，结合高级搜索，查询并统计分析学生的清考/重修情况。</w:t>
            </w:r>
          </w:p>
          <w:p w14:paraId="413257A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（4）成绩录入详情页</w:t>
            </w:r>
          </w:p>
          <w:p w14:paraId="6A7FDE0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生学号，学生姓名，班级，考试性质，成绩类型，录入人，录入时间等信息。用于教师管理学生成绩数据，可以通过班级名称学生学号或姓名快速定位学生，并且可以预览分析总的录入情况，导出模板与统计分析情况。</w:t>
            </w:r>
          </w:p>
          <w:p w14:paraId="43D3782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3.成绩修改</w:t>
            </w:r>
          </w:p>
          <w:p w14:paraId="5C7931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支持修改成绩，可联动成绩修改申请流程，申请通过后才可修改成绩，增加了成绩修改严谨性。</w:t>
            </w:r>
          </w:p>
          <w:p w14:paraId="6885EBB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管理员或有权限的角色可以在该模块修改学生的成绩，包括正考，补考，清考/重修等不同考试类型。</w:t>
            </w:r>
          </w:p>
          <w:p w14:paraId="4F6599F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（1）正考成绩修改列表</w:t>
            </w:r>
          </w:p>
          <w:p w14:paraId="471E726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包含学年学期，院系，年级，专业名称，教学班名称等信息；管理员随时可以通过该功能修改数据，系统自动记录修改日志，同时管理员也可以预览分析正考成绩修改情况。</w:t>
            </w:r>
          </w:p>
          <w:p w14:paraId="2BE75F4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（2）补考成绩修改列表</w:t>
            </w:r>
          </w:p>
          <w:p w14:paraId="526CBE2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包含学年学期，院系，年级，专业名称，教学班名称等信息；管理员随时可以通过该功能修改数据，系统自动记录修改日志，同时管理员也可以预览分析补考成绩修改情况。</w:t>
            </w:r>
          </w:p>
          <w:p w14:paraId="53BBDB0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（3）清考/重修成绩修改列表</w:t>
            </w:r>
          </w:p>
          <w:p w14:paraId="5C676AE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包含学年学期，院系，年级，专业名称，教学班名称等信息；管理员随时可以通过该功能修改数据，系统自动记录修改日志，同时管理员也可以预览分析清考/重修成绩修改情况。</w:t>
            </w:r>
          </w:p>
          <w:p w14:paraId="3FC02B8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（4）成就修改详情页</w:t>
            </w:r>
          </w:p>
          <w:p w14:paraId="50591BF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包含学生学号，学生姓名，班级，考试性质，成绩类型等信息。可以通过班级名称学生学号或姓名快速定位学生，并且可以预览分析总的修改情况。</w:t>
            </w:r>
          </w:p>
          <w:p w14:paraId="5FEFCB6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4.成绩审核</w:t>
            </w:r>
          </w:p>
          <w:p w14:paraId="7209A0C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支持成绩修改审核，可方便快捷的查看成绩详情，并一键审核，审核后会修改成绩当前状态，并反馈至成绩录入人。</w:t>
            </w:r>
          </w:p>
          <w:p w14:paraId="2C12CC9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管理员或有权限的角色可以在该模块审核已经录入已经提交的成绩数据，并支持撤回与发布等操作，根据业务需求来控制成绩数据是否可以对学生开放。</w:t>
            </w:r>
          </w:p>
          <w:p w14:paraId="3954CC1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（1）正考成绩审核列表</w:t>
            </w:r>
          </w:p>
          <w:p w14:paraId="081E0A4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或有相关权限角色可以在此模块对已提交的成绩进行审核，撤回，发布等操作，以此完成对应的业务需求。同时支持直接查看成绩录入或修改详情。</w:t>
            </w:r>
          </w:p>
          <w:p w14:paraId="658F4F4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（2）补考成绩审核列表</w:t>
            </w:r>
          </w:p>
          <w:p w14:paraId="6D37129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或有相关权限角色可以在此模块对已提交的成绩进行审核，撤回，发布等操作，以此完成对应的业务需求。同时支持直接查看补考成绩录入或修改详情。</w:t>
            </w:r>
          </w:p>
          <w:p w14:paraId="6AE1095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（3）清考/重修成绩审核列表</w:t>
            </w:r>
          </w:p>
          <w:p w14:paraId="5DF13EF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年学期，院系，年级，专业名称，教学班名称等信息；管理员或有相关权限角色可以在此模块对已提交的成绩进行审核，撤回，发布等操作，以此完成对应的业务需求。同时支持直接查看清考/重修成绩录入或修改详情。</w:t>
            </w:r>
          </w:p>
          <w:p w14:paraId="23EC46B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5.成绩查询</w:t>
            </w:r>
          </w:p>
          <w:p w14:paraId="0E58420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支持各维度成绩查询，同时支持导出各类成绩报表，减少教师统计成绩工作量。</w:t>
            </w:r>
          </w:p>
          <w:p w14:paraId="3DE7516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该模块主要用于各种成绩相关的数据查询与统计分析导出，支持后台配置，灵活调整菜单，搜索条件，展示内容，以及导出模板等。</w:t>
            </w:r>
          </w:p>
          <w:p w14:paraId="6CC5FC0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（1）学生成绩查询</w:t>
            </w:r>
          </w:p>
          <w:p w14:paraId="3A563A6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学号，姓名，行政班名称，院系名称，专业名称，课程名称，学年学期名称，考试状态，总评成绩，年级，补考成绩，清考成绩等信息。该功能支持单个编辑学生成绩与上传excel来管理学生成绩数据。也包含学生成绩单，学业成绩表，历史成绩表等统计分析表。</w:t>
            </w:r>
          </w:p>
          <w:p w14:paraId="422133A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（2）查询教学班信息</w:t>
            </w:r>
          </w:p>
          <w:p w14:paraId="482BA7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包含教学班名称，授课教师，年级，院系名称，课程名称，学年学期名称等信息。同时包含教学班统计分析情况表的查询与打印。</w:t>
            </w:r>
          </w:p>
          <w:p w14:paraId="339242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（3）查询行政班信息</w:t>
            </w:r>
          </w:p>
          <w:p w14:paraId="7C84DB53">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包含行政班名称，辅导员，年级，院系名称，专业名称，学年学期名称等信息。同时包含行政班相关统计分析情况的查询导出，打印。</w:t>
            </w:r>
          </w:p>
        </w:tc>
        <w:tc>
          <w:tcPr>
            <w:tcW w:w="635" w:type="pct"/>
            <w:vAlign w:val="center"/>
          </w:tcPr>
          <w:p w14:paraId="17816B4A">
            <w:pPr>
              <w:jc w:val="center"/>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5EB84904">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727D25B0">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7340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7DE99BBA">
            <w:pPr>
              <w:jc w:val="center"/>
              <w:rPr>
                <w:rFonts w:ascii="宋体" w:hAnsi="宋体" w:eastAsia="宋体" w:cs="宋体"/>
                <w:sz w:val="24"/>
                <w:highlight w:val="none"/>
              </w:rPr>
            </w:pPr>
            <w:r>
              <w:rPr>
                <w:rFonts w:hint="eastAsia" w:cs="宋体" w:asciiTheme="minorEastAsia" w:hAnsiTheme="minorEastAsia"/>
                <w:b/>
                <w:bCs/>
                <w:sz w:val="24"/>
                <w:highlight w:val="none"/>
              </w:rPr>
              <w:t>23</w:t>
            </w:r>
          </w:p>
        </w:tc>
        <w:tc>
          <w:tcPr>
            <w:tcW w:w="778" w:type="pct"/>
            <w:vAlign w:val="center"/>
          </w:tcPr>
          <w:p w14:paraId="4CE14EE4">
            <w:pPr>
              <w:pStyle w:val="102"/>
              <w:jc w:val="center"/>
              <w:rPr>
                <w:rFonts w:ascii="宋体" w:hAnsi="宋体" w:cs="宋体"/>
                <w:bCs/>
                <w:sz w:val="24"/>
                <w:szCs w:val="24"/>
                <w:highlight w:val="none"/>
              </w:rPr>
            </w:pPr>
            <w:r>
              <w:rPr>
                <w:rFonts w:hint="eastAsia" w:ascii="宋体" w:hAnsi="宋体" w:cs="宋体"/>
                <w:kern w:val="0"/>
                <w:highlight w:val="none"/>
                <w:lang w:bidi="ar"/>
              </w:rPr>
              <w:t>升级学籍管理系统</w:t>
            </w:r>
          </w:p>
        </w:tc>
        <w:tc>
          <w:tcPr>
            <w:tcW w:w="2378" w:type="pct"/>
            <w:vAlign w:val="center"/>
          </w:tcPr>
          <w:p w14:paraId="03F5941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1.班级管理</w:t>
            </w:r>
          </w:p>
          <w:p w14:paraId="060E887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管理学校各年级、专业开设的班级数据。添加、编辑、启用、停用校区，学院，年级，专业，专业方向，培养层次，班级名称，班级代码，班级简称等。支持多条件数据查询，数据导出等功能。</w:t>
            </w:r>
          </w:p>
          <w:p w14:paraId="1450221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2.学生信息管理</w:t>
            </w:r>
          </w:p>
          <w:p w14:paraId="2C24829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校教师查询，修改，导出学生信息及名单。提供了年级、院系、专业、班级的树形结构，多条件查询栏目方便快速定位学生数据，查看学生画像，编辑学生维护信息，信息编辑记录存档可支持版本控制。学生画像：学生基本信息、学籍信息、联系信息、管理教师、成绩信息、任课教师、在校表现（违纪，日常行为，请假记录）、在校历程、学生关系图等。在校历程：通过时间轴展示学生从入学到毕业整个周期的轨迹，记录了学生的发展。学生关系图：系统通过分析学生的课表及刷卡数据分析总结出与学生关系比较亲密的教师或学生关系图。</w:t>
            </w:r>
          </w:p>
          <w:p w14:paraId="251B12B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3.学生照片管理</w:t>
            </w:r>
          </w:p>
          <w:p w14:paraId="5A0C0AD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学生照片管理实现了学生照片的维护工作。</w:t>
            </w:r>
          </w:p>
          <w:p w14:paraId="166492D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（1）照片类型管理：管理学生照片类型数据。添加、编辑、启用、停用，照片类型等。包括学籍照、入学照、四六级照、毕业照、证件照等。</w:t>
            </w:r>
          </w:p>
          <w:p w14:paraId="3407C07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（2）照片命名规则管理：提供自定义命名规则。命名规则可用来做批量导入照片的识别规则或导出照片时文件的命名规则。</w:t>
            </w:r>
          </w:p>
          <w:p w14:paraId="2445976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照片管理：通过表格形式显示学生照片的录入情况，可编辑、导出学生各类照片。提供单个上传，批量上传（依赖照片命名规则）通过压缩包上传，系统经过规则识别并记录学生照片。提供照片导出，可选择一种命名方式及照片类型，生成压缩包进行下载。</w:t>
            </w:r>
          </w:p>
          <w:p w14:paraId="0F063E4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4.学籍异动</w:t>
            </w:r>
          </w:p>
          <w:p w14:paraId="76268BC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学籍异动主要是实现学生工作处对学生在校期间的休学、退学、转班、转专业、复学等业务办理，审核。并对办理产生的数据进行记录和维护。</w:t>
            </w:r>
          </w:p>
          <w:p w14:paraId="07C6BDB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（1）异动记录：学生异动记录。支持学号、姓名、异动类型、异动原因、异动时间等多个条件对数据进行查询、筛选，以及数据导出等功能。与多功能办事大厅绑定，可查看异动办理表单，办理轨迹等信息。</w:t>
            </w:r>
          </w:p>
          <w:p w14:paraId="1BB7FE9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异动类型管理：提供自定义异动类型，异动事由的方案，可根据实际业务需求自行创建；可维护数据：异动类型、异动后学生状态、异动后学籍状态、异动后在校状态、异动文号、异动通知字号、是否延长学制等。添加、编辑、启用、停用。</w:t>
            </w:r>
          </w:p>
          <w:p w14:paraId="347FCDF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（3）异动通知模板：编辑、维护学生异动申请通过后发送给学生及教师的消息模板。消息最终会根据不同异动类型动态生成。</w:t>
            </w:r>
          </w:p>
          <w:p w14:paraId="37A688D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（4）发起异动：学生或教师通过系统发起异动申请。</w:t>
            </w:r>
          </w:p>
          <w:p w14:paraId="11BA427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1）快捷申请，审核</w:t>
            </w:r>
          </w:p>
          <w:p w14:paraId="4646F4F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提供快捷申请，选择目标学生：通过人员选择器筛选、通过EXCEL上传。选择异动类型，系统根据类型所绑定的异动后学生状态、异动后学籍状态、异动后在校状态填充相关数据。选择目标班级、专业。上传附件。填写异动原因说明。提交完成异动申请。审核人员可通过学号、办理进度、异动类型等查询条件筛选待审核记录填写审核结果与说明完成学籍异动审核。</w:t>
            </w:r>
          </w:p>
          <w:p w14:paraId="101300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2）办事大厅申请，审核</w:t>
            </w:r>
          </w:p>
          <w:p w14:paraId="6647FBC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依赖办事大厅系统，系统提供了办事大厅流程业务与学籍系统绑定的方案。实现了自定义审核流程，拥有自定义结点、自定义协作或抢办模式。通过相关设置实现了学籍数据与办事大厅表单数据的绑定与同步。</w:t>
            </w:r>
          </w:p>
          <w:p w14:paraId="7065301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关联成绩，教务系统：系统支持与相关业务系统的数据同步，异动审核通过后，会触发系统机制实时同步其他业务系统数据，保证数据的一致性。同步功能可根据不同异动类型进行区分，支持个性化的业务需求。</w:t>
            </w:r>
          </w:p>
          <w:p w14:paraId="25CEC0E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（6）异动统计：通过表格形式展示了具体时间内各行政单位，各异动类型的记录数。支持多条件查询，导出，交互功能点击可查看下一级行政单位的异动情况。</w:t>
            </w:r>
          </w:p>
          <w:p w14:paraId="16D90350">
            <w:pPr>
              <w:widowControl/>
              <w:ind w:firstLine="420" w:firstLineChars="200"/>
              <w:jc w:val="left"/>
              <w:textAlignment w:val="center"/>
              <w:rPr>
                <w:highlight w:val="none"/>
              </w:rPr>
            </w:pPr>
            <w:r>
              <w:rPr>
                <w:rFonts w:hint="eastAsia" w:ascii="宋体" w:hAnsi="宋体" w:cs="宋体"/>
                <w:kern w:val="0"/>
                <w:highlight w:val="none"/>
                <w:lang w:bidi="ar"/>
              </w:rPr>
              <w:t>5.学籍数据统计分析</w:t>
            </w:r>
          </w:p>
          <w:p w14:paraId="4D4AE996">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1）支持学生大数据人脸搜索，上传学生照片后，点击开始识别，即可通过学生照片进行学生信息搜索，如匹配成功，则展示匹配人员照片、学号、姓名、班级，支持点击姓名跳转至学生个人画像，跳转学生个人画像后，支持查看学生在校行为总览，包括平均分、挂科数量、重修科目、上网时长、缺课总课时、出入校门次数、得奖次数、违规次数、处分次数、一卡通消费总金额、请假事由占比、就餐次数占比，支持切换当前学期和当前学年两种统计时段，支持</w:t>
            </w:r>
            <w:r>
              <w:rPr>
                <w:rFonts w:hint="eastAsia" w:ascii="宋体" w:hAnsi="宋体" w:cs="宋体"/>
                <w:kern w:val="0"/>
                <w:highlight w:val="none"/>
                <w:lang w:val="en-US" w:eastAsia="zh-CN" w:bidi="ar"/>
              </w:rPr>
              <w:t>在学生违规违纪系统中</w:t>
            </w:r>
            <w:r>
              <w:rPr>
                <w:rFonts w:hint="eastAsia" w:ascii="宋体" w:hAnsi="宋体" w:cs="宋体"/>
                <w:kern w:val="0"/>
                <w:highlight w:val="none"/>
                <w:lang w:bidi="ar"/>
              </w:rPr>
              <w:t>添加学生违规记录后，学生在校行为总览中违规次数自动增加1次。</w:t>
            </w:r>
          </w:p>
          <w:p w14:paraId="6AB04368">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（2）支持“学校学生数据分析”“院系学生数据分析”“专业学生数据分析”“班级学生数据分析”“班级学生列表”“学生个人画像”逐级深挖。</w:t>
            </w:r>
          </w:p>
          <w:p w14:paraId="4E2FC3C7">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1）主页面为学校学生数据页面，包含“学生统计”、“在读”、“休学”、“入伍”、“退学”、“培养层次占比”、“性别占比”、“学习形式占比”、“学生地域占比”、“学院人数统计”等统计分析。</w:t>
            </w:r>
          </w:p>
          <w:p w14:paraId="32DB9A0B">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2）支持主页面点击“在读”、“休学”、“入伍”等数值跳转至院系学生数据分析页面，以柱形图的方式分析展示院系学生数据，点击各院系柱形图跳转至专业学生柱形图数据页，点击各专业柱形图跳转至班级学生柱形图数据页，点击各班级柱形图跳转至班级学生列表页，点击学生名称跳转至学生个人画像。</w:t>
            </w:r>
          </w:p>
          <w:p w14:paraId="338FCD5A">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3）支持主页面点击“培养层次占比”、“性别占比”、“学习形式占比”、“学生地域占比”等饼图区域跳转至该饼图区域对应的院系学生数据分析页面，同时“学生地域占比”饼图支持按地图形式展示学生地域分布情况，饼图及地图支持点击跳转深挖至学生个人画像。</w:t>
            </w:r>
          </w:p>
          <w:p w14:paraId="56BBC8E1">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（3）支持查看学生个人画像</w:t>
            </w:r>
          </w:p>
          <w:p w14:paraId="37C26613">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1）学生个人画像包括学生照片、姓名、学号、身份证号、联系地址、联系电话等基础信息，其中身份证号、联系地址、联系电话等进行信息脱敏。</w:t>
            </w:r>
          </w:p>
          <w:p w14:paraId="664F114A">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2）学生个人画像包括课表，课表支持切换周课表和学期课表，支持导出课表；包括成绩单，支持导出成绩单；包括任课教师，支持导出任课教师名单。</w:t>
            </w:r>
          </w:p>
          <w:p w14:paraId="065BA132">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3）学生个人画像包括违规违纪信息、宿舍违纪记录、请假记录、缺课情况、一日三餐、一卡通消费记录、一卡通出入记录、宿舍入住记录、后勤报修记录、电费缴纳记录、宿舍晚出晚归记录；包括在校历程，在校历程以时间轴形式展示学生学籍变化、请假记录等轨迹。</w:t>
            </w:r>
          </w:p>
          <w:p w14:paraId="48A9BDEF">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4）学生个人画像包括学生关系图，动态展示学生老师、同学、家庭关系，点击对应名称可查看对应关系人员姓名，关系及关系值。</w:t>
            </w:r>
          </w:p>
          <w:p w14:paraId="2393B9CF">
            <w:pPr>
              <w:widowControl/>
              <w:ind w:firstLine="420" w:firstLineChars="200"/>
              <w:textAlignment w:val="top"/>
              <w:rPr>
                <w:rFonts w:ascii="宋体" w:hAnsi="宋体" w:cs="宋体"/>
                <w:kern w:val="0"/>
                <w:highlight w:val="none"/>
                <w:lang w:bidi="ar"/>
              </w:rPr>
            </w:pPr>
            <w:r>
              <w:rPr>
                <w:rFonts w:hint="eastAsia" w:ascii="宋体" w:hAnsi="宋体" w:cs="宋体"/>
                <w:kern w:val="0"/>
                <w:highlight w:val="none"/>
                <w:lang w:bidi="ar"/>
              </w:rPr>
              <w:t>5）支持学生</w:t>
            </w:r>
            <w:r>
              <w:rPr>
                <w:rFonts w:hint="eastAsia" w:ascii="宋体" w:hAnsi="宋体" w:cs="宋体"/>
                <w:kern w:val="0"/>
                <w:highlight w:val="none"/>
                <w:lang w:val="en-US" w:eastAsia="zh-CN" w:bidi="ar"/>
              </w:rPr>
              <w:t>在请假系统中</w:t>
            </w:r>
            <w:r>
              <w:rPr>
                <w:rFonts w:hint="eastAsia" w:ascii="宋体" w:hAnsi="宋体" w:cs="宋体"/>
                <w:kern w:val="0"/>
                <w:highlight w:val="none"/>
                <w:lang w:bidi="ar"/>
              </w:rPr>
              <w:t>进行请假申请，填写“请假事由”、“请假类型”、“请假开始时间”、“请假结束时间”，点击发送发起请假申请，请假申请通过后，数据会实时更新至学生个人画像中，学生个人画像中在校行为栏目中“请假记录”会实时更新该学生的请假申请数据，包含了“请假类型”、“请假事由”、“开始日期”、“结束日期”、“状态”等信息，学生在校历程时间轴上也会更新学生最新请假信息。</w:t>
            </w:r>
          </w:p>
          <w:p w14:paraId="2484C625">
            <w:pPr>
              <w:widowControl/>
              <w:ind w:firstLine="422" w:firstLineChars="200"/>
              <w:textAlignment w:val="top"/>
              <w:rPr>
                <w:rFonts w:ascii="宋体" w:hAnsi="宋体" w:cs="宋体"/>
                <w:bCs/>
                <w:sz w:val="24"/>
                <w:szCs w:val="24"/>
                <w:highlight w:val="none"/>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val="en-US" w:eastAsia="zh-CN" w:bidi="ar"/>
              </w:rPr>
              <w:t>5.</w:t>
            </w:r>
            <w:r>
              <w:rPr>
                <w:rFonts w:hint="eastAsia" w:ascii="宋体" w:hAnsi="宋体" w:cs="宋体"/>
                <w:b/>
                <w:bCs/>
                <w:kern w:val="0"/>
                <w:highlight w:val="none"/>
                <w:lang w:bidi="ar"/>
              </w:rPr>
              <w:t>学籍数据统计分析</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tc>
        <w:tc>
          <w:tcPr>
            <w:tcW w:w="635" w:type="pct"/>
            <w:vAlign w:val="center"/>
          </w:tcPr>
          <w:p w14:paraId="0F4672B4">
            <w:pPr>
              <w:jc w:val="center"/>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3DFEE4FC">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488FE4B0">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0B9F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1584BBAE">
            <w:pPr>
              <w:jc w:val="center"/>
              <w:rPr>
                <w:rFonts w:ascii="宋体" w:hAnsi="宋体" w:eastAsia="宋体" w:cs="宋体"/>
                <w:sz w:val="24"/>
                <w:highlight w:val="none"/>
              </w:rPr>
            </w:pPr>
            <w:r>
              <w:rPr>
                <w:rFonts w:hint="eastAsia" w:cs="宋体" w:asciiTheme="minorEastAsia" w:hAnsiTheme="minorEastAsia"/>
                <w:b/>
                <w:bCs/>
                <w:sz w:val="24"/>
                <w:highlight w:val="none"/>
              </w:rPr>
              <w:t>24</w:t>
            </w:r>
          </w:p>
        </w:tc>
        <w:tc>
          <w:tcPr>
            <w:tcW w:w="778" w:type="pct"/>
            <w:vAlign w:val="center"/>
          </w:tcPr>
          <w:p w14:paraId="14010681">
            <w:pPr>
              <w:pStyle w:val="102"/>
              <w:jc w:val="center"/>
              <w:rPr>
                <w:rFonts w:ascii="宋体" w:hAnsi="宋体" w:cs="宋体"/>
                <w:bCs/>
                <w:sz w:val="24"/>
                <w:szCs w:val="24"/>
                <w:highlight w:val="none"/>
              </w:rPr>
            </w:pPr>
            <w:r>
              <w:rPr>
                <w:rFonts w:hint="eastAsia" w:ascii="宋体" w:hAnsi="宋体" w:cs="宋体"/>
                <w:kern w:val="0"/>
                <w:highlight w:val="none"/>
                <w:lang w:bidi="ar"/>
              </w:rPr>
              <w:t>升级宿舍管理</w:t>
            </w:r>
          </w:p>
        </w:tc>
        <w:tc>
          <w:tcPr>
            <w:tcW w:w="2378" w:type="pct"/>
            <w:vAlign w:val="center"/>
          </w:tcPr>
          <w:p w14:paraId="489535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1.楼栋管理</w:t>
            </w:r>
          </w:p>
          <w:p w14:paraId="58F1F25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（1）基础数据管理</w:t>
            </w:r>
          </w:p>
          <w:p w14:paraId="443B845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宿舍基础数据管理，基础数据信息包含场地名称、场地状态、楼栋名称、楼栋层数、准住性别、楼栋状态、户型名称、床位数、面积、朝向、收费标准、备注等。用户可以添加、删除、修改、导入、导出等操作。</w:t>
            </w:r>
          </w:p>
          <w:p w14:paraId="1BE9D85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（2）基础数据场地查询</w:t>
            </w:r>
          </w:p>
          <w:p w14:paraId="21DA9D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支持以树型结构的形式展示场地；支持选中某一层级的场地，展示其子级场地列表，显示字段包括场地名称、状态、操作内容。</w:t>
            </w:r>
          </w:p>
          <w:p w14:paraId="617FAF6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（3）基础数据场地添加</w:t>
            </w:r>
          </w:p>
          <w:p w14:paraId="777BBB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支持用户在任意层级的场地内添加子场地，并自动检查当前系统条件下是否允许添加子场地。</w:t>
            </w:r>
          </w:p>
          <w:p w14:paraId="0B1E5EB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（4）基础数据场地修改</w:t>
            </w:r>
          </w:p>
          <w:p w14:paraId="18E8A2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用户可以使用状态按钮，将场地启用/停用，支持自动检查当前系统条件下是否允许停用该场地。用户可以使用修改操作，更改场地名称，并自动检测场地是否重名。</w:t>
            </w:r>
          </w:p>
          <w:p w14:paraId="521EA80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（5）基础数据楼栋查询</w:t>
            </w:r>
          </w:p>
          <w:p w14:paraId="5DA7D6A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支持树型结构的楼栋展示；以列表形式展示楼栋，列表展示信息包含楼栋名称、准住性别、楼栋层数、楼栋状态等。</w:t>
            </w:r>
          </w:p>
          <w:p w14:paraId="4CCEAA1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（6）基础数据楼栋添加</w:t>
            </w:r>
          </w:p>
          <w:p w14:paraId="393BAEE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通过添加按钮进行楼栋新增操作，支持自定义楼栋名称，并自动检查场地名称是否有冲突；支持楼栋准许性别选择，楼栋性别包含男生楼、女生楼、混住楼三种；支持递增/递减设置楼栋层数，也支持手动填写楼栋层数；支持备注楼栋地址。</w:t>
            </w:r>
          </w:p>
          <w:p w14:paraId="74BC03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（7）基础数据楼栋导入</w:t>
            </w:r>
          </w:p>
          <w:p w14:paraId="0D8A912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使用excel模板导入楼栋数据，通过导入楼栋模板，进行批量添加楼栋。模板包含上级名称、楼栋名称、楼栋层数、楼栋准住性别、楼栋地址字段，批量导入楼栋，并自动检查数据是否有冲突，具有类似事务的功能，批量成功否则批量失败。</w:t>
            </w:r>
          </w:p>
          <w:p w14:paraId="03890B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（8）基础数据楼栋修改</w:t>
            </w:r>
          </w:p>
          <w:p w14:paraId="7DC2D1D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支持用户对楼栋显示顺序进行互换排序。支持修改楼栋关键数据，包括楼栋准住性别、楼栋层数，并自动检查当前系统条件下是否允许对关键数据进行修改。支持修改楼栋非关键数据，包括楼栋名称和楼栋地址。</w:t>
            </w:r>
          </w:p>
          <w:p w14:paraId="4DF14A7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（9）基础数据楼栋删除</w:t>
            </w:r>
          </w:p>
          <w:p w14:paraId="382DEDF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支持用户对指定楼栋数据进行删除，并自动检查当前系统条件下是否允许删除楼栋。</w:t>
            </w:r>
          </w:p>
          <w:p w14:paraId="7F705A7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（10）基础数据户型列表</w:t>
            </w:r>
          </w:p>
          <w:p w14:paraId="46622E4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系统以列表形式向用户提供户型数据，户型列表展示户型信息，如户型名称、床位数、面积、朝向、收费标准、备注等。</w:t>
            </w:r>
          </w:p>
          <w:p w14:paraId="4A23919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（11）基础数据户型添加</w:t>
            </w:r>
          </w:p>
          <w:p w14:paraId="6289F83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用户可以通过添加按钮新增户型，添加时自动检查户型名称是否有冲突，有则提示不允许添加</w:t>
            </w:r>
          </w:p>
          <w:p w14:paraId="1B4AF2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（12）基础数据户型删除</w:t>
            </w:r>
          </w:p>
          <w:p w14:paraId="07A7C2F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用户可以通过删除按钮对指定户型进行删除操作，系统支持检查当前户型是否被使用，是则不允许删除操作。</w:t>
            </w:r>
          </w:p>
          <w:p w14:paraId="566B779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（13）基础数据户型修改</w:t>
            </w:r>
          </w:p>
          <w:p w14:paraId="7716388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用户可使用修改按钮修改所需的户型信息，户型名称和床位数关键信息的修改时，系统检查当前户型是否被使用，是则不允许修改操作；面积、朝向、收费标准、备注信息允许任何情况下修改。</w:t>
            </w:r>
          </w:p>
          <w:p w14:paraId="6CE154D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2.房间管理</w:t>
            </w:r>
          </w:p>
          <w:p w14:paraId="4B5996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（1）基础数据房间查看</w:t>
            </w:r>
          </w:p>
          <w:p w14:paraId="6E8582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以树型结构提供场地数据，用户可以快速导航和切换到对应楼栋的房间。支持楼栋房间平铺展示，按楼栋从上至下逐层展示楼栋房间平铺信息，展示房间户型名称、房间名称、准住性别、住客类型。支持房间“家具情况”（如上床下桌、上下铺铁床、单床组合柜等）登记。</w:t>
            </w:r>
          </w:p>
          <w:p w14:paraId="388D985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（2）基础数据房间添加</w:t>
            </w:r>
          </w:p>
          <w:p w14:paraId="0F42581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通过添加按钮新增房间，支持自定义房间名前缀，批量生成的房间以此前缀为开头进行命名；支持选择自定义批量生成的开始房间号及房间数量，按前缀加房间号的方式对房间自动命名；支持住客类型的选择，房间住客类型包含学生和教师两种类型；支持选择房间生成后的默认状态，包括停用和启用两种状态。</w:t>
            </w:r>
          </w:p>
          <w:p w14:paraId="653967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（3）基础数据房间修改</w:t>
            </w:r>
          </w:p>
          <w:p w14:paraId="5B799F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全选/取消全选楼层房间，支持批量选中/取消选中某个楼层的房间，通过启用/停用按钮批量设置楼层房间状态，设置时自动检查当前房间入住情况判断是否允许停用房间。支持用户使用设置房间属性按钮批量修改楼层房间属性，自动检查当前房间入住情况判断是否允许修改房间属性。允许修改的属性包含住客类型、户型、房间准住性别、备注等信息。</w:t>
            </w:r>
          </w:p>
          <w:p w14:paraId="7F6E01A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（4）基础数据房间删除</w:t>
            </w:r>
          </w:p>
          <w:p w14:paraId="0B6D394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用户可以通过删除按钮对指定房间进行删除操作，支持批量删除楼层房间，删除时自动检查当前房间入住情况判断是否允许删除房间。</w:t>
            </w:r>
          </w:p>
          <w:p w14:paraId="01A816F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3.床位管理</w:t>
            </w:r>
          </w:p>
          <w:p w14:paraId="1F0A668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（1）床位管理信息</w:t>
            </w:r>
          </w:p>
          <w:p w14:paraId="34EAE9E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系统支持宿舍床位安排管理，床位信息包含如房间名称、住客部门、床位数、入住床位数、空床位数、房间住客类型、住客性别等。用户可以进行入住、变更、查询等操作。</w:t>
            </w:r>
          </w:p>
          <w:p w14:paraId="7AE041E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（2）床位分布查看</w:t>
            </w:r>
          </w:p>
          <w:p w14:paraId="32E3990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用户可以通过区域、学生、教师三个分类选择对应的树型结构，选择对应分类所在的楼栋床位集合。</w:t>
            </w:r>
          </w:p>
          <w:p w14:paraId="1F2D717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（3）床位分布统计查询</w:t>
            </w:r>
          </w:p>
          <w:p w14:paraId="59EBABC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楼栋床位数据统计，包括楼栋男生床位数、男生空床位数、楼栋女生床位数、女生空床位数；支持楼层入住率统计。支持楼栋床位平铺展示，按楼层从上至下递增展示房间及床位信息。床位信息包括房间名称、住客部门、床位数、入住床位数、空床位数、房间住客类型、住客性别等信息。统计各楼栋的空床位数，同时显示这些空床位数是男生还是女生。学生床位查询时，增加“空床位”查询条件。例如，可以在某栋楼或某个学院中，通过输入“空床位”可查询该楼栋或已分配给该学院的总床位中，找出所有的空床位和性别。</w:t>
            </w:r>
          </w:p>
          <w:p w14:paraId="545F877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（4）床位入住</w:t>
            </w:r>
          </w:p>
          <w:p w14:paraId="469F25C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1)床位入住修改</w:t>
            </w:r>
          </w:p>
          <w:p w14:paraId="77BD51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用户可以通过点击具体的房间，对房间空床位进行入住操作。对已入住的床位允许的操作有，退宿、相互调宿操作。</w:t>
            </w:r>
          </w:p>
          <w:p w14:paraId="2590BA0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2)床位入住历史轨迹查看</w:t>
            </w:r>
          </w:p>
          <w:p w14:paraId="0F979C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支持用户对床位历史变动轨迹进行查看，记录的变动类型有，添加床位、停用床位、启用床位、入住、退宿；变更节点显示操作人员姓名、操作时间、住客姓名、学/工号、操作入口、操作备注等信息。</w:t>
            </w:r>
          </w:p>
          <w:p w14:paraId="651CB05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（5）床位变更列表</w:t>
            </w:r>
          </w:p>
          <w:p w14:paraId="281542E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系统可以支持以列表形式展示床位变更信息，床位变更信息展示变更入口、变更人姓名、原床位、新床位等信息。用户可以通过分页翻动查看列表。</w:t>
            </w:r>
          </w:p>
          <w:p w14:paraId="2122C5F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（6）床位变更入住导入</w:t>
            </w:r>
          </w:p>
          <w:p w14:paraId="06C2B0B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用户可以通过下载入住模板，完善模板信息，通过模板导入完成床位入住。</w:t>
            </w:r>
          </w:p>
          <w:p w14:paraId="50A7B3A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（7）床位变更入住查询</w:t>
            </w:r>
          </w:p>
          <w:p w14:paraId="5FD84FD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用户可以通过条件筛选查询床位变更信息，筛选条件包含变更入口、变更状态、起始时间、结束时间、关键字等。</w:t>
            </w:r>
          </w:p>
          <w:p w14:paraId="449BC2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（8）床位变更退宿导入</w:t>
            </w:r>
          </w:p>
          <w:p w14:paraId="2728FA1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用户可以通过下载退宿模板，完善模板信息，通过模板导入完成床位退宿。</w:t>
            </w:r>
          </w:p>
          <w:p w14:paraId="45A2889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（9）床位变更申请列表</w:t>
            </w:r>
          </w:p>
          <w:p w14:paraId="3E1C3E0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以列表形式向宿舍管理员提供楼栋退宿申请列表，列表展示申请学生、预计退宿时间等。支持使用分页翻页的操作查看列表。</w:t>
            </w:r>
          </w:p>
          <w:p w14:paraId="64CF22F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（10）床位变更调宿导入</w:t>
            </w:r>
          </w:p>
          <w:p w14:paraId="51E88BE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用户可以通过下载调宿模板，完善模板信息，通过模板导入完成调宿操作。</w:t>
            </w:r>
          </w:p>
          <w:p w14:paraId="533D4DF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（11）学生床位列表</w:t>
            </w:r>
          </w:p>
          <w:p w14:paraId="4A1E3CB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系统可以支持以列表形式展示学生床位信息，列表包含简要信息如楼栋名称、房间号、床位号、准住性别、住客学号、姓名、班级等。</w:t>
            </w:r>
          </w:p>
          <w:p w14:paraId="7B9E657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（12）学生床位查询</w:t>
            </w:r>
          </w:p>
          <w:p w14:paraId="2354A01A">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管理用户可以根据系统提供的筛选条件查询学生床位列表，所支持的筛选条件包含宿舍、班级房间状态、床位状态、学年、培养层次、准住性别等。</w:t>
            </w:r>
          </w:p>
          <w:p w14:paraId="1538B47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学生用户仅可查询个人相关的床位信息。</w:t>
            </w:r>
          </w:p>
          <w:p w14:paraId="35E8FB8C">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（13）学生床位历史查看</w:t>
            </w:r>
          </w:p>
          <w:p w14:paraId="43EB3BF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用户可以在学生床位列表中，通过床位历史按钮查看具体学生历史入住床位的信息。</w:t>
            </w:r>
          </w:p>
          <w:p w14:paraId="37C285D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（14）教师床位列表</w:t>
            </w:r>
          </w:p>
          <w:p w14:paraId="3D282A3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系统可以支持以列表形式展示教师床位信息，列表包含简要信息如楼栋名称、房间号、床位号、准住性别、住客工号、姓名、部门等。</w:t>
            </w:r>
          </w:p>
          <w:p w14:paraId="7C7C7EB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（15）教师床位查询</w:t>
            </w:r>
          </w:p>
          <w:p w14:paraId="07EAB7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管理用户可以根据系统提供的筛选条件查询教师床位列表，所支持的筛选条件包含宿舍、部门、房间状态、床位状态、性别等。</w:t>
            </w:r>
          </w:p>
          <w:p w14:paraId="2CC1F100">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普通教师用户仅可查询个人相关的床位信息。</w:t>
            </w:r>
          </w:p>
          <w:p w14:paraId="7D21294F">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（16）教师床位历史查看</w:t>
            </w:r>
          </w:p>
          <w:p w14:paraId="6BE6F00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用户可以在教师床位列表中，通过床位历史按钮查看具体教师历史入住床位的信息。</w:t>
            </w:r>
          </w:p>
          <w:p w14:paraId="4E02FB7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4.床位统计</w:t>
            </w:r>
          </w:p>
          <w:p w14:paraId="1E1B225B">
            <w:pPr>
              <w:pStyle w:val="102"/>
              <w:ind w:firstLine="420" w:firstLineChars="200"/>
              <w:jc w:val="left"/>
              <w:rPr>
                <w:rFonts w:ascii="宋体" w:hAnsi="宋体" w:cs="宋体"/>
                <w:bCs/>
                <w:sz w:val="24"/>
                <w:szCs w:val="24"/>
                <w:highlight w:val="none"/>
              </w:rPr>
            </w:pPr>
            <w:r>
              <w:rPr>
                <w:rFonts w:hint="eastAsia" w:ascii="宋体" w:hAnsi="宋体" w:cs="宋体"/>
                <w:kern w:val="0"/>
                <w:highlight w:val="none"/>
                <w:lang w:bidi="ar"/>
              </w:rPr>
              <w:t>支持床位各类统计，查询，报表导出等功能。</w:t>
            </w:r>
          </w:p>
        </w:tc>
        <w:tc>
          <w:tcPr>
            <w:tcW w:w="635" w:type="pct"/>
            <w:vAlign w:val="center"/>
          </w:tcPr>
          <w:p w14:paraId="26A444B8">
            <w:pPr>
              <w:jc w:val="center"/>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3678B0D5">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0D503F59">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6385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91C8D2A">
            <w:pPr>
              <w:jc w:val="center"/>
              <w:rPr>
                <w:rFonts w:ascii="宋体" w:hAnsi="宋体" w:eastAsia="宋体" w:cs="宋体"/>
                <w:sz w:val="24"/>
                <w:highlight w:val="none"/>
              </w:rPr>
            </w:pPr>
            <w:r>
              <w:rPr>
                <w:rFonts w:hint="eastAsia" w:cs="宋体" w:asciiTheme="minorEastAsia" w:hAnsiTheme="minorEastAsia"/>
                <w:b/>
                <w:bCs/>
                <w:sz w:val="24"/>
                <w:highlight w:val="none"/>
              </w:rPr>
              <w:t>25</w:t>
            </w:r>
          </w:p>
        </w:tc>
        <w:tc>
          <w:tcPr>
            <w:tcW w:w="778" w:type="pct"/>
            <w:vAlign w:val="center"/>
          </w:tcPr>
          <w:p w14:paraId="6762B50E">
            <w:pPr>
              <w:pStyle w:val="102"/>
              <w:jc w:val="center"/>
              <w:rPr>
                <w:rFonts w:ascii="宋体" w:hAnsi="宋体" w:cs="宋体"/>
                <w:bCs/>
                <w:sz w:val="24"/>
                <w:szCs w:val="24"/>
                <w:highlight w:val="none"/>
              </w:rPr>
            </w:pPr>
            <w:r>
              <w:rPr>
                <w:rFonts w:hint="eastAsia" w:ascii="宋体" w:hAnsi="宋体" w:cs="宋体"/>
                <w:kern w:val="0"/>
                <w:highlight w:val="none"/>
                <w:lang w:bidi="ar"/>
              </w:rPr>
              <w:t>升级流程系统</w:t>
            </w:r>
          </w:p>
        </w:tc>
        <w:tc>
          <w:tcPr>
            <w:tcW w:w="2378" w:type="pct"/>
            <w:vAlign w:val="center"/>
          </w:tcPr>
          <w:p w14:paraId="05395F5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1.流程设计</w:t>
            </w:r>
          </w:p>
          <w:p w14:paraId="0CF114D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（1）分组管理</w:t>
            </w:r>
          </w:p>
          <w:p w14:paraId="59788C1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支持流程分组增删改、排序等。</w:t>
            </w:r>
          </w:p>
          <w:p w14:paraId="4A9097F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（2）流程新增</w:t>
            </w:r>
          </w:p>
          <w:p w14:paraId="307A63B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支持流程新建，基础信息字段：流程分组、流程名称、流程描述、图标。</w:t>
            </w:r>
          </w:p>
          <w:p w14:paraId="34B752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表单设计，基础字段有：单行文本、多行文本、单项选择、下拉选择、多项选择、多级下拉、数字、时间、日期、文字描述、分割线。进阶字段：文件上传、图片上传、省市区、定位、子表单。</w:t>
            </w:r>
          </w:p>
          <w:p w14:paraId="468AE36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支持字段拖拽设计表单，可以填写字段显示名称、描述信息、提示文字、默认值、权限、校验等。</w:t>
            </w:r>
          </w:p>
          <w:p w14:paraId="367ED58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支持图形化节点设置，支持流程节点添加，设置审核人、表单权限、按钮权限、js编程等。</w:t>
            </w:r>
          </w:p>
          <w:p w14:paraId="4259A83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流程设置：支持标题设置，word打印模板，流程管理员、事件触发器、签名模式、发起人等。</w:t>
            </w:r>
          </w:p>
          <w:p w14:paraId="7CF4B27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2.流程发起</w:t>
            </w:r>
          </w:p>
          <w:p w14:paraId="2C877266">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流程分组图标显示，点击流程标题跳转到相应流程。</w:t>
            </w:r>
          </w:p>
          <w:p w14:paraId="64ADAAE1">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（1）流程发起</w:t>
            </w:r>
          </w:p>
          <w:p w14:paraId="0E23BE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左边流程表单，右边流程节点轨迹，可以添加节点审批人。可以查看流程轨迹，填写表单后可以提交。</w:t>
            </w:r>
          </w:p>
          <w:p w14:paraId="4AB18FD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（2）我发起的</w:t>
            </w:r>
          </w:p>
          <w:p w14:paraId="2BAFAB5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可以查看退回流程、所有发起、在途流程、已完成流程。</w:t>
            </w:r>
          </w:p>
          <w:p w14:paraId="5B83729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退回流程：支持按标题、日期、状态、流程查询。列表显示退回流程，字段包括：标题、流程名称、当前节点、当前处理人、发起时间、已耗时、状态、操作，操作包括打印和处理。点击打印可以显示打印内容，支持下载。点击处理，跳转到处理页面，显示表单详情和流转情况。可以查看轨迹和发送。</w:t>
            </w:r>
          </w:p>
          <w:p w14:paraId="60E61149">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所有发起：支持按标题、日期、状态、流程查询。列表显示所有发起流程，字段包括：标题、流程名称、当前节点、当前处理人、发起时间、已耗时、状态、操作，操作包括打印、查看和撤销。点击打印可以显示打印内容，支持下载。点击查看，跳转到处理页面，显示表单详情和流转情况。可以查看轨迹。</w:t>
            </w:r>
          </w:p>
          <w:p w14:paraId="72236E0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在途流程：支持按标题、日期、状态、流程查询。列表显示在途流程，字段包括：标题、流程名称、当前节点、当前处理人、发起时间、已耗时、状态、操作，操作包括打印、查看、催办和撤销。点击打印可以显示打印内容，支持下载。点击催办，可以消息推送给办理人，点击查看，跳转到处理页面，显示表单详情和流转情况。可以查看轨迹。</w:t>
            </w:r>
          </w:p>
          <w:p w14:paraId="43B1395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已完成流程：支持按标题、日期、流程查询。列表显示已完成流程，字段包括：标题、流程名称、当前节点、发起时间、已耗时、状态、操作，操作包括打印、查看。点击打印可以显示打印内容，支持下载。点击查看，跳转到处理页面，显示表单详情和流转情况。可以查看轨迹。</w:t>
            </w:r>
          </w:p>
          <w:p w14:paraId="020F8FBB">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3.流程审批</w:t>
            </w:r>
          </w:p>
          <w:p w14:paraId="6D49BA8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升级流程审批页面，审批操作更加方便，并且支持上传手写签字图片，让流程审批更加严谨。</w:t>
            </w:r>
          </w:p>
          <w:p w14:paraId="022CFB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包括待办事项、所有处理、所有参与、抄送给我、我抄送的。</w:t>
            </w:r>
          </w:p>
          <w:p w14:paraId="00B9EEF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（1）待办事项</w:t>
            </w:r>
          </w:p>
          <w:p w14:paraId="368AA8E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按标题、日期、状态、流程查询。列表显示待办流程，字段包括：标题、流程名称、当前节点、当前处理人、发起时间、已耗时、状态、操作，操作包括打印和处理。点击打印可以显示打印内容，支持下载。点击处理，跳转到处理页面，显示表单详情和流转情况。可以查看轨迹和发送。</w:t>
            </w:r>
          </w:p>
          <w:p w14:paraId="2CA6D39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（2）所有处理</w:t>
            </w:r>
          </w:p>
          <w:p w14:paraId="66D3B5B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按标题、日期、状态、流程查询。列表显示所有处理流程，字段包括：标题、流程名称、当前节点、发起时间、已耗时、状态、操作，操作包括打印、查看和撤回。点击打印可以显示打印内容，支持下载。点击查看，跳转到处理页面，显示表单详情和流转情况。</w:t>
            </w:r>
          </w:p>
          <w:p w14:paraId="0FD0DE8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（3）所有参与</w:t>
            </w:r>
          </w:p>
          <w:p w14:paraId="6C0361D7">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按标题、日期、状态、流程查询。列表显示所有参与流程，字段包括：标题、流程名称、当前节点、发起时间、已耗时、状态、操作，操作包括打印、查看。点击打印可以显示打印内容，支持下载。点击查看，跳转到处理页面，显示表单详情和流转情况。</w:t>
            </w:r>
          </w:p>
          <w:p w14:paraId="0A5C753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（4）抄送给我</w:t>
            </w:r>
          </w:p>
          <w:p w14:paraId="72E4B713">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按标题、日期、状态、发起人、抄送人流程查询。列表显示抄送给我流程，字段包括：标题、流程名称、发起人、抄送时间、状态、操作，操作包括打印、查看。点击打印可以显示打印内容，支持下载。点击查看，跳转到处理页面，显示表单详情和流转情况。</w:t>
            </w:r>
          </w:p>
          <w:p w14:paraId="5507000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（5）我抄送的</w:t>
            </w:r>
          </w:p>
          <w:p w14:paraId="5F2D1712">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按标题、日期、状态、发起人、抄送人流程查询。列表显示我抄送的流程，字段包括：标题、流程名称、发起人、抄送时间、状态、操作，操作包括打印、查看。点击打印可以显示打印内容，支持下载。点击查看，跳转到处理页面，显示表单详情和流转情况。</w:t>
            </w:r>
          </w:p>
          <w:p w14:paraId="3E3141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4.流程统计</w:t>
            </w:r>
          </w:p>
          <w:p w14:paraId="2D41FBDE">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升级流程统计功能，让流程各类查询方便快捷。</w:t>
            </w:r>
          </w:p>
          <w:p w14:paraId="4EB6E464">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5.定制化流程升级</w:t>
            </w:r>
          </w:p>
          <w:p w14:paraId="2E9BEB2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5.1 收文流程</w:t>
            </w:r>
          </w:p>
          <w:p w14:paraId="6F2FC355">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支持收文处理过程中，可以转办给任意节点任意人员处理，支持转办给之前已处理的节点进行二次阅办，并可选择任意人员作为该节点的处理人，并添加提示；同时支持管理员修改任意节点的人员已填写的意见；办结和转办时可以管理常用语，完成后可按指定模板导出；支持收文进行部门传阅，点击部门传阅后，该收文会进入到部门传阅列表进行传阅；已完结的收文，可以点击重开进行再次传阅，也可以点击公开让全部人员查看。</w:t>
            </w:r>
          </w:p>
          <w:p w14:paraId="38CAC763">
            <w:pPr>
              <w:widowControl/>
              <w:ind w:firstLine="422" w:firstLineChars="200"/>
              <w:jc w:val="left"/>
              <w:textAlignment w:val="center"/>
              <w:rPr>
                <w:rFonts w:ascii="宋体" w:hAnsi="宋体" w:cs="宋体"/>
                <w:b/>
                <w:bCs/>
                <w:kern w:val="0"/>
                <w:highlight w:val="none"/>
                <w:lang w:bidi="ar"/>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5.1 收文流程</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p w14:paraId="4B0970CD">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5.2发文流程</w:t>
            </w:r>
          </w:p>
          <w:p w14:paraId="0B958109">
            <w:pPr>
              <w:widowControl/>
              <w:ind w:firstLine="420" w:firstLineChars="200"/>
              <w:jc w:val="left"/>
              <w:textAlignment w:val="center"/>
              <w:rPr>
                <w:rFonts w:hint="eastAsia" w:ascii="宋体" w:hAnsi="宋体" w:cs="宋体"/>
                <w:kern w:val="0"/>
                <w:highlight w:val="none"/>
                <w:lang w:bidi="ar"/>
              </w:rPr>
            </w:pPr>
            <w:r>
              <w:rPr>
                <w:rFonts w:hint="eastAsia" w:ascii="宋体" w:hAnsi="宋体" w:cs="宋体"/>
                <w:kern w:val="0"/>
                <w:highlight w:val="none"/>
                <w:lang w:bidi="ar"/>
              </w:rPr>
              <w:t>支持发文可以在后台配置好文件类型，红头模板和文号格式，在发布公文前，可以选择文件类型，填写公文文号并上传word文档，系统根据文件类型自动将word文件一键套对应红头模板及文号，套红后文件自动转化为FDF文件，并列入发文管理列表，后续可对该公文进行发布。已发布的公文，可以进行补发，补发可以选择按部门，按指定人员，按群组进行补发，同时支持三种方式同时补发。</w:t>
            </w:r>
          </w:p>
          <w:p w14:paraId="1747D579">
            <w:pPr>
              <w:widowControl/>
              <w:ind w:firstLine="422" w:firstLineChars="200"/>
              <w:jc w:val="left"/>
              <w:textAlignment w:val="center"/>
              <w:rPr>
                <w:rFonts w:hint="eastAsia"/>
                <w:highlight w:val="none"/>
              </w:rPr>
            </w:pPr>
            <w:r>
              <w:rPr>
                <w:rFonts w:hint="eastAsia" w:ascii="宋体" w:hAnsi="宋体" w:cs="宋体"/>
                <w:b/>
                <w:bCs/>
                <w:kern w:val="0"/>
                <w:highlight w:val="none"/>
                <w:lang w:bidi="ar"/>
              </w:rPr>
              <w:t>提供可以证明完全满足</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5.</w:t>
            </w:r>
            <w:r>
              <w:rPr>
                <w:rFonts w:hint="eastAsia" w:ascii="宋体" w:hAnsi="宋体" w:cs="宋体"/>
                <w:b/>
                <w:bCs/>
                <w:kern w:val="0"/>
                <w:highlight w:val="none"/>
                <w:lang w:val="en-US" w:eastAsia="zh-CN" w:bidi="ar"/>
              </w:rPr>
              <w:t>2</w:t>
            </w:r>
            <w:r>
              <w:rPr>
                <w:rFonts w:hint="eastAsia" w:ascii="宋体" w:hAnsi="宋体" w:cs="宋体"/>
                <w:b/>
                <w:bCs/>
                <w:kern w:val="0"/>
                <w:highlight w:val="none"/>
                <w:lang w:bidi="ar"/>
              </w:rPr>
              <w:t xml:space="preserve"> </w:t>
            </w:r>
            <w:r>
              <w:rPr>
                <w:rFonts w:hint="eastAsia" w:ascii="宋体" w:hAnsi="宋体" w:cs="宋体"/>
                <w:b/>
                <w:bCs/>
                <w:kern w:val="0"/>
                <w:highlight w:val="none"/>
                <w:lang w:val="en-US" w:eastAsia="zh-CN" w:bidi="ar"/>
              </w:rPr>
              <w:t>发文流程</w:t>
            </w:r>
            <w:r>
              <w:rPr>
                <w:rFonts w:hint="eastAsia" w:ascii="宋体" w:hAnsi="宋体" w:cs="宋体"/>
                <w:b/>
                <w:bCs/>
                <w:kern w:val="0"/>
                <w:highlight w:val="none"/>
                <w:lang w:eastAsia="zh-CN" w:bidi="ar"/>
              </w:rPr>
              <w:t>”</w:t>
            </w:r>
            <w:r>
              <w:rPr>
                <w:rFonts w:hint="eastAsia" w:ascii="宋体" w:hAnsi="宋体" w:cs="宋体"/>
                <w:b/>
                <w:bCs/>
                <w:kern w:val="0"/>
                <w:highlight w:val="none"/>
                <w:lang w:bidi="ar"/>
              </w:rPr>
              <w:t>参数的功能截图及基本操作说明并加盖投标人有效印章。</w:t>
            </w:r>
          </w:p>
          <w:p w14:paraId="0802AB78">
            <w:pPr>
              <w:widowControl/>
              <w:ind w:firstLine="420" w:firstLineChars="200"/>
              <w:jc w:val="left"/>
              <w:textAlignment w:val="center"/>
              <w:rPr>
                <w:rFonts w:ascii="宋体" w:hAnsi="宋体" w:cs="宋体"/>
                <w:kern w:val="0"/>
                <w:highlight w:val="none"/>
                <w:lang w:bidi="ar"/>
              </w:rPr>
            </w:pPr>
            <w:r>
              <w:rPr>
                <w:rFonts w:hint="eastAsia" w:ascii="宋体" w:hAnsi="宋体" w:cs="宋体"/>
                <w:kern w:val="0"/>
                <w:highlight w:val="none"/>
                <w:lang w:bidi="ar"/>
              </w:rPr>
              <w:t>5.3学生请假出入校流程</w:t>
            </w:r>
          </w:p>
          <w:p w14:paraId="63C0FD9B">
            <w:pPr>
              <w:widowControl/>
              <w:ind w:firstLine="420" w:firstLineChars="200"/>
              <w:jc w:val="left"/>
              <w:textAlignment w:val="center"/>
              <w:rPr>
                <w:rFonts w:hint="eastAsia" w:ascii="宋体" w:hAnsi="宋体" w:cs="宋体"/>
                <w:kern w:val="0"/>
                <w:highlight w:val="none"/>
                <w:lang w:bidi="ar"/>
              </w:rPr>
            </w:pPr>
            <w:r>
              <w:rPr>
                <w:rFonts w:hint="eastAsia" w:ascii="宋体" w:hAnsi="宋体" w:cs="宋体"/>
                <w:kern w:val="0"/>
                <w:highlight w:val="none"/>
                <w:lang w:bidi="ar"/>
              </w:rPr>
              <w:t>支持学生通过请假系统进行请假，请假成功的学生，可以扫描出入校动态二维码，进行出入校自动登记，二维码有时效性，如超时扫码会出现二维码已失效，如学生未进行请假，扫码后会显示未查询到可通行权限，如非本校学生扫码，则会出现非本校在读学生，如成功出入后，会出现动态的成功界面，并显示当前实时时间，避免图片造假，成功出入校的学生状态会自动变为出校或在校，辅导员出入校管理页面也会实时更新学生的出入校状态记录。管理员可以指定返校销假定位区域，学生返校后，在指定区域内可以进行定位销假。</w:t>
            </w:r>
          </w:p>
        </w:tc>
        <w:tc>
          <w:tcPr>
            <w:tcW w:w="635" w:type="pct"/>
            <w:vAlign w:val="center"/>
          </w:tcPr>
          <w:p w14:paraId="67B31814">
            <w:pPr>
              <w:jc w:val="center"/>
              <w:rPr>
                <w:rFonts w:ascii="宋体" w:hAnsi="宋体" w:eastAsia="宋体" w:cs="宋体"/>
                <w:bCs/>
                <w:sz w:val="24"/>
                <w:highlight w:val="none"/>
              </w:rPr>
            </w:pPr>
            <w:r>
              <w:rPr>
                <w:rFonts w:hint="eastAsia" w:ascii="宋体" w:hAnsi="宋体" w:eastAsia="宋体" w:cs="宋体"/>
                <w:bCs/>
                <w:sz w:val="24"/>
                <w:highlight w:val="none"/>
              </w:rPr>
              <w:t>1套</w:t>
            </w:r>
          </w:p>
        </w:tc>
        <w:tc>
          <w:tcPr>
            <w:tcW w:w="412" w:type="pct"/>
            <w:vAlign w:val="center"/>
          </w:tcPr>
          <w:p w14:paraId="713D7C96">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6F587EA5">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736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4F86327D">
            <w:pPr>
              <w:jc w:val="center"/>
              <w:rPr>
                <w:rFonts w:ascii="宋体" w:hAnsi="宋体" w:eastAsia="宋体" w:cs="宋体"/>
                <w:sz w:val="24"/>
                <w:highlight w:val="none"/>
              </w:rPr>
            </w:pPr>
            <w:r>
              <w:rPr>
                <w:rFonts w:hint="eastAsia" w:cs="宋体" w:asciiTheme="minorEastAsia" w:hAnsiTheme="minorEastAsia"/>
                <w:b/>
                <w:bCs/>
                <w:sz w:val="24"/>
                <w:highlight w:val="none"/>
              </w:rPr>
              <w:t>26</w:t>
            </w:r>
          </w:p>
        </w:tc>
        <w:tc>
          <w:tcPr>
            <w:tcW w:w="778" w:type="pct"/>
            <w:vAlign w:val="center"/>
          </w:tcPr>
          <w:p w14:paraId="3FB9D601">
            <w:pPr>
              <w:pStyle w:val="102"/>
              <w:jc w:val="center"/>
              <w:rPr>
                <w:rFonts w:ascii="宋体" w:hAnsi="宋体" w:cs="宋体"/>
                <w:bCs/>
                <w:sz w:val="24"/>
                <w:szCs w:val="24"/>
                <w:highlight w:val="none"/>
              </w:rPr>
            </w:pPr>
            <w:r>
              <w:rPr>
                <w:rFonts w:hint="eastAsia" w:ascii="宋体" w:hAnsi="宋体" w:cs="宋体"/>
                <w:kern w:val="0"/>
                <w:highlight w:val="none"/>
                <w:lang w:bidi="ar"/>
              </w:rPr>
              <w:t>咨询建议系统</w:t>
            </w:r>
          </w:p>
        </w:tc>
        <w:tc>
          <w:tcPr>
            <w:tcW w:w="2378" w:type="pct"/>
            <w:vAlign w:val="center"/>
          </w:tcPr>
          <w:p w14:paraId="0706016C">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1.系统设置</w:t>
            </w:r>
          </w:p>
          <w:p w14:paraId="2E04AB7C">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（1）类型配置</w:t>
            </w:r>
          </w:p>
          <w:p w14:paraId="105A1EC8">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支持配置咨询建议类型，包括咨询、建议、投诉等，可设置各类型的启用、关闭状态，并可以进行批量启用和关闭。</w:t>
            </w:r>
          </w:p>
          <w:p w14:paraId="45326285">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（2）人员权限</w:t>
            </w:r>
          </w:p>
          <w:p w14:paraId="15C4EBCA">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支持配置人员权限，包括人员卡号、姓名、权限、接受消息推送，支持修改和删除人员权限，支持批量启用或停用人员权限。</w:t>
            </w:r>
          </w:p>
          <w:p w14:paraId="708EE5C5">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2.发起咨询建议</w:t>
            </w:r>
          </w:p>
          <w:p w14:paraId="5844BBFB">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支持用户在移动端发起咨询建议，发起时可填写服务类型、申请描述等信息，同时支持上传附件。</w:t>
            </w:r>
          </w:p>
          <w:p w14:paraId="41543169">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3.咨询建议回复</w:t>
            </w:r>
          </w:p>
          <w:p w14:paraId="41ED3B20">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（1）咨询查询</w:t>
            </w:r>
          </w:p>
          <w:p w14:paraId="34227254">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支持通过服务类型、用户类型、状态、关键字、申请时间等字段进行筛选，查询用户咨询列表。</w:t>
            </w:r>
          </w:p>
          <w:p w14:paraId="73AD932D">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（2）咨询答复</w:t>
            </w:r>
          </w:p>
          <w:p w14:paraId="5D40D5FC">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支持针对列表中的咨询进行答复，支持批量答复，同时答复后可进行消息推送。</w:t>
            </w:r>
          </w:p>
          <w:p w14:paraId="105E55F5">
            <w:pPr>
              <w:widowControl/>
              <w:ind w:firstLine="420" w:firstLineChars="200"/>
              <w:textAlignment w:val="center"/>
              <w:rPr>
                <w:rFonts w:ascii="宋体" w:hAnsi="宋体" w:cs="宋体"/>
                <w:bCs/>
                <w:color w:val="000000"/>
                <w:kern w:val="0"/>
                <w:highlight w:val="none"/>
                <w:lang w:bidi="ar"/>
              </w:rPr>
            </w:pPr>
            <w:r>
              <w:rPr>
                <w:rFonts w:hint="eastAsia" w:ascii="宋体" w:hAnsi="宋体" w:cs="宋体"/>
                <w:bCs/>
                <w:color w:val="000000"/>
                <w:kern w:val="0"/>
                <w:highlight w:val="none"/>
                <w:lang w:bidi="ar"/>
              </w:rPr>
              <w:t>（3）咨询导出</w:t>
            </w:r>
          </w:p>
          <w:p w14:paraId="6DC152A4">
            <w:pPr>
              <w:widowControl/>
              <w:ind w:firstLine="420" w:firstLineChars="200"/>
              <w:textAlignment w:val="center"/>
              <w:rPr>
                <w:rFonts w:ascii="宋体" w:hAnsi="宋体" w:eastAsia="宋体" w:cs="宋体"/>
                <w:bCs/>
                <w:sz w:val="24"/>
                <w:highlight w:val="none"/>
              </w:rPr>
            </w:pPr>
            <w:r>
              <w:rPr>
                <w:rFonts w:hint="eastAsia" w:ascii="宋体" w:hAnsi="宋体" w:cs="宋体"/>
                <w:bCs/>
                <w:color w:val="000000"/>
                <w:kern w:val="0"/>
                <w:highlight w:val="none"/>
                <w:lang w:bidi="ar"/>
              </w:rPr>
              <w:t>支持导出咨询列表，可按当前查询结果导出，也可直接导出全部。</w:t>
            </w:r>
          </w:p>
        </w:tc>
        <w:tc>
          <w:tcPr>
            <w:tcW w:w="635" w:type="pct"/>
            <w:vAlign w:val="center"/>
          </w:tcPr>
          <w:p w14:paraId="55B6A7A7">
            <w:pPr>
              <w:pStyle w:val="102"/>
              <w:jc w:val="center"/>
              <w:rPr>
                <w:rFonts w:ascii="宋体" w:hAnsi="宋体" w:cs="宋体"/>
                <w:bCs/>
                <w:sz w:val="24"/>
                <w:szCs w:val="24"/>
                <w:highlight w:val="none"/>
              </w:rPr>
            </w:pPr>
            <w:r>
              <w:rPr>
                <w:rFonts w:hint="eastAsia" w:ascii="宋体" w:hAnsi="宋体" w:cs="宋体"/>
                <w:bCs/>
                <w:sz w:val="24"/>
                <w:szCs w:val="24"/>
                <w:highlight w:val="none"/>
              </w:rPr>
              <w:t>1套</w:t>
            </w:r>
          </w:p>
        </w:tc>
        <w:tc>
          <w:tcPr>
            <w:tcW w:w="412" w:type="pct"/>
            <w:vAlign w:val="center"/>
          </w:tcPr>
          <w:p w14:paraId="31DF2B62">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03843A2E">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33B4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5064B69E">
            <w:pPr>
              <w:jc w:val="center"/>
              <w:rPr>
                <w:rFonts w:ascii="宋体" w:hAnsi="宋体" w:eastAsia="宋体" w:cs="宋体"/>
                <w:sz w:val="24"/>
                <w:highlight w:val="none"/>
              </w:rPr>
            </w:pPr>
            <w:r>
              <w:rPr>
                <w:rFonts w:hint="eastAsia" w:cs="宋体" w:asciiTheme="minorEastAsia" w:hAnsiTheme="minorEastAsia"/>
                <w:b/>
                <w:bCs/>
                <w:sz w:val="24"/>
                <w:highlight w:val="none"/>
              </w:rPr>
              <w:t>27</w:t>
            </w:r>
          </w:p>
        </w:tc>
        <w:tc>
          <w:tcPr>
            <w:tcW w:w="778" w:type="pct"/>
            <w:vAlign w:val="center"/>
          </w:tcPr>
          <w:p w14:paraId="0CF76CF2">
            <w:pPr>
              <w:pStyle w:val="102"/>
              <w:jc w:val="center"/>
              <w:rPr>
                <w:rFonts w:ascii="宋体" w:hAnsi="宋体" w:cs="宋体"/>
                <w:bCs/>
                <w:sz w:val="24"/>
                <w:szCs w:val="24"/>
                <w:highlight w:val="none"/>
              </w:rPr>
            </w:pPr>
            <w:r>
              <w:rPr>
                <w:rFonts w:hint="eastAsia" w:ascii="宋体" w:hAnsi="宋体" w:cs="宋体"/>
                <w:kern w:val="0"/>
                <w:highlight w:val="none"/>
                <w:lang w:bidi="ar"/>
              </w:rPr>
              <w:t>项目实施服务</w:t>
            </w:r>
          </w:p>
        </w:tc>
        <w:tc>
          <w:tcPr>
            <w:tcW w:w="2378" w:type="pct"/>
            <w:vAlign w:val="center"/>
          </w:tcPr>
          <w:p w14:paraId="30E585D6">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1"/>
                <w:szCs w:val="24"/>
                <w:highlight w:val="none"/>
                <w:lang w:val="en-US" w:eastAsia="zh-CN" w:bidi="ar"/>
              </w:rPr>
            </w:pPr>
            <w:r>
              <w:rPr>
                <w:rFonts w:hint="eastAsia" w:ascii="宋体" w:hAnsi="宋体" w:eastAsia="宋体" w:cs="宋体"/>
                <w:color w:val="000000"/>
                <w:kern w:val="0"/>
                <w:sz w:val="21"/>
                <w:szCs w:val="24"/>
                <w:highlight w:val="none"/>
                <w:lang w:val="en-US" w:eastAsia="zh-CN" w:bidi="ar"/>
              </w:rPr>
              <w:t>本项目在原有信息化基础上，依据教育部信息化标杆校建设标准进行完善建设，教育部已分别于2024年8月份及2025年1月份公布智慧校园成熟度报告，预计2024年8月会再次公布最新的智慧校园成熟度报告，信息化标杆校对于系统建设及信息安全要求较高，学校需高质量且快速完成场景补充建设及数据对接。因采购人业务需要，投标人需完成以下要求：</w:t>
            </w:r>
          </w:p>
          <w:p w14:paraId="4C18674E">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1.系统建设要求</w:t>
            </w:r>
          </w:p>
          <w:p w14:paraId="388A0053">
            <w:pPr>
              <w:widowControl/>
              <w:ind w:firstLine="420" w:firstLineChars="200"/>
              <w:textAlignment w:val="center"/>
              <w:rPr>
                <w:rFonts w:ascii="宋体" w:hAnsi="宋体" w:cs="宋体"/>
                <w:color w:val="000000"/>
                <w:kern w:val="0"/>
                <w:highlight w:val="none"/>
                <w:lang w:bidi="ar"/>
              </w:rPr>
            </w:pPr>
            <w:r>
              <w:rPr>
                <w:rFonts w:hint="eastAsia" w:ascii="宋体" w:hAnsi="宋体" w:cs="宋体"/>
                <w:bCs/>
                <w:color w:val="000000"/>
                <w:kern w:val="0"/>
                <w:highlight w:val="none"/>
                <w:lang w:bidi="ar"/>
              </w:rPr>
              <w:t>（</w:t>
            </w:r>
            <w:r>
              <w:rPr>
                <w:rFonts w:hint="eastAsia" w:ascii="宋体" w:hAnsi="宋体" w:cs="宋体"/>
                <w:color w:val="000000"/>
                <w:kern w:val="0"/>
                <w:highlight w:val="none"/>
                <w:lang w:bidi="ar"/>
              </w:rPr>
              <w:t>1）采购清单中涉及升级的业务系统：科研管理系统、党务管理系统、资助管理系统、统一门户、宿舍管理系统，须在合同签订日起3日历天内完成部署上线，5日历天内完成单点对接。</w:t>
            </w:r>
          </w:p>
          <w:p w14:paraId="56936F21">
            <w:pPr>
              <w:widowControl/>
              <w:ind w:firstLine="420" w:firstLineChars="200"/>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（2）教务管理系统、成绩管理系统、学籍管理系统、流程系统等4个系统须在合同签订日起7日历天内完成系统升级、单点对接及历史数据迁移。</w:t>
            </w:r>
          </w:p>
          <w:p w14:paraId="17DD5FE8">
            <w:pPr>
              <w:widowControl/>
              <w:ind w:firstLine="420" w:firstLineChars="200"/>
              <w:textAlignment w:val="center"/>
              <w:rPr>
                <w:rFonts w:hint="eastAsia"/>
                <w:highlight w:val="none"/>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3</w:t>
            </w:r>
            <w:r>
              <w:rPr>
                <w:rFonts w:hint="eastAsia" w:ascii="宋体" w:hAnsi="宋体" w:cs="宋体"/>
                <w:color w:val="000000"/>
                <w:kern w:val="0"/>
                <w:highlight w:val="none"/>
                <w:lang w:bidi="ar"/>
              </w:rPr>
              <w:t>）以上对接如产生费用，由中标方承担，采购人将不再额外支付任何费用。</w:t>
            </w:r>
          </w:p>
          <w:p w14:paraId="2A7DD5DD">
            <w:pPr>
              <w:widowControl/>
              <w:ind w:firstLine="422" w:firstLineChars="200"/>
              <w:textAlignment w:val="center"/>
              <w:rPr>
                <w:rFonts w:ascii="宋体" w:hAnsi="宋体" w:cs="宋体"/>
                <w:b/>
                <w:color w:val="000000"/>
                <w:highlight w:val="none"/>
                <w:lang w:bidi="ar"/>
              </w:rPr>
            </w:pPr>
            <w:r>
              <w:rPr>
                <w:rFonts w:hint="eastAsia" w:ascii="宋体" w:hAnsi="宋体" w:cs="宋体"/>
                <w:b/>
                <w:color w:val="000000"/>
                <w:highlight w:val="none"/>
                <w:lang w:bidi="ar"/>
              </w:rPr>
              <w:t>2.数据对接要求</w:t>
            </w:r>
          </w:p>
          <w:p w14:paraId="397BE02A">
            <w:pPr>
              <w:widowControl/>
              <w:ind w:firstLine="420" w:firstLineChars="200"/>
              <w:textAlignment w:val="center"/>
              <w:rPr>
                <w:rFonts w:ascii="宋体" w:hAnsi="宋体" w:cs="宋体"/>
                <w:color w:val="FF0000"/>
                <w:kern w:val="0"/>
                <w:highlight w:val="none"/>
                <w:lang w:bidi="ar"/>
              </w:rPr>
            </w:pPr>
            <w:r>
              <w:rPr>
                <w:rFonts w:hint="eastAsia" w:ascii="宋体" w:hAnsi="宋体" w:cs="宋体"/>
                <w:color w:val="000000"/>
                <w:kern w:val="0"/>
                <w:highlight w:val="none"/>
                <w:lang w:bidi="ar"/>
              </w:rPr>
              <w:t>（1）</w:t>
            </w:r>
            <w:r>
              <w:rPr>
                <w:rFonts w:hint="eastAsia" w:ascii="宋体" w:hAnsi="宋体" w:cs="宋体"/>
                <w:kern w:val="0"/>
                <w:highlight w:val="none"/>
                <w:lang w:bidi="ar"/>
              </w:rPr>
              <w:t>完成学校现有的基础平台、畅享智习系统、门禁系统、教务管理、学生管理、人事管理、财务管理等系统，以及后期建设的数据中台、数据分析平台、学生智慧公寓管理系统等系统的对接，包含但不限于统一认证数据、实习数据、门禁出入数据、教师数据、学生数据、课程数据、成绩数据的对接。</w:t>
            </w:r>
          </w:p>
          <w:p w14:paraId="0E76B054">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（2）须与教育部职业教育信息化标学校上报平台完成数据对接，并按照标杆校数据上报平台数据需求无条件提供标杆校所需数据，并确保数据实时更新。</w:t>
            </w:r>
          </w:p>
          <w:p w14:paraId="4E170F6C">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（3）移动端系统应用须以H5方式整合嵌入采购人智慧校园微信公众号平台，实现统一身份认证和微信消息推送。</w:t>
            </w:r>
          </w:p>
          <w:p w14:paraId="6BBDD118">
            <w:pPr>
              <w:widowControl/>
              <w:ind w:firstLine="420" w:firstLineChars="200"/>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（4）以上对接如产生费用，由中标方承担，采购人将不再额外支付任何费用。</w:t>
            </w:r>
          </w:p>
          <w:p w14:paraId="67A19E7D">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kern w:val="0"/>
                <w:highlight w:val="none"/>
                <w:lang w:bidi="ar"/>
              </w:rPr>
              <w:t>提供</w:t>
            </w:r>
            <w:r>
              <w:rPr>
                <w:rFonts w:hint="eastAsia" w:ascii="宋体" w:hAnsi="宋体" w:cs="宋体"/>
                <w:b/>
                <w:bCs/>
                <w:kern w:val="0"/>
                <w:highlight w:val="none"/>
                <w:lang w:val="en-US" w:eastAsia="zh-CN" w:bidi="ar"/>
              </w:rPr>
              <w:t>满足</w:t>
            </w:r>
            <w:r>
              <w:rPr>
                <w:rFonts w:hint="eastAsia" w:ascii="宋体" w:hAnsi="宋体" w:cs="宋体"/>
                <w:b/>
                <w:bCs/>
                <w:kern w:val="0"/>
                <w:highlight w:val="none"/>
                <w:lang w:eastAsia="zh-CN" w:bidi="ar"/>
              </w:rPr>
              <w:t>“</w:t>
            </w:r>
            <w:r>
              <w:rPr>
                <w:rFonts w:hint="eastAsia" w:ascii="宋体" w:hAnsi="宋体" w:cs="宋体"/>
                <w:b/>
                <w:bCs/>
                <w:color w:val="000000"/>
                <w:kern w:val="0"/>
                <w:highlight w:val="none"/>
                <w:lang w:bidi="ar"/>
              </w:rPr>
              <w:t>1.系统建设要求</w:t>
            </w:r>
          </w:p>
          <w:p w14:paraId="02BF3387">
            <w:pPr>
              <w:widowControl/>
              <w:textAlignment w:val="center"/>
              <w:rPr>
                <w:highlight w:val="none"/>
              </w:rPr>
            </w:pPr>
            <w:r>
              <w:rPr>
                <w:rFonts w:hint="eastAsia" w:ascii="宋体" w:hAnsi="宋体" w:cs="宋体"/>
                <w:b/>
                <w:bCs/>
                <w:kern w:val="0"/>
                <w:highlight w:val="none"/>
                <w:lang w:eastAsia="zh-CN" w:bidi="ar"/>
              </w:rPr>
              <w:t>”</w:t>
            </w:r>
            <w:r>
              <w:rPr>
                <w:rFonts w:hint="eastAsia" w:ascii="宋体" w:hAnsi="宋体" w:cs="宋体"/>
                <w:b/>
                <w:bCs/>
                <w:kern w:val="0"/>
                <w:highlight w:val="none"/>
                <w:lang w:val="en-US" w:eastAsia="zh-CN" w:bidi="ar"/>
              </w:rPr>
              <w:t>和</w:t>
            </w:r>
            <w:r>
              <w:rPr>
                <w:rFonts w:hint="eastAsia" w:ascii="宋体" w:hAnsi="宋体" w:cs="宋体"/>
                <w:b/>
                <w:bCs/>
                <w:kern w:val="0"/>
                <w:highlight w:val="none"/>
                <w:lang w:eastAsia="zh-CN" w:bidi="ar"/>
              </w:rPr>
              <w:t>“</w:t>
            </w:r>
            <w:r>
              <w:rPr>
                <w:rFonts w:hint="eastAsia" w:ascii="宋体" w:hAnsi="宋体" w:cs="宋体"/>
                <w:b/>
                <w:color w:val="000000"/>
                <w:highlight w:val="none"/>
                <w:lang w:bidi="ar"/>
              </w:rPr>
              <w:t>2.数据对接要求</w:t>
            </w:r>
            <w:r>
              <w:rPr>
                <w:rFonts w:hint="eastAsia" w:ascii="宋体" w:hAnsi="宋体" w:cs="宋体"/>
                <w:b/>
                <w:bCs/>
                <w:kern w:val="0"/>
                <w:highlight w:val="none"/>
                <w:lang w:eastAsia="zh-CN" w:bidi="ar"/>
              </w:rPr>
              <w:t>”</w:t>
            </w:r>
            <w:r>
              <w:rPr>
                <w:rFonts w:hint="eastAsia" w:ascii="宋体" w:hAnsi="宋体" w:cs="宋体"/>
                <w:b/>
                <w:bCs/>
                <w:kern w:val="0"/>
                <w:highlight w:val="none"/>
                <w:lang w:val="en-US" w:eastAsia="zh-CN" w:bidi="ar"/>
              </w:rPr>
              <w:t>参数的承诺书</w:t>
            </w:r>
            <w:r>
              <w:rPr>
                <w:rFonts w:hint="eastAsia" w:ascii="宋体" w:hAnsi="宋体" w:cs="宋体"/>
                <w:b/>
                <w:bCs/>
                <w:kern w:val="0"/>
                <w:highlight w:val="none"/>
                <w:lang w:bidi="ar"/>
              </w:rPr>
              <w:t>并加盖</w:t>
            </w:r>
            <w:r>
              <w:rPr>
                <w:rFonts w:hint="eastAsia" w:ascii="宋体" w:hAnsi="宋体" w:cs="宋体"/>
                <w:b/>
                <w:bCs/>
                <w:kern w:val="0"/>
                <w:highlight w:val="none"/>
                <w:lang w:val="en-US" w:eastAsia="zh-CN" w:bidi="ar"/>
              </w:rPr>
              <w:t>投标人</w:t>
            </w:r>
            <w:r>
              <w:rPr>
                <w:rFonts w:hint="eastAsia" w:ascii="宋体" w:hAnsi="宋体" w:cs="宋体"/>
                <w:b/>
                <w:bCs/>
                <w:kern w:val="0"/>
                <w:highlight w:val="none"/>
                <w:lang w:bidi="ar"/>
              </w:rPr>
              <w:t>有效印章。</w:t>
            </w:r>
          </w:p>
          <w:p w14:paraId="381E62AD">
            <w:pPr>
              <w:widowControl/>
              <w:ind w:firstLine="422" w:firstLineChars="200"/>
              <w:textAlignment w:val="center"/>
              <w:rPr>
                <w:rFonts w:hint="default"/>
                <w:highlight w:val="none"/>
                <w:lang w:val="en-US"/>
              </w:rPr>
            </w:pPr>
            <w:r>
              <w:rPr>
                <w:rFonts w:hint="eastAsia" w:ascii="宋体" w:hAnsi="宋体" w:cs="宋体"/>
                <w:b/>
                <w:color w:val="000000"/>
                <w:kern w:val="0"/>
                <w:highlight w:val="none"/>
                <w:lang w:bidi="ar"/>
              </w:rPr>
              <w:t>3.</w:t>
            </w:r>
            <w:r>
              <w:rPr>
                <w:rFonts w:hint="eastAsia" w:ascii="宋体" w:hAnsi="宋体" w:cs="宋体"/>
                <w:b/>
                <w:color w:val="000000"/>
                <w:kern w:val="0"/>
                <w:highlight w:val="none"/>
                <w:lang w:val="en-US" w:eastAsia="zh-CN" w:bidi="ar"/>
              </w:rPr>
              <w:t>信息安全要求</w:t>
            </w:r>
          </w:p>
          <w:p w14:paraId="36F92BBC">
            <w:pPr>
              <w:widowControl/>
              <w:ind w:firstLine="420" w:firstLineChars="200"/>
              <w:textAlignment w:val="center"/>
              <w:rPr>
                <w:rFonts w:hint="default" w:ascii="宋体" w:hAnsi="宋体" w:eastAsia="宋体" w:cs="宋体"/>
                <w:color w:val="000000"/>
                <w:kern w:val="0"/>
                <w:highlight w:val="none"/>
                <w:lang w:val="en-US" w:eastAsia="zh-CN" w:bidi="ar"/>
              </w:rPr>
            </w:pPr>
            <w:r>
              <w:rPr>
                <w:rFonts w:hint="eastAsia" w:ascii="宋体" w:hAnsi="宋体" w:cs="宋体"/>
                <w:color w:val="000000"/>
                <w:kern w:val="0"/>
                <w:highlight w:val="none"/>
                <w:lang w:eastAsia="zh-CN" w:bidi="ar"/>
              </w:rPr>
              <w:t>（</w:t>
            </w:r>
            <w:r>
              <w:rPr>
                <w:rFonts w:hint="eastAsia" w:ascii="宋体" w:hAnsi="宋体" w:cs="宋体"/>
                <w:color w:val="000000"/>
                <w:kern w:val="0"/>
                <w:highlight w:val="none"/>
                <w:lang w:val="en-US" w:eastAsia="zh-CN" w:bidi="ar"/>
              </w:rPr>
              <w:t>1</w:t>
            </w:r>
            <w:r>
              <w:rPr>
                <w:rFonts w:hint="eastAsia" w:ascii="宋体" w:hAnsi="宋体" w:cs="宋体"/>
                <w:color w:val="000000"/>
                <w:kern w:val="0"/>
                <w:highlight w:val="none"/>
                <w:lang w:eastAsia="zh-CN" w:bidi="ar"/>
              </w:rPr>
              <w:t>）</w:t>
            </w:r>
            <w:r>
              <w:rPr>
                <w:rFonts w:hint="eastAsia" w:ascii="宋体" w:hAnsi="宋体" w:cs="宋体"/>
                <w:color w:val="000000"/>
                <w:kern w:val="0"/>
                <w:highlight w:val="none"/>
                <w:lang w:val="en-US" w:eastAsia="zh-CN" w:bidi="ar"/>
              </w:rPr>
              <w:t>等保测评支持</w:t>
            </w:r>
          </w:p>
          <w:p w14:paraId="7DB168FE">
            <w:pPr>
              <w:widowControl/>
              <w:ind w:firstLine="420" w:firstLineChars="200"/>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本项目各应用系统须满足国家软件等保测评要求，须无条件配合等保要求针对该项目相关软件进行安全改进。</w:t>
            </w:r>
          </w:p>
          <w:p w14:paraId="2C567229">
            <w:pPr>
              <w:widowControl/>
              <w:ind w:firstLine="420" w:firstLineChars="200"/>
              <w:textAlignment w:val="center"/>
              <w:rPr>
                <w:rFonts w:hint="default" w:ascii="宋体" w:hAnsi="宋体" w:eastAsia="宋体" w:cs="宋体"/>
                <w:color w:val="000000"/>
                <w:kern w:val="0"/>
                <w:highlight w:val="none"/>
                <w:lang w:val="en-US" w:eastAsia="zh-CN" w:bidi="ar"/>
              </w:rPr>
            </w:pPr>
            <w:r>
              <w:rPr>
                <w:rFonts w:hint="eastAsia" w:ascii="宋体" w:hAnsi="宋体" w:cs="宋体"/>
                <w:color w:val="000000"/>
                <w:kern w:val="0"/>
                <w:highlight w:val="none"/>
                <w:lang w:eastAsia="zh-CN" w:bidi="ar"/>
              </w:rPr>
              <w:t>（</w:t>
            </w:r>
            <w:r>
              <w:rPr>
                <w:rFonts w:hint="eastAsia" w:ascii="宋体" w:hAnsi="宋体" w:cs="宋体"/>
                <w:color w:val="000000"/>
                <w:kern w:val="0"/>
                <w:highlight w:val="none"/>
                <w:lang w:val="en-US" w:eastAsia="zh-CN" w:bidi="ar"/>
              </w:rPr>
              <w:t>2</w:t>
            </w:r>
            <w:r>
              <w:rPr>
                <w:rFonts w:hint="eastAsia" w:ascii="宋体" w:hAnsi="宋体" w:cs="宋体"/>
                <w:color w:val="000000"/>
                <w:kern w:val="0"/>
                <w:highlight w:val="none"/>
                <w:lang w:eastAsia="zh-CN" w:bidi="ar"/>
              </w:rPr>
              <w:t>）</w:t>
            </w:r>
            <w:r>
              <w:rPr>
                <w:rFonts w:hint="eastAsia" w:ascii="宋体" w:hAnsi="宋体" w:cs="宋体"/>
                <w:color w:val="000000"/>
                <w:kern w:val="0"/>
                <w:highlight w:val="none"/>
                <w:lang w:val="en-US" w:eastAsia="zh-CN" w:bidi="ar"/>
              </w:rPr>
              <w:t>信息安全管理能力</w:t>
            </w:r>
          </w:p>
          <w:p w14:paraId="089D5123">
            <w:pPr>
              <w:widowControl/>
              <w:ind w:firstLine="420" w:firstLineChars="200"/>
              <w:textAlignment w:val="center"/>
              <w:rPr>
                <w:rFonts w:hint="default"/>
                <w:b/>
                <w:bCs/>
                <w:highlight w:val="none"/>
                <w:lang w:val="en-US" w:eastAsia="zh-CN"/>
              </w:rPr>
            </w:pPr>
            <w:r>
              <w:rPr>
                <w:rFonts w:hint="eastAsia" w:ascii="宋体" w:hAnsi="宋体" w:cs="宋体"/>
                <w:color w:val="000000"/>
                <w:kern w:val="0"/>
                <w:highlight w:val="none"/>
                <w:lang w:val="en-US" w:eastAsia="zh-CN" w:bidi="ar"/>
              </w:rPr>
              <w:t>信息化标杆校对信息安全要求严格，本项目要求投标人需具备完善的信息安全管理能力，具备</w:t>
            </w:r>
            <w:r>
              <w:rPr>
                <w:rFonts w:hint="eastAsia" w:ascii="宋体" w:hAnsi="宋体" w:cs="宋体"/>
                <w:b w:val="0"/>
                <w:bCs w:val="0"/>
                <w:kern w:val="0"/>
                <w:highlight w:val="none"/>
                <w:lang w:bidi="ar"/>
              </w:rPr>
              <w:t>ISO27001信息安全管理体系认证证书，或</w:t>
            </w:r>
            <w:r>
              <w:rPr>
                <w:rFonts w:hint="eastAsia" w:ascii="宋体" w:hAnsi="宋体" w:cs="宋体"/>
                <w:color w:val="000000"/>
                <w:kern w:val="0"/>
                <w:highlight w:val="none"/>
                <w:lang w:val="en-US" w:eastAsia="zh-CN" w:bidi="ar"/>
              </w:rPr>
              <w:t>具备</w:t>
            </w:r>
            <w:r>
              <w:rPr>
                <w:rFonts w:hint="eastAsia" w:ascii="宋体" w:hAnsi="宋体" w:cs="宋体"/>
                <w:b w:val="0"/>
                <w:bCs w:val="0"/>
                <w:kern w:val="0"/>
                <w:highlight w:val="none"/>
                <w:lang w:bidi="ar"/>
              </w:rPr>
              <w:t>采购清单中近似产品的正规测试机构出具的第三方安全检测报告（涵盖采购清单中不低于半数的标的产品，即至少涵盖14个标的产品）。</w:t>
            </w:r>
          </w:p>
          <w:p w14:paraId="242087B1">
            <w:pPr>
              <w:widowControl/>
              <w:ind w:firstLine="422" w:firstLineChars="200"/>
              <w:textAlignment w:val="center"/>
              <w:rPr>
                <w:rFonts w:hint="default"/>
                <w:b/>
                <w:bCs/>
                <w:highlight w:val="none"/>
                <w:lang w:val="en-US" w:eastAsia="zh-CN"/>
              </w:rPr>
            </w:pPr>
            <w:r>
              <w:rPr>
                <w:rFonts w:hint="eastAsia" w:ascii="宋体" w:hAnsi="宋体" w:cs="宋体"/>
                <w:b/>
                <w:bCs/>
                <w:kern w:val="0"/>
                <w:highlight w:val="none"/>
                <w:lang w:bidi="ar"/>
              </w:rPr>
              <w:t>提供ISO27001信息安全管理体系认证证书</w:t>
            </w:r>
            <w:r>
              <w:rPr>
                <w:rFonts w:hint="eastAsia" w:ascii="宋体" w:hAnsi="宋体" w:cs="宋体"/>
                <w:b/>
                <w:bCs/>
                <w:color w:val="000000"/>
                <w:kern w:val="0"/>
                <w:highlight w:val="none"/>
                <w:lang w:val="en-US" w:eastAsia="zh-CN" w:bidi="ar"/>
              </w:rPr>
              <w:t>或</w:t>
            </w:r>
            <w:r>
              <w:rPr>
                <w:rFonts w:hint="eastAsia" w:ascii="宋体" w:hAnsi="宋体" w:cs="宋体"/>
                <w:b/>
                <w:bCs/>
                <w:kern w:val="0"/>
                <w:highlight w:val="none"/>
                <w:lang w:bidi="ar"/>
              </w:rPr>
              <w:t>采购清单中近似产品的正规测试机构出具的第三方安全检测报告</w:t>
            </w:r>
            <w:r>
              <w:rPr>
                <w:rFonts w:hint="eastAsia" w:ascii="宋体" w:hAnsi="宋体" w:cs="宋体"/>
                <w:b/>
                <w:bCs/>
                <w:kern w:val="0"/>
                <w:highlight w:val="none"/>
                <w:lang w:val="en-US" w:eastAsia="zh-CN" w:bidi="ar"/>
              </w:rPr>
              <w:t>扫描件并</w:t>
            </w:r>
            <w:r>
              <w:rPr>
                <w:rFonts w:hint="eastAsia" w:ascii="宋体" w:hAnsi="宋体" w:cs="宋体"/>
                <w:b/>
                <w:bCs/>
                <w:kern w:val="0"/>
                <w:highlight w:val="none"/>
                <w:lang w:bidi="ar"/>
              </w:rPr>
              <w:t>加盖</w:t>
            </w:r>
            <w:r>
              <w:rPr>
                <w:rFonts w:hint="eastAsia" w:ascii="宋体" w:hAnsi="宋体" w:cs="宋体"/>
                <w:b/>
                <w:bCs/>
                <w:kern w:val="0"/>
                <w:highlight w:val="none"/>
                <w:lang w:val="en-US" w:eastAsia="zh-CN" w:bidi="ar"/>
              </w:rPr>
              <w:t>投标人</w:t>
            </w:r>
            <w:r>
              <w:rPr>
                <w:rFonts w:hint="eastAsia" w:ascii="宋体" w:hAnsi="宋体" w:cs="宋体"/>
                <w:b/>
                <w:bCs/>
                <w:kern w:val="0"/>
                <w:highlight w:val="none"/>
                <w:lang w:bidi="ar"/>
              </w:rPr>
              <w:t>有效印章。</w:t>
            </w:r>
          </w:p>
          <w:p w14:paraId="7967C0B6">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4.实施方案</w:t>
            </w:r>
          </w:p>
          <w:p w14:paraId="5146F0C5">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（1）组织架构与职责，描述项目成员的组成，以及成员的职责。</w:t>
            </w:r>
          </w:p>
          <w:p w14:paraId="5DD598D7">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（2）实施阶段划分，描述各个实施阶段的工作范围、内容、人力投入、过程、责任、交付成果等。</w:t>
            </w:r>
          </w:p>
          <w:p w14:paraId="54F9B758">
            <w:pPr>
              <w:widowControl/>
              <w:ind w:firstLine="420" w:firstLineChars="200"/>
              <w:textAlignment w:val="center"/>
              <w:rPr>
                <w:rFonts w:hint="eastAsia" w:ascii="宋体" w:hAnsi="宋体" w:cs="宋体"/>
                <w:color w:val="000000"/>
                <w:kern w:val="0"/>
                <w:highlight w:val="none"/>
                <w:lang w:bidi="ar"/>
              </w:rPr>
            </w:pPr>
            <w:r>
              <w:rPr>
                <w:rFonts w:hint="eastAsia" w:ascii="宋体" w:hAnsi="宋体" w:cs="宋体"/>
                <w:color w:val="000000"/>
                <w:kern w:val="0"/>
                <w:highlight w:val="none"/>
                <w:lang w:bidi="ar"/>
              </w:rPr>
              <w:t>（3）项目管理要求，</w:t>
            </w:r>
            <w:r>
              <w:rPr>
                <w:rFonts w:hint="eastAsia" w:ascii="宋体" w:hAnsi="宋体" w:cs="宋体"/>
                <w:color w:val="000000"/>
                <w:kern w:val="0"/>
                <w:highlight w:val="none"/>
                <w:lang w:val="en-US" w:eastAsia="zh-CN" w:bidi="ar"/>
              </w:rPr>
              <w:t>本项目实施内容较多，实施时间较短，为确保项目正常实施，满足信息化标杆校标准要求，投标人需具备完善的项目管理与服务能力，具备ISO20000信息技术服务管理体系认证证书或信息技术服务标准（ITSS）认证证书，并能</w:t>
            </w:r>
            <w:r>
              <w:rPr>
                <w:rFonts w:hint="eastAsia" w:ascii="宋体" w:hAnsi="宋体" w:cs="宋体"/>
                <w:color w:val="000000"/>
                <w:kern w:val="0"/>
                <w:highlight w:val="none"/>
                <w:lang w:bidi="ar"/>
              </w:rPr>
              <w:t>提出针对本项目的科学严格的管理方案与措施，保证项目全面顺利实施。</w:t>
            </w:r>
          </w:p>
          <w:p w14:paraId="1CAEC7AA">
            <w:pPr>
              <w:widowControl/>
              <w:ind w:firstLine="422" w:firstLineChars="200"/>
              <w:textAlignment w:val="center"/>
              <w:rPr>
                <w:highlight w:val="none"/>
              </w:rPr>
            </w:pPr>
            <w:r>
              <w:rPr>
                <w:rFonts w:hint="eastAsia" w:ascii="宋体" w:hAnsi="宋体" w:cs="宋体"/>
                <w:b/>
                <w:bCs/>
                <w:kern w:val="0"/>
                <w:highlight w:val="none"/>
                <w:lang w:bidi="ar"/>
              </w:rPr>
              <w:t>提供</w:t>
            </w:r>
            <w:r>
              <w:rPr>
                <w:rFonts w:hint="eastAsia" w:ascii="宋体" w:hAnsi="宋体" w:cs="宋体"/>
                <w:b/>
                <w:bCs/>
                <w:color w:val="000000"/>
                <w:kern w:val="0"/>
                <w:highlight w:val="none"/>
                <w:lang w:val="en-US" w:eastAsia="zh-CN" w:bidi="ar"/>
              </w:rPr>
              <w:t>ISO20000信息技术服务管理体系认证证书、信息技术服务标准（ITSS）认证证书</w:t>
            </w:r>
            <w:r>
              <w:rPr>
                <w:rFonts w:hint="eastAsia" w:ascii="宋体" w:hAnsi="宋体" w:cs="宋体"/>
                <w:b/>
                <w:bCs/>
                <w:kern w:val="0"/>
                <w:highlight w:val="none"/>
                <w:lang w:val="en-US" w:eastAsia="zh-CN" w:bidi="ar"/>
              </w:rPr>
              <w:t>中任意一项认证证书扫描件并</w:t>
            </w:r>
            <w:r>
              <w:rPr>
                <w:rFonts w:hint="eastAsia" w:ascii="宋体" w:hAnsi="宋体" w:cs="宋体"/>
                <w:b/>
                <w:bCs/>
                <w:kern w:val="0"/>
                <w:highlight w:val="none"/>
                <w:lang w:bidi="ar"/>
              </w:rPr>
              <w:t>加盖</w:t>
            </w:r>
            <w:r>
              <w:rPr>
                <w:rFonts w:hint="eastAsia" w:ascii="宋体" w:hAnsi="宋体" w:cs="宋体"/>
                <w:b/>
                <w:bCs/>
                <w:kern w:val="0"/>
                <w:highlight w:val="none"/>
                <w:lang w:val="en-US" w:eastAsia="zh-CN" w:bidi="ar"/>
              </w:rPr>
              <w:t>投标人</w:t>
            </w:r>
            <w:r>
              <w:rPr>
                <w:rFonts w:hint="eastAsia" w:ascii="宋体" w:hAnsi="宋体" w:cs="宋体"/>
                <w:b/>
                <w:bCs/>
                <w:kern w:val="0"/>
                <w:highlight w:val="none"/>
                <w:lang w:bidi="ar"/>
              </w:rPr>
              <w:t>有效印章。</w:t>
            </w:r>
          </w:p>
          <w:p w14:paraId="24590570">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4）项目配置管理，在项目的建设过程中以及交付使用后，会产生大量文档和程序，如：需求分析说明、设计说明、可执行程序以及软件定制开发部分的源代码、用户手册、测试用例、测试结果等技术性文档以及合同、计划、会议记录、报告等管理文档。由于文档的版本在不断变迁和修改中，势必产生一个庞大、动态的信息集合。因此，必须建设相应的配置管理系统，通过一系列技术、方法和手段来维护产品的历史、鉴别和定位产品独有的版本，以对在产品开发和发布阶段的软件变化进行控制，通过制定规范的配置管理工作计划和流程，沟通交流配置管理工作情况，从而使管理制度化、有效减少重复性工作、保证产品的质量和效率和系统的后续升级和维护。</w:t>
            </w:r>
          </w:p>
          <w:p w14:paraId="4AD286A3">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5</w:t>
            </w:r>
            <w:r>
              <w:rPr>
                <w:rFonts w:hint="eastAsia" w:ascii="宋体" w:hAnsi="宋体" w:cs="宋体"/>
                <w:color w:val="000000"/>
                <w:kern w:val="0"/>
                <w:highlight w:val="none"/>
                <w:lang w:bidi="ar"/>
              </w:rPr>
              <w:t>）项目管理规范和手段，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05F27E6C">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6</w:t>
            </w:r>
            <w:r>
              <w:rPr>
                <w:rFonts w:hint="eastAsia" w:ascii="宋体" w:hAnsi="宋体" w:cs="宋体"/>
                <w:color w:val="000000"/>
                <w:kern w:val="0"/>
                <w:highlight w:val="none"/>
                <w:lang w:bidi="ar"/>
              </w:rPr>
              <w:t>）项目管理控制，项目的管理控制包含多个方面：项目范围、风险、进度、质量、变更管理控制，应贯穿项目开发建设的始终，必须做到对项目建设范围准确定义，一旦范围发生变更，要有相应地变更控制和应对措施。</w:t>
            </w:r>
          </w:p>
          <w:p w14:paraId="1A150E40">
            <w:pPr>
              <w:widowControl/>
              <w:ind w:firstLine="420" w:firstLineChars="200"/>
              <w:textAlignment w:val="center"/>
              <w:rPr>
                <w:rFonts w:ascii="宋体" w:hAnsi="宋体" w:eastAsia="宋体" w:cs="宋体"/>
                <w:bCs/>
                <w:sz w:val="24"/>
                <w:highlight w:val="none"/>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7</w:t>
            </w:r>
            <w:r>
              <w:rPr>
                <w:rFonts w:hint="eastAsia" w:ascii="宋体" w:hAnsi="宋体" w:cs="宋体"/>
                <w:color w:val="000000"/>
                <w:kern w:val="0"/>
                <w:highlight w:val="none"/>
                <w:lang w:bidi="ar"/>
              </w:rPr>
              <w:t>）风险管理，项目风险管理是识别和分析项目风险及采取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tc>
        <w:tc>
          <w:tcPr>
            <w:tcW w:w="635" w:type="pct"/>
            <w:vAlign w:val="center"/>
          </w:tcPr>
          <w:p w14:paraId="3A43C0D0">
            <w:pPr>
              <w:pStyle w:val="102"/>
              <w:jc w:val="center"/>
              <w:rPr>
                <w:rFonts w:ascii="宋体" w:hAnsi="宋体" w:cs="宋体"/>
                <w:bCs/>
                <w:sz w:val="24"/>
                <w:szCs w:val="24"/>
                <w:highlight w:val="none"/>
              </w:rPr>
            </w:pPr>
            <w:r>
              <w:rPr>
                <w:rFonts w:hint="eastAsia" w:ascii="宋体" w:hAnsi="宋体" w:cs="宋体"/>
                <w:bCs/>
                <w:sz w:val="24"/>
                <w:szCs w:val="24"/>
                <w:highlight w:val="none"/>
              </w:rPr>
              <w:t>1项</w:t>
            </w:r>
          </w:p>
        </w:tc>
        <w:tc>
          <w:tcPr>
            <w:tcW w:w="412" w:type="pct"/>
            <w:vAlign w:val="center"/>
          </w:tcPr>
          <w:p w14:paraId="1F07CDA0">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4151A09A">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09F6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61192D7B">
            <w:pPr>
              <w:jc w:val="center"/>
              <w:rPr>
                <w:rFonts w:ascii="宋体" w:hAnsi="宋体" w:eastAsia="宋体" w:cs="宋体"/>
                <w:sz w:val="24"/>
                <w:highlight w:val="none"/>
              </w:rPr>
            </w:pPr>
            <w:r>
              <w:rPr>
                <w:rFonts w:hint="eastAsia" w:cs="宋体" w:asciiTheme="minorEastAsia" w:hAnsiTheme="minorEastAsia"/>
                <w:b/>
                <w:bCs/>
                <w:sz w:val="24"/>
                <w:highlight w:val="none"/>
              </w:rPr>
              <w:t>28</w:t>
            </w:r>
          </w:p>
        </w:tc>
        <w:tc>
          <w:tcPr>
            <w:tcW w:w="778" w:type="pct"/>
            <w:vAlign w:val="center"/>
          </w:tcPr>
          <w:p w14:paraId="20F5936E">
            <w:pPr>
              <w:pStyle w:val="102"/>
              <w:jc w:val="center"/>
              <w:rPr>
                <w:rFonts w:ascii="宋体" w:hAnsi="宋体" w:cs="宋体"/>
                <w:bCs/>
                <w:sz w:val="24"/>
                <w:szCs w:val="24"/>
                <w:highlight w:val="none"/>
              </w:rPr>
            </w:pPr>
            <w:r>
              <w:rPr>
                <w:rFonts w:hint="eastAsia" w:ascii="宋体" w:hAnsi="宋体" w:cs="宋体"/>
                <w:kern w:val="0"/>
                <w:highlight w:val="none"/>
                <w:lang w:bidi="ar"/>
              </w:rPr>
              <w:t>项目培训服务</w:t>
            </w:r>
          </w:p>
        </w:tc>
        <w:tc>
          <w:tcPr>
            <w:tcW w:w="2378" w:type="pct"/>
            <w:vAlign w:val="center"/>
          </w:tcPr>
          <w:p w14:paraId="051C81D3">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1.基础要求</w:t>
            </w:r>
          </w:p>
          <w:p w14:paraId="78EDD508">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（1）在项目合同中将具体规定培训内容、培训时间和培训名额等。</w:t>
            </w:r>
          </w:p>
          <w:p w14:paraId="5D881F75">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派出的培训教员应具有丰富的同类课程的教学经验和应用经验；所有的培训教员必须用中文授课；</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必须为所有被培训人员提供文字资料和讲义等相关培训材料。</w:t>
            </w:r>
          </w:p>
          <w:p w14:paraId="206011FA">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（3）</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应按合同规定安排培训时间和培训名额，在实施过程中，针对系统管理人员提供培训，保证培训效果，让系统管理人员都能熟练掌握系统的使用方法。</w:t>
            </w:r>
          </w:p>
          <w:p w14:paraId="04A57BFD">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2.培训方案要求</w:t>
            </w:r>
          </w:p>
          <w:p w14:paraId="64173D88">
            <w:pPr>
              <w:pStyle w:val="102"/>
              <w:ind w:firstLine="420" w:firstLineChars="200"/>
              <w:jc w:val="left"/>
              <w:rPr>
                <w:rFonts w:ascii="宋体" w:hAnsi="宋体" w:cs="宋体"/>
                <w:bCs/>
                <w:sz w:val="24"/>
                <w:szCs w:val="24"/>
                <w:highlight w:val="none"/>
              </w:rPr>
            </w:pPr>
            <w:r>
              <w:rPr>
                <w:rFonts w:hint="eastAsia" w:ascii="宋体" w:hAnsi="宋体" w:cs="宋体"/>
                <w:color w:val="000000"/>
                <w:kern w:val="0"/>
                <w:highlight w:val="none"/>
                <w:lang w:bidi="ar"/>
              </w:rPr>
              <w:t>（1）需提供详尽的项目培训方案，培训范围包括在实施过程中、试运行到交付全周期的培训内容。</w:t>
            </w:r>
          </w:p>
        </w:tc>
        <w:tc>
          <w:tcPr>
            <w:tcW w:w="635" w:type="pct"/>
            <w:vAlign w:val="center"/>
          </w:tcPr>
          <w:p w14:paraId="30D1367A">
            <w:pPr>
              <w:pStyle w:val="102"/>
              <w:jc w:val="center"/>
              <w:rPr>
                <w:rFonts w:ascii="宋体" w:hAnsi="宋体" w:cs="宋体"/>
                <w:bCs/>
                <w:sz w:val="24"/>
                <w:szCs w:val="24"/>
                <w:highlight w:val="none"/>
              </w:rPr>
            </w:pPr>
            <w:r>
              <w:rPr>
                <w:rFonts w:hint="eastAsia" w:ascii="宋体" w:hAnsi="宋体" w:cs="宋体"/>
                <w:bCs/>
                <w:sz w:val="24"/>
                <w:szCs w:val="24"/>
                <w:highlight w:val="none"/>
              </w:rPr>
              <w:t>1项</w:t>
            </w:r>
          </w:p>
        </w:tc>
        <w:tc>
          <w:tcPr>
            <w:tcW w:w="412" w:type="pct"/>
            <w:vAlign w:val="center"/>
          </w:tcPr>
          <w:p w14:paraId="73D9C758">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5083E979">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54ED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21DE0A77">
            <w:pPr>
              <w:jc w:val="center"/>
              <w:rPr>
                <w:rFonts w:ascii="宋体" w:hAnsi="宋体" w:eastAsia="宋体" w:cs="宋体"/>
                <w:sz w:val="24"/>
                <w:highlight w:val="none"/>
              </w:rPr>
            </w:pPr>
            <w:r>
              <w:rPr>
                <w:rFonts w:hint="eastAsia" w:cs="宋体" w:asciiTheme="minorEastAsia" w:hAnsiTheme="minorEastAsia"/>
                <w:b/>
                <w:bCs/>
                <w:sz w:val="24"/>
                <w:highlight w:val="none"/>
              </w:rPr>
              <w:t>29</w:t>
            </w:r>
          </w:p>
        </w:tc>
        <w:tc>
          <w:tcPr>
            <w:tcW w:w="778" w:type="pct"/>
            <w:vAlign w:val="center"/>
          </w:tcPr>
          <w:p w14:paraId="35CD1180">
            <w:pPr>
              <w:pStyle w:val="102"/>
              <w:jc w:val="center"/>
              <w:rPr>
                <w:rFonts w:ascii="宋体" w:hAnsi="宋体" w:cs="宋体"/>
                <w:bCs/>
                <w:sz w:val="24"/>
                <w:szCs w:val="24"/>
                <w:highlight w:val="none"/>
              </w:rPr>
            </w:pPr>
            <w:r>
              <w:rPr>
                <w:rFonts w:hint="eastAsia" w:ascii="宋体" w:hAnsi="宋体" w:cs="宋体"/>
                <w:kern w:val="0"/>
                <w:highlight w:val="none"/>
                <w:lang w:bidi="ar"/>
              </w:rPr>
              <w:t>项目售后服务</w:t>
            </w:r>
          </w:p>
        </w:tc>
        <w:tc>
          <w:tcPr>
            <w:tcW w:w="2378" w:type="pct"/>
            <w:vAlign w:val="center"/>
          </w:tcPr>
          <w:p w14:paraId="5CACC37F">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1.售后服务保障能力</w:t>
            </w:r>
          </w:p>
          <w:p w14:paraId="2EAF38E3">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（1）项目质保期3年，从项目通过验收后开始计算。</w:t>
            </w:r>
          </w:p>
          <w:p w14:paraId="53A7F057">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中标人承诺在质保期内提供系统软件免费升级服务，包括软件本地化应用改进、软件补丁动态更新、软件标准版本的系统升级（软件版本至少升级1次，若质保期内没有发布升级版本，在质保期后发布新版本，则仍然享受一次免费升级机会），要求在不影响用户正常工作的前提下，完成系统调试、数据平滑过渡。</w:t>
            </w:r>
          </w:p>
          <w:p w14:paraId="6452188A">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（3）质保期内，中标人须保证所开发的软件正常运行，对所提供的软件设备实行包修、包换、包维护保养；售后服务期间故障响应时间不超过2小时。</w:t>
            </w:r>
          </w:p>
          <w:p w14:paraId="07BB33A3">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（4）中标人须提供多种服务受理通道，包括但不限于线上、电话、邮件等；投标人须提供7*24小时热线服务。</w:t>
            </w:r>
          </w:p>
          <w:p w14:paraId="60E325CF">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w:t>
            </w:r>
            <w:r>
              <w:rPr>
                <w:rFonts w:hint="eastAsia" w:ascii="宋体" w:hAnsi="宋体" w:cs="宋体"/>
                <w:color w:val="000000"/>
                <w:kern w:val="0"/>
                <w:highlight w:val="none"/>
                <w:lang w:val="en-US" w:eastAsia="zh-CN" w:bidi="ar"/>
              </w:rPr>
              <w:t>5</w:t>
            </w:r>
            <w:r>
              <w:rPr>
                <w:rFonts w:hint="eastAsia" w:ascii="宋体" w:hAnsi="宋体" w:cs="宋体"/>
                <w:color w:val="000000"/>
                <w:kern w:val="0"/>
                <w:highlight w:val="none"/>
                <w:lang w:bidi="ar"/>
              </w:rPr>
              <w:t>）项目售后服务人员须为项目实施人员，熟悉了解实施项目业务和系统建设情况，能为用户提供及时有效的售后服务。系统上线试运行期间，需安排一名专职现场驻点人员，负责维护并现场解决问题。系统验收后，仍需及时有效解决用户在系统运行中出现的各类问题，如果问题不能及时解决，须及时指派核心技术人员到单位现场完成技术支持，直至问题解决为止。</w:t>
            </w:r>
          </w:p>
          <w:p w14:paraId="33EAA056">
            <w:pPr>
              <w:widowControl/>
              <w:ind w:firstLine="422" w:firstLineChars="200"/>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2.售后服务内容</w:t>
            </w:r>
          </w:p>
          <w:p w14:paraId="607D04D2">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（1）BUG处理：如</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交付的业务系统存在BUG，</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须提供修正与消缺服务，如有修复BUG的补丁，应提供升级服务。</w:t>
            </w:r>
          </w:p>
          <w:p w14:paraId="2190356D">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（2）故障处理：如</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交付的系统上线运行时，出现问题导致业务中断时，</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应对故障进行限时处理。由于非计划掉电导致系统故障时，</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应配合系统恢复。由于系统资源不足导致系统故障时，</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应配合学校系统恢复。由于硬件故障时，</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应在学校数据还原后，配合学校系统恢复。</w:t>
            </w:r>
          </w:p>
          <w:p w14:paraId="07A97B2E">
            <w:pPr>
              <w:widowControl/>
              <w:ind w:firstLine="420" w:firstLineChars="200"/>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（3）运行支持：</w:t>
            </w:r>
            <w:r>
              <w:rPr>
                <w:rFonts w:hint="eastAsia" w:ascii="宋体" w:hAnsi="宋体" w:cs="宋体"/>
                <w:color w:val="000000"/>
                <w:kern w:val="0"/>
                <w:highlight w:val="none"/>
                <w:lang w:val="en-US" w:eastAsia="zh-CN" w:bidi="ar"/>
              </w:rPr>
              <w:t>投标人</w:t>
            </w:r>
            <w:r>
              <w:rPr>
                <w:rFonts w:hint="eastAsia" w:ascii="宋体" w:hAnsi="宋体" w:cs="宋体"/>
                <w:color w:val="000000"/>
                <w:kern w:val="0"/>
                <w:highlight w:val="none"/>
                <w:lang w:bidi="ar"/>
              </w:rPr>
              <w:t>应对系统运行过程中系统管理员及业务管理员提出的问题提供解答和问题解决跟踪；在技术人员不在现场的情况下，提供网络远程技术支持、电话热线技术支持、E-mail回复支持。</w:t>
            </w:r>
          </w:p>
          <w:p w14:paraId="1A9BCB49">
            <w:pPr>
              <w:widowControl/>
              <w:ind w:firstLine="420" w:firstLineChars="200"/>
              <w:textAlignment w:val="center"/>
              <w:rPr>
                <w:rFonts w:ascii="宋体" w:hAnsi="宋体" w:cs="宋体"/>
                <w:kern w:val="0"/>
                <w:highlight w:val="none"/>
                <w:lang w:bidi="ar"/>
              </w:rPr>
            </w:pPr>
            <w:r>
              <w:rPr>
                <w:rFonts w:hint="eastAsia" w:ascii="宋体" w:hAnsi="宋体" w:cs="宋体"/>
                <w:color w:val="000000"/>
                <w:kern w:val="0"/>
                <w:highlight w:val="none"/>
                <w:lang w:bidi="ar"/>
              </w:rPr>
              <w:t>（4）在项目质保期内，服务公司对系统软件在必要时进行修改，在规</w:t>
            </w:r>
            <w:r>
              <w:rPr>
                <w:rFonts w:hint="eastAsia" w:ascii="宋体" w:hAnsi="宋体" w:cs="宋体"/>
                <w:kern w:val="0"/>
                <w:highlight w:val="none"/>
                <w:lang w:bidi="ar"/>
              </w:rPr>
              <w:t>定的维护期内，根据学校要求对软件进行调整、修改以及版本升级服务，以满足系统之最优化。学校如有重要活动，服务公司须提供必要的保障及支持服务。</w:t>
            </w:r>
          </w:p>
          <w:p w14:paraId="02C1A299">
            <w:pPr>
              <w:widowControl/>
              <w:ind w:firstLine="422" w:firstLineChars="200"/>
              <w:textAlignment w:val="center"/>
              <w:rPr>
                <w:b/>
                <w:highlight w:val="none"/>
              </w:rPr>
            </w:pPr>
            <w:r>
              <w:rPr>
                <w:rFonts w:hint="eastAsia"/>
                <w:b/>
                <w:highlight w:val="none"/>
              </w:rPr>
              <w:t>3.验收要求</w:t>
            </w:r>
          </w:p>
          <w:p w14:paraId="5493F4AF">
            <w:pPr>
              <w:widowControl/>
              <w:ind w:firstLine="420" w:firstLineChars="200"/>
              <w:textAlignment w:val="center"/>
              <w:rPr>
                <w:highlight w:val="none"/>
              </w:rPr>
            </w:pPr>
            <w:r>
              <w:rPr>
                <w:rFonts w:hint="eastAsia"/>
                <w:highlight w:val="none"/>
              </w:rPr>
              <w:t>验收时需要交付《可运行的系统》、《技术文档》包括项目开发中的各种技术文档，如开发环境配置说明、软件工具清单、需求分析说明、变更说明、系统设计说明、用户手册、测试用例、测试结果、系统维护说明、系统培训资料以及有关系统接口的技术说明等。</w:t>
            </w:r>
          </w:p>
          <w:p w14:paraId="09ACFEFB">
            <w:pPr>
              <w:widowControl/>
              <w:ind w:firstLine="480" w:firstLineChars="200"/>
              <w:textAlignment w:val="center"/>
              <w:rPr>
                <w:rFonts w:ascii="宋体" w:hAnsi="宋体" w:eastAsia="宋体" w:cs="宋体"/>
                <w:bCs/>
                <w:sz w:val="24"/>
                <w:highlight w:val="none"/>
              </w:rPr>
            </w:pPr>
          </w:p>
        </w:tc>
        <w:tc>
          <w:tcPr>
            <w:tcW w:w="635" w:type="pct"/>
            <w:vAlign w:val="center"/>
          </w:tcPr>
          <w:p w14:paraId="6422A9ED">
            <w:pPr>
              <w:pStyle w:val="102"/>
              <w:jc w:val="center"/>
              <w:rPr>
                <w:rFonts w:ascii="宋体" w:hAnsi="宋体" w:cs="宋体"/>
                <w:bCs/>
                <w:sz w:val="24"/>
                <w:szCs w:val="24"/>
                <w:highlight w:val="none"/>
              </w:rPr>
            </w:pPr>
            <w:r>
              <w:rPr>
                <w:rFonts w:hint="eastAsia" w:ascii="宋体" w:hAnsi="宋体" w:cs="宋体"/>
                <w:bCs/>
                <w:sz w:val="24"/>
                <w:szCs w:val="24"/>
                <w:highlight w:val="none"/>
              </w:rPr>
              <w:t>1项</w:t>
            </w:r>
          </w:p>
        </w:tc>
        <w:tc>
          <w:tcPr>
            <w:tcW w:w="412" w:type="pct"/>
            <w:vAlign w:val="center"/>
          </w:tcPr>
          <w:p w14:paraId="0054F3B0">
            <w:pPr>
              <w:widowControl/>
              <w:jc w:val="center"/>
              <w:textAlignment w:val="bottom"/>
              <w:rPr>
                <w:rFonts w:ascii="宋体" w:hAnsi="宋体" w:eastAsia="宋体" w:cs="宋体"/>
                <w:bCs/>
                <w:sz w:val="24"/>
                <w:highlight w:val="none"/>
              </w:rPr>
            </w:pPr>
            <w:r>
              <w:rPr>
                <w:rFonts w:hint="eastAsia"/>
                <w:highlight w:val="none"/>
              </w:rPr>
              <w:t>软件和信息技术服务业</w:t>
            </w:r>
          </w:p>
        </w:tc>
        <w:tc>
          <w:tcPr>
            <w:tcW w:w="366" w:type="pct"/>
            <w:vAlign w:val="center"/>
          </w:tcPr>
          <w:p w14:paraId="6054D2C0">
            <w:pPr>
              <w:spacing w:line="360" w:lineRule="auto"/>
              <w:jc w:val="center"/>
              <w:rPr>
                <w:rFonts w:ascii="宋体" w:hAnsi="宋体" w:eastAsia="宋体" w:cs="宋体"/>
                <w:bCs/>
                <w:sz w:val="24"/>
                <w:highlight w:val="none"/>
              </w:rPr>
            </w:pPr>
            <w:r>
              <w:rPr>
                <w:rFonts w:hint="eastAsia" w:ascii="宋体" w:hAnsi="宋体" w:eastAsia="宋体" w:cs="宋体"/>
                <w:bCs/>
                <w:sz w:val="24"/>
                <w:highlight w:val="none"/>
              </w:rPr>
              <w:t>否</w:t>
            </w:r>
          </w:p>
        </w:tc>
      </w:tr>
      <w:tr w14:paraId="5F4F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14:paraId="36AF837E">
            <w:pPr>
              <w:jc w:val="center"/>
              <w:rPr>
                <w:rFonts w:hint="default" w:cs="宋体" w:asciiTheme="minorEastAsia" w:hAnsiTheme="minorEastAsia" w:eastAsiaTheme="minorEastAsia"/>
                <w:b/>
                <w:bCs/>
                <w:sz w:val="24"/>
                <w:highlight w:val="none"/>
                <w:lang w:val="en-US" w:eastAsia="zh-CN"/>
              </w:rPr>
            </w:pPr>
            <w:r>
              <w:rPr>
                <w:rFonts w:hint="eastAsia" w:cs="宋体" w:asciiTheme="minorEastAsia" w:hAnsiTheme="minorEastAsia"/>
                <w:b/>
                <w:bCs/>
                <w:sz w:val="24"/>
                <w:highlight w:val="none"/>
                <w:lang w:val="en-US" w:eastAsia="zh-CN"/>
              </w:rPr>
              <w:t>30</w:t>
            </w:r>
          </w:p>
        </w:tc>
        <w:tc>
          <w:tcPr>
            <w:tcW w:w="778" w:type="pct"/>
            <w:vAlign w:val="center"/>
          </w:tcPr>
          <w:p w14:paraId="462AC79D">
            <w:pPr>
              <w:pStyle w:val="102"/>
              <w:jc w:val="center"/>
              <w:rPr>
                <w:rFonts w:hint="eastAsia" w:ascii="宋体" w:hAnsi="宋体" w:cs="宋体"/>
                <w:kern w:val="0"/>
                <w:highlight w:val="none"/>
                <w:lang w:bidi="ar"/>
              </w:rPr>
            </w:pPr>
            <w:r>
              <w:rPr>
                <w:rFonts w:hint="eastAsia" w:ascii="宋体" w:hAnsi="宋体" w:cs="宋体"/>
                <w:kern w:val="0"/>
                <w:highlight w:val="none"/>
                <w:lang w:bidi="ar"/>
              </w:rPr>
              <w:t>智能应用网关</w:t>
            </w:r>
          </w:p>
          <w:p w14:paraId="2E0D21ED">
            <w:pPr>
              <w:pStyle w:val="102"/>
              <w:jc w:val="center"/>
              <w:rPr>
                <w:rFonts w:hint="eastAsia" w:ascii="宋体" w:hAnsi="宋体" w:cs="宋体"/>
                <w:kern w:val="0"/>
                <w:highlight w:val="none"/>
                <w:lang w:bidi="ar"/>
              </w:rPr>
            </w:pPr>
            <w:r>
              <w:rPr>
                <w:rFonts w:hint="eastAsia" w:ascii="宋体" w:hAnsi="宋体" w:cs="宋体"/>
                <w:kern w:val="0"/>
                <w:highlight w:val="none"/>
                <w:lang w:bidi="ar"/>
              </w:rPr>
              <w:t>系统升级服务</w:t>
            </w:r>
          </w:p>
        </w:tc>
        <w:tc>
          <w:tcPr>
            <w:tcW w:w="2378" w:type="pct"/>
            <w:vAlign w:val="center"/>
          </w:tcPr>
          <w:p w14:paraId="14D4E08B">
            <w:pPr>
              <w:widowControl/>
              <w:ind w:firstLine="420" w:firstLineChars="200"/>
              <w:textAlignment w:val="center"/>
              <w:rPr>
                <w:rFonts w:hint="eastAsia"/>
                <w:sz w:val="21"/>
                <w:szCs w:val="21"/>
                <w:highlight w:val="none"/>
              </w:rPr>
            </w:pPr>
            <w:r>
              <w:rPr>
                <w:rFonts w:hint="eastAsia"/>
                <w:color w:val="auto"/>
                <w:sz w:val="21"/>
                <w:szCs w:val="21"/>
                <w:highlight w:val="none"/>
                <w:lang w:val="en-US" w:eastAsia="zh-CN"/>
              </w:rPr>
              <w:t>提供对已有设备“</w:t>
            </w:r>
            <w:r>
              <w:rPr>
                <w:rFonts w:hint="eastAsia"/>
                <w:color w:val="auto"/>
                <w:sz w:val="21"/>
                <w:szCs w:val="21"/>
                <w:highlight w:val="none"/>
              </w:rPr>
              <w:t>派网智能网关(PB5B469-29AK )</w:t>
            </w:r>
            <w:r>
              <w:rPr>
                <w:rFonts w:hint="eastAsia"/>
                <w:color w:val="auto"/>
                <w:sz w:val="21"/>
                <w:szCs w:val="21"/>
                <w:highlight w:val="none"/>
                <w:lang w:val="en-US" w:eastAsia="zh-CN"/>
              </w:rPr>
              <w:t>”</w:t>
            </w:r>
            <w:r>
              <w:rPr>
                <w:rFonts w:hint="eastAsia"/>
                <w:sz w:val="21"/>
                <w:szCs w:val="21"/>
                <w:highlight w:val="none"/>
              </w:rPr>
              <w:t>整机原厂延保服务</w:t>
            </w:r>
            <w:r>
              <w:rPr>
                <w:rFonts w:hint="eastAsia"/>
                <w:sz w:val="21"/>
                <w:szCs w:val="21"/>
                <w:highlight w:val="none"/>
                <w:lang w:val="en-US" w:eastAsia="zh-CN"/>
              </w:rPr>
              <w:t>两</w:t>
            </w:r>
            <w:r>
              <w:rPr>
                <w:rFonts w:hint="eastAsia"/>
                <w:sz w:val="21"/>
                <w:szCs w:val="21"/>
                <w:highlight w:val="none"/>
              </w:rPr>
              <w:t>年。</w:t>
            </w:r>
          </w:p>
          <w:p w14:paraId="53890F0D">
            <w:pPr>
              <w:widowControl/>
              <w:ind w:firstLine="420" w:firstLineChars="200"/>
              <w:textAlignment w:val="center"/>
              <w:rPr>
                <w:rFonts w:hint="eastAsia"/>
                <w:sz w:val="21"/>
                <w:szCs w:val="21"/>
                <w:highlight w:val="none"/>
              </w:rPr>
            </w:pPr>
            <w:r>
              <w:rPr>
                <w:rFonts w:hint="eastAsia"/>
                <w:sz w:val="21"/>
                <w:szCs w:val="21"/>
                <w:highlight w:val="none"/>
              </w:rPr>
              <w:t>1、故障处理响应方案：电话支持、远程支持及现场支持三种服务方式。我司接到用户的服务请求后，将首先通过电话支持服务的方式或远程服务进行服务响应。若仍无法排除故障的，经双方确认是否需要进行现场技术支持，我司将提供现场支持服务，以确保用户的设备能正常工作。</w:t>
            </w:r>
          </w:p>
          <w:p w14:paraId="155D9D2E">
            <w:pPr>
              <w:widowControl/>
              <w:ind w:firstLine="420" w:firstLineChars="200"/>
              <w:textAlignment w:val="center"/>
              <w:rPr>
                <w:rFonts w:hint="eastAsia"/>
                <w:sz w:val="21"/>
                <w:szCs w:val="21"/>
                <w:highlight w:val="none"/>
              </w:rPr>
            </w:pPr>
            <w:r>
              <w:rPr>
                <w:rFonts w:hint="eastAsia"/>
                <w:sz w:val="21"/>
                <w:szCs w:val="21"/>
                <w:highlight w:val="none"/>
              </w:rPr>
              <w:t>2、故障响应时间：</w:t>
            </w:r>
          </w:p>
          <w:p w14:paraId="729A24F7">
            <w:pPr>
              <w:widowControl/>
              <w:ind w:firstLine="420" w:firstLineChars="200"/>
              <w:textAlignment w:val="center"/>
              <w:rPr>
                <w:rFonts w:hint="eastAsia"/>
                <w:sz w:val="21"/>
                <w:szCs w:val="21"/>
                <w:highlight w:val="none"/>
              </w:rPr>
            </w:pPr>
            <w:r>
              <w:rPr>
                <w:rFonts w:hint="eastAsia"/>
                <w:sz w:val="21"/>
                <w:szCs w:val="21"/>
                <w:highlight w:val="none"/>
              </w:rPr>
              <w:t>1)严重故障，因故障造成的整个系统瘫痪,在2小时内修复；</w:t>
            </w:r>
          </w:p>
          <w:p w14:paraId="05F75535">
            <w:pPr>
              <w:widowControl/>
              <w:ind w:firstLine="420" w:firstLineChars="200"/>
              <w:textAlignment w:val="center"/>
              <w:rPr>
                <w:rFonts w:hint="eastAsia"/>
                <w:sz w:val="21"/>
                <w:szCs w:val="21"/>
                <w:highlight w:val="none"/>
              </w:rPr>
            </w:pPr>
            <w:r>
              <w:rPr>
                <w:rFonts w:hint="eastAsia"/>
                <w:sz w:val="21"/>
                <w:szCs w:val="21"/>
                <w:highlight w:val="none"/>
              </w:rPr>
              <w:t>2)重要故障，因故障严重影响系统运行,在4小时内修复；</w:t>
            </w:r>
          </w:p>
          <w:p w14:paraId="2FC44790">
            <w:pPr>
              <w:widowControl/>
              <w:ind w:firstLine="420" w:firstLineChars="200"/>
              <w:textAlignment w:val="center"/>
              <w:rPr>
                <w:rFonts w:hint="eastAsia"/>
                <w:sz w:val="21"/>
                <w:szCs w:val="21"/>
                <w:highlight w:val="none"/>
              </w:rPr>
            </w:pPr>
            <w:r>
              <w:rPr>
                <w:rFonts w:hint="eastAsia"/>
                <w:sz w:val="21"/>
                <w:szCs w:val="21"/>
                <w:highlight w:val="none"/>
              </w:rPr>
              <w:t>3)普通故障，因故障影响系统的效率，但系统仍然可以运行,6小时内修复；</w:t>
            </w:r>
          </w:p>
          <w:p w14:paraId="37F20F0A">
            <w:pPr>
              <w:widowControl/>
              <w:ind w:firstLine="420" w:firstLineChars="200"/>
              <w:textAlignment w:val="center"/>
              <w:rPr>
                <w:rFonts w:hint="eastAsia"/>
                <w:sz w:val="21"/>
                <w:szCs w:val="21"/>
                <w:highlight w:val="none"/>
              </w:rPr>
            </w:pPr>
            <w:r>
              <w:rPr>
                <w:rFonts w:hint="eastAsia"/>
                <w:sz w:val="21"/>
                <w:szCs w:val="21"/>
                <w:highlight w:val="none"/>
              </w:rPr>
              <w:t>4)次要故障，因软件升级，系统上一些功能未能实现，一天内修复。</w:t>
            </w:r>
          </w:p>
          <w:p w14:paraId="0967CEF0">
            <w:pPr>
              <w:widowControl/>
              <w:ind w:firstLine="420" w:firstLineChars="200"/>
              <w:textAlignment w:val="center"/>
              <w:rPr>
                <w:rFonts w:hint="eastAsia"/>
                <w:sz w:val="21"/>
                <w:szCs w:val="21"/>
                <w:highlight w:val="none"/>
              </w:rPr>
            </w:pPr>
            <w:r>
              <w:rPr>
                <w:rFonts w:hint="eastAsia"/>
                <w:sz w:val="21"/>
                <w:szCs w:val="21"/>
                <w:highlight w:val="none"/>
              </w:rPr>
              <w:t>3、返修流程：若模块在质保期内出现故障，直接与备品备件库联系，当天内申请更换替用设备；若模块在质保期外出现故障，需寄厂返修，返修时间为5个工作日内寄回模块至买方。</w:t>
            </w:r>
          </w:p>
          <w:p w14:paraId="318996BB">
            <w:pPr>
              <w:widowControl/>
              <w:ind w:firstLine="420" w:firstLineChars="200"/>
              <w:textAlignment w:val="center"/>
              <w:rPr>
                <w:rFonts w:hint="eastAsia"/>
                <w:sz w:val="21"/>
                <w:szCs w:val="21"/>
                <w:highlight w:val="none"/>
              </w:rPr>
            </w:pPr>
            <w:r>
              <w:rPr>
                <w:rFonts w:hint="eastAsia"/>
                <w:sz w:val="21"/>
                <w:szCs w:val="21"/>
                <w:highlight w:val="none"/>
              </w:rPr>
              <w:t>4、服务内容：软件升级、巡检服务（每年巡检≥2次）、软件检查、硬件检查、现场培训、产品材料及手册更新。</w:t>
            </w:r>
          </w:p>
          <w:p w14:paraId="426AD07D">
            <w:pPr>
              <w:widowControl/>
              <w:ind w:firstLine="420" w:firstLineChars="200"/>
              <w:textAlignment w:val="center"/>
              <w:rPr>
                <w:rFonts w:hint="eastAsia"/>
                <w:sz w:val="21"/>
                <w:szCs w:val="21"/>
                <w:highlight w:val="none"/>
              </w:rPr>
            </w:pPr>
            <w:r>
              <w:rPr>
                <w:rFonts w:hint="eastAsia"/>
                <w:sz w:val="21"/>
                <w:szCs w:val="21"/>
                <w:highlight w:val="none"/>
              </w:rPr>
              <w:t>5、保修期内服务承诺：</w:t>
            </w:r>
          </w:p>
          <w:p w14:paraId="6FC77636">
            <w:pPr>
              <w:widowControl/>
              <w:ind w:firstLine="420" w:firstLineChars="200"/>
              <w:textAlignment w:val="center"/>
              <w:rPr>
                <w:rFonts w:hint="eastAsia"/>
                <w:sz w:val="21"/>
                <w:szCs w:val="21"/>
                <w:highlight w:val="none"/>
              </w:rPr>
            </w:pPr>
            <w:r>
              <w:rPr>
                <w:rFonts w:hint="eastAsia"/>
                <w:sz w:val="21"/>
                <w:szCs w:val="21"/>
                <w:highlight w:val="none"/>
              </w:rPr>
              <w:t>1）提供7×24小时的本地售后服务响应支持；</w:t>
            </w:r>
          </w:p>
          <w:p w14:paraId="53D81C35">
            <w:pPr>
              <w:widowControl/>
              <w:ind w:firstLine="420" w:firstLineChars="200"/>
              <w:textAlignment w:val="center"/>
              <w:rPr>
                <w:rFonts w:hint="eastAsia"/>
                <w:sz w:val="21"/>
                <w:szCs w:val="21"/>
                <w:highlight w:val="none"/>
              </w:rPr>
            </w:pPr>
            <w:r>
              <w:rPr>
                <w:rFonts w:hint="eastAsia"/>
                <w:sz w:val="21"/>
                <w:szCs w:val="21"/>
                <w:highlight w:val="none"/>
              </w:rPr>
              <w:t>2）响应时间：我司在吉林省地市均配备了专属的技术工程师，可以保证及时处理各类问题；</w:t>
            </w:r>
          </w:p>
          <w:p w14:paraId="3D6C7B41">
            <w:pPr>
              <w:widowControl/>
              <w:textAlignment w:val="center"/>
              <w:rPr>
                <w:rFonts w:ascii="宋体" w:hAnsi="宋体" w:eastAsia="宋体" w:cs="宋体"/>
                <w:bCs/>
                <w:sz w:val="24"/>
                <w:highlight w:val="none"/>
              </w:rPr>
            </w:pPr>
            <w:r>
              <w:rPr>
                <w:rFonts w:hint="eastAsia"/>
                <w:sz w:val="21"/>
                <w:szCs w:val="21"/>
                <w:highlight w:val="none"/>
              </w:rPr>
              <w:t>3）公司提供24小时客户服务热线；</w:t>
            </w:r>
          </w:p>
        </w:tc>
        <w:tc>
          <w:tcPr>
            <w:tcW w:w="635" w:type="pct"/>
            <w:vAlign w:val="center"/>
          </w:tcPr>
          <w:p w14:paraId="6DF552FB">
            <w:pPr>
              <w:pStyle w:val="102"/>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1项</w:t>
            </w:r>
          </w:p>
        </w:tc>
        <w:tc>
          <w:tcPr>
            <w:tcW w:w="412" w:type="pct"/>
            <w:vAlign w:val="center"/>
          </w:tcPr>
          <w:p w14:paraId="5BE7315D">
            <w:pPr>
              <w:widowControl/>
              <w:jc w:val="center"/>
              <w:textAlignment w:val="bottom"/>
              <w:rPr>
                <w:rFonts w:hint="eastAsia"/>
                <w:highlight w:val="none"/>
              </w:rPr>
            </w:pPr>
            <w:r>
              <w:rPr>
                <w:rFonts w:hint="eastAsia"/>
                <w:highlight w:val="none"/>
              </w:rPr>
              <w:t>软件和信息技术服务业</w:t>
            </w:r>
          </w:p>
        </w:tc>
        <w:tc>
          <w:tcPr>
            <w:tcW w:w="366" w:type="pct"/>
            <w:vAlign w:val="center"/>
          </w:tcPr>
          <w:p w14:paraId="0AE8DA51">
            <w:pPr>
              <w:spacing w:line="360" w:lineRule="auto"/>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否</w:t>
            </w:r>
          </w:p>
        </w:tc>
      </w:tr>
      <w:bookmarkEnd w:id="36"/>
      <w:bookmarkEnd w:id="37"/>
      <w:bookmarkEnd w:id="38"/>
    </w:tbl>
    <w:p w14:paraId="18ADEF7F">
      <w:pPr>
        <w:rPr>
          <w:rFonts w:hint="eastAsia"/>
          <w:b/>
          <w:sz w:val="24"/>
          <w:szCs w:val="24"/>
          <w:highlight w:val="none"/>
        </w:rPr>
      </w:pPr>
    </w:p>
    <w:p w14:paraId="37F50D0A">
      <w:pPr>
        <w:rPr>
          <w:b/>
          <w:sz w:val="24"/>
          <w:szCs w:val="24"/>
          <w:highlight w:val="none"/>
        </w:rPr>
      </w:pPr>
      <w:r>
        <w:rPr>
          <w:rFonts w:hint="eastAsia"/>
          <w:b/>
          <w:sz w:val="24"/>
          <w:szCs w:val="24"/>
          <w:highlight w:val="none"/>
        </w:rPr>
        <w:t xml:space="preserve"> 核心产品(适用于非单一产品采购）为：第 20 项（升级统一门户）。</w:t>
      </w:r>
    </w:p>
    <w:p w14:paraId="595A00F0">
      <w:pPr>
        <w:autoSpaceDE w:val="0"/>
        <w:autoSpaceDN w:val="0"/>
        <w:adjustRightInd w:val="0"/>
        <w:ind w:firstLine="480"/>
        <w:rPr>
          <w:rFonts w:ascii="宋体"/>
          <w:b/>
          <w:color w:val="000000"/>
          <w:sz w:val="24"/>
          <w:szCs w:val="24"/>
          <w:highlight w:val="none"/>
        </w:rPr>
      </w:pPr>
      <w:r>
        <w:rPr>
          <w:rFonts w:hint="eastAsia"/>
          <w:b/>
          <w:sz w:val="24"/>
          <w:szCs w:val="24"/>
          <w:highlight w:val="none"/>
        </w:rPr>
        <w:t xml:space="preserve">    </w:t>
      </w:r>
      <w:r>
        <w:rPr>
          <w:rFonts w:hint="eastAsia" w:ascii="宋体" w:cs="宋体"/>
          <w:b/>
          <w:color w:val="000000"/>
          <w:sz w:val="24"/>
          <w:szCs w:val="24"/>
          <w:highlight w:val="none"/>
          <w:lang w:val="zh-CN"/>
        </w:rPr>
        <w:t>质量保证期：</w:t>
      </w:r>
      <w:r>
        <w:rPr>
          <w:rFonts w:hint="eastAsia" w:ascii="宋体" w:cs="宋体"/>
          <w:b/>
          <w:color w:val="000000"/>
          <w:sz w:val="24"/>
          <w:szCs w:val="24"/>
          <w:highlight w:val="none"/>
        </w:rPr>
        <w:t>3年</w:t>
      </w:r>
    </w:p>
    <w:p w14:paraId="411A6607">
      <w:pPr>
        <w:autoSpaceDE w:val="0"/>
        <w:autoSpaceDN w:val="0"/>
        <w:adjustRightInd w:val="0"/>
        <w:ind w:firstLine="480"/>
        <w:rPr>
          <w:rFonts w:ascii="宋体"/>
          <w:b/>
          <w:color w:val="000000"/>
          <w:sz w:val="24"/>
          <w:szCs w:val="24"/>
          <w:highlight w:val="none"/>
          <w:lang w:val="zh-CN"/>
        </w:rPr>
      </w:pPr>
      <w:r>
        <w:rPr>
          <w:rFonts w:hint="eastAsia" w:ascii="宋体" w:cs="宋体"/>
          <w:b/>
          <w:color w:val="000000"/>
          <w:sz w:val="24"/>
          <w:szCs w:val="24"/>
          <w:highlight w:val="none"/>
          <w:lang w:val="zh-CN"/>
        </w:rPr>
        <w:t xml:space="preserve">    交货时间：合同订立后</w:t>
      </w:r>
      <w:r>
        <w:rPr>
          <w:rFonts w:ascii="宋体" w:cs="宋体"/>
          <w:b/>
          <w:color w:val="000000"/>
          <w:sz w:val="24"/>
          <w:szCs w:val="24"/>
          <w:highlight w:val="none"/>
          <w:u w:val="single"/>
          <w:lang w:val="zh-CN"/>
        </w:rPr>
        <w:t xml:space="preserve"> </w:t>
      </w:r>
      <w:r>
        <w:rPr>
          <w:rFonts w:hint="eastAsia" w:ascii="宋体" w:cs="宋体"/>
          <w:b/>
          <w:color w:val="000000"/>
          <w:sz w:val="24"/>
          <w:szCs w:val="24"/>
          <w:highlight w:val="none"/>
          <w:u w:val="single"/>
          <w:lang w:val="en-US" w:eastAsia="zh-CN"/>
        </w:rPr>
        <w:t>5</w:t>
      </w:r>
      <w:r>
        <w:rPr>
          <w:rFonts w:hint="eastAsia" w:ascii="宋体" w:cs="宋体"/>
          <w:b/>
          <w:color w:val="000000"/>
          <w:sz w:val="24"/>
          <w:szCs w:val="24"/>
          <w:highlight w:val="none"/>
          <w:u w:val="single"/>
        </w:rPr>
        <w:t>0</w:t>
      </w:r>
      <w:r>
        <w:rPr>
          <w:rFonts w:ascii="宋体" w:cs="宋体"/>
          <w:b/>
          <w:color w:val="000000"/>
          <w:sz w:val="24"/>
          <w:szCs w:val="24"/>
          <w:highlight w:val="none"/>
          <w:u w:val="single"/>
          <w:lang w:val="zh-CN"/>
        </w:rPr>
        <w:t xml:space="preserve"> </w:t>
      </w:r>
      <w:r>
        <w:rPr>
          <w:rFonts w:hint="eastAsia" w:ascii="宋体" w:cs="宋体"/>
          <w:b/>
          <w:color w:val="000000"/>
          <w:sz w:val="24"/>
          <w:szCs w:val="24"/>
          <w:highlight w:val="none"/>
          <w:lang w:val="zh-CN"/>
        </w:rPr>
        <w:t>天内完成软件部署及调试。</w:t>
      </w:r>
    </w:p>
    <w:p w14:paraId="3F052E01">
      <w:pPr>
        <w:autoSpaceDE w:val="0"/>
        <w:autoSpaceDN w:val="0"/>
        <w:adjustRightInd w:val="0"/>
        <w:ind w:firstLine="480"/>
        <w:rPr>
          <w:rFonts w:ascii="宋体"/>
          <w:b/>
          <w:bCs/>
          <w:color w:val="000000"/>
          <w:sz w:val="24"/>
          <w:szCs w:val="24"/>
          <w:highlight w:val="none"/>
          <w:lang w:val="zh-CN"/>
        </w:rPr>
      </w:pPr>
      <w:r>
        <w:rPr>
          <w:rFonts w:hint="eastAsia" w:ascii="宋体" w:cs="宋体"/>
          <w:b/>
          <w:color w:val="000000"/>
          <w:sz w:val="24"/>
          <w:szCs w:val="24"/>
          <w:highlight w:val="none"/>
          <w:lang w:val="zh-CN"/>
        </w:rPr>
        <w:t xml:space="preserve">    交货地点：</w:t>
      </w:r>
      <w:r>
        <w:rPr>
          <w:rFonts w:hint="eastAsia" w:ascii="宋体" w:cs="宋体"/>
          <w:b/>
          <w:color w:val="000000"/>
          <w:sz w:val="24"/>
          <w:szCs w:val="24"/>
          <w:highlight w:val="none"/>
        </w:rPr>
        <w:t>吉林工业职业技术学院指定地点。</w:t>
      </w:r>
    </w:p>
    <w:p w14:paraId="1172CBE4">
      <w:pPr>
        <w:tabs>
          <w:tab w:val="left" w:pos="3120"/>
        </w:tabs>
        <w:autoSpaceDE w:val="0"/>
        <w:autoSpaceDN w:val="0"/>
        <w:adjustRightInd w:val="0"/>
        <w:ind w:firstLine="482"/>
        <w:rPr>
          <w:rFonts w:ascii="宋体"/>
          <w:b/>
          <w:color w:val="000000"/>
          <w:sz w:val="24"/>
          <w:szCs w:val="24"/>
          <w:highlight w:val="none"/>
          <w:lang w:val="zh-CN"/>
        </w:rPr>
      </w:pPr>
      <w:r>
        <w:rPr>
          <w:rFonts w:hint="eastAsia" w:ascii="宋体" w:cs="宋体"/>
          <w:b/>
          <w:color w:val="000000"/>
          <w:sz w:val="24"/>
          <w:szCs w:val="24"/>
          <w:highlight w:val="none"/>
          <w:lang w:val="zh-CN"/>
        </w:rPr>
        <w:t xml:space="preserve">    交货方式：中标人负责将货物安全完好运抵交货地点、安装调试并保证验收合格。</w:t>
      </w:r>
    </w:p>
    <w:p w14:paraId="77567AFC">
      <w:pPr>
        <w:rPr>
          <w:highlight w:val="none"/>
        </w:rPr>
      </w:pPr>
      <w:r>
        <w:rPr>
          <w:rFonts w:hint="eastAsia" w:ascii="宋体" w:cs="宋体"/>
          <w:b/>
          <w:bCs/>
          <w:color w:val="000000"/>
          <w:sz w:val="24"/>
          <w:szCs w:val="24"/>
          <w:highlight w:val="none"/>
          <w:lang w:val="zh-CN"/>
        </w:rPr>
        <w:t xml:space="preserve">        请投标人注意：（</w:t>
      </w:r>
      <w:r>
        <w:rPr>
          <w:rFonts w:ascii="宋体" w:cs="宋体"/>
          <w:b/>
          <w:bCs/>
          <w:color w:val="000000"/>
          <w:sz w:val="24"/>
          <w:szCs w:val="24"/>
          <w:highlight w:val="none"/>
          <w:lang w:val="zh-CN"/>
        </w:rPr>
        <w:t>1</w:t>
      </w:r>
      <w:r>
        <w:rPr>
          <w:rFonts w:hint="eastAsia" w:ascii="宋体" w:cs="宋体"/>
          <w:b/>
          <w:bCs/>
          <w:color w:val="000000"/>
          <w:sz w:val="24"/>
          <w:szCs w:val="24"/>
          <w:highlight w:val="none"/>
          <w:lang w:val="zh-CN"/>
        </w:rPr>
        <w:t>）投标文件对招标文件各种设备所要求的主要功能配置及其技术指标必须全部满足，不允许有缺项或者负偏离，如果不满足将导致废标。</w:t>
      </w:r>
    </w:p>
    <w:p w14:paraId="38DA75F0">
      <w:pPr>
        <w:rPr>
          <w:rFonts w:hint="eastAsia"/>
        </w:rPr>
      </w:pPr>
      <w:r>
        <w:rPr>
          <w:rFonts w:hint="eastAsia"/>
        </w:rPr>
        <w:br w:type="page"/>
      </w:r>
    </w:p>
    <w:p w14:paraId="635E633E">
      <w:pPr>
        <w:pStyle w:val="3"/>
        <w:bidi w:val="0"/>
        <w:jc w:val="center"/>
      </w:pPr>
      <w:r>
        <w:rPr>
          <w:rFonts w:hint="eastAsia"/>
        </w:rPr>
        <w:t>第四章  评审</w:t>
      </w:r>
      <w:r>
        <w:rPr>
          <w:rFonts w:hint="eastAsia"/>
          <w:lang w:eastAsia="zh-CN"/>
        </w:rPr>
        <w:t>办</w:t>
      </w:r>
      <w:r>
        <w:rPr>
          <w:rFonts w:hint="eastAsia"/>
        </w:rPr>
        <w:t>法</w:t>
      </w:r>
      <w:bookmarkEnd w:id="31"/>
      <w:bookmarkEnd w:id="32"/>
      <w:bookmarkEnd w:id="33"/>
      <w:bookmarkEnd w:id="34"/>
    </w:p>
    <w:p w14:paraId="2D0BD025">
      <w:pPr>
        <w:ind w:firstLine="241" w:firstLineChars="100"/>
        <w:outlineLvl w:val="1"/>
        <w:rPr>
          <w:rFonts w:ascii="宋体" w:hAnsi="宋体" w:cs="宋体"/>
          <w:b/>
          <w:bCs/>
          <w:kern w:val="44"/>
          <w:sz w:val="24"/>
        </w:rPr>
      </w:pPr>
      <w:bookmarkStart w:id="39" w:name="_Toc22331"/>
      <w:r>
        <w:rPr>
          <w:rFonts w:hint="eastAsia" w:ascii="宋体" w:hAnsi="宋体" w:cs="宋体"/>
          <w:b/>
          <w:sz w:val="24"/>
        </w:rPr>
        <w:t>（一）资格性评审前附表</w:t>
      </w:r>
      <w:bookmarkEnd w:id="35"/>
      <w:bookmarkEnd w:id="39"/>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3E8EB2B3">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3D3A2E3F">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09203AE7">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4" w:type="dxa"/>
            <w:vMerge w:val="restart"/>
            <w:vAlign w:val="center"/>
          </w:tcPr>
          <w:p w14:paraId="5113F044">
            <w:pPr>
              <w:autoSpaceDE w:val="0"/>
              <w:autoSpaceDN w:val="0"/>
              <w:adjustRightIn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1.1</w:t>
            </w:r>
          </w:p>
        </w:tc>
        <w:tc>
          <w:tcPr>
            <w:tcW w:w="912" w:type="dxa"/>
            <w:vMerge w:val="restart"/>
            <w:vAlign w:val="center"/>
          </w:tcPr>
          <w:p w14:paraId="457BE70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资格评</w:t>
            </w:r>
          </w:p>
          <w:p w14:paraId="01DDCC9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审标准</w:t>
            </w:r>
          </w:p>
          <w:p w14:paraId="536C6DF9">
            <w:pPr>
              <w:autoSpaceDE w:val="0"/>
              <w:autoSpaceDN w:val="0"/>
              <w:adjustRightInd w:val="0"/>
              <w:spacing w:line="400" w:lineRule="exact"/>
              <w:jc w:val="center"/>
              <w:rPr>
                <w:rFonts w:ascii="宋体" w:hAnsi="宋体" w:cs="宋体"/>
                <w:bCs/>
                <w:szCs w:val="21"/>
                <w:lang w:val="zh-CN"/>
              </w:rPr>
            </w:pPr>
          </w:p>
        </w:tc>
        <w:tc>
          <w:tcPr>
            <w:tcW w:w="1550" w:type="dxa"/>
            <w:vAlign w:val="center"/>
          </w:tcPr>
          <w:p w14:paraId="576C4E3C">
            <w:pPr>
              <w:autoSpaceDE w:val="0"/>
              <w:autoSpaceDN w:val="0"/>
              <w:adjustRightInd w:val="0"/>
              <w:spacing w:line="360" w:lineRule="auto"/>
              <w:jc w:val="center"/>
              <w:rPr>
                <w:rFonts w:ascii="宋体" w:hAnsi="宋体" w:cs="宋体"/>
                <w:bCs/>
                <w:szCs w:val="21"/>
                <w:lang w:val="zh-CN"/>
              </w:rPr>
            </w:pPr>
            <w:r>
              <w:rPr>
                <w:rFonts w:hint="eastAsia" w:ascii="宋体" w:hAnsi="宋体" w:cs="宋体"/>
                <w:color w:val="auto"/>
                <w:sz w:val="24"/>
                <w:szCs w:val="24"/>
              </w:rPr>
              <w:t>营业执照等证明文件</w:t>
            </w:r>
          </w:p>
        </w:tc>
        <w:tc>
          <w:tcPr>
            <w:tcW w:w="6054" w:type="dxa"/>
            <w:vAlign w:val="center"/>
          </w:tcPr>
          <w:p w14:paraId="65817C3C">
            <w:pPr>
              <w:autoSpaceDE w:val="0"/>
              <w:autoSpaceDN w:val="0"/>
              <w:adjustRightInd w:val="0"/>
              <w:jc w:val="left"/>
              <w:rPr>
                <w:rFonts w:ascii="宋体" w:hAnsi="宋体" w:cs="宋体"/>
                <w:bCs/>
                <w:szCs w:val="21"/>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64" w:type="dxa"/>
            <w:vMerge w:val="continue"/>
            <w:vAlign w:val="center"/>
          </w:tcPr>
          <w:p w14:paraId="41C424E1">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6A48B73F">
            <w:pPr>
              <w:autoSpaceDE w:val="0"/>
              <w:autoSpaceDN w:val="0"/>
              <w:adjustRightInd w:val="0"/>
              <w:spacing w:line="400" w:lineRule="exact"/>
              <w:jc w:val="left"/>
              <w:rPr>
                <w:rFonts w:ascii="宋体" w:hAnsi="宋体" w:cs="宋体"/>
                <w:bCs/>
                <w:szCs w:val="21"/>
                <w:lang w:val="zh-CN"/>
              </w:rPr>
            </w:pPr>
          </w:p>
        </w:tc>
        <w:tc>
          <w:tcPr>
            <w:tcW w:w="1550" w:type="dxa"/>
            <w:vAlign w:val="center"/>
          </w:tcPr>
          <w:p w14:paraId="3EC2691D">
            <w:pPr>
              <w:wordWrap w:val="0"/>
              <w:jc w:val="center"/>
              <w:rPr>
                <w:rFonts w:hint="eastAsia" w:ascii="宋体" w:hAnsi="宋体" w:cs="宋体"/>
                <w:bCs/>
                <w:szCs w:val="21"/>
                <w:lang w:val="zh-CN"/>
              </w:rPr>
            </w:pPr>
            <w:r>
              <w:rPr>
                <w:rFonts w:hint="eastAsia" w:ascii="宋体" w:hAnsi="宋体" w:cs="宋体"/>
                <w:color w:val="auto"/>
                <w:sz w:val="24"/>
                <w:szCs w:val="24"/>
                <w:lang w:val="en-US" w:eastAsia="zh-CN"/>
              </w:rPr>
              <w:t>中小企业声明函</w:t>
            </w:r>
          </w:p>
        </w:tc>
        <w:tc>
          <w:tcPr>
            <w:tcW w:w="6054" w:type="dxa"/>
            <w:vAlign w:val="center"/>
          </w:tcPr>
          <w:p w14:paraId="2DB62450">
            <w:pPr>
              <w:wordWrap w:val="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1、中小企业须出具《政府采购促进中小企业发展管理办法》的通知（财库〔2020〕46号）规定的《中小企业声明函》。</w:t>
            </w:r>
          </w:p>
          <w:p w14:paraId="47DF2CC6">
            <w:pPr>
              <w:wordWrap w:val="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此次若有监狱企业参加投标的，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w:t>
            </w:r>
          </w:p>
          <w:p w14:paraId="19441085">
            <w:pPr>
              <w:wordWrap w:val="0"/>
              <w:jc w:val="left"/>
              <w:rPr>
                <w:rFonts w:hint="eastAsia" w:ascii="宋体" w:hAnsi="宋体" w:cs="宋体"/>
                <w:bCs/>
                <w:szCs w:val="21"/>
                <w:lang w:val="zh-CN"/>
              </w:rPr>
            </w:pPr>
            <w:r>
              <w:rPr>
                <w:rFonts w:hint="eastAsia" w:ascii="宋体" w:hAnsi="宋体" w:eastAsia="宋体" w:cs="宋体"/>
                <w:color w:val="auto"/>
                <w:sz w:val="24"/>
                <w:szCs w:val="24"/>
                <w:lang w:val="zh-CN" w:eastAsia="zh-CN"/>
              </w:rPr>
              <w:t>3、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648A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64" w:type="dxa"/>
            <w:vMerge w:val="continue"/>
            <w:vAlign w:val="center"/>
          </w:tcPr>
          <w:p w14:paraId="38612970">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71925D9F">
            <w:pPr>
              <w:autoSpaceDE w:val="0"/>
              <w:autoSpaceDN w:val="0"/>
              <w:adjustRightInd w:val="0"/>
              <w:spacing w:line="400" w:lineRule="exact"/>
              <w:jc w:val="left"/>
              <w:rPr>
                <w:rFonts w:ascii="宋体" w:hAnsi="宋体" w:cs="宋体"/>
                <w:bCs/>
                <w:szCs w:val="21"/>
                <w:lang w:val="zh-CN"/>
              </w:rPr>
            </w:pPr>
          </w:p>
        </w:tc>
        <w:tc>
          <w:tcPr>
            <w:tcW w:w="1550" w:type="dxa"/>
            <w:vAlign w:val="center"/>
          </w:tcPr>
          <w:p w14:paraId="32C54F48">
            <w:pPr>
              <w:wordWrap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财务状况报告</w:t>
            </w:r>
          </w:p>
        </w:tc>
        <w:tc>
          <w:tcPr>
            <w:tcW w:w="6054" w:type="dxa"/>
            <w:vAlign w:val="center"/>
          </w:tcPr>
          <w:p w14:paraId="0412F856">
            <w:pPr>
              <w:wordWrap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满足第二章“投标人须知”规定的要求。</w:t>
            </w:r>
          </w:p>
          <w:p w14:paraId="7568AC83">
            <w:pPr>
              <w:wordWrap w:val="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供应商提供的财务报表或财务报告应符合下列规定：a.成立年限满3年及以上的投标人，提供近三年（202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年）的年度财务报表或财务审计报告。b.供应商的成立时间少于规定年份的，应提供成立以来至202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年的单位财务报表或财务审计报告。c.无法按照以上a、b项规定提供财务报表或财务报告的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（包括但不限于：202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年之后成立的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），应提供银行出具的资信证明。</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764" w:type="dxa"/>
            <w:vMerge w:val="continue"/>
            <w:vAlign w:val="center"/>
          </w:tcPr>
          <w:p w14:paraId="05A9F949">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328B9DAA">
            <w:pPr>
              <w:autoSpaceDE w:val="0"/>
              <w:autoSpaceDN w:val="0"/>
              <w:adjustRightInd w:val="0"/>
              <w:spacing w:line="400" w:lineRule="exact"/>
              <w:jc w:val="left"/>
              <w:rPr>
                <w:rFonts w:ascii="宋体" w:hAnsi="宋体" w:cs="宋体"/>
                <w:bCs/>
                <w:szCs w:val="21"/>
                <w:lang w:val="zh-CN"/>
              </w:rPr>
            </w:pPr>
          </w:p>
        </w:tc>
        <w:tc>
          <w:tcPr>
            <w:tcW w:w="1550" w:type="dxa"/>
            <w:vAlign w:val="center"/>
          </w:tcPr>
          <w:p w14:paraId="7AC1101F">
            <w:pPr>
              <w:wordWrap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依法缴纳税收证明材料</w:t>
            </w:r>
          </w:p>
        </w:tc>
        <w:tc>
          <w:tcPr>
            <w:tcW w:w="6054" w:type="dxa"/>
            <w:vAlign w:val="top"/>
          </w:tcPr>
          <w:p w14:paraId="1890DA3A">
            <w:pPr>
              <w:wordWrap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，提供投标截止时间前6个月（202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02</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月）中任一月份的税收缴纳凭据。b.投标截止时间的当月成立的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 c.若为依法免税范围的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764" w:type="dxa"/>
            <w:vMerge w:val="continue"/>
            <w:vAlign w:val="center"/>
          </w:tcPr>
          <w:p w14:paraId="36DE19B4">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7B9A26D1">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5F76BDE">
            <w:pPr>
              <w:wordWrap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依法缴纳社会保障资金证明材料</w:t>
            </w:r>
          </w:p>
        </w:tc>
        <w:tc>
          <w:tcPr>
            <w:tcW w:w="6054" w:type="dxa"/>
            <w:vAlign w:val="top"/>
          </w:tcPr>
          <w:p w14:paraId="7F27A5D4">
            <w:pPr>
              <w:wordWrap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供应商提供的社会保障资金缴纳凭据应符合下列规定：a.投标截止时间前（不含投标截止时间的当月）已依法缴纳社会保障资金的投标人，提供近6个月（202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02</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月）任意一个月社保证明。b.投标截止时间的当月成立的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64" w:type="dxa"/>
            <w:vMerge w:val="continue"/>
            <w:vAlign w:val="center"/>
          </w:tcPr>
          <w:p w14:paraId="56E5EFC3">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6E56FC92">
            <w:pPr>
              <w:autoSpaceDE w:val="0"/>
              <w:autoSpaceDN w:val="0"/>
              <w:adjustRightInd w:val="0"/>
              <w:spacing w:line="400" w:lineRule="exact"/>
              <w:jc w:val="left"/>
              <w:rPr>
                <w:rFonts w:ascii="宋体" w:hAnsi="宋体" w:cs="宋体"/>
                <w:bCs/>
                <w:szCs w:val="21"/>
                <w:lang w:val="zh-CN"/>
              </w:rPr>
            </w:pPr>
          </w:p>
        </w:tc>
        <w:tc>
          <w:tcPr>
            <w:tcW w:w="1550" w:type="dxa"/>
            <w:vAlign w:val="top"/>
          </w:tcPr>
          <w:p w14:paraId="04EA4036">
            <w:pPr>
              <w:pStyle w:val="103"/>
              <w:jc w:val="center"/>
              <w:rPr>
                <w:rFonts w:hint="eastAsia" w:ascii="宋体" w:hAnsi="宋体" w:cs="宋体"/>
                <w:bCs/>
                <w:szCs w:val="21"/>
                <w:lang w:val="zh-CN"/>
              </w:rPr>
            </w:pPr>
            <w:r>
              <w:rPr>
                <w:rFonts w:hint="eastAsia" w:ascii="宋体" w:hAnsi="宋体" w:eastAsia="宋体" w:cs="宋体"/>
                <w:color w:val="auto"/>
                <w:kern w:val="2"/>
                <w:sz w:val="24"/>
                <w:szCs w:val="24"/>
                <w:lang w:val="en-US" w:eastAsia="zh-CN" w:bidi="ar-SA"/>
              </w:rPr>
              <w:t>具备履行合同所必需设备和专业技术能力的声明函</w:t>
            </w:r>
          </w:p>
        </w:tc>
        <w:tc>
          <w:tcPr>
            <w:tcW w:w="6054" w:type="dxa"/>
            <w:vAlign w:val="center"/>
          </w:tcPr>
          <w:p w14:paraId="26582AC7">
            <w:pPr>
              <w:wordWrap w:val="0"/>
              <w:jc w:val="both"/>
              <w:rPr>
                <w:rFonts w:hint="eastAsia" w:ascii="宋体" w:hAnsi="宋体" w:cs="宋体"/>
                <w:bCs/>
                <w:szCs w:val="21"/>
              </w:rPr>
            </w:pPr>
            <w:r>
              <w:rPr>
                <w:rFonts w:hint="eastAsia" w:ascii="宋体" w:hAnsi="宋体" w:eastAsia="宋体" w:cs="宋体"/>
                <w:color w:val="auto"/>
                <w:kern w:val="2"/>
                <w:sz w:val="24"/>
                <w:szCs w:val="24"/>
                <w:lang w:val="en-US" w:eastAsia="zh-CN" w:bidi="ar-SA"/>
              </w:rPr>
              <w:t>提供具备履行合同所必需的设备和专业技术能力证明材料或具备履行合同所必需设备和专业技术能力的声明函。</w:t>
            </w:r>
          </w:p>
        </w:tc>
      </w:tr>
      <w:tr w14:paraId="4DC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64" w:type="dxa"/>
            <w:vMerge w:val="continue"/>
            <w:vAlign w:val="center"/>
          </w:tcPr>
          <w:p w14:paraId="20B4C347">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6E9D9069">
            <w:pPr>
              <w:autoSpaceDE w:val="0"/>
              <w:autoSpaceDN w:val="0"/>
              <w:adjustRightInd w:val="0"/>
              <w:spacing w:line="400" w:lineRule="exact"/>
              <w:jc w:val="left"/>
              <w:rPr>
                <w:rFonts w:ascii="宋体" w:hAnsi="宋体" w:cs="宋体"/>
                <w:bCs/>
                <w:szCs w:val="21"/>
                <w:lang w:val="zh-CN"/>
              </w:rPr>
            </w:pPr>
          </w:p>
        </w:tc>
        <w:tc>
          <w:tcPr>
            <w:tcW w:w="1550" w:type="dxa"/>
            <w:vAlign w:val="top"/>
          </w:tcPr>
          <w:p w14:paraId="2FA4DB43">
            <w:pPr>
              <w:wordWrap w:val="0"/>
              <w:jc w:val="center"/>
              <w:rPr>
                <w:rFonts w:hint="eastAsia" w:ascii="宋体" w:hAnsi="宋体" w:cs="宋体"/>
                <w:bCs/>
                <w:szCs w:val="21"/>
                <w:lang w:val="zh-CN"/>
              </w:rPr>
            </w:pPr>
            <w:r>
              <w:rPr>
                <w:rFonts w:hint="eastAsia" w:ascii="宋体" w:hAnsi="宋体" w:eastAsia="宋体" w:cs="宋体"/>
                <w:color w:val="auto"/>
                <w:kern w:val="2"/>
                <w:sz w:val="24"/>
                <w:szCs w:val="24"/>
                <w:lang w:val="en-US" w:eastAsia="zh-CN" w:bidi="ar-SA"/>
              </w:rPr>
              <w:t>参加采购活动前三年内在经营活动中没有重大违法记录的声明</w:t>
            </w:r>
          </w:p>
        </w:tc>
        <w:tc>
          <w:tcPr>
            <w:tcW w:w="6054" w:type="dxa"/>
            <w:vAlign w:val="center"/>
          </w:tcPr>
          <w:p w14:paraId="1F5469F4">
            <w:pPr>
              <w:wordWrap w:val="0"/>
              <w:jc w:val="both"/>
              <w:rPr>
                <w:rFonts w:hint="eastAsia" w:ascii="宋体" w:hAnsi="宋体" w:cs="宋体"/>
                <w:bCs/>
                <w:szCs w:val="21"/>
              </w:rPr>
            </w:pPr>
            <w:r>
              <w:rPr>
                <w:rFonts w:hint="eastAsia" w:ascii="宋体" w:hAnsi="宋体" w:eastAsia="宋体" w:cs="宋体"/>
                <w:color w:val="auto"/>
                <w:kern w:val="2"/>
                <w:sz w:val="24"/>
                <w:szCs w:val="24"/>
                <w:lang w:val="en-US" w:eastAsia="zh-CN" w:bidi="ar-SA"/>
              </w:rPr>
              <w:t>参加政府采购活动前3年内在经营活动中没有重大违法记录的书面声明。</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64" w:type="dxa"/>
            <w:vMerge w:val="continue"/>
            <w:vAlign w:val="center"/>
          </w:tcPr>
          <w:p w14:paraId="716C61A7">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3E2147D6">
            <w:pPr>
              <w:autoSpaceDE w:val="0"/>
              <w:autoSpaceDN w:val="0"/>
              <w:adjustRightInd w:val="0"/>
              <w:spacing w:line="400" w:lineRule="exact"/>
              <w:jc w:val="left"/>
              <w:rPr>
                <w:rFonts w:ascii="宋体" w:hAnsi="宋体" w:cs="宋体"/>
                <w:bCs/>
                <w:szCs w:val="21"/>
                <w:lang w:val="zh-CN"/>
              </w:rPr>
            </w:pPr>
          </w:p>
        </w:tc>
        <w:tc>
          <w:tcPr>
            <w:tcW w:w="1550" w:type="dxa"/>
            <w:vAlign w:val="center"/>
          </w:tcPr>
          <w:p w14:paraId="74695227">
            <w:pPr>
              <w:spacing w:line="360" w:lineRule="auto"/>
              <w:jc w:val="center"/>
              <w:textAlignment w:val="baseline"/>
              <w:rPr>
                <w:rFonts w:ascii="宋体" w:hAnsi="宋体" w:cs="宋体"/>
                <w:bCs/>
                <w:szCs w:val="21"/>
                <w:lang w:val="zh-CN"/>
              </w:rPr>
            </w:pPr>
            <w:r>
              <w:rPr>
                <w:rFonts w:hint="eastAsia" w:ascii="宋体" w:hAnsi="宋体" w:cs="宋体"/>
                <w:bCs/>
                <w:szCs w:val="21"/>
                <w:lang w:val="zh-CN"/>
              </w:rPr>
              <w:t>信誉要求</w:t>
            </w:r>
          </w:p>
        </w:tc>
        <w:tc>
          <w:tcPr>
            <w:tcW w:w="6054" w:type="dxa"/>
            <w:vAlign w:val="center"/>
          </w:tcPr>
          <w:p w14:paraId="299D6ECF">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拒绝列入政府不良行为记录期间的企业或个人投标（响应文件内附承诺书，格式自拟）。</w:t>
            </w:r>
          </w:p>
          <w:p w14:paraId="3BC63454">
            <w:pPr>
              <w:wordWrap w:val="0"/>
              <w:jc w:val="left"/>
              <w:rPr>
                <w:rFonts w:ascii="宋体" w:hAnsi="宋体" w:cs="宋体"/>
                <w:bCs/>
                <w:szCs w:val="21"/>
                <w:lang w:val="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不接受被列入失信被执行人、重大税收违法案件当事人名单、政府采购严重违法失信行为记录名单、严重失信主体名单的供应商参与投标，在“信用中国”网站（www.creditchina.gov.cn）、中国政府采购网（www.ccgp.gov.cn）上进行查询失信记录；供应商不得存在行贿犯罪记录，在</w:t>
            </w:r>
            <w:r>
              <w:rPr>
                <w:rFonts w:hint="eastAsia" w:ascii="宋体" w:hAnsi="宋体" w:eastAsia="宋体" w:cs="宋体"/>
                <w:color w:val="auto"/>
                <w:kern w:val="2"/>
                <w:sz w:val="24"/>
                <w:szCs w:val="24"/>
                <w:lang w:val="en-US" w:eastAsia="zh-CN" w:bidi="ar-SA"/>
              </w:rPr>
              <w:t>“中国裁判文书网”自行查询近三年（2022年0</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日-招标公告发布之日至开标之日期间任意一天）无行贿犯罪记录：本单位（案由：单位行贿罪）和个人（指法定代表人）（案由：行贿罪），且提供查询页面无行贿记录的截图并加</w:t>
            </w:r>
            <w:r>
              <w:rPr>
                <w:rFonts w:hint="eastAsia" w:ascii="宋体" w:hAnsi="宋体" w:cs="宋体"/>
                <w:color w:val="auto"/>
                <w:kern w:val="2"/>
                <w:sz w:val="24"/>
                <w:szCs w:val="24"/>
                <w:lang w:val="en-US" w:eastAsia="zh-CN" w:bidi="ar-SA"/>
              </w:rPr>
              <w:t>盖单位公章</w:t>
            </w:r>
            <w:r>
              <w:rPr>
                <w:rFonts w:hint="eastAsia" w:ascii="宋体" w:hAnsi="宋体" w:eastAsia="宋体" w:cs="宋体"/>
                <w:color w:val="auto"/>
                <w:kern w:val="2"/>
                <w:sz w:val="24"/>
                <w:szCs w:val="24"/>
                <w:lang w:val="en-US" w:eastAsia="zh-CN" w:bidi="ar-SA"/>
              </w:rPr>
              <w:t>作为无行贿犯罪记录证明；</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64" w:type="dxa"/>
            <w:vMerge w:val="continue"/>
            <w:vAlign w:val="center"/>
          </w:tcPr>
          <w:p w14:paraId="39218CFE">
            <w:pPr>
              <w:autoSpaceDE w:val="0"/>
              <w:autoSpaceDN w:val="0"/>
              <w:adjustRightInd w:val="0"/>
              <w:spacing w:line="400" w:lineRule="exact"/>
              <w:jc w:val="center"/>
              <w:rPr>
                <w:rFonts w:ascii="宋体" w:hAnsi="宋体" w:cs="宋体"/>
                <w:bCs/>
                <w:szCs w:val="21"/>
                <w:lang w:val="zh-CN"/>
              </w:rPr>
            </w:pPr>
          </w:p>
        </w:tc>
        <w:tc>
          <w:tcPr>
            <w:tcW w:w="912" w:type="dxa"/>
            <w:vMerge w:val="continue"/>
          </w:tcPr>
          <w:p w14:paraId="6DC8B4CB">
            <w:pPr>
              <w:autoSpaceDE w:val="0"/>
              <w:autoSpaceDN w:val="0"/>
              <w:adjustRightInd w:val="0"/>
              <w:spacing w:line="400" w:lineRule="exact"/>
              <w:jc w:val="left"/>
              <w:rPr>
                <w:rFonts w:ascii="宋体" w:hAnsi="宋体" w:cs="宋体"/>
                <w:bCs/>
                <w:szCs w:val="21"/>
                <w:lang w:val="zh-CN"/>
              </w:rPr>
            </w:pPr>
          </w:p>
        </w:tc>
        <w:tc>
          <w:tcPr>
            <w:tcW w:w="1550" w:type="dxa"/>
            <w:vAlign w:val="center"/>
          </w:tcPr>
          <w:p w14:paraId="33FE939A">
            <w:pPr>
              <w:wordWrap w:val="0"/>
              <w:jc w:val="center"/>
              <w:rPr>
                <w:rFonts w:ascii="宋体" w:hAnsi="宋体" w:cs="宋体"/>
                <w:bCs/>
                <w:szCs w:val="21"/>
                <w:lang w:val="zh-CN"/>
              </w:rPr>
            </w:pPr>
            <w:r>
              <w:rPr>
                <w:rFonts w:hint="eastAsia" w:ascii="宋体" w:hAnsi="宋体" w:cs="宋体"/>
                <w:color w:val="auto"/>
                <w:sz w:val="24"/>
                <w:szCs w:val="24"/>
              </w:rPr>
              <w:t>其它要求</w:t>
            </w:r>
          </w:p>
        </w:tc>
        <w:tc>
          <w:tcPr>
            <w:tcW w:w="6054" w:type="dxa"/>
            <w:vAlign w:val="center"/>
          </w:tcPr>
          <w:p w14:paraId="679B78CD">
            <w:pPr>
              <w:wordWrap w:val="0"/>
              <w:jc w:val="both"/>
              <w:rPr>
                <w:rFonts w:hint="eastAsia" w:ascii="宋体" w:hAnsi="宋体" w:cs="宋体"/>
                <w:bCs/>
                <w:color w:val="auto"/>
                <w:sz w:val="24"/>
                <w:szCs w:val="24"/>
              </w:rPr>
            </w:pPr>
            <w:r>
              <w:rPr>
                <w:rFonts w:hint="eastAsia" w:ascii="宋体" w:hAnsi="宋体" w:cs="宋体"/>
                <w:color w:val="auto"/>
                <w:sz w:val="24"/>
                <w:szCs w:val="24"/>
              </w:rPr>
              <w:t>1、</w:t>
            </w:r>
            <w:r>
              <w:rPr>
                <w:rFonts w:hint="eastAsia" w:ascii="宋体" w:hAnsi="宋体" w:cs="宋体"/>
                <w:bCs/>
                <w:color w:val="auto"/>
                <w:sz w:val="24"/>
                <w:szCs w:val="24"/>
              </w:rPr>
              <w:t>对</w:t>
            </w:r>
            <w:r>
              <w:rPr>
                <w:rFonts w:hint="eastAsia" w:ascii="宋体" w:hAnsi="宋体" w:cs="宋体"/>
                <w:bCs/>
                <w:color w:val="auto"/>
                <w:sz w:val="24"/>
                <w:szCs w:val="24"/>
                <w:lang w:eastAsia="zh-CN"/>
              </w:rPr>
              <w:t>谈判</w:t>
            </w:r>
            <w:r>
              <w:rPr>
                <w:rFonts w:hint="eastAsia" w:ascii="宋体" w:hAnsi="宋体" w:cs="宋体"/>
                <w:bCs/>
                <w:color w:val="auto"/>
                <w:sz w:val="24"/>
                <w:szCs w:val="24"/>
              </w:rPr>
              <w:t>文件的全部条款做出实质性响应；</w:t>
            </w:r>
          </w:p>
          <w:p w14:paraId="7B979E30">
            <w:pPr>
              <w:wordWrap w:val="0"/>
              <w:jc w:val="both"/>
              <w:rPr>
                <w:rFonts w:hint="eastAsia" w:ascii="宋体" w:hAnsi="宋体" w:cs="宋体"/>
                <w:color w:val="auto"/>
                <w:sz w:val="24"/>
                <w:szCs w:val="24"/>
              </w:rPr>
            </w:pPr>
            <w:r>
              <w:rPr>
                <w:rFonts w:hint="eastAsia" w:ascii="宋体" w:hAnsi="宋体" w:cs="宋体"/>
                <w:color w:val="auto"/>
                <w:sz w:val="24"/>
                <w:szCs w:val="24"/>
              </w:rPr>
              <w:t>2、本项目不接受联合体投标、不允许分包；</w:t>
            </w:r>
          </w:p>
          <w:p w14:paraId="288D791F">
            <w:pPr>
              <w:wordWrap w:val="0"/>
              <w:jc w:val="both"/>
              <w:rPr>
                <w:rFonts w:hint="eastAsia" w:ascii="宋体" w:hAnsi="宋体" w:cs="宋体"/>
                <w:color w:val="auto"/>
                <w:sz w:val="24"/>
                <w:szCs w:val="24"/>
                <w:lang w:val="zh-CN"/>
              </w:rPr>
            </w:pPr>
            <w:r>
              <w:rPr>
                <w:rFonts w:hint="eastAsia" w:ascii="宋体" w:hAnsi="宋体" w:cs="宋体"/>
                <w:color w:val="auto"/>
                <w:sz w:val="24"/>
                <w:szCs w:val="24"/>
              </w:rPr>
              <w:t>3、不存在</w:t>
            </w:r>
            <w:r>
              <w:rPr>
                <w:rFonts w:hint="eastAsia" w:ascii="宋体" w:hAnsi="宋体" w:cs="宋体"/>
                <w:color w:val="auto"/>
                <w:sz w:val="24"/>
                <w:szCs w:val="24"/>
                <w:lang w:eastAsia="zh-CN"/>
              </w:rPr>
              <w:t>谈判</w:t>
            </w:r>
            <w:r>
              <w:rPr>
                <w:rFonts w:hint="eastAsia" w:ascii="宋体" w:hAnsi="宋体" w:cs="宋体"/>
                <w:color w:val="auto"/>
                <w:sz w:val="24"/>
                <w:szCs w:val="24"/>
              </w:rPr>
              <w:t>文件要求的其他</w:t>
            </w:r>
            <w:r>
              <w:rPr>
                <w:rFonts w:hint="eastAsia" w:ascii="宋体" w:hAnsi="宋体" w:cs="宋体"/>
                <w:color w:val="auto"/>
                <w:sz w:val="24"/>
                <w:szCs w:val="24"/>
                <w:lang w:val="zh-CN"/>
              </w:rPr>
              <w:t>无效投标的情形；</w:t>
            </w:r>
          </w:p>
          <w:p w14:paraId="639AE39B">
            <w:pPr>
              <w:wordWrap w:val="0"/>
              <w:jc w:val="both"/>
              <w:rPr>
                <w:rFonts w:hint="eastAsia" w:ascii="宋体" w:hAnsi="宋体" w:cs="宋体"/>
                <w:bCs/>
                <w:color w:val="auto"/>
                <w:sz w:val="24"/>
                <w:szCs w:val="24"/>
              </w:rPr>
            </w:pPr>
            <w:r>
              <w:rPr>
                <w:rFonts w:hint="eastAsia" w:ascii="宋体" w:hAnsi="宋体" w:cs="宋体"/>
                <w:color w:val="auto"/>
                <w:sz w:val="24"/>
                <w:szCs w:val="24"/>
                <w:lang w:val="zh-CN"/>
              </w:rPr>
              <w:t>4、不存在</w:t>
            </w:r>
            <w:r>
              <w:rPr>
                <w:rFonts w:hint="eastAsia" w:ascii="宋体" w:hAnsi="宋体" w:cs="宋体"/>
                <w:color w:val="auto"/>
                <w:sz w:val="24"/>
                <w:szCs w:val="24"/>
                <w:lang w:eastAsia="zh-CN"/>
              </w:rPr>
              <w:t>谈判</w:t>
            </w:r>
            <w:r>
              <w:rPr>
                <w:rFonts w:hint="eastAsia" w:ascii="宋体" w:hAnsi="宋体" w:cs="宋体"/>
                <w:color w:val="auto"/>
                <w:sz w:val="24"/>
                <w:szCs w:val="24"/>
              </w:rPr>
              <w:t>文件中规定的其他废标条款</w:t>
            </w:r>
            <w:r>
              <w:rPr>
                <w:rFonts w:hint="eastAsia" w:ascii="宋体" w:hAnsi="宋体" w:cs="宋体"/>
                <w:bCs/>
                <w:color w:val="auto"/>
                <w:sz w:val="24"/>
                <w:szCs w:val="24"/>
              </w:rPr>
              <w:t>。</w:t>
            </w:r>
          </w:p>
          <w:p w14:paraId="0BA3CC4B">
            <w:pPr>
              <w:wordWrap w:val="0"/>
              <w:jc w:val="both"/>
              <w:rPr>
                <w:rFonts w:ascii="宋体" w:hAnsi="宋体" w:cs="宋体"/>
                <w:bCs/>
                <w:szCs w:val="21"/>
                <w:lang w:val="zh-CN"/>
              </w:rPr>
            </w:pPr>
            <w:r>
              <w:rPr>
                <w:rFonts w:hint="eastAsia" w:ascii="宋体" w:hAnsi="宋体" w:cs="宋体"/>
                <w:color w:val="auto"/>
                <w:sz w:val="24"/>
                <w:szCs w:val="24"/>
              </w:rPr>
              <w:t>满足</w:t>
            </w:r>
            <w:r>
              <w:rPr>
                <w:rFonts w:hint="eastAsia" w:ascii="宋体" w:hAnsi="宋体" w:cs="宋体"/>
                <w:color w:val="auto"/>
                <w:sz w:val="24"/>
                <w:szCs w:val="24"/>
                <w:lang w:eastAsia="zh-CN"/>
              </w:rPr>
              <w:t>谈判</w:t>
            </w:r>
            <w:r>
              <w:rPr>
                <w:rFonts w:hint="eastAsia" w:ascii="宋体" w:hAnsi="宋体" w:cs="宋体"/>
                <w:color w:val="auto"/>
                <w:sz w:val="24"/>
                <w:szCs w:val="24"/>
              </w:rPr>
              <w:t>文件的要求为合格，否则为不合格。</w:t>
            </w:r>
          </w:p>
        </w:tc>
      </w:tr>
    </w:tbl>
    <w:p w14:paraId="50D85B0B">
      <w:pPr>
        <w:rPr>
          <w:rFonts w:ascii="宋体" w:hAnsi="宋体" w:cs="宋体"/>
          <w:sz w:val="18"/>
          <w:szCs w:val="18"/>
        </w:rPr>
      </w:pPr>
    </w:p>
    <w:p w14:paraId="3E0588AD">
      <w:pPr>
        <w:ind w:firstLine="241" w:firstLineChars="100"/>
        <w:outlineLvl w:val="1"/>
        <w:rPr>
          <w:rFonts w:ascii="宋体" w:hAnsi="宋体" w:cs="宋体"/>
          <w:b/>
          <w:sz w:val="24"/>
        </w:rPr>
      </w:pPr>
    </w:p>
    <w:p w14:paraId="60207C8B">
      <w:pPr>
        <w:ind w:firstLine="241" w:firstLineChars="100"/>
        <w:outlineLvl w:val="1"/>
        <w:rPr>
          <w:rFonts w:ascii="宋体" w:hAnsi="宋体" w:cs="宋体"/>
          <w:b/>
          <w:sz w:val="24"/>
        </w:rPr>
      </w:pPr>
    </w:p>
    <w:p w14:paraId="3573150F">
      <w:pPr>
        <w:rPr>
          <w:rFonts w:hint="eastAsia" w:ascii="宋体" w:hAnsi="宋体" w:cs="宋体"/>
          <w:b/>
          <w:sz w:val="24"/>
        </w:rPr>
      </w:pPr>
      <w:r>
        <w:rPr>
          <w:rFonts w:hint="eastAsia" w:ascii="宋体" w:hAnsi="宋体" w:cs="宋体"/>
          <w:b/>
          <w:sz w:val="24"/>
        </w:rPr>
        <w:br w:type="page"/>
      </w:r>
    </w:p>
    <w:p w14:paraId="30F304A1">
      <w:pPr>
        <w:ind w:firstLine="241" w:firstLineChars="100"/>
        <w:outlineLvl w:val="1"/>
        <w:rPr>
          <w:rFonts w:ascii="宋体" w:hAnsi="宋体" w:cs="宋体"/>
          <w:b/>
          <w:bCs/>
          <w:kern w:val="44"/>
          <w:sz w:val="24"/>
        </w:rPr>
      </w:pPr>
      <w:bookmarkStart w:id="40" w:name="_Toc28388"/>
      <w:r>
        <w:rPr>
          <w:rFonts w:hint="eastAsia" w:ascii="宋体" w:hAnsi="宋体" w:cs="宋体"/>
          <w:b/>
          <w:sz w:val="24"/>
        </w:rPr>
        <w:t>（二）符合性评审前附表</w:t>
      </w:r>
      <w:bookmarkEnd w:id="40"/>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BB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41B5E27E">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7729B5E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08C8BA62">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评审标准</w:t>
            </w:r>
          </w:p>
        </w:tc>
      </w:tr>
      <w:tr w14:paraId="49C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6949572D">
            <w:pPr>
              <w:autoSpaceDE w:val="0"/>
              <w:autoSpaceDN w:val="0"/>
              <w:adjustRightIn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912" w:type="dxa"/>
            <w:vMerge w:val="restart"/>
            <w:vAlign w:val="center"/>
          </w:tcPr>
          <w:p w14:paraId="48052E4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rPr>
              <w:t>符合性</w:t>
            </w:r>
          </w:p>
          <w:p w14:paraId="463FA96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评审</w:t>
            </w:r>
          </w:p>
          <w:p w14:paraId="5C0D941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标准</w:t>
            </w:r>
          </w:p>
          <w:p w14:paraId="60910898">
            <w:pPr>
              <w:autoSpaceDE w:val="0"/>
              <w:autoSpaceDN w:val="0"/>
              <w:adjustRightInd w:val="0"/>
              <w:spacing w:line="400" w:lineRule="exact"/>
              <w:jc w:val="center"/>
              <w:rPr>
                <w:rFonts w:ascii="宋体" w:hAnsi="宋体" w:cs="宋体"/>
                <w:bCs/>
                <w:szCs w:val="21"/>
                <w:lang w:val="zh-CN"/>
              </w:rPr>
            </w:pPr>
          </w:p>
        </w:tc>
        <w:tc>
          <w:tcPr>
            <w:tcW w:w="1550" w:type="dxa"/>
            <w:vAlign w:val="center"/>
          </w:tcPr>
          <w:p w14:paraId="38725D60">
            <w:pPr>
              <w:wordWrap w:val="0"/>
              <w:jc w:val="center"/>
              <w:rPr>
                <w:rFonts w:hint="eastAsia" w:ascii="宋体" w:hAnsi="宋体" w:cs="宋体"/>
                <w:color w:val="auto"/>
                <w:sz w:val="24"/>
                <w:szCs w:val="24"/>
                <w:lang w:val="zh-CN"/>
              </w:rPr>
            </w:pPr>
            <w:r>
              <w:rPr>
                <w:rFonts w:hint="eastAsia" w:ascii="宋体" w:hAnsi="宋体" w:cs="宋体"/>
                <w:color w:val="auto"/>
                <w:sz w:val="24"/>
                <w:szCs w:val="24"/>
                <w:lang w:val="zh-CN"/>
              </w:rPr>
              <w:t>投标内容</w:t>
            </w:r>
          </w:p>
        </w:tc>
        <w:tc>
          <w:tcPr>
            <w:tcW w:w="6054" w:type="dxa"/>
            <w:vAlign w:val="center"/>
          </w:tcPr>
          <w:p w14:paraId="700E9726">
            <w:pPr>
              <w:wordWrap w:val="0"/>
              <w:jc w:val="left"/>
              <w:rPr>
                <w:rFonts w:hint="eastAsia" w:ascii="宋体" w:hAnsi="宋体" w:cs="宋体"/>
                <w:color w:val="auto"/>
                <w:sz w:val="24"/>
                <w:szCs w:val="24"/>
                <w:lang w:val="zh-CN"/>
              </w:rPr>
            </w:pPr>
            <w:r>
              <w:rPr>
                <w:rFonts w:hint="eastAsia" w:ascii="宋体" w:hAnsi="宋体" w:cs="宋体"/>
                <w:color w:val="auto"/>
                <w:sz w:val="24"/>
                <w:szCs w:val="24"/>
                <w:lang w:val="zh-CN"/>
              </w:rPr>
              <w:t>符合谈判文件规定。</w:t>
            </w:r>
          </w:p>
        </w:tc>
      </w:tr>
      <w:tr w14:paraId="03B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00706F7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07A5BC3">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17376D">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zh-CN" w:eastAsia="zh-CN" w:bidi="ar-SA"/>
              </w:rPr>
              <w:t>货</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zh-CN" w:eastAsia="zh-CN" w:bidi="ar-SA"/>
              </w:rPr>
              <w:t>期</w:t>
            </w:r>
          </w:p>
        </w:tc>
        <w:tc>
          <w:tcPr>
            <w:tcW w:w="6054" w:type="dxa"/>
            <w:vAlign w:val="center"/>
          </w:tcPr>
          <w:p w14:paraId="468B423A">
            <w:pPr>
              <w:autoSpaceDE w:val="0"/>
              <w:autoSpaceDN w:val="0"/>
              <w:adjustRightInd w:val="0"/>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自合同签订之日起</w:t>
            </w:r>
            <w:r>
              <w:rPr>
                <w:rFonts w:hint="eastAsia" w:ascii="宋体" w:hAnsi="宋体" w:eastAsia="宋体" w:cs="宋体"/>
                <w:color w:val="auto"/>
                <w:kern w:val="2"/>
                <w:sz w:val="24"/>
                <w:szCs w:val="24"/>
                <w:lang w:val="zh-CN" w:eastAsia="zh-CN" w:bidi="ar-SA"/>
              </w:rPr>
              <w:t xml:space="preserve"> </w:t>
            </w:r>
            <w:r>
              <w:rPr>
                <w:rFonts w:hint="eastAsia" w:ascii="宋体" w:hAnsi="宋体" w:eastAsia="宋体" w:cs="宋体"/>
                <w:color w:val="auto"/>
                <w:kern w:val="2"/>
                <w:sz w:val="24"/>
                <w:szCs w:val="24"/>
                <w:lang w:val="en-US" w:eastAsia="zh-CN" w:bidi="ar-SA"/>
              </w:rPr>
              <w:t>50</w:t>
            </w:r>
            <w:r>
              <w:rPr>
                <w:rFonts w:hint="eastAsia" w:ascii="宋体" w:hAnsi="宋体" w:eastAsia="宋体" w:cs="宋体"/>
                <w:color w:val="auto"/>
                <w:kern w:val="2"/>
                <w:sz w:val="24"/>
                <w:szCs w:val="24"/>
                <w:lang w:val="zh-CN" w:eastAsia="zh-CN" w:bidi="ar-SA"/>
              </w:rPr>
              <w:t xml:space="preserve"> 天内完成软件部署及调试。</w:t>
            </w:r>
          </w:p>
        </w:tc>
      </w:tr>
      <w:tr w14:paraId="412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4873EE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51CDE365">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BB11061">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供货地点</w:t>
            </w:r>
          </w:p>
        </w:tc>
        <w:tc>
          <w:tcPr>
            <w:tcW w:w="6054" w:type="dxa"/>
            <w:vAlign w:val="center"/>
          </w:tcPr>
          <w:p w14:paraId="39DCEC73">
            <w:pPr>
              <w:pStyle w:val="20"/>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吉林工业职业技术学院指定地点。</w:t>
            </w:r>
          </w:p>
        </w:tc>
      </w:tr>
      <w:tr w14:paraId="7311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4CC92F12">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7C1AF4AE">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987A02D">
            <w:pPr>
              <w:wordWrap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谈判有效期</w:t>
            </w:r>
          </w:p>
        </w:tc>
        <w:tc>
          <w:tcPr>
            <w:tcW w:w="6054" w:type="dxa"/>
            <w:vAlign w:val="center"/>
          </w:tcPr>
          <w:p w14:paraId="08436934">
            <w:pPr>
              <w:wordWrap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响应文件截止之日后90</w:t>
            </w:r>
            <w:r>
              <w:rPr>
                <w:rFonts w:hint="eastAsia" w:ascii="宋体" w:hAnsi="宋体" w:eastAsia="宋体" w:cs="宋体"/>
                <w:color w:val="auto"/>
                <w:kern w:val="2"/>
                <w:sz w:val="24"/>
                <w:szCs w:val="24"/>
                <w:lang w:val="zh-CN" w:eastAsia="zh-CN" w:bidi="ar-SA"/>
              </w:rPr>
              <w:t>天（日历天）</w:t>
            </w:r>
          </w:p>
        </w:tc>
      </w:tr>
      <w:tr w14:paraId="6BD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4" w:type="dxa"/>
            <w:vMerge w:val="continue"/>
          </w:tcPr>
          <w:p w14:paraId="6291744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39A62717">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AA594CC">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技术条款响应</w:t>
            </w:r>
          </w:p>
        </w:tc>
        <w:tc>
          <w:tcPr>
            <w:tcW w:w="6054" w:type="dxa"/>
            <w:vAlign w:val="center"/>
          </w:tcPr>
          <w:p w14:paraId="2EA9CCF0">
            <w:pPr>
              <w:wordWrap w:val="0"/>
              <w:jc w:val="left"/>
              <w:rPr>
                <w:rFonts w:hint="eastAsia" w:ascii="宋体" w:hAnsi="宋体" w:eastAsia="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响应</w:t>
            </w:r>
            <w:r>
              <w:rPr>
                <w:rFonts w:hint="eastAsia" w:ascii="宋体" w:hAnsi="宋体" w:eastAsia="宋体" w:cs="宋体"/>
                <w:color w:val="auto"/>
                <w:kern w:val="2"/>
                <w:sz w:val="24"/>
                <w:szCs w:val="24"/>
                <w:lang w:val="en-US" w:eastAsia="zh-CN" w:bidi="ar-SA"/>
              </w:rPr>
              <w:t>文件满足</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文件第二章项目需求中所有技术条款要求，接受正偏离情况，若出现负偏离或不满足则投标无效。</w:t>
            </w:r>
          </w:p>
        </w:tc>
      </w:tr>
      <w:tr w14:paraId="2DD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34EE7A89">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80DC046">
            <w:pPr>
              <w:autoSpaceDE w:val="0"/>
              <w:autoSpaceDN w:val="0"/>
              <w:adjustRightInd w:val="0"/>
              <w:spacing w:line="400" w:lineRule="exact"/>
              <w:jc w:val="left"/>
              <w:rPr>
                <w:rFonts w:ascii="宋体" w:hAnsi="宋体" w:cs="宋体"/>
                <w:bCs/>
                <w:szCs w:val="21"/>
                <w:lang w:val="zh-CN"/>
              </w:rPr>
            </w:pPr>
          </w:p>
        </w:tc>
        <w:tc>
          <w:tcPr>
            <w:tcW w:w="1550" w:type="dxa"/>
            <w:vAlign w:val="center"/>
          </w:tcPr>
          <w:p w14:paraId="14FDC2CC">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电子签字和盖章要求</w:t>
            </w:r>
          </w:p>
        </w:tc>
        <w:tc>
          <w:tcPr>
            <w:tcW w:w="6054" w:type="dxa"/>
            <w:vAlign w:val="center"/>
          </w:tcPr>
          <w:p w14:paraId="17A10CE2">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按照</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文件规定的要求执行为合格，否则为不合格。</w:t>
            </w:r>
          </w:p>
        </w:tc>
      </w:tr>
      <w:tr w14:paraId="5E0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549C7F26">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64B3EDF1">
            <w:pPr>
              <w:autoSpaceDE w:val="0"/>
              <w:autoSpaceDN w:val="0"/>
              <w:adjustRightInd w:val="0"/>
              <w:spacing w:line="400" w:lineRule="exact"/>
              <w:jc w:val="left"/>
              <w:rPr>
                <w:rFonts w:ascii="宋体" w:hAnsi="宋体" w:cs="宋体"/>
                <w:bCs/>
                <w:szCs w:val="21"/>
                <w:lang w:val="zh-CN"/>
              </w:rPr>
            </w:pPr>
          </w:p>
        </w:tc>
        <w:tc>
          <w:tcPr>
            <w:tcW w:w="1550" w:type="dxa"/>
            <w:vAlign w:val="center"/>
          </w:tcPr>
          <w:p w14:paraId="23004FD0">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投标价格</w:t>
            </w:r>
          </w:p>
        </w:tc>
        <w:tc>
          <w:tcPr>
            <w:tcW w:w="6054" w:type="dxa"/>
            <w:vAlign w:val="center"/>
          </w:tcPr>
          <w:p w14:paraId="2E8A6764">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投标总价不高于招标控制价，且不低于成本。</w:t>
            </w:r>
          </w:p>
        </w:tc>
      </w:tr>
    </w:tbl>
    <w:p w14:paraId="7A8CD731">
      <w:pPr>
        <w:rPr>
          <w:rFonts w:ascii="宋体" w:hAnsi="宋体" w:cs="宋体"/>
          <w:sz w:val="18"/>
          <w:szCs w:val="18"/>
        </w:rPr>
      </w:pPr>
    </w:p>
    <w:p w14:paraId="6359132D">
      <w:pPr>
        <w:rPr>
          <w:rFonts w:ascii="宋体" w:hAnsi="宋体" w:cs="宋体"/>
          <w:szCs w:val="21"/>
        </w:rPr>
      </w:pPr>
      <w:r>
        <w:rPr>
          <w:rFonts w:hint="eastAsia" w:ascii="宋体" w:hAnsi="宋体" w:cs="宋体"/>
          <w:szCs w:val="21"/>
        </w:rPr>
        <w:t>注：评标委员会将依据上表标准对投标文件进行初步评审。有一项不符合评审标准的，评标委员会应当否决其投标。</w:t>
      </w:r>
    </w:p>
    <w:p w14:paraId="00B3DBD4">
      <w:pPr>
        <w:pStyle w:val="17"/>
        <w:spacing w:line="380" w:lineRule="exact"/>
        <w:rPr>
          <w:rFonts w:hAnsi="宋体" w:cs="宋体"/>
          <w:b/>
          <w:bCs/>
          <w:szCs w:val="21"/>
        </w:rPr>
      </w:pPr>
      <w:r>
        <w:rPr>
          <w:rFonts w:hint="eastAsia" w:hAnsi="宋体" w:cs="宋体"/>
          <w:b/>
          <w:bCs/>
          <w:szCs w:val="21"/>
        </w:rPr>
        <w:t>一、评审依据</w:t>
      </w:r>
    </w:p>
    <w:p w14:paraId="0C3625D6">
      <w:pPr>
        <w:pStyle w:val="17"/>
        <w:spacing w:line="380" w:lineRule="exact"/>
        <w:ind w:firstLine="420" w:firstLineChars="200"/>
        <w:rPr>
          <w:rFonts w:hAnsi="宋体" w:cs="宋体"/>
          <w:bCs/>
        </w:rPr>
      </w:pPr>
      <w:r>
        <w:rPr>
          <w:rFonts w:hint="eastAsia" w:hAnsi="宋体" w:cs="宋体"/>
          <w:bCs/>
        </w:rPr>
        <w:t>1. 评审依据：谈判小组以谈判文件和响应文件为评审依据。</w:t>
      </w:r>
    </w:p>
    <w:p w14:paraId="3EAC12B6">
      <w:pPr>
        <w:pStyle w:val="17"/>
        <w:spacing w:line="380" w:lineRule="exact"/>
        <w:ind w:firstLine="420" w:firstLineChars="200"/>
        <w:rPr>
          <w:rFonts w:hAnsi="宋体" w:cs="宋体"/>
          <w:bCs/>
        </w:rPr>
      </w:pPr>
      <w:r>
        <w:rPr>
          <w:rFonts w:hint="eastAsia" w:hAnsi="宋体" w:cs="宋体"/>
          <w:bCs/>
        </w:rPr>
        <w:t>2. 根据财库〔2012〕69号文规定，采购人和采购代理机构、竞争性谈判小组成员要严格遵守政府采购相关法律制度，依法履行各自职责，公正、客观、审慎地组织和参与评审工作。</w:t>
      </w:r>
    </w:p>
    <w:p w14:paraId="48C1BC92">
      <w:pPr>
        <w:pStyle w:val="17"/>
        <w:spacing w:line="380" w:lineRule="exact"/>
        <w:ind w:firstLine="422" w:firstLineChars="200"/>
        <w:rPr>
          <w:rFonts w:hAnsi="宋体" w:cs="宋体"/>
          <w:b/>
          <w:bCs/>
          <w:szCs w:val="21"/>
        </w:rPr>
      </w:pPr>
      <w:r>
        <w:rPr>
          <w:rFonts w:hint="eastAsia" w:hAnsi="宋体" w:cs="宋体"/>
          <w:b/>
          <w:bCs/>
          <w:szCs w:val="21"/>
        </w:rPr>
        <w:t>二、评审办法</w:t>
      </w:r>
    </w:p>
    <w:p w14:paraId="678654DC">
      <w:pPr>
        <w:pStyle w:val="17"/>
        <w:spacing w:line="380" w:lineRule="exact"/>
        <w:ind w:firstLine="420"/>
        <w:rPr>
          <w:rFonts w:hAnsi="宋体" w:cs="宋体"/>
          <w:kern w:val="0"/>
          <w:szCs w:val="21"/>
        </w:rPr>
      </w:pPr>
      <w:r>
        <w:rPr>
          <w:rFonts w:hint="eastAsia" w:hAnsi="宋体" w:cs="宋体"/>
          <w:kern w:val="0"/>
          <w:szCs w:val="21"/>
        </w:rPr>
        <w:t>1. 谈判小组应当从质量和服务均能满足竞争性谈判文件全部实质性响应要求的供应商中，按照评审第二次有效报价由低到高顺序提出3名以上（含3名）成交候选人。</w:t>
      </w:r>
    </w:p>
    <w:p w14:paraId="120E5841">
      <w:pPr>
        <w:pStyle w:val="17"/>
        <w:spacing w:line="380" w:lineRule="exact"/>
        <w:ind w:firstLine="420" w:firstLineChars="200"/>
        <w:rPr>
          <w:rFonts w:hAnsi="宋体" w:cs="宋体"/>
          <w:kern w:val="0"/>
          <w:szCs w:val="21"/>
        </w:rPr>
      </w:pPr>
      <w:r>
        <w:rPr>
          <w:rFonts w:hint="eastAsia" w:hAnsi="宋体" w:cs="宋体"/>
          <w:kern w:val="0"/>
          <w:szCs w:val="21"/>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17"/>
        <w:spacing w:line="380" w:lineRule="exact"/>
        <w:ind w:firstLine="420" w:firstLineChars="200"/>
        <w:rPr>
          <w:rFonts w:hAnsi="宋体" w:cs="宋体"/>
        </w:rPr>
      </w:pPr>
      <w:r>
        <w:rPr>
          <w:rFonts w:hint="eastAsia" w:hAnsi="宋体" w:cs="宋体"/>
        </w:rPr>
        <w:t>（1）评审报价=最后报价（第二次有效报价）。</w:t>
      </w:r>
    </w:p>
    <w:p w14:paraId="2B6602EE">
      <w:pPr>
        <w:pStyle w:val="17"/>
        <w:spacing w:line="380" w:lineRule="exact"/>
        <w:ind w:firstLine="420" w:firstLineChars="200"/>
        <w:rPr>
          <w:rFonts w:hint="default" w:hAnsi="宋体" w:eastAsia="宋体" w:cs="宋体"/>
          <w:bCs/>
          <w:lang w:val="en-US" w:eastAsia="zh-CN"/>
        </w:rPr>
      </w:pPr>
      <w:r>
        <w:rPr>
          <w:rFonts w:hint="eastAsia" w:hAnsi="宋体" w:cs="宋体"/>
          <w:bCs/>
          <w:color w:val="auto"/>
        </w:rPr>
        <w:t>注：①供应商</w:t>
      </w:r>
      <w:r>
        <w:rPr>
          <w:rFonts w:hint="eastAsia" w:hAnsi="宋体" w:cs="宋体"/>
          <w:bCs/>
          <w:color w:val="auto"/>
          <w:lang w:eastAsia="zh-CN"/>
        </w:rPr>
        <w:t>为</w:t>
      </w:r>
      <w:r>
        <w:rPr>
          <w:rFonts w:hint="eastAsia" w:hAnsi="宋体" w:cs="宋体"/>
          <w:bCs/>
          <w:color w:val="auto"/>
        </w:rPr>
        <w:t>小型、微型企业的，视同为中型企业。②</w:t>
      </w:r>
      <w:r>
        <w:rPr>
          <w:rFonts w:hint="eastAsia" w:hAnsi="宋体" w:cs="宋体"/>
          <w:bCs/>
          <w:color w:val="auto"/>
          <w:kern w:val="0"/>
          <w:szCs w:val="21"/>
        </w:rPr>
        <w:t>谈判小组应当按扣除后的报价由低到高进行排序，该扣除后报价仅作为评审报价排序，不作为合同签订报价，合同将按实际最后报价签订</w:t>
      </w:r>
      <w:r>
        <w:rPr>
          <w:rFonts w:hint="eastAsia" w:hAnsi="宋体" w:cs="宋体"/>
          <w:bCs/>
          <w:color w:val="auto"/>
        </w:rPr>
        <w:t>。</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w:t>
      </w:r>
      <w:r>
        <w:rPr>
          <w:rFonts w:hint="eastAsia" w:hAnsi="宋体" w:cs="宋体"/>
          <w:b w:val="0"/>
          <w:bCs w:val="0"/>
          <w:color w:val="auto"/>
          <w:lang w:eastAsia="zh-CN"/>
        </w:rPr>
        <w:t>不涉及价格扣除</w:t>
      </w:r>
      <w:r>
        <w:rPr>
          <w:rFonts w:hint="eastAsia" w:hAnsi="宋体" w:cs="宋体"/>
          <w:bCs/>
          <w:color w:val="auto"/>
        </w:rPr>
        <w:t>。</w:t>
      </w:r>
    </w:p>
    <w:p w14:paraId="6118CF42">
      <w:pPr>
        <w:pStyle w:val="17"/>
        <w:spacing w:line="380" w:lineRule="exact"/>
        <w:ind w:firstLine="411" w:firstLineChars="196"/>
        <w:rPr>
          <w:rFonts w:hAnsi="宋体" w:cs="宋体"/>
          <w:bCs/>
        </w:rPr>
      </w:pPr>
      <w:r>
        <w:rPr>
          <w:rFonts w:hint="eastAsia" w:hAnsi="宋体" w:cs="宋体"/>
          <w:bCs/>
          <w:szCs w:val="21"/>
          <w:lang w:val="en-US" w:eastAsia="zh-CN"/>
        </w:rPr>
        <w:t>3</w:t>
      </w:r>
      <w:r>
        <w:rPr>
          <w:rFonts w:hint="eastAsia" w:hAnsi="宋体" w:cs="宋体"/>
          <w:bCs/>
          <w:szCs w:val="21"/>
        </w:rPr>
        <w:t>. 评审时，</w:t>
      </w:r>
      <w:r>
        <w:rPr>
          <w:rFonts w:hint="eastAsia" w:hAnsi="宋体" w:cs="宋体"/>
          <w:bCs/>
        </w:rPr>
        <w:t>应当将通过资格性审查和符合性审查各供应商的评审报价，按照</w:t>
      </w:r>
      <w:r>
        <w:rPr>
          <w:rFonts w:hint="eastAsia" w:hAnsi="宋体" w:cs="宋体"/>
          <w:bCs/>
          <w:kern w:val="0"/>
          <w:szCs w:val="21"/>
        </w:rPr>
        <w:t>由低到高顺序排序，</w:t>
      </w:r>
      <w:r>
        <w:rPr>
          <w:rFonts w:hint="eastAsia" w:hAnsi="宋体" w:cs="宋体"/>
          <w:bCs/>
        </w:rPr>
        <w:t>当评审报价相同时，以最后第二次报价低的优先排序；当最后报价相同时，采用抽签方式决定排序。</w:t>
      </w:r>
    </w:p>
    <w:p w14:paraId="17D1C970">
      <w:pPr>
        <w:pStyle w:val="17"/>
        <w:spacing w:line="380" w:lineRule="exact"/>
        <w:ind w:firstLine="411" w:firstLineChars="196"/>
        <w:rPr>
          <w:rFonts w:hAnsi="宋体" w:cs="宋体"/>
          <w:bCs/>
        </w:rPr>
      </w:pPr>
      <w:r>
        <w:rPr>
          <w:rFonts w:hint="eastAsia" w:hAnsi="宋体" w:cs="宋体"/>
          <w:bCs/>
          <w:lang w:val="en-US" w:eastAsia="zh-CN"/>
        </w:rPr>
        <w:t>4</w:t>
      </w:r>
      <w:r>
        <w:rPr>
          <w:rFonts w:hint="eastAsia" w:hAnsi="宋体" w:cs="宋体"/>
          <w:bCs/>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lang w:eastAsia="zh-CN"/>
        </w:rPr>
        <w:t>谈判</w:t>
      </w:r>
      <w:r>
        <w:rPr>
          <w:rFonts w:hint="eastAsia" w:hAnsi="宋体" w:cs="宋体"/>
          <w:bCs/>
        </w:rPr>
        <w:t>文件规定的方式确定一个参加评标的供应商，</w:t>
      </w:r>
      <w:r>
        <w:rPr>
          <w:rFonts w:hint="eastAsia" w:hAnsi="宋体" w:cs="宋体"/>
          <w:bCs/>
          <w:lang w:eastAsia="zh-CN"/>
        </w:rPr>
        <w:t>谈判</w:t>
      </w:r>
      <w:r>
        <w:rPr>
          <w:rFonts w:hint="eastAsia" w:hAnsi="宋体" w:cs="宋体"/>
          <w:bCs/>
        </w:rPr>
        <w:t>文件未规定的采取随机抽取方式确定，其他投标无效。</w:t>
      </w:r>
    </w:p>
    <w:p w14:paraId="7FE185A8">
      <w:pPr>
        <w:pStyle w:val="17"/>
        <w:spacing w:line="400" w:lineRule="exact"/>
        <w:ind w:firstLine="420" w:firstLineChars="200"/>
        <w:rPr>
          <w:rFonts w:hAnsi="宋体" w:cs="宋体"/>
          <w:bCs/>
          <w:szCs w:val="21"/>
        </w:rPr>
      </w:pPr>
      <w:r>
        <w:rPr>
          <w:rFonts w:hint="eastAsia" w:hAnsi="宋体" w:cs="宋体"/>
          <w:bCs/>
          <w:szCs w:val="21"/>
        </w:rPr>
        <w:t>三、成交候选人推荐原则</w:t>
      </w:r>
    </w:p>
    <w:p w14:paraId="47074561">
      <w:pPr>
        <w:pStyle w:val="17"/>
        <w:tabs>
          <w:tab w:val="left" w:pos="4214"/>
        </w:tabs>
        <w:spacing w:line="400" w:lineRule="exact"/>
        <w:ind w:firstLine="420" w:firstLineChars="200"/>
        <w:rPr>
          <w:rFonts w:hAnsi="宋体" w:cs="宋体"/>
          <w:szCs w:val="21"/>
        </w:rPr>
      </w:pPr>
      <w:r>
        <w:rPr>
          <w:rFonts w:hint="eastAsia" w:hAnsi="宋体" w:cs="宋体"/>
          <w:szCs w:val="21"/>
        </w:rPr>
        <w:t>（1）采购单位应当确定谈判小组推荐排名第一的成交候选人为成交供应商。</w:t>
      </w:r>
    </w:p>
    <w:p w14:paraId="3D79DF1A">
      <w:pPr>
        <w:pStyle w:val="17"/>
        <w:spacing w:line="400" w:lineRule="exact"/>
        <w:ind w:firstLine="447" w:firstLineChars="213"/>
        <w:rPr>
          <w:rFonts w:hAnsi="宋体" w:cs="宋体"/>
          <w:szCs w:val="21"/>
        </w:rPr>
      </w:pPr>
      <w:r>
        <w:rPr>
          <w:rFonts w:hint="eastAsia" w:hAnsi="宋体" w:cs="宋体"/>
          <w:szCs w:val="21"/>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17"/>
        <w:spacing w:line="400" w:lineRule="exact"/>
        <w:ind w:firstLine="420" w:firstLineChars="200"/>
        <w:rPr>
          <w:rFonts w:hAnsi="宋体" w:cs="宋体"/>
          <w:szCs w:val="21"/>
        </w:rPr>
      </w:pPr>
      <w:r>
        <w:rPr>
          <w:rFonts w:hint="eastAsia" w:hAnsi="宋体" w:cs="宋体"/>
          <w:szCs w:val="21"/>
        </w:rPr>
        <w:t>（3）排名第二的成交候选人因前款规定的同样原因不能签订合同的，采购单位可以确定排名第三的成交候选人为成交供应商。</w:t>
      </w:r>
    </w:p>
    <w:p w14:paraId="488EABD0">
      <w:pPr>
        <w:pStyle w:val="9"/>
        <w:spacing w:line="400" w:lineRule="exact"/>
        <w:ind w:left="0" w:leftChars="0"/>
        <w:rPr>
          <w:rFonts w:ascii="宋体" w:hAnsi="宋体" w:cs="宋体"/>
          <w:szCs w:val="21"/>
        </w:rPr>
      </w:pPr>
      <w:r>
        <w:rPr>
          <w:rFonts w:hint="eastAsia" w:ascii="宋体" w:hAnsi="宋体" w:cs="宋体"/>
          <w:szCs w:val="21"/>
        </w:rPr>
        <w:t xml:space="preserve">     （4）采购人也可重新招标。</w:t>
      </w:r>
    </w:p>
    <w:p w14:paraId="050CBC41">
      <w:pPr>
        <w:pStyle w:val="17"/>
        <w:spacing w:line="380" w:lineRule="exact"/>
        <w:ind w:firstLine="422" w:firstLineChars="200"/>
        <w:rPr>
          <w:rFonts w:hAnsi="宋体" w:cs="宋体"/>
          <w:b/>
          <w:bCs/>
          <w:szCs w:val="21"/>
        </w:rPr>
      </w:pPr>
      <w:r>
        <w:rPr>
          <w:rFonts w:hint="eastAsia" w:hAnsi="宋体" w:cs="宋体"/>
          <w:b/>
          <w:bCs/>
          <w:szCs w:val="21"/>
        </w:rPr>
        <w:t>三、否绝投标</w:t>
      </w:r>
      <w:bookmarkStart w:id="41" w:name="_Toc252705915"/>
      <w:bookmarkStart w:id="42" w:name="_Toc231873587"/>
      <w:r>
        <w:rPr>
          <w:rFonts w:hint="eastAsia" w:hAnsi="宋体" w:cs="宋体"/>
          <w:b/>
          <w:bCs/>
          <w:szCs w:val="21"/>
        </w:rPr>
        <w:t>情形</w:t>
      </w:r>
    </w:p>
    <w:bookmarkEnd w:id="41"/>
    <w:bookmarkEnd w:id="42"/>
    <w:p w14:paraId="59A6F5DE">
      <w:pPr>
        <w:spacing w:line="360" w:lineRule="auto"/>
        <w:ind w:firstLine="420" w:firstLineChars="200"/>
        <w:rPr>
          <w:rFonts w:ascii="宋体" w:hAnsi="宋体" w:cs="宋体"/>
          <w:szCs w:val="28"/>
        </w:rPr>
      </w:pPr>
      <w:r>
        <w:rPr>
          <w:rFonts w:hint="eastAsia" w:ascii="宋体" w:hAnsi="宋体" w:cs="宋体"/>
          <w:szCs w:val="28"/>
        </w:rPr>
        <w:t>3.1除谈判文件另有规定，供应商存在下列情况之一的，投标无效：</w:t>
      </w:r>
    </w:p>
    <w:p w14:paraId="1498EAA9">
      <w:pPr>
        <w:numPr>
          <w:ilvl w:val="0"/>
          <w:numId w:val="6"/>
        </w:numPr>
        <w:spacing w:line="360" w:lineRule="auto"/>
        <w:ind w:firstLine="420" w:firstLineChars="200"/>
        <w:rPr>
          <w:rFonts w:ascii="宋体" w:hAnsi="宋体" w:cs="宋体"/>
          <w:szCs w:val="28"/>
        </w:rPr>
      </w:pPr>
      <w:r>
        <w:rPr>
          <w:rFonts w:hint="eastAsia" w:ascii="宋体" w:hAnsi="宋体" w:cs="宋体"/>
          <w:szCs w:val="28"/>
        </w:rPr>
        <w:t>未按谈判文件编制要求进行编制响应文件和签字、盖章的；</w:t>
      </w:r>
    </w:p>
    <w:p w14:paraId="4A98B601">
      <w:pPr>
        <w:spacing w:line="360" w:lineRule="auto"/>
        <w:ind w:firstLine="420" w:firstLineChars="200"/>
        <w:rPr>
          <w:rFonts w:ascii="宋体" w:hAnsi="宋体" w:cs="宋体"/>
          <w:szCs w:val="28"/>
        </w:rPr>
      </w:pPr>
      <w:r>
        <w:rPr>
          <w:rFonts w:hint="eastAsia" w:ascii="宋体" w:hAnsi="宋体" w:cs="宋体"/>
          <w:szCs w:val="28"/>
        </w:rPr>
        <w:t>（2）响应文件未按谈判文件要求编制填写、签字盖章，或内容不全、字迹模糊、难以辨认的；</w:t>
      </w:r>
    </w:p>
    <w:p w14:paraId="7E3B17A7">
      <w:pPr>
        <w:spacing w:line="360" w:lineRule="auto"/>
        <w:ind w:firstLine="420" w:firstLineChars="200"/>
        <w:rPr>
          <w:rFonts w:ascii="宋体" w:hAnsi="宋体" w:cs="宋体"/>
          <w:szCs w:val="28"/>
        </w:rPr>
      </w:pPr>
      <w:r>
        <w:rPr>
          <w:rFonts w:hint="eastAsia" w:ascii="宋体" w:hAnsi="宋体" w:cs="宋体"/>
          <w:szCs w:val="28"/>
        </w:rPr>
        <w:t>（3）供应商不符合资格条件或未按谈判文件规定提供资格证明文件的；</w:t>
      </w:r>
    </w:p>
    <w:p w14:paraId="2C10BE15">
      <w:pPr>
        <w:spacing w:line="360" w:lineRule="auto"/>
        <w:ind w:firstLine="420" w:firstLineChars="200"/>
        <w:rPr>
          <w:rFonts w:ascii="宋体" w:hAnsi="宋体" w:cs="宋体"/>
          <w:szCs w:val="28"/>
        </w:rPr>
      </w:pPr>
      <w:r>
        <w:rPr>
          <w:rFonts w:hint="eastAsia" w:ascii="宋体" w:hAnsi="宋体" w:cs="宋体"/>
          <w:szCs w:val="28"/>
        </w:rPr>
        <w:t>（4）未能实质性响应谈判文件商务和技术要求的；</w:t>
      </w:r>
    </w:p>
    <w:p w14:paraId="3F3798D8">
      <w:pPr>
        <w:spacing w:line="360" w:lineRule="auto"/>
        <w:ind w:firstLine="420" w:firstLineChars="200"/>
        <w:rPr>
          <w:rFonts w:ascii="宋体" w:hAnsi="宋体" w:cs="宋体"/>
          <w:szCs w:val="28"/>
        </w:rPr>
      </w:pPr>
      <w:r>
        <w:rPr>
          <w:rFonts w:hint="eastAsia" w:ascii="宋体" w:hAnsi="宋体" w:cs="宋体"/>
          <w:szCs w:val="28"/>
        </w:rPr>
        <w:t>（5）投标有效期不足的或未响应的；</w:t>
      </w:r>
    </w:p>
    <w:p w14:paraId="7EBA9A6A">
      <w:pPr>
        <w:spacing w:line="360" w:lineRule="auto"/>
        <w:ind w:firstLine="420" w:firstLineChars="200"/>
        <w:rPr>
          <w:rFonts w:ascii="宋体" w:hAnsi="宋体" w:cs="宋体"/>
          <w:szCs w:val="28"/>
        </w:rPr>
      </w:pPr>
      <w:r>
        <w:rPr>
          <w:rFonts w:hint="eastAsia" w:ascii="宋体" w:hAnsi="宋体" w:cs="宋体"/>
          <w:szCs w:val="28"/>
        </w:rPr>
        <w:t>（6）报价货币不是人民币的;</w:t>
      </w:r>
    </w:p>
    <w:p w14:paraId="51392D9B">
      <w:pPr>
        <w:spacing w:line="360" w:lineRule="auto"/>
        <w:ind w:firstLine="420" w:firstLineChars="200"/>
        <w:rPr>
          <w:rFonts w:ascii="宋体" w:hAnsi="宋体" w:cs="宋体"/>
          <w:szCs w:val="28"/>
        </w:rPr>
      </w:pPr>
      <w:r>
        <w:rPr>
          <w:rFonts w:hint="eastAsia" w:ascii="宋体" w:hAnsi="宋体" w:cs="宋体"/>
          <w:szCs w:val="28"/>
        </w:rPr>
        <w:t>（7）报价超过谈判文件中规定的预算金额或者最高限价的；低于供应商成本价格；在规定时间内未作出说明和递交证明材料的；</w:t>
      </w:r>
    </w:p>
    <w:p w14:paraId="20761E5A">
      <w:pPr>
        <w:spacing w:line="360" w:lineRule="auto"/>
        <w:ind w:firstLine="420" w:firstLineChars="200"/>
        <w:rPr>
          <w:rFonts w:ascii="宋体" w:hAnsi="宋体" w:cs="宋体"/>
          <w:szCs w:val="28"/>
        </w:rPr>
      </w:pPr>
      <w:r>
        <w:rPr>
          <w:rFonts w:hint="eastAsia" w:ascii="宋体" w:hAnsi="宋体" w:cs="宋体"/>
          <w:szCs w:val="28"/>
        </w:rPr>
        <w:t>（8）串通投标或弄虚作假或有其他违法行为的；</w:t>
      </w:r>
    </w:p>
    <w:p w14:paraId="06387C26">
      <w:pPr>
        <w:spacing w:line="360" w:lineRule="auto"/>
        <w:ind w:firstLine="420" w:firstLineChars="200"/>
        <w:rPr>
          <w:rFonts w:ascii="宋体" w:hAnsi="宋体" w:cs="宋体"/>
          <w:szCs w:val="28"/>
        </w:rPr>
      </w:pPr>
      <w:r>
        <w:rPr>
          <w:rFonts w:hint="eastAsia" w:ascii="宋体" w:hAnsi="宋体" w:cs="宋体"/>
          <w:szCs w:val="28"/>
        </w:rPr>
        <w:t>（9）未按</w:t>
      </w:r>
      <w:r>
        <w:rPr>
          <w:rFonts w:hint="eastAsia" w:ascii="宋体" w:hAnsi="宋体" w:cs="宋体"/>
          <w:szCs w:val="28"/>
          <w:lang w:eastAsia="zh-CN"/>
        </w:rPr>
        <w:t>谈判</w:t>
      </w:r>
      <w:r>
        <w:rPr>
          <w:rFonts w:hint="eastAsia" w:ascii="宋体" w:hAnsi="宋体" w:cs="宋体"/>
          <w:szCs w:val="28"/>
        </w:rPr>
        <w:t>小组要求澄清、说明或补正的；</w:t>
      </w:r>
    </w:p>
    <w:p w14:paraId="1343F0A5">
      <w:pPr>
        <w:spacing w:line="360" w:lineRule="auto"/>
        <w:ind w:firstLine="420" w:firstLineChars="200"/>
        <w:rPr>
          <w:rFonts w:ascii="宋体" w:hAnsi="宋体" w:cs="宋体"/>
          <w:szCs w:val="28"/>
        </w:rPr>
      </w:pPr>
      <w:r>
        <w:rPr>
          <w:rFonts w:hint="eastAsia" w:ascii="宋体" w:hAnsi="宋体" w:cs="宋体"/>
          <w:szCs w:val="28"/>
        </w:rPr>
        <w:t>（10）未按谈判小组的要求在评审现场合理的时间内提供书面说明（必要时提交相关证明材料），或不能证明其报价合理性的；</w:t>
      </w:r>
    </w:p>
    <w:p w14:paraId="51544999">
      <w:pPr>
        <w:spacing w:line="360" w:lineRule="auto"/>
        <w:ind w:firstLine="420" w:firstLineChars="200"/>
        <w:rPr>
          <w:rFonts w:ascii="宋体" w:hAnsi="宋体" w:cs="宋体"/>
          <w:szCs w:val="28"/>
        </w:rPr>
      </w:pPr>
      <w:r>
        <w:rPr>
          <w:rFonts w:hint="eastAsia" w:ascii="宋体" w:hAnsi="宋体" w:cs="宋体"/>
          <w:szCs w:val="28"/>
        </w:rPr>
        <w:t>（11）未按谈判小组的要求确认修正后的报价的；</w:t>
      </w:r>
    </w:p>
    <w:p w14:paraId="56732C7B">
      <w:pPr>
        <w:spacing w:line="360" w:lineRule="auto"/>
        <w:ind w:firstLine="420" w:firstLineChars="200"/>
        <w:rPr>
          <w:rFonts w:ascii="宋体" w:hAnsi="宋体" w:cs="宋体"/>
          <w:szCs w:val="28"/>
        </w:rPr>
      </w:pPr>
      <w:r>
        <w:rPr>
          <w:rFonts w:hint="eastAsia" w:ascii="宋体" w:hAnsi="宋体" w:cs="宋体"/>
          <w:szCs w:val="28"/>
        </w:rPr>
        <w:t>（12）供应商符合第二章《供应商须知》第8.5.3条任何一种情形的；</w:t>
      </w:r>
    </w:p>
    <w:p w14:paraId="77C018BD">
      <w:pPr>
        <w:spacing w:line="360" w:lineRule="auto"/>
        <w:ind w:firstLine="420" w:firstLineChars="200"/>
        <w:rPr>
          <w:rFonts w:ascii="宋体" w:hAnsi="宋体" w:cs="宋体"/>
          <w:szCs w:val="28"/>
        </w:rPr>
      </w:pPr>
      <w:r>
        <w:rPr>
          <w:rFonts w:hint="eastAsia" w:ascii="宋体" w:hAnsi="宋体" w:cs="宋体"/>
          <w:szCs w:val="28"/>
        </w:rPr>
        <w:t>（13）响应文件含有采购人不能接受的附加条件的；</w:t>
      </w:r>
    </w:p>
    <w:p w14:paraId="01D4B959">
      <w:pPr>
        <w:spacing w:line="360" w:lineRule="auto"/>
        <w:ind w:firstLine="420" w:firstLineChars="200"/>
        <w:rPr>
          <w:rFonts w:ascii="宋体" w:hAnsi="宋体" w:cs="宋体"/>
          <w:szCs w:val="28"/>
        </w:rPr>
      </w:pPr>
      <w:r>
        <w:rPr>
          <w:rFonts w:hint="eastAsia" w:ascii="宋体" w:hAnsi="宋体" w:cs="宋体"/>
          <w:szCs w:val="28"/>
        </w:rPr>
        <w:t>（14）违反国家法律、法规和谈判文件规定的其他无效情形。</w:t>
      </w:r>
    </w:p>
    <w:p w14:paraId="3D497DF4">
      <w:pPr>
        <w:pStyle w:val="98"/>
        <w:rPr>
          <w:rFonts w:ascii="宋体" w:hAnsi="宋体" w:cs="宋体"/>
        </w:rPr>
      </w:pPr>
      <w:r>
        <w:rPr>
          <w:rFonts w:hint="eastAsia" w:ascii="宋体" w:hAnsi="宋体" w:cs="宋体"/>
          <w:szCs w:val="28"/>
        </w:rPr>
        <w:t>（15）谈判文件给出的“响应文件格式”中要求签字或盖章未响应的或随意更改响应文件格式的（包含签字处不允许盖章或盖章处不允许签字的情形）。</w:t>
      </w:r>
    </w:p>
    <w:p w14:paraId="7C711D69">
      <w:pPr>
        <w:spacing w:line="360" w:lineRule="auto"/>
        <w:ind w:firstLine="420" w:firstLineChars="200"/>
        <w:rPr>
          <w:rFonts w:ascii="宋体" w:hAnsi="宋体" w:cs="宋体"/>
          <w:szCs w:val="28"/>
        </w:rPr>
      </w:pPr>
      <w:r>
        <w:rPr>
          <w:rFonts w:hint="eastAsia" w:ascii="宋体" w:hAnsi="宋体" w:cs="宋体"/>
          <w:szCs w:val="28"/>
        </w:rPr>
        <w:t>3.2有下列情形之一的，视为供应商串通投标，其投标无效：</w:t>
      </w:r>
    </w:p>
    <w:p w14:paraId="5623A069">
      <w:pPr>
        <w:spacing w:line="360" w:lineRule="auto"/>
        <w:ind w:firstLine="420" w:firstLineChars="200"/>
        <w:rPr>
          <w:rFonts w:ascii="宋体" w:hAnsi="宋体" w:cs="宋体"/>
          <w:szCs w:val="28"/>
        </w:rPr>
      </w:pPr>
      <w:r>
        <w:rPr>
          <w:rFonts w:hint="eastAsia" w:ascii="宋体" w:hAnsi="宋体" w:cs="宋体"/>
          <w:szCs w:val="28"/>
        </w:rPr>
        <w:t>（1）不同供应商的响应文件由同一单位或者个人编制；</w:t>
      </w:r>
    </w:p>
    <w:p w14:paraId="57C37D09">
      <w:pPr>
        <w:spacing w:line="360" w:lineRule="auto"/>
        <w:ind w:firstLine="420" w:firstLineChars="200"/>
        <w:rPr>
          <w:rFonts w:ascii="宋体" w:hAnsi="宋体" w:cs="宋体"/>
          <w:szCs w:val="28"/>
        </w:rPr>
      </w:pPr>
      <w:r>
        <w:rPr>
          <w:rFonts w:hint="eastAsia" w:ascii="宋体" w:hAnsi="宋体" w:cs="宋体"/>
          <w:szCs w:val="28"/>
        </w:rPr>
        <w:t>（2）不同供应商委托同一单位或者个人办理投标事宜；</w:t>
      </w:r>
    </w:p>
    <w:p w14:paraId="0336F995">
      <w:pPr>
        <w:spacing w:line="360" w:lineRule="auto"/>
        <w:ind w:firstLine="420" w:firstLineChars="200"/>
        <w:rPr>
          <w:rFonts w:ascii="宋体" w:hAnsi="宋体" w:cs="宋体"/>
          <w:szCs w:val="28"/>
        </w:rPr>
      </w:pPr>
      <w:r>
        <w:rPr>
          <w:rFonts w:hint="eastAsia" w:ascii="宋体" w:hAnsi="宋体" w:cs="宋体"/>
          <w:szCs w:val="28"/>
        </w:rPr>
        <w:t>（3）不同供应商的响应文件载明的项目管理成员或者联系人员为同一人；</w:t>
      </w:r>
    </w:p>
    <w:p w14:paraId="064DC8D4">
      <w:pPr>
        <w:spacing w:line="360" w:lineRule="auto"/>
        <w:ind w:firstLine="420" w:firstLineChars="200"/>
        <w:rPr>
          <w:rFonts w:ascii="宋体" w:hAnsi="宋体" w:cs="宋体"/>
          <w:szCs w:val="28"/>
        </w:rPr>
      </w:pPr>
      <w:r>
        <w:rPr>
          <w:rFonts w:hint="eastAsia" w:ascii="宋体" w:hAnsi="宋体" w:cs="宋体"/>
          <w:szCs w:val="28"/>
        </w:rPr>
        <w:t>（4）不同供应商的响应文件异常一致或出现相同打印IP地址或报价呈规律性差异；</w:t>
      </w:r>
    </w:p>
    <w:p w14:paraId="5508674C">
      <w:pPr>
        <w:spacing w:line="360" w:lineRule="auto"/>
        <w:ind w:firstLine="420" w:firstLineChars="200"/>
        <w:rPr>
          <w:rFonts w:ascii="宋体" w:hAnsi="宋体" w:cs="宋体"/>
          <w:szCs w:val="28"/>
        </w:rPr>
      </w:pPr>
      <w:r>
        <w:rPr>
          <w:rFonts w:hint="eastAsia" w:ascii="宋体" w:hAnsi="宋体" w:cs="宋体"/>
          <w:szCs w:val="28"/>
        </w:rPr>
        <w:t>（5）不同供应商的响应文件相互混装；</w:t>
      </w:r>
    </w:p>
    <w:p w14:paraId="075815B2">
      <w:pPr>
        <w:spacing w:line="360" w:lineRule="auto"/>
        <w:ind w:firstLine="420" w:firstLineChars="200"/>
        <w:rPr>
          <w:rFonts w:ascii="宋体" w:hAnsi="宋体" w:cs="宋体"/>
          <w:szCs w:val="28"/>
        </w:rPr>
      </w:pPr>
      <w:r>
        <w:rPr>
          <w:rFonts w:hint="eastAsia" w:ascii="宋体" w:hAnsi="宋体" w:cs="宋体"/>
          <w:szCs w:val="28"/>
        </w:rPr>
        <w:t>（6）不同供应商的谈判保证金从同一单位或者个人的账户转出。</w:t>
      </w:r>
    </w:p>
    <w:p w14:paraId="1B33A9BD">
      <w:pPr>
        <w:rPr>
          <w:rFonts w:ascii="宋体" w:hAnsi="宋体" w:cs="宋体"/>
        </w:rPr>
      </w:pPr>
    </w:p>
    <w:p w14:paraId="5CE208BB">
      <w:pPr>
        <w:pStyle w:val="17"/>
        <w:spacing w:line="360" w:lineRule="exact"/>
        <w:ind w:firstLine="420" w:firstLineChars="200"/>
        <w:rPr>
          <w:rFonts w:hAnsi="宋体" w:cs="宋体"/>
          <w:szCs w:val="21"/>
        </w:rPr>
      </w:pPr>
    </w:p>
    <w:p w14:paraId="3C8BFE06">
      <w:pPr>
        <w:pStyle w:val="17"/>
        <w:spacing w:line="400" w:lineRule="exact"/>
        <w:ind w:left="309" w:leftChars="147"/>
        <w:rPr>
          <w:rFonts w:hAnsi="宋体" w:cs="宋体"/>
        </w:rPr>
      </w:pPr>
    </w:p>
    <w:p w14:paraId="3585DAF4">
      <w:pPr>
        <w:pStyle w:val="3"/>
        <w:spacing w:line="0" w:lineRule="atLeast"/>
        <w:jc w:val="center"/>
        <w:rPr>
          <w:rFonts w:ascii="宋体" w:hAnsi="宋体" w:cs="宋体"/>
          <w:sz w:val="28"/>
          <w:szCs w:val="28"/>
        </w:rPr>
      </w:pPr>
      <w:bookmarkStart w:id="43" w:name="_Toc432277441"/>
      <w:bookmarkStart w:id="44" w:name="_Toc432264369"/>
      <w:r>
        <w:rPr>
          <w:rFonts w:hint="eastAsia" w:ascii="宋体" w:hAnsi="宋体" w:cs="宋体"/>
          <w:sz w:val="28"/>
          <w:szCs w:val="28"/>
        </w:rPr>
        <w:br w:type="page"/>
      </w:r>
      <w:bookmarkStart w:id="45" w:name="_Toc455565645"/>
      <w:bookmarkStart w:id="46" w:name="_Toc20340"/>
      <w:r>
        <w:rPr>
          <w:rFonts w:hint="eastAsia" w:ascii="宋体" w:hAnsi="宋体" w:cs="宋体"/>
          <w:sz w:val="28"/>
          <w:szCs w:val="28"/>
        </w:rPr>
        <w:t>第五章  合同主要条款及格式</w:t>
      </w:r>
      <w:bookmarkEnd w:id="43"/>
      <w:bookmarkEnd w:id="44"/>
      <w:bookmarkEnd w:id="45"/>
      <w:r>
        <w:rPr>
          <w:rFonts w:hint="eastAsia" w:ascii="宋体" w:hAnsi="宋体" w:cs="宋体"/>
          <w:sz w:val="28"/>
          <w:szCs w:val="28"/>
        </w:rPr>
        <w:t>（仅供参考）</w:t>
      </w:r>
      <w:bookmarkEnd w:id="46"/>
    </w:p>
    <w:p w14:paraId="611CF4AF">
      <w:pPr>
        <w:pStyle w:val="12"/>
        <w:spacing w:after="0"/>
        <w:jc w:val="center"/>
        <w:rPr>
          <w:rFonts w:ascii="宋体" w:hAnsi="宋体" w:cs="宋体"/>
          <w:b/>
          <w:bCs/>
          <w:spacing w:val="-20"/>
          <w:kern w:val="44"/>
          <w:sz w:val="48"/>
          <w:szCs w:val="48"/>
        </w:rPr>
      </w:pPr>
      <w:bookmarkStart w:id="47" w:name="_Toc3995"/>
    </w:p>
    <w:p w14:paraId="7C62071D">
      <w:pPr>
        <w:pStyle w:val="12"/>
        <w:spacing w:after="0"/>
        <w:jc w:val="center"/>
        <w:rPr>
          <w:rFonts w:ascii="宋体" w:hAnsi="宋体" w:cs="宋体"/>
          <w:b/>
          <w:bCs/>
          <w:spacing w:val="-20"/>
          <w:kern w:val="44"/>
          <w:sz w:val="48"/>
          <w:szCs w:val="48"/>
        </w:rPr>
      </w:pPr>
    </w:p>
    <w:p w14:paraId="43943372">
      <w:pPr>
        <w:pStyle w:val="1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58A1EE80">
      <w:pPr>
        <w:pStyle w:val="1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0034DD80">
      <w:pPr>
        <w:rPr>
          <w:rFonts w:ascii="宋体" w:hAnsi="宋体" w:cs="宋体"/>
          <w:b/>
          <w:bCs/>
          <w:spacing w:val="-20"/>
          <w:kern w:val="44"/>
          <w:sz w:val="40"/>
          <w:szCs w:val="40"/>
        </w:rPr>
      </w:pPr>
    </w:p>
    <w:p w14:paraId="679E0BF3">
      <w:pPr>
        <w:rPr>
          <w:rFonts w:ascii="宋体" w:hAnsi="宋体" w:cs="宋体"/>
          <w:b/>
          <w:bCs/>
          <w:spacing w:val="-20"/>
          <w:kern w:val="44"/>
          <w:sz w:val="40"/>
          <w:szCs w:val="40"/>
        </w:rPr>
      </w:pPr>
    </w:p>
    <w:p w14:paraId="3F862A89">
      <w:pPr>
        <w:rPr>
          <w:rFonts w:ascii="宋体" w:hAnsi="宋体" w:cs="宋体"/>
          <w:b/>
          <w:bCs/>
          <w:spacing w:val="-20"/>
          <w:kern w:val="44"/>
          <w:sz w:val="40"/>
          <w:szCs w:val="40"/>
        </w:rPr>
      </w:pPr>
    </w:p>
    <w:p w14:paraId="0574DDFB">
      <w:pPr>
        <w:spacing w:line="360" w:lineRule="auto"/>
        <w:ind w:left="420" w:leftChars="200"/>
        <w:rPr>
          <w:rFonts w:ascii="宋体" w:hAnsi="宋体" w:cs="宋体"/>
          <w:sz w:val="32"/>
          <w:szCs w:val="32"/>
        </w:rPr>
      </w:pPr>
      <w:r>
        <w:rPr>
          <w:rFonts w:hint="eastAsia" w:ascii="宋体" w:hAnsi="宋体" w:cs="宋体"/>
          <w:kern w:val="0"/>
          <w:sz w:val="32"/>
          <w:szCs w:val="32"/>
        </w:rPr>
        <w:t>项目名称：</w:t>
      </w:r>
      <w:r>
        <w:rPr>
          <w:rFonts w:hint="eastAsia" w:ascii="宋体" w:hAnsi="宋体" w:cs="宋体"/>
          <w:sz w:val="32"/>
          <w:szCs w:val="32"/>
          <w:u w:val="single"/>
        </w:rPr>
        <w:t xml:space="preserve">                             </w:t>
      </w:r>
    </w:p>
    <w:p w14:paraId="7CBAE424">
      <w:pPr>
        <w:spacing w:line="360" w:lineRule="auto"/>
        <w:ind w:left="420" w:leftChars="200"/>
        <w:rPr>
          <w:rFonts w:ascii="宋体" w:hAnsi="宋体" w:cs="宋体"/>
          <w:sz w:val="32"/>
          <w:szCs w:val="32"/>
          <w:u w:val="single"/>
        </w:rPr>
      </w:pPr>
      <w:r>
        <w:rPr>
          <w:rFonts w:hint="eastAsia" w:ascii="宋体" w:hAnsi="宋体" w:cs="宋体"/>
          <w:sz w:val="32"/>
          <w:szCs w:val="32"/>
        </w:rPr>
        <w:t>合同编号：</w:t>
      </w:r>
      <w:r>
        <w:rPr>
          <w:rFonts w:hint="eastAsia" w:ascii="宋体" w:hAnsi="宋体" w:cs="宋体"/>
          <w:sz w:val="32"/>
          <w:szCs w:val="32"/>
          <w:u w:val="single"/>
        </w:rPr>
        <w:t xml:space="preserve">                             </w:t>
      </w:r>
    </w:p>
    <w:p w14:paraId="7E34356B">
      <w:pPr>
        <w:spacing w:line="360" w:lineRule="auto"/>
        <w:ind w:left="420" w:leftChars="200"/>
        <w:rPr>
          <w:rFonts w:ascii="宋体" w:hAnsi="宋体" w:cs="宋体"/>
          <w:sz w:val="32"/>
          <w:szCs w:val="32"/>
        </w:rPr>
      </w:pPr>
      <w:r>
        <w:rPr>
          <w:rFonts w:hint="eastAsia" w:ascii="宋体" w:hAnsi="宋体" w:cs="宋体"/>
          <w:sz w:val="32"/>
          <w:szCs w:val="32"/>
        </w:rPr>
        <w:t>甲    方：</w:t>
      </w:r>
      <w:r>
        <w:rPr>
          <w:rFonts w:hint="eastAsia" w:ascii="宋体" w:hAnsi="宋体" w:cs="宋体"/>
          <w:sz w:val="32"/>
          <w:szCs w:val="32"/>
          <w:u w:val="single"/>
        </w:rPr>
        <w:t xml:space="preserve">                             </w:t>
      </w:r>
    </w:p>
    <w:p w14:paraId="27C5E9D2">
      <w:pPr>
        <w:spacing w:line="360" w:lineRule="auto"/>
        <w:ind w:left="420" w:leftChars="200"/>
        <w:rPr>
          <w:rFonts w:ascii="宋体" w:hAnsi="宋体" w:cs="宋体"/>
          <w:sz w:val="32"/>
          <w:szCs w:val="32"/>
          <w:u w:val="single"/>
        </w:rPr>
      </w:pPr>
      <w:r>
        <w:rPr>
          <w:rFonts w:hint="eastAsia" w:ascii="宋体" w:hAnsi="宋体" w:cs="宋体"/>
          <w:sz w:val="32"/>
          <w:szCs w:val="32"/>
        </w:rPr>
        <w:t>乙    方：</w:t>
      </w:r>
      <w:r>
        <w:rPr>
          <w:rFonts w:hint="eastAsia" w:ascii="宋体" w:hAnsi="宋体" w:cs="宋体"/>
          <w:sz w:val="32"/>
          <w:szCs w:val="32"/>
          <w:u w:val="single"/>
        </w:rPr>
        <w:t xml:space="preserve">                             </w:t>
      </w:r>
    </w:p>
    <w:p w14:paraId="7C489917">
      <w:pPr>
        <w:spacing w:line="360" w:lineRule="auto"/>
        <w:ind w:left="420" w:leftChars="200"/>
        <w:rPr>
          <w:rFonts w:ascii="宋体" w:hAnsi="宋体" w:cs="宋体"/>
          <w:sz w:val="32"/>
          <w:szCs w:val="32"/>
        </w:rPr>
      </w:pPr>
      <w:r>
        <w:rPr>
          <w:rFonts w:hint="eastAsia" w:ascii="宋体" w:hAnsi="宋体" w:cs="宋体"/>
          <w:sz w:val="32"/>
          <w:szCs w:val="32"/>
        </w:rPr>
        <w:t>签订时间：</w:t>
      </w:r>
      <w:r>
        <w:rPr>
          <w:rFonts w:hint="eastAsia" w:ascii="宋体" w:hAnsi="宋体" w:cs="宋体"/>
          <w:sz w:val="32"/>
          <w:szCs w:val="32"/>
          <w:u w:val="single"/>
        </w:rPr>
        <w:t xml:space="preserve">                             </w:t>
      </w:r>
    </w:p>
    <w:p w14:paraId="04EB6214">
      <w:pPr>
        <w:rPr>
          <w:rFonts w:ascii="宋体" w:hAnsi="宋体" w:cs="宋体"/>
        </w:rPr>
      </w:pPr>
    </w:p>
    <w:p w14:paraId="4FDA1919">
      <w:pPr>
        <w:rPr>
          <w:rFonts w:ascii="宋体" w:hAnsi="宋体" w:cs="宋体"/>
          <w:sz w:val="44"/>
          <w:szCs w:val="44"/>
        </w:rPr>
      </w:pPr>
      <w:r>
        <w:rPr>
          <w:rFonts w:hint="eastAsia" w:ascii="宋体" w:hAnsi="宋体" w:cs="宋体"/>
          <w:sz w:val="44"/>
          <w:szCs w:val="44"/>
        </w:rPr>
        <w:br w:type="page"/>
      </w:r>
    </w:p>
    <w:p w14:paraId="3E70EEBB">
      <w:pPr>
        <w:rPr>
          <w:rFonts w:ascii="宋体" w:hAnsi="宋体" w:cs="宋体"/>
          <w:sz w:val="44"/>
          <w:szCs w:val="44"/>
        </w:rPr>
      </w:pPr>
    </w:p>
    <w:p w14:paraId="3F64F13C">
      <w:pPr>
        <w:rPr>
          <w:rFonts w:ascii="宋体" w:hAnsi="宋体" w:cs="宋体"/>
          <w:sz w:val="44"/>
          <w:szCs w:val="44"/>
        </w:rPr>
      </w:pPr>
    </w:p>
    <w:p w14:paraId="41C8B4FC">
      <w:pPr>
        <w:jc w:val="center"/>
        <w:rPr>
          <w:rFonts w:ascii="宋体" w:hAnsi="宋体" w:cs="宋体"/>
          <w:sz w:val="44"/>
          <w:szCs w:val="44"/>
        </w:rPr>
      </w:pPr>
      <w:r>
        <w:rPr>
          <w:rFonts w:hint="eastAsia" w:ascii="宋体" w:hAnsi="宋体" w:cs="宋体"/>
          <w:sz w:val="44"/>
          <w:szCs w:val="44"/>
        </w:rPr>
        <w:t>使 用 说 明</w:t>
      </w:r>
    </w:p>
    <w:p w14:paraId="09FE47C1">
      <w:pPr>
        <w:ind w:firstLine="640" w:firstLineChars="200"/>
        <w:rPr>
          <w:rFonts w:ascii="宋体" w:hAnsi="宋体" w:cs="宋体"/>
          <w:sz w:val="32"/>
          <w:szCs w:val="32"/>
        </w:rPr>
      </w:pPr>
    </w:p>
    <w:p w14:paraId="2CBDA5DA">
      <w:pPr>
        <w:ind w:firstLine="640" w:firstLineChars="200"/>
        <w:rPr>
          <w:rFonts w:ascii="宋体" w:hAnsi="宋体" w:cs="宋体"/>
          <w:sz w:val="32"/>
          <w:szCs w:val="32"/>
        </w:rPr>
      </w:pPr>
      <w:r>
        <w:rPr>
          <w:rFonts w:hint="eastAsia" w:ascii="宋体" w:hAnsi="宋体" w:cs="宋体"/>
          <w:sz w:val="32"/>
          <w:szCs w:val="32"/>
        </w:rPr>
        <w:t>1.本合同标准文本适用于购买现成货物的采购项目，不包括需要供应商定制开发、创新研发的货物采购项目。</w:t>
      </w:r>
    </w:p>
    <w:p w14:paraId="63E22120">
      <w:pPr>
        <w:rPr>
          <w:rFonts w:ascii="宋体" w:hAnsi="宋体" w:cs="宋体"/>
          <w:sz w:val="44"/>
          <w:szCs w:val="44"/>
        </w:rPr>
      </w:pPr>
      <w:r>
        <w:rPr>
          <w:rFonts w:hint="eastAsia" w:ascii="宋体" w:hAnsi="宋体" w:cs="宋体"/>
          <w:sz w:val="44"/>
          <w:szCs w:val="44"/>
        </w:rPr>
        <w:t xml:space="preserve">   </w:t>
      </w:r>
      <w:r>
        <w:rPr>
          <w:rFonts w:hint="eastAsia" w:ascii="宋体" w:hAnsi="宋体" w:cs="宋体"/>
          <w:sz w:val="32"/>
          <w:szCs w:val="32"/>
        </w:rPr>
        <w:t>2.本合同标准文本为政府采购货物买卖合同编制提供参考，可以结合采购项目具体情况，对文本作必要的调整修订后使用。</w:t>
      </w:r>
    </w:p>
    <w:p w14:paraId="006DFA5D">
      <w:pPr>
        <w:ind w:firstLine="640" w:firstLineChars="200"/>
        <w:rPr>
          <w:rFonts w:ascii="宋体" w:hAnsi="宋体" w:cs="宋体"/>
          <w:sz w:val="32"/>
          <w:szCs w:val="32"/>
        </w:rPr>
      </w:pPr>
      <w:r>
        <w:rPr>
          <w:rFonts w:hint="eastAsia" w:ascii="宋体" w:hAnsi="宋体" w:cs="宋体"/>
          <w:sz w:val="32"/>
          <w:szCs w:val="32"/>
        </w:rPr>
        <w:t>3.本合同标准文本各条款中，如涉及填写多家供应商、制造商，多种采购标的、分包主要内容等信息的，可根据采购项目具体情况添加信息项。</w:t>
      </w:r>
    </w:p>
    <w:p w14:paraId="5C36DAED">
      <w:pPr>
        <w:ind w:firstLine="880" w:firstLineChars="200"/>
        <w:rPr>
          <w:rFonts w:ascii="宋体" w:hAnsi="宋体" w:cs="宋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47"/>
    <w:p w14:paraId="22D5DD61">
      <w:pPr>
        <w:pStyle w:val="4"/>
        <w:adjustRightInd w:val="0"/>
        <w:snapToGrid w:val="0"/>
        <w:spacing w:line="400" w:lineRule="exact"/>
        <w:jc w:val="center"/>
        <w:rPr>
          <w:rFonts w:ascii="宋体" w:hAnsi="宋体" w:cs="宋体"/>
          <w:b w:val="0"/>
          <w:bCs w:val="0"/>
          <w:sz w:val="28"/>
          <w:szCs w:val="28"/>
        </w:rPr>
      </w:pPr>
      <w:bookmarkStart w:id="48" w:name="_Toc22209"/>
      <w:bookmarkStart w:id="49" w:name="_Toc1748"/>
      <w:r>
        <w:rPr>
          <w:rFonts w:hint="eastAsia" w:ascii="宋体" w:hAnsi="宋体" w:cs="宋体"/>
          <w:b w:val="0"/>
          <w:bCs w:val="0"/>
          <w:sz w:val="28"/>
          <w:szCs w:val="28"/>
        </w:rPr>
        <w:t>第一节 政府采购合同协议书</w:t>
      </w:r>
      <w:bookmarkEnd w:id="48"/>
      <w:bookmarkEnd w:id="49"/>
    </w:p>
    <w:p w14:paraId="2AA80E2D">
      <w:pPr>
        <w:adjustRightInd w:val="0"/>
        <w:snapToGrid w:val="0"/>
        <w:spacing w:line="400" w:lineRule="exact"/>
        <w:rPr>
          <w:rFonts w:ascii="宋体" w:hAnsi="宋体" w:cs="宋体"/>
          <w:szCs w:val="21"/>
        </w:rPr>
      </w:pPr>
      <w:r>
        <w:rPr>
          <w:rFonts w:hint="eastAsia" w:ascii="宋体" w:hAnsi="宋体" w:cs="宋体"/>
          <w:szCs w:val="21"/>
        </w:rPr>
        <w:t>甲方（全称）：</w:t>
      </w:r>
      <w:r>
        <w:rPr>
          <w:rFonts w:hint="eastAsia" w:ascii="宋体" w:hAnsi="宋体" w:cs="宋体"/>
          <w:szCs w:val="21"/>
          <w:u w:val="single"/>
        </w:rPr>
        <w:t xml:space="preserve">                        </w:t>
      </w:r>
      <w:r>
        <w:rPr>
          <w:rFonts w:hint="eastAsia" w:ascii="宋体" w:hAnsi="宋体" w:cs="宋体"/>
          <w:szCs w:val="21"/>
        </w:rPr>
        <w:t>（采购人、受采购人委托签订合同的单位或采购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14:paraId="1DF48842">
      <w:pPr>
        <w:adjustRightInd w:val="0"/>
        <w:snapToGrid w:val="0"/>
        <w:spacing w:line="400" w:lineRule="exact"/>
        <w:rPr>
          <w:rFonts w:ascii="宋体" w:hAnsi="宋体" w:cs="宋体"/>
          <w:szCs w:val="21"/>
        </w:rPr>
      </w:pPr>
      <w:r>
        <w:rPr>
          <w:rFonts w:hint="eastAsia" w:ascii="宋体" w:hAnsi="宋体" w:cs="宋体"/>
          <w:szCs w:val="21"/>
        </w:rPr>
        <w:t>乙方1（全称）：</w:t>
      </w:r>
      <w:r>
        <w:rPr>
          <w:rFonts w:hint="eastAsia" w:ascii="宋体" w:hAnsi="宋体" w:cs="宋体"/>
          <w:szCs w:val="21"/>
          <w:u w:val="single"/>
        </w:rPr>
        <w:t xml:space="preserve">                       </w:t>
      </w:r>
      <w:r>
        <w:rPr>
          <w:rFonts w:hint="eastAsia" w:ascii="宋体" w:hAnsi="宋体" w:cs="宋体"/>
          <w:szCs w:val="21"/>
        </w:rPr>
        <w:t>（供应商）</w:t>
      </w:r>
    </w:p>
    <w:p w14:paraId="6FC4CC3D">
      <w:pPr>
        <w:adjustRightInd w:val="0"/>
        <w:snapToGrid w:val="0"/>
        <w:spacing w:line="400" w:lineRule="exact"/>
        <w:rPr>
          <w:rFonts w:ascii="宋体" w:hAnsi="宋体" w:cs="宋体"/>
          <w:szCs w:val="21"/>
        </w:rPr>
      </w:pPr>
      <w:r>
        <w:rPr>
          <w:rFonts w:hint="eastAsia" w:ascii="宋体" w:hAnsi="宋体" w:cs="宋体"/>
          <w:szCs w:val="21"/>
        </w:rPr>
        <w:t>乙方2（全称）：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7B3F49F9">
      <w:pPr>
        <w:adjustRightInd w:val="0"/>
        <w:snapToGrid w:val="0"/>
        <w:spacing w:line="400" w:lineRule="exact"/>
        <w:rPr>
          <w:rFonts w:ascii="宋体" w:hAnsi="宋体" w:cs="宋体"/>
          <w:szCs w:val="21"/>
        </w:rPr>
      </w:pPr>
      <w:r>
        <w:rPr>
          <w:rFonts w:hint="eastAsia" w:ascii="宋体" w:hAnsi="宋体" w:cs="宋体"/>
        </w:rPr>
        <w:t>乙方</w:t>
      </w:r>
      <w:r>
        <w:rPr>
          <w:rFonts w:hint="eastAsia" w:ascii="宋体" w:hAnsi="宋体" w:cs="宋体"/>
          <w:szCs w:val="21"/>
        </w:rPr>
        <w:t>3</w:t>
      </w:r>
      <w:r>
        <w:rPr>
          <w:rFonts w:hint="eastAsia" w:ascii="宋体" w:hAnsi="宋体" w:cs="宋体"/>
        </w:rPr>
        <w:t>（全称）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6FE21B4A">
      <w:pPr>
        <w:spacing w:line="400" w:lineRule="exact"/>
        <w:rPr>
          <w:rFonts w:ascii="宋体" w:hAnsi="宋体" w:cs="宋体"/>
        </w:rPr>
      </w:pPr>
    </w:p>
    <w:p w14:paraId="2A8894B6">
      <w:pPr>
        <w:pStyle w:val="14"/>
        <w:adjustRightInd w:val="0"/>
        <w:snapToGrid w:val="0"/>
        <w:spacing w:after="0" w:line="400" w:lineRule="exact"/>
        <w:ind w:left="0" w:leftChars="0" w:firstLine="420" w:firstLineChars="200"/>
        <w:rPr>
          <w:rFonts w:ascii="宋体" w:hAnsi="宋体" w:cs="宋体"/>
          <w:szCs w:val="21"/>
        </w:rPr>
      </w:pPr>
      <w:r>
        <w:rPr>
          <w:rFonts w:hint="eastAsia" w:ascii="宋体" w:hAnsi="宋体" w:cs="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70D3D91">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1EC72B5A">
      <w:pPr>
        <w:pStyle w:val="14"/>
        <w:numPr>
          <w:ilvl w:val="0"/>
          <w:numId w:val="8"/>
        </w:numPr>
        <w:adjustRightInd w:val="0"/>
        <w:snapToGrid w:val="0"/>
        <w:spacing w:after="0" w:line="400" w:lineRule="exact"/>
        <w:ind w:left="0" w:leftChars="0" w:firstLine="420" w:firstLineChars="200"/>
        <w:rPr>
          <w:rFonts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14:paraId="6F7310FF">
      <w:pPr>
        <w:pStyle w:val="14"/>
        <w:numPr>
          <w:ilvl w:val="255"/>
          <w:numId w:val="0"/>
        </w:numPr>
        <w:tabs>
          <w:tab w:val="left" w:pos="999"/>
        </w:tabs>
        <w:adjustRightInd w:val="0"/>
        <w:snapToGrid w:val="0"/>
        <w:spacing w:after="0" w:line="400" w:lineRule="exact"/>
        <w:rPr>
          <w:rFonts w:ascii="宋体" w:hAnsi="宋体" w:cs="宋体"/>
          <w:szCs w:val="21"/>
        </w:rPr>
      </w:pPr>
      <w:r>
        <w:rPr>
          <w:rFonts w:hint="eastAsia" w:ascii="宋体" w:hAnsi="宋体" w:cs="宋体"/>
          <w:szCs w:val="21"/>
        </w:rPr>
        <w:t xml:space="preserve">         采购项目编号：</w:t>
      </w:r>
      <w:r>
        <w:rPr>
          <w:rFonts w:hint="eastAsia" w:ascii="宋体" w:hAnsi="宋体" w:cs="宋体"/>
          <w:szCs w:val="21"/>
          <w:u w:val="single"/>
        </w:rPr>
        <w:t xml:space="preserve">                                          </w:t>
      </w:r>
    </w:p>
    <w:p w14:paraId="2F4B9B8B">
      <w:pPr>
        <w:pStyle w:val="14"/>
        <w:adjustRightInd w:val="0"/>
        <w:snapToGrid w:val="0"/>
        <w:spacing w:after="0" w:line="400" w:lineRule="exact"/>
        <w:ind w:left="0" w:leftChars="0" w:firstLine="420" w:firstLineChars="200"/>
        <w:rPr>
          <w:rFonts w:ascii="宋体" w:hAnsi="宋体" w:cs="宋体"/>
          <w:szCs w:val="21"/>
        </w:rPr>
      </w:pPr>
      <w:r>
        <w:rPr>
          <w:rFonts w:hint="eastAsia" w:ascii="宋体" w:hAnsi="宋体" w:cs="宋体"/>
          <w:szCs w:val="21"/>
        </w:rPr>
        <w:t>（2）采购计划编号：</w:t>
      </w:r>
      <w:r>
        <w:rPr>
          <w:rFonts w:hint="eastAsia" w:ascii="宋体" w:hAnsi="宋体" w:cs="宋体"/>
          <w:szCs w:val="21"/>
          <w:u w:val="single"/>
        </w:rPr>
        <w:t xml:space="preserve">                                          </w:t>
      </w:r>
      <w:r>
        <w:rPr>
          <w:rFonts w:hint="eastAsia" w:ascii="宋体" w:hAnsi="宋体" w:cs="宋体"/>
          <w:szCs w:val="21"/>
        </w:rPr>
        <w:t xml:space="preserve"> </w:t>
      </w:r>
    </w:p>
    <w:p w14:paraId="5D6CE027">
      <w:pPr>
        <w:adjustRightInd w:val="0"/>
        <w:snapToGrid w:val="0"/>
        <w:spacing w:line="400" w:lineRule="exact"/>
        <w:ind w:firstLine="420" w:firstLineChars="200"/>
        <w:rPr>
          <w:rFonts w:ascii="宋体" w:hAnsi="宋体" w:cs="宋体"/>
          <w:szCs w:val="21"/>
        </w:rPr>
      </w:pPr>
      <w:r>
        <w:rPr>
          <w:rFonts w:hint="eastAsia" w:ascii="宋体" w:hAnsi="宋体" w:cs="宋体"/>
          <w:szCs w:val="21"/>
        </w:rPr>
        <w:t>（3）项目内容：</w:t>
      </w:r>
    </w:p>
    <w:p w14:paraId="4415B846">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采购标的及数量（台/套</w:t>
      </w:r>
      <w:r>
        <w:rPr>
          <w:rFonts w:hint="eastAsia" w:ascii="宋体" w:hAnsi="宋体" w:cs="宋体"/>
          <w:szCs w:val="21"/>
          <w:lang w:val="en"/>
        </w:rPr>
        <w:t>/个/架/组等</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48EDF50F">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p>
    <w:p w14:paraId="4AA6A635">
      <w:pPr>
        <w:adjustRightInd w:val="0"/>
        <w:snapToGrid w:val="0"/>
        <w:spacing w:line="400" w:lineRule="exact"/>
        <w:ind w:firstLine="945" w:firstLineChars="450"/>
        <w:rPr>
          <w:rFonts w:ascii="宋体" w:hAnsi="宋体" w:cs="宋体"/>
          <w:szCs w:val="21"/>
          <w:u w:val="single"/>
        </w:rPr>
      </w:pPr>
      <w:r>
        <w:rPr>
          <w:rFonts w:hint="eastAsia" w:ascii="宋体" w:hAnsi="宋体" w:cs="宋体"/>
          <w:szCs w:val="21"/>
        </w:rPr>
        <w:t>采购标的的技术要求、商务要求具体见附件。</w:t>
      </w:r>
    </w:p>
    <w:p w14:paraId="58808704">
      <w:pPr>
        <w:numPr>
          <w:ilvl w:val="255"/>
          <w:numId w:val="0"/>
        </w:num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14:paraId="3CD544C9">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hint="eastAsia" w:ascii="宋体" w:hAnsi="宋体" w:cs="宋体"/>
          <w:kern w:val="0"/>
          <w:szCs w:val="21"/>
          <w:u w:val="single"/>
          <w:lang w:val="en"/>
        </w:rPr>
        <w:t xml:space="preserve">               </w:t>
      </w:r>
      <w:r>
        <w:rPr>
          <w:rFonts w:hint="eastAsia" w:ascii="宋体" w:hAnsi="宋体" w:cs="宋体"/>
          <w:kern w:val="0"/>
          <w:szCs w:val="21"/>
          <w:u w:val="single"/>
        </w:rPr>
        <w:t xml:space="preserve">    </w:t>
      </w:r>
    </w:p>
    <w:p w14:paraId="7931BC3D">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FA837D6">
      <w:pPr>
        <w:pStyle w:val="9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24FE313">
      <w:pPr>
        <w:pStyle w:val="9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D652D39">
      <w:pPr>
        <w:pStyle w:val="99"/>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99E0FC9">
      <w:pPr>
        <w:pStyle w:val="99"/>
        <w:numPr>
          <w:ilvl w:val="255"/>
          <w:numId w:val="0"/>
        </w:numPr>
        <w:snapToGrid w:val="0"/>
        <w:rPr>
          <w:rFonts w:ascii="宋体" w:hAnsi="宋体" w:eastAsia="宋体" w:cs="宋体"/>
          <w:sz w:val="21"/>
        </w:rPr>
      </w:pPr>
      <w:r>
        <w:rPr>
          <w:rFonts w:hint="eastAsia" w:ascii="宋体" w:hAnsi="宋体" w:eastAsia="宋体" w:cs="宋体"/>
          <w:sz w:val="21"/>
        </w:rPr>
        <w:t xml:space="preserve">         ②涉及车辆采购，请填写是否属于新能源汽车：</w:t>
      </w:r>
    </w:p>
    <w:p w14:paraId="57EA8FE4">
      <w:pPr>
        <w:pStyle w:val="9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D6ABB21">
      <w:pPr>
        <w:pStyle w:val="9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7E5E5969">
      <w:pPr>
        <w:pStyle w:val="9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6BD60309">
      <w:pPr>
        <w:pStyle w:val="99"/>
        <w:numPr>
          <w:ilvl w:val="255"/>
          <w:numId w:val="0"/>
        </w:numPr>
        <w:snapToGrid w:val="0"/>
        <w:ind w:firstLine="420"/>
        <w:rPr>
          <w:rFonts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4E5BE6A7">
      <w:pPr>
        <w:pStyle w:val="99"/>
        <w:numPr>
          <w:ilvl w:val="255"/>
          <w:numId w:val="0"/>
        </w:numPr>
        <w:snapToGrid w:val="0"/>
        <w:ind w:firstLine="420"/>
        <w:rPr>
          <w:rFonts w:ascii="宋体" w:hAnsi="宋体" w:eastAsia="宋体" w:cs="宋体"/>
          <w:sz w:val="21"/>
          <w:u w:val="single"/>
        </w:rPr>
      </w:pPr>
      <w:r>
        <w:rPr>
          <w:rFonts w:hint="eastAsia" w:ascii="宋体" w:hAnsi="宋体" w:eastAsia="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6A3F0733">
      <w:pPr>
        <w:pStyle w:val="99"/>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55B60A44">
      <w:pPr>
        <w:pStyle w:val="99"/>
        <w:numPr>
          <w:ilvl w:val="255"/>
          <w:numId w:val="0"/>
        </w:numPr>
        <w:snapToGrid w:val="0"/>
        <w:ind w:firstLine="220" w:firstLineChars="100"/>
        <w:rPr>
          <w:rFonts w:ascii="宋体" w:hAnsi="宋体" w:eastAsia="宋体" w:cs="宋体"/>
          <w:kern w:val="2"/>
          <w:sz w:val="21"/>
        </w:rPr>
      </w:pPr>
      <w:r>
        <w:rPr>
          <w:rFonts w:hint="eastAsia" w:ascii="宋体" w:hAnsi="宋体" w:eastAsia="宋体" w:cs="宋体"/>
        </w:rPr>
        <w:t xml:space="preserve"> （</w:t>
      </w:r>
      <w:r>
        <w:rPr>
          <w:rFonts w:hint="eastAsia" w:ascii="宋体" w:hAnsi="宋体" w:eastAsia="宋体" w:cs="宋体"/>
          <w:lang w:val="en"/>
        </w:rPr>
        <w:t>6</w:t>
      </w:r>
      <w:r>
        <w:rPr>
          <w:rFonts w:hint="eastAsia" w:ascii="宋体" w:hAnsi="宋体" w:eastAsia="宋体" w:cs="宋体"/>
        </w:rPr>
        <w:t>）</w:t>
      </w:r>
      <w:r>
        <w:rPr>
          <w:rFonts w:hint="eastAsia" w:ascii="宋体" w:hAnsi="宋体" w:eastAsia="宋体" w:cs="宋体"/>
          <w:kern w:val="2"/>
          <w:sz w:val="21"/>
        </w:rPr>
        <w:t>中标（成交）采购标的制造商是否为中小企业：</w:t>
      </w:r>
      <w:r>
        <w:rPr>
          <w:rFonts w:hint="eastAsia" w:ascii="宋体" w:hAnsi="宋体" w:eastAsia="宋体" w:cs="宋体"/>
          <w:kern w:val="2"/>
          <w:sz w:val="21"/>
        </w:rPr>
        <w:sym w:font="Wingdings" w:char="00A8"/>
      </w:r>
      <w:r>
        <w:rPr>
          <w:rFonts w:hint="eastAsia" w:ascii="宋体" w:hAnsi="宋体" w:eastAsia="宋体" w:cs="宋体"/>
          <w:kern w:val="2"/>
          <w:sz w:val="21"/>
        </w:rPr>
        <w:t xml:space="preserve">是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6B1FB892">
      <w:pPr>
        <w:numPr>
          <w:ilvl w:val="255"/>
          <w:numId w:val="0"/>
        </w:numPr>
        <w:adjustRightInd w:val="0"/>
        <w:snapToGrid w:val="0"/>
        <w:spacing w:line="400" w:lineRule="exact"/>
        <w:rPr>
          <w:rFonts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38286D3B">
      <w:pPr>
        <w:numPr>
          <w:ilvl w:val="255"/>
          <w:numId w:val="0"/>
        </w:numPr>
        <w:adjustRightInd w:val="0"/>
        <w:snapToGrid w:val="0"/>
        <w:spacing w:line="400" w:lineRule="exact"/>
        <w:rPr>
          <w:rFonts w:ascii="宋体" w:hAnsi="宋体" w:cs="宋体"/>
          <w:iCs/>
          <w:szCs w:val="21"/>
        </w:rPr>
      </w:pPr>
      <w:r>
        <w:rPr>
          <w:rFonts w:hint="eastAsia" w:ascii="宋体" w:hAnsi="宋体" w:cs="宋体"/>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5E479B5">
      <w:pPr>
        <w:numPr>
          <w:ilvl w:val="255"/>
          <w:numId w:val="0"/>
        </w:numPr>
        <w:adjustRightInd w:val="0"/>
        <w:snapToGrid w:val="0"/>
        <w:spacing w:line="400" w:lineRule="exact"/>
        <w:rPr>
          <w:rFonts w:ascii="宋体" w:hAnsi="宋体" w:cs="宋体"/>
          <w:iCs/>
          <w:szCs w:val="21"/>
        </w:rPr>
      </w:pPr>
      <w:r>
        <w:rPr>
          <w:rFonts w:hint="eastAsia" w:ascii="宋体" w:hAnsi="宋体" w:cs="宋体"/>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532D856">
      <w:pPr>
        <w:snapToGrid w:val="0"/>
        <w:spacing w:line="400" w:lineRule="exact"/>
        <w:rPr>
          <w:rFonts w:ascii="宋体" w:hAnsi="宋体" w:cs="宋体"/>
        </w:rPr>
      </w:pPr>
      <w:r>
        <w:rPr>
          <w:rFonts w:hint="eastAsia" w:ascii="宋体" w:hAnsi="宋体" w:cs="宋体"/>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6A41360">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7</w:t>
      </w:r>
      <w:r>
        <w:rPr>
          <w:rFonts w:hint="eastAsia" w:ascii="宋体" w:hAnsi="宋体" w:cs="宋体"/>
          <w:szCs w:val="21"/>
        </w:rPr>
        <w:t>）合同是否分包：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1622B1F">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分包主要内容：</w:t>
      </w:r>
      <w:r>
        <w:rPr>
          <w:rFonts w:hint="eastAsia" w:ascii="宋体" w:hAnsi="宋体" w:cs="宋体"/>
          <w:szCs w:val="21"/>
          <w:u w:val="single"/>
        </w:rPr>
        <w:t xml:space="preserve">                                            </w:t>
      </w:r>
    </w:p>
    <w:p w14:paraId="519D9A28">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分包供应商/制造商名称（如供应商和制造商不同，请分别填写）：</w:t>
      </w:r>
    </w:p>
    <w:p w14:paraId="25EBE73D">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14:paraId="520517DF">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分包供应商/制造商类型（如果供应商和制造商不同，只填写制造商类型）：</w:t>
      </w:r>
    </w:p>
    <w:p w14:paraId="0AD120F6">
      <w:pPr>
        <w:adjustRightInd w:val="0"/>
        <w:snapToGrid w:val="0"/>
        <w:spacing w:line="400" w:lineRule="exact"/>
        <w:ind w:firstLine="840" w:firstLineChars="400"/>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14:paraId="436EC37F">
      <w:pPr>
        <w:adjustRightInd w:val="0"/>
        <w:snapToGrid w:val="0"/>
        <w:spacing w:line="400" w:lineRule="exact"/>
        <w:ind w:firstLine="840" w:firstLineChars="400"/>
        <w:rPr>
          <w:rFonts w:ascii="宋体" w:hAnsi="宋体" w:cs="宋体"/>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14:paraId="5A672AA4">
      <w:pPr>
        <w:numPr>
          <w:ilvl w:val="255"/>
          <w:numId w:val="0"/>
        </w:numPr>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376DC58">
      <w:pPr>
        <w:pStyle w:val="9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5532C049">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9</w:t>
      </w:r>
      <w:r>
        <w:rPr>
          <w:rFonts w:hint="eastAsia" w:ascii="宋体" w:hAnsi="宋体" w:cs="宋体"/>
          <w:szCs w:val="21"/>
        </w:rPr>
        <w:t>）是否涉及进口产品：</w:t>
      </w:r>
    </w:p>
    <w:p w14:paraId="06A58A15">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79937FC2">
      <w:pPr>
        <w:numPr>
          <w:ilvl w:val="255"/>
          <w:numId w:val="0"/>
        </w:num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cs="宋体"/>
          <w:szCs w:val="21"/>
        </w:rPr>
        <w:t xml:space="preserve">      </w:t>
      </w:r>
    </w:p>
    <w:p w14:paraId="0C99BC2E">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7564C1E4">
      <w:pPr>
        <w:numPr>
          <w:ilvl w:val="255"/>
          <w:numId w:val="0"/>
        </w:num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0</w:t>
      </w:r>
      <w:r>
        <w:rPr>
          <w:rFonts w:hint="eastAsia" w:ascii="宋体" w:hAnsi="宋体" w:cs="宋体"/>
          <w:szCs w:val="21"/>
        </w:rPr>
        <w:t>）是否涉及节能产品：</w:t>
      </w:r>
    </w:p>
    <w:p w14:paraId="2B1811C9">
      <w:pPr>
        <w:numPr>
          <w:ilvl w:val="255"/>
          <w:numId w:val="0"/>
        </w:numPr>
        <w:tabs>
          <w:tab w:val="left" w:pos="740"/>
        </w:tabs>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是，《节能产品政府采购品目清单》的底级品目名称：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4074EA5D">
      <w:pPr>
        <w:numPr>
          <w:ilvl w:val="255"/>
          <w:numId w:val="0"/>
        </w:num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09D6EBE0">
      <w:pPr>
        <w:numPr>
          <w:ilvl w:val="255"/>
          <w:numId w:val="0"/>
        </w:num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74EC2EC7">
      <w:pPr>
        <w:numPr>
          <w:ilvl w:val="255"/>
          <w:numId w:val="0"/>
        </w:num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是否涉及环境标志产品：</w:t>
      </w:r>
    </w:p>
    <w:p w14:paraId="09246E52">
      <w:pPr>
        <w:numPr>
          <w:ilvl w:val="255"/>
          <w:numId w:val="0"/>
        </w:num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是，《环境标志产品政府采购品目清单》的底级品目名称：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3C2767E8">
      <w:pPr>
        <w:numPr>
          <w:ilvl w:val="255"/>
          <w:numId w:val="0"/>
        </w:num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4218D801">
      <w:pPr>
        <w:numPr>
          <w:ilvl w:val="255"/>
          <w:numId w:val="0"/>
        </w:num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5D524E68">
      <w:pPr>
        <w:pStyle w:val="99"/>
        <w:numPr>
          <w:ilvl w:val="255"/>
          <w:numId w:val="0"/>
        </w:numPr>
        <w:snapToGrid w:val="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kern w:val="2"/>
          <w:sz w:val="21"/>
        </w:rPr>
        <w:t xml:space="preserve">是否涉及绿色产品： </w:t>
      </w:r>
    </w:p>
    <w:p w14:paraId="123E84BB">
      <w:pPr>
        <w:pStyle w:val="99"/>
        <w:ind w:firstLine="420" w:firstLineChars="0"/>
        <w:rPr>
          <w:rFonts w:ascii="宋体" w:hAnsi="宋体" w:eastAsia="宋体" w:cs="宋体"/>
          <w:u w:val="single"/>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是，绿色产品政府采购相关政策确定的底级品目名称：</w:t>
      </w:r>
      <w:r>
        <w:rPr>
          <w:rFonts w:hint="eastAsia" w:ascii="宋体" w:hAnsi="宋体" w:eastAsia="宋体" w:cs="宋体"/>
          <w:u w:val="single"/>
        </w:rPr>
        <w:t xml:space="preserve">         </w:t>
      </w:r>
    </w:p>
    <w:p w14:paraId="498B116C">
      <w:pPr>
        <w:numPr>
          <w:ilvl w:val="255"/>
          <w:numId w:val="0"/>
        </w:num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7BBED5D4">
      <w:pPr>
        <w:pStyle w:val="99"/>
        <w:ind w:firstLine="420" w:firstLineChars="0"/>
        <w:rPr>
          <w:rFonts w:ascii="宋体" w:hAnsi="宋体" w:eastAsia="宋体" w:cs="宋体"/>
          <w:sz w:val="21"/>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2B23F012">
      <w:pPr>
        <w:numPr>
          <w:ilvl w:val="255"/>
          <w:numId w:val="0"/>
        </w:numPr>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1</w:t>
      </w:r>
      <w:r>
        <w:rPr>
          <w:rFonts w:hint="eastAsia" w:ascii="宋体" w:hAnsi="宋体" w:cs="宋体"/>
          <w:szCs w:val="21"/>
        </w:rPr>
        <w:t>）涉及商品包装和快递包装的，是否参考《商品包装政府采购需求标准（试行）》、《快递包装政府采购需求标准（试行）》明确产品及相关快递服务的具体包装要求：</w:t>
      </w:r>
    </w:p>
    <w:p w14:paraId="198CABC8">
      <w:pPr>
        <w:numPr>
          <w:ilvl w:val="255"/>
          <w:numId w:val="0"/>
        </w:num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14:paraId="2E7A8BB6">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合同金额</w:t>
      </w:r>
    </w:p>
    <w:p w14:paraId="51811A3A">
      <w:pPr>
        <w:adjustRightInd w:val="0"/>
        <w:snapToGrid w:val="0"/>
        <w:spacing w:line="400" w:lineRule="exact"/>
        <w:ind w:firstLine="420" w:firstLineChars="200"/>
        <w:rPr>
          <w:rFonts w:ascii="宋体" w:hAnsi="宋体" w:cs="宋体"/>
          <w:szCs w:val="21"/>
        </w:rPr>
      </w:pPr>
      <w:r>
        <w:rPr>
          <w:rFonts w:hint="eastAsia" w:ascii="宋体" w:hAnsi="宋体" w:cs="宋体"/>
          <w:szCs w:val="21"/>
        </w:rPr>
        <w:t>（1）合同金额小写：</w:t>
      </w:r>
      <w:r>
        <w:rPr>
          <w:rFonts w:hint="eastAsia" w:ascii="宋体" w:hAnsi="宋体" w:cs="宋体"/>
          <w:szCs w:val="21"/>
          <w:u w:val="single"/>
        </w:rPr>
        <w:t xml:space="preserve">                           </w:t>
      </w:r>
    </w:p>
    <w:p w14:paraId="12EF192A">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68CA4F29">
      <w:pPr>
        <w:adjustRightInd w:val="0"/>
        <w:snapToGrid w:val="0"/>
        <w:spacing w:line="400" w:lineRule="exact"/>
        <w:rPr>
          <w:rFonts w:ascii="宋体" w:hAnsi="宋体" w:cs="宋体"/>
          <w:szCs w:val="21"/>
        </w:rPr>
      </w:pPr>
      <w:r>
        <w:rPr>
          <w:rFonts w:hint="eastAsia" w:ascii="宋体" w:hAnsi="宋体" w:cs="宋体"/>
          <w:szCs w:val="21"/>
        </w:rPr>
        <w:t xml:space="preserve">         分包金额（如有）小写：</w:t>
      </w:r>
      <w:r>
        <w:rPr>
          <w:rFonts w:hint="eastAsia" w:ascii="宋体" w:hAnsi="宋体" w:cs="宋体"/>
          <w:szCs w:val="21"/>
          <w:u w:val="single"/>
        </w:rPr>
        <w:t xml:space="preserve">                   </w:t>
      </w:r>
    </w:p>
    <w:p w14:paraId="5226CD30">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4F78EFD0">
      <w:pPr>
        <w:adjustRightInd w:val="0"/>
        <w:snapToGrid w:val="0"/>
        <w:spacing w:line="400" w:lineRule="exact"/>
        <w:rPr>
          <w:rFonts w:ascii="宋体" w:hAnsi="宋体" w:cs="宋体"/>
          <w:szCs w:val="21"/>
        </w:rPr>
      </w:pPr>
      <w:r>
        <w:rPr>
          <w:rFonts w:hint="eastAsia" w:ascii="宋体" w:hAnsi="宋体" w:cs="宋体"/>
          <w:szCs w:val="21"/>
        </w:rPr>
        <w:t xml:space="preserve">    （注：固定单价合同应填写单价和最高限价）</w:t>
      </w:r>
    </w:p>
    <w:p w14:paraId="37AC31B1">
      <w:pPr>
        <w:numPr>
          <w:ilvl w:val="255"/>
          <w:numId w:val="0"/>
        </w:numPr>
        <w:adjustRightInd w:val="0"/>
        <w:snapToGrid w:val="0"/>
        <w:spacing w:line="400" w:lineRule="exact"/>
        <w:rPr>
          <w:rFonts w:ascii="宋体" w:hAnsi="宋体" w:cs="宋体"/>
          <w:szCs w:val="21"/>
        </w:rPr>
      </w:pPr>
      <w:r>
        <w:rPr>
          <w:rFonts w:hint="eastAsia" w:ascii="宋体" w:hAnsi="宋体" w:cs="宋体"/>
          <w:szCs w:val="21"/>
        </w:rPr>
        <w:t xml:space="preserve">    （2）合同定价方式（采用组合定价方式的，可以勾选多项）：</w:t>
      </w:r>
    </w:p>
    <w:p w14:paraId="393CB4B1">
      <w:pPr>
        <w:adjustRightInd w:val="0"/>
        <w:snapToGrid w:val="0"/>
        <w:spacing w:line="400" w:lineRule="exact"/>
        <w:ind w:firstLine="420" w:firstLineChars="2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r>
        <w:rPr>
          <w:rFonts w:hint="eastAsia" w:ascii="宋体" w:hAnsi="宋体" w:cs="宋体"/>
          <w:szCs w:val="21"/>
          <w:u w:val="single"/>
        </w:rPr>
        <w:t xml:space="preserve">       </w:t>
      </w:r>
    </w:p>
    <w:p w14:paraId="52E9A7E5">
      <w:pPr>
        <w:pStyle w:val="52"/>
        <w:spacing w:line="400" w:lineRule="exact"/>
        <w:rPr>
          <w:rFonts w:ascii="宋体" w:hAnsi="宋体" w:cs="宋体"/>
        </w:rPr>
      </w:pPr>
      <w:r>
        <w:rPr>
          <w:rFonts w:hint="eastAsia" w:ascii="宋体" w:hAnsi="宋体" w:cs="宋体"/>
        </w:rPr>
        <w:t>（3）付款方式（按项目实际勾选填写）：</w:t>
      </w:r>
    </w:p>
    <w:p w14:paraId="315741CC">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14:paraId="5EC28836">
      <w:pPr>
        <w:snapToGrid w:val="0"/>
        <w:spacing w:line="400" w:lineRule="exact"/>
        <w:ind w:firstLine="630" w:firstLineChars="300"/>
        <w:rPr>
          <w:rFonts w:ascii="宋体" w:hAnsi="宋体" w:cs="宋体"/>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14:paraId="3A190D3D">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14:paraId="38BA0196">
      <w:pPr>
        <w:adjustRightInd w:val="0"/>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14:paraId="5E62D884">
      <w:pPr>
        <w:numPr>
          <w:ilvl w:val="0"/>
          <w:numId w:val="7"/>
        </w:numPr>
        <w:adjustRightInd w:val="0"/>
        <w:snapToGrid w:val="0"/>
        <w:spacing w:line="400" w:lineRule="exact"/>
        <w:ind w:firstLine="422" w:firstLineChars="200"/>
        <w:rPr>
          <w:rFonts w:ascii="宋体" w:hAnsi="宋体" w:cs="宋体"/>
          <w:b/>
          <w:szCs w:val="21"/>
          <w:u w:val="single"/>
        </w:rPr>
      </w:pPr>
      <w:r>
        <w:rPr>
          <w:rFonts w:hint="eastAsia" w:ascii="宋体" w:hAnsi="宋体" w:cs="宋体"/>
          <w:b/>
          <w:szCs w:val="21"/>
        </w:rPr>
        <w:t>合同履行</w:t>
      </w:r>
    </w:p>
    <w:p w14:paraId="505D3159">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903FD10">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2116BA85">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B72B194">
      <w:pPr>
        <w:pStyle w:val="99"/>
        <w:rPr>
          <w:rFonts w:ascii="宋体" w:hAnsi="宋体" w:eastAsia="宋体" w:cs="宋体"/>
          <w:sz w:val="21"/>
        </w:rPr>
      </w:pPr>
      <w:r>
        <w:rPr>
          <w:rFonts w:hint="eastAsia" w:ascii="宋体" w:hAnsi="宋体" w:eastAsia="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709B2B4F">
      <w:pPr>
        <w:pStyle w:val="9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9266E68">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FF4161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FF8BAB9">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1C65CFF">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合同验收</w:t>
      </w:r>
    </w:p>
    <w:p w14:paraId="0927D965">
      <w:pPr>
        <w:numPr>
          <w:ilvl w:val="0"/>
          <w:numId w:val="9"/>
        </w:num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14:paraId="0F92C7A1">
      <w:pPr>
        <w:adjustRightInd w:val="0"/>
        <w:snapToGrid w:val="0"/>
        <w:spacing w:line="400" w:lineRule="exact"/>
        <w:rPr>
          <w:rFonts w:ascii="宋体" w:hAnsi="宋体" w:cs="宋体"/>
          <w:bCs/>
          <w:szCs w:val="21"/>
        </w:rPr>
      </w:pPr>
      <w:r>
        <w:rPr>
          <w:rFonts w:hint="eastAsia" w:ascii="宋体" w:hAnsi="宋体" w:cs="宋体"/>
          <w:bCs/>
          <w:szCs w:val="21"/>
        </w:rPr>
        <w:t xml:space="preserve">         验收主体：</w:t>
      </w:r>
      <w:r>
        <w:rPr>
          <w:rFonts w:hint="eastAsia" w:ascii="宋体" w:hAnsi="宋体" w:cs="宋体"/>
          <w:bCs/>
          <w:szCs w:val="21"/>
          <w:u w:val="single"/>
        </w:rPr>
        <w:t xml:space="preserve">                  </w:t>
      </w:r>
    </w:p>
    <w:p w14:paraId="72C08200">
      <w:pPr>
        <w:adjustRightInd w:val="0"/>
        <w:snapToGrid w:val="0"/>
        <w:spacing w:line="400" w:lineRule="exact"/>
        <w:rPr>
          <w:rFonts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19953B80">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AF16C38">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1687DB0B">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62DFE08D">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2E4394FA">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14:paraId="545B7F65">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4D507C8D">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验收组织的其他事项：</w:t>
      </w:r>
      <w:r>
        <w:rPr>
          <w:rFonts w:hint="eastAsia" w:ascii="宋体" w:hAnsi="宋体" w:cs="宋体"/>
          <w:bCs/>
          <w:szCs w:val="21"/>
          <w:u w:val="single"/>
        </w:rPr>
        <w:t xml:space="preserve">                </w:t>
      </w:r>
    </w:p>
    <w:p w14:paraId="491CC41C">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14:paraId="09E4F343">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14:paraId="70AA84F7">
      <w:pPr>
        <w:adjustRightInd w:val="0"/>
        <w:snapToGrid w:val="0"/>
        <w:spacing w:line="400" w:lineRule="exact"/>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w:t>
      </w:r>
      <w:r>
        <w:rPr>
          <w:rFonts w:hint="eastAsia" w:ascii="宋体" w:hAnsi="宋体" w:cs="宋体"/>
          <w:bCs/>
          <w:szCs w:val="21"/>
          <w:u w:val="single"/>
          <w:lang w:val="en"/>
        </w:rPr>
        <w:t>/分项验收的工作安排</w:t>
      </w:r>
      <w:r>
        <w:rPr>
          <w:rFonts w:hint="eastAsia" w:ascii="宋体" w:hAnsi="宋体" w:cs="宋体"/>
          <w:bCs/>
          <w:szCs w:val="21"/>
          <w:u w:val="single"/>
        </w:rPr>
        <w:t xml:space="preserve">）  </w:t>
      </w:r>
    </w:p>
    <w:p w14:paraId="716A9512">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（4）履约验收程序：</w:t>
      </w:r>
      <w:r>
        <w:rPr>
          <w:rFonts w:hint="eastAsia" w:ascii="宋体" w:hAnsi="宋体" w:cs="宋体"/>
          <w:bCs/>
          <w:szCs w:val="21"/>
          <w:u w:val="single"/>
        </w:rPr>
        <w:t xml:space="preserve">                                         </w:t>
      </w:r>
    </w:p>
    <w:p w14:paraId="150AE1F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 （应当包括每一项技术和商务要求的履约情况，特别是落实政府采购扶持中小企业，支持绿色发展和乡村振兴等政策情况）                                      </w:t>
      </w:r>
    </w:p>
    <w:p w14:paraId="3BC76FA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（6）履约验收标准：</w:t>
      </w:r>
      <w:r>
        <w:rPr>
          <w:rFonts w:hint="eastAsia" w:ascii="宋体" w:hAnsi="宋体" w:cs="宋体"/>
          <w:bCs/>
          <w:szCs w:val="21"/>
          <w:u w:val="single"/>
        </w:rPr>
        <w:t xml:space="preserve">                                         </w:t>
      </w:r>
    </w:p>
    <w:p w14:paraId="63BDD5D5">
      <w:pPr>
        <w:pStyle w:val="9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843CCC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547F22E5">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组成合同的文件</w:t>
      </w:r>
    </w:p>
    <w:p w14:paraId="77CEFD2A">
      <w:pPr>
        <w:adjustRightInd w:val="0"/>
        <w:snapToGrid w:val="0"/>
        <w:spacing w:line="40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736220A9">
      <w:pPr>
        <w:adjustRightInd w:val="0"/>
        <w:snapToGrid w:val="0"/>
        <w:spacing w:line="400" w:lineRule="exact"/>
        <w:ind w:firstLine="420" w:firstLineChars="200"/>
        <w:rPr>
          <w:rFonts w:ascii="宋体" w:hAnsi="宋体" w:cs="宋体"/>
          <w:szCs w:val="21"/>
        </w:rPr>
      </w:pPr>
      <w:r>
        <w:rPr>
          <w:rFonts w:hint="eastAsia" w:ascii="宋体" w:hAnsi="宋体" w:cs="宋体"/>
          <w:szCs w:val="21"/>
        </w:rPr>
        <w:t>（1）政府采购合同协议书及其变更、补充协议</w:t>
      </w:r>
    </w:p>
    <w:p w14:paraId="4F081B08">
      <w:pPr>
        <w:adjustRightInd w:val="0"/>
        <w:snapToGrid w:val="0"/>
        <w:spacing w:line="400" w:lineRule="exact"/>
        <w:ind w:firstLine="420" w:firstLineChars="200"/>
        <w:rPr>
          <w:rFonts w:ascii="宋体" w:hAnsi="宋体" w:cs="宋体"/>
          <w:szCs w:val="21"/>
        </w:rPr>
      </w:pPr>
      <w:r>
        <w:rPr>
          <w:rFonts w:hint="eastAsia" w:ascii="宋体" w:hAnsi="宋体" w:cs="宋体"/>
          <w:szCs w:val="21"/>
        </w:rPr>
        <w:t>（2）政府采购合同专用条款</w:t>
      </w:r>
    </w:p>
    <w:p w14:paraId="28BA897B">
      <w:pPr>
        <w:adjustRightInd w:val="0"/>
        <w:snapToGrid w:val="0"/>
        <w:spacing w:line="400" w:lineRule="exact"/>
        <w:ind w:firstLine="420" w:firstLineChars="200"/>
        <w:rPr>
          <w:rFonts w:ascii="宋体" w:hAnsi="宋体" w:cs="宋体"/>
          <w:szCs w:val="21"/>
        </w:rPr>
      </w:pPr>
      <w:r>
        <w:rPr>
          <w:rFonts w:hint="eastAsia" w:ascii="宋体" w:hAnsi="宋体" w:cs="宋体"/>
          <w:szCs w:val="21"/>
        </w:rPr>
        <w:t>（3）政府采购合同通用条款</w:t>
      </w:r>
    </w:p>
    <w:p w14:paraId="4BF3E70A">
      <w:pPr>
        <w:adjustRightInd w:val="0"/>
        <w:snapToGrid w:val="0"/>
        <w:spacing w:line="400" w:lineRule="exact"/>
        <w:ind w:firstLine="420" w:firstLineChars="200"/>
        <w:rPr>
          <w:rFonts w:ascii="宋体" w:hAnsi="宋体" w:cs="宋体"/>
          <w:szCs w:val="21"/>
        </w:rPr>
      </w:pPr>
      <w:r>
        <w:rPr>
          <w:rFonts w:hint="eastAsia" w:ascii="宋体" w:hAnsi="宋体" w:cs="宋体"/>
          <w:szCs w:val="21"/>
        </w:rPr>
        <w:t>（4）中标（成交）通知书</w:t>
      </w:r>
    </w:p>
    <w:p w14:paraId="3D5524C6">
      <w:pPr>
        <w:adjustRightInd w:val="0"/>
        <w:snapToGrid w:val="0"/>
        <w:spacing w:line="400" w:lineRule="exact"/>
        <w:ind w:firstLine="420" w:firstLineChars="200"/>
        <w:rPr>
          <w:rFonts w:ascii="宋体" w:hAnsi="宋体" w:cs="宋体"/>
          <w:szCs w:val="21"/>
        </w:rPr>
      </w:pPr>
      <w:r>
        <w:rPr>
          <w:rFonts w:hint="eastAsia" w:ascii="宋体" w:hAnsi="宋体" w:cs="宋体"/>
          <w:szCs w:val="21"/>
        </w:rPr>
        <w:t>（5）投标（响应）文件</w:t>
      </w:r>
    </w:p>
    <w:p w14:paraId="12EF5391">
      <w:pPr>
        <w:adjustRightInd w:val="0"/>
        <w:snapToGrid w:val="0"/>
        <w:spacing w:line="400" w:lineRule="exact"/>
        <w:ind w:firstLine="420" w:firstLineChars="200"/>
        <w:rPr>
          <w:rFonts w:ascii="宋体" w:hAnsi="宋体" w:cs="宋体"/>
          <w:szCs w:val="21"/>
        </w:rPr>
      </w:pPr>
      <w:r>
        <w:rPr>
          <w:rFonts w:hint="eastAsia" w:ascii="宋体" w:hAnsi="宋体" w:cs="宋体"/>
          <w:szCs w:val="21"/>
        </w:rPr>
        <w:t>（6）采购文件</w:t>
      </w:r>
    </w:p>
    <w:p w14:paraId="353F79AE">
      <w:pPr>
        <w:adjustRightInd w:val="0"/>
        <w:snapToGrid w:val="0"/>
        <w:spacing w:line="400" w:lineRule="exact"/>
        <w:ind w:firstLine="420" w:firstLineChars="200"/>
        <w:rPr>
          <w:rFonts w:ascii="宋体" w:hAnsi="宋体" w:cs="宋体"/>
          <w:szCs w:val="21"/>
        </w:rPr>
      </w:pPr>
      <w:r>
        <w:rPr>
          <w:rFonts w:hint="eastAsia" w:ascii="宋体" w:hAnsi="宋体" w:cs="宋体"/>
          <w:szCs w:val="21"/>
        </w:rPr>
        <w:t>（7）有关技术文件，图纸</w:t>
      </w:r>
    </w:p>
    <w:p w14:paraId="380B1313">
      <w:pPr>
        <w:pStyle w:val="9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59C6AEAB">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合同生效</w:t>
      </w:r>
    </w:p>
    <w:p w14:paraId="75E1BF17">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14:paraId="4E35DC89">
      <w:pPr>
        <w:numPr>
          <w:ilvl w:val="0"/>
          <w:numId w:val="7"/>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合同份数</w:t>
      </w:r>
    </w:p>
    <w:p w14:paraId="2ECEA624">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份，甲方执</w:t>
      </w:r>
      <w:r>
        <w:rPr>
          <w:rFonts w:hint="eastAsia" w:ascii="宋体" w:hAnsi="宋体" w:cs="宋体"/>
          <w:szCs w:val="21"/>
          <w:u w:val="single"/>
        </w:rPr>
        <w:t xml:space="preserve">    </w:t>
      </w:r>
      <w:r>
        <w:rPr>
          <w:rFonts w:hint="eastAsia" w:ascii="宋体" w:hAnsi="宋体" w:cs="宋体"/>
          <w:szCs w:val="21"/>
        </w:rPr>
        <w:t>份，乙方执</w:t>
      </w:r>
      <w:r>
        <w:rPr>
          <w:rFonts w:hint="eastAsia" w:ascii="宋体" w:hAnsi="宋体" w:cs="宋体"/>
          <w:szCs w:val="21"/>
          <w:u w:val="single"/>
        </w:rPr>
        <w:t xml:space="preserve">    </w:t>
      </w:r>
      <w:r>
        <w:rPr>
          <w:rFonts w:hint="eastAsia" w:ascii="宋体" w:hAnsi="宋体" w:cs="宋体"/>
          <w:szCs w:val="21"/>
        </w:rPr>
        <w:t>份，均具有同等法律效力。</w:t>
      </w:r>
    </w:p>
    <w:p w14:paraId="6E5ED753">
      <w:pPr>
        <w:adjustRightInd w:val="0"/>
        <w:snapToGrid w:val="0"/>
        <w:spacing w:line="400" w:lineRule="exact"/>
        <w:ind w:firstLine="420" w:firstLineChars="2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3028FEA">
      <w:pPr>
        <w:adjustRightInd w:val="0"/>
        <w:snapToGrid w:val="0"/>
        <w:spacing w:line="400" w:lineRule="exact"/>
        <w:ind w:firstLine="420" w:firstLineChars="200"/>
        <w:rPr>
          <w:rFonts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p w14:paraId="7324693A">
      <w:pPr>
        <w:adjustRightInd w:val="0"/>
        <w:snapToGrid w:val="0"/>
        <w:spacing w:line="400" w:lineRule="exact"/>
        <w:ind w:firstLine="420" w:firstLineChars="200"/>
        <w:rPr>
          <w:rFonts w:ascii="宋体" w:hAnsi="宋体" w:cs="宋体"/>
        </w:rPr>
      </w:pPr>
      <w:r>
        <w:rPr>
          <w:rFonts w:hint="eastAsia" w:ascii="宋体" w:hAnsi="宋体" w:cs="宋体"/>
          <w:szCs w:val="21"/>
        </w:rPr>
        <w:t>附件：具体标的及其技术要求和商务要求、联合协议、分包意向协议等。</w:t>
      </w:r>
    </w:p>
    <w:p w14:paraId="1B9A1F54">
      <w:pPr>
        <w:pStyle w:val="52"/>
        <w:spacing w:line="400" w:lineRule="exact"/>
        <w:rPr>
          <w:rFonts w:ascii="宋体" w:hAnsi="宋体" w:cs="宋体"/>
        </w:rPr>
      </w:pPr>
    </w:p>
    <w:p w14:paraId="3CDCCE5F">
      <w:pPr>
        <w:pStyle w:val="4"/>
        <w:spacing w:line="400" w:lineRule="exact"/>
        <w:rPr>
          <w:rFonts w:ascii="宋体" w:hAnsi="宋体" w:cs="宋体"/>
          <w:b w:val="0"/>
          <w:bCs w:val="0"/>
          <w:sz w:val="21"/>
          <w:szCs w:val="21"/>
        </w:rPr>
      </w:pPr>
      <w:r>
        <w:rPr>
          <w:rFonts w:hint="eastAsia" w:ascii="宋体" w:hAnsi="宋体" w:cs="宋体"/>
          <w:lang w:val="en"/>
        </w:rPr>
        <w:t xml:space="preserve">   </w:t>
      </w:r>
    </w:p>
    <w:p w14:paraId="72C8DE35">
      <w:pPr>
        <w:rPr>
          <w:rFonts w:ascii="宋体" w:hAnsi="宋体" w:cs="宋体"/>
        </w:rPr>
      </w:pPr>
      <w:r>
        <w:rPr>
          <w:rFonts w:hint="eastAsia" w:ascii="宋体" w:hAnsi="宋体" w:cs="宋体"/>
        </w:rPr>
        <w:br w:type="page"/>
      </w:r>
    </w:p>
    <w:p w14:paraId="7334BFB1">
      <w:pPr>
        <w:pStyle w:val="52"/>
        <w:rPr>
          <w:rFonts w:ascii="宋体" w:hAnsi="宋体" w:cs="宋体"/>
        </w:rPr>
      </w:pPr>
    </w:p>
    <w:tbl>
      <w:tblPr>
        <w:tblStyle w:val="35"/>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63651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485BA4D9">
            <w:pPr>
              <w:adjustRightInd w:val="0"/>
              <w:snapToGrid w:val="0"/>
              <w:spacing w:line="300" w:lineRule="exact"/>
              <w:jc w:val="center"/>
              <w:rPr>
                <w:rFonts w:ascii="宋体" w:hAnsi="宋体" w:cs="宋体"/>
              </w:rPr>
            </w:pPr>
            <w:r>
              <w:rPr>
                <w:rFonts w:hint="eastAsia" w:ascii="宋体" w:hAnsi="宋体" w:cs="宋体"/>
                <w:szCs w:val="21"/>
              </w:rPr>
              <w:t>甲方（采购人、受采购人委托签订合同的单位或采购文件约定的合同甲方）</w:t>
            </w:r>
          </w:p>
        </w:tc>
        <w:tc>
          <w:tcPr>
            <w:tcW w:w="4404" w:type="dxa"/>
            <w:gridSpan w:val="2"/>
            <w:tcBorders>
              <w:left w:val="single" w:color="auto" w:sz="2" w:space="0"/>
              <w:bottom w:val="single" w:color="auto" w:sz="2" w:space="0"/>
            </w:tcBorders>
            <w:vAlign w:val="center"/>
          </w:tcPr>
          <w:p w14:paraId="04E2685C">
            <w:pPr>
              <w:adjustRightInd w:val="0"/>
              <w:snapToGrid w:val="0"/>
              <w:spacing w:line="300" w:lineRule="exact"/>
              <w:jc w:val="center"/>
              <w:rPr>
                <w:rFonts w:ascii="宋体" w:hAnsi="宋体" w:cs="宋体"/>
              </w:rPr>
            </w:pPr>
            <w:r>
              <w:rPr>
                <w:rFonts w:hint="eastAsia" w:ascii="宋体" w:hAnsi="宋体" w:cs="宋体"/>
                <w:szCs w:val="21"/>
              </w:rPr>
              <w:t>乙方（供应商）</w:t>
            </w:r>
          </w:p>
        </w:tc>
      </w:tr>
      <w:tr w14:paraId="5A32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4591AAA6">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594" w:type="dxa"/>
            <w:tcBorders>
              <w:top w:val="single" w:color="auto" w:sz="2" w:space="0"/>
              <w:left w:val="single" w:color="auto" w:sz="2" w:space="0"/>
              <w:bottom w:val="single" w:color="auto" w:sz="2" w:space="0"/>
              <w:right w:val="single" w:color="auto" w:sz="2" w:space="0"/>
            </w:tcBorders>
            <w:vAlign w:val="center"/>
          </w:tcPr>
          <w:p w14:paraId="7DADC996">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3EB7979">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276" w:type="dxa"/>
            <w:tcBorders>
              <w:top w:val="single" w:color="auto" w:sz="2" w:space="0"/>
              <w:left w:val="single" w:color="auto" w:sz="2" w:space="0"/>
              <w:bottom w:val="single" w:color="auto" w:sz="2" w:space="0"/>
            </w:tcBorders>
            <w:vAlign w:val="center"/>
          </w:tcPr>
          <w:p w14:paraId="57019AF8">
            <w:pPr>
              <w:adjustRightInd w:val="0"/>
              <w:snapToGrid w:val="0"/>
              <w:spacing w:line="300" w:lineRule="exact"/>
              <w:jc w:val="center"/>
              <w:rPr>
                <w:rFonts w:ascii="宋体" w:hAnsi="宋体" w:cs="宋体"/>
                <w:spacing w:val="20"/>
                <w:szCs w:val="21"/>
              </w:rPr>
            </w:pPr>
          </w:p>
        </w:tc>
      </w:tr>
      <w:tr w14:paraId="689B37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06C39E0E">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4E11A244">
            <w:pPr>
              <w:adjustRightInd w:val="0"/>
              <w:snapToGrid w:val="0"/>
              <w:spacing w:line="300" w:lineRule="exact"/>
              <w:ind w:firstLine="100" w:firstLineChars="48"/>
              <w:jc w:val="center"/>
              <w:rPr>
                <w:rFonts w:ascii="宋体" w:hAnsi="宋体" w:cs="宋体"/>
                <w:szCs w:val="21"/>
              </w:rPr>
            </w:pPr>
            <w:r>
              <w:rPr>
                <w:rFonts w:hint="eastAsia" w:ascii="宋体" w:hAnsi="宋体" w:cs="宋体"/>
                <w:szCs w:val="21"/>
              </w:rPr>
              <w:t>或其委托代理人（签章）</w:t>
            </w:r>
          </w:p>
        </w:tc>
        <w:tc>
          <w:tcPr>
            <w:tcW w:w="2594" w:type="dxa"/>
            <w:vMerge w:val="restart"/>
            <w:tcBorders>
              <w:top w:val="single" w:color="auto" w:sz="2" w:space="0"/>
              <w:left w:val="single" w:color="auto" w:sz="2" w:space="0"/>
              <w:right w:val="single" w:color="auto" w:sz="2" w:space="0"/>
            </w:tcBorders>
            <w:vAlign w:val="center"/>
          </w:tcPr>
          <w:p w14:paraId="42FDE399">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right w:val="single" w:color="auto" w:sz="2" w:space="0"/>
            </w:tcBorders>
            <w:vAlign w:val="center"/>
          </w:tcPr>
          <w:p w14:paraId="4C2BDD2B">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43E5E936">
            <w:pPr>
              <w:adjustRightInd w:val="0"/>
              <w:snapToGrid w:val="0"/>
              <w:spacing w:line="300" w:lineRule="exact"/>
              <w:jc w:val="center"/>
              <w:rPr>
                <w:rFonts w:ascii="宋体" w:hAnsi="宋体" w:cs="宋体"/>
                <w:szCs w:val="21"/>
              </w:rPr>
            </w:pPr>
            <w:r>
              <w:rPr>
                <w:rFonts w:hint="eastAsia" w:ascii="宋体" w:hAnsi="宋体" w:cs="宋体"/>
                <w:szCs w:val="21"/>
              </w:rPr>
              <w:t>或其委托代理人（签章）</w:t>
            </w:r>
          </w:p>
        </w:tc>
        <w:tc>
          <w:tcPr>
            <w:tcW w:w="2276" w:type="dxa"/>
            <w:tcBorders>
              <w:top w:val="single" w:color="auto" w:sz="2" w:space="0"/>
              <w:left w:val="single" w:color="auto" w:sz="2" w:space="0"/>
              <w:bottom w:val="single" w:color="auto" w:sz="2" w:space="0"/>
            </w:tcBorders>
            <w:vAlign w:val="center"/>
          </w:tcPr>
          <w:p w14:paraId="2A8DEC7E">
            <w:pPr>
              <w:adjustRightInd w:val="0"/>
              <w:snapToGrid w:val="0"/>
              <w:spacing w:line="300" w:lineRule="exact"/>
              <w:jc w:val="center"/>
              <w:rPr>
                <w:rFonts w:ascii="宋体" w:hAnsi="宋体" w:cs="宋体"/>
                <w:szCs w:val="21"/>
              </w:rPr>
            </w:pPr>
          </w:p>
        </w:tc>
      </w:tr>
      <w:tr w14:paraId="24750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F8074A0">
            <w:pPr>
              <w:adjustRightInd w:val="0"/>
              <w:snapToGrid w:val="0"/>
              <w:spacing w:line="300" w:lineRule="exact"/>
              <w:jc w:val="center"/>
              <w:rPr>
                <w:rFonts w:ascii="宋体" w:hAnsi="宋体" w:cs="宋体"/>
                <w:szCs w:val="21"/>
              </w:rPr>
            </w:pPr>
          </w:p>
        </w:tc>
        <w:tc>
          <w:tcPr>
            <w:tcW w:w="2594" w:type="dxa"/>
            <w:vMerge w:val="continue"/>
            <w:tcBorders>
              <w:left w:val="single" w:color="auto" w:sz="2" w:space="0"/>
              <w:bottom w:val="single" w:color="auto" w:sz="2" w:space="0"/>
              <w:right w:val="single" w:color="auto" w:sz="2" w:space="0"/>
            </w:tcBorders>
            <w:vAlign w:val="center"/>
          </w:tcPr>
          <w:p w14:paraId="75B07A25">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C421AF7">
            <w:pPr>
              <w:adjustRightInd w:val="0"/>
              <w:snapToGrid w:val="0"/>
              <w:spacing w:line="300" w:lineRule="exact"/>
              <w:jc w:val="center"/>
              <w:rPr>
                <w:rFonts w:ascii="宋体" w:hAnsi="宋体" w:cs="宋体"/>
                <w:szCs w:val="21"/>
              </w:rPr>
            </w:pPr>
            <w:r>
              <w:rPr>
                <w:rFonts w:hint="eastAsia" w:ascii="宋体" w:hAnsi="宋体" w:cs="宋体"/>
                <w:szCs w:val="21"/>
              </w:rPr>
              <w:t>拥有者性别</w:t>
            </w:r>
          </w:p>
        </w:tc>
        <w:tc>
          <w:tcPr>
            <w:tcW w:w="2276" w:type="dxa"/>
            <w:tcBorders>
              <w:top w:val="single" w:color="auto" w:sz="2" w:space="0"/>
              <w:left w:val="single" w:color="auto" w:sz="2" w:space="0"/>
              <w:bottom w:val="single" w:color="auto" w:sz="2" w:space="0"/>
            </w:tcBorders>
            <w:vAlign w:val="center"/>
          </w:tcPr>
          <w:p w14:paraId="41616C31">
            <w:pPr>
              <w:adjustRightInd w:val="0"/>
              <w:snapToGrid w:val="0"/>
              <w:spacing w:line="300" w:lineRule="exact"/>
              <w:jc w:val="center"/>
              <w:rPr>
                <w:rFonts w:ascii="宋体" w:hAnsi="宋体" w:cs="宋体"/>
                <w:spacing w:val="20"/>
                <w:szCs w:val="21"/>
              </w:rPr>
            </w:pPr>
          </w:p>
        </w:tc>
      </w:tr>
      <w:tr w14:paraId="70C770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41909FD">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594" w:type="dxa"/>
            <w:tcBorders>
              <w:top w:val="single" w:color="auto" w:sz="2" w:space="0"/>
              <w:left w:val="single" w:color="auto" w:sz="2" w:space="0"/>
              <w:bottom w:val="single" w:color="auto" w:sz="2" w:space="0"/>
              <w:right w:val="single" w:color="auto" w:sz="2" w:space="0"/>
            </w:tcBorders>
            <w:vAlign w:val="center"/>
          </w:tcPr>
          <w:p w14:paraId="2412062E">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2B91FE0">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276" w:type="dxa"/>
            <w:tcBorders>
              <w:top w:val="single" w:color="auto" w:sz="2" w:space="0"/>
              <w:left w:val="single" w:color="auto" w:sz="2" w:space="0"/>
              <w:bottom w:val="single" w:color="auto" w:sz="2" w:space="0"/>
            </w:tcBorders>
            <w:vAlign w:val="center"/>
          </w:tcPr>
          <w:p w14:paraId="269FD8B0">
            <w:pPr>
              <w:adjustRightInd w:val="0"/>
              <w:snapToGrid w:val="0"/>
              <w:spacing w:line="300" w:lineRule="exact"/>
              <w:jc w:val="center"/>
              <w:rPr>
                <w:rFonts w:ascii="宋体" w:hAnsi="宋体" w:cs="宋体"/>
                <w:spacing w:val="20"/>
                <w:szCs w:val="21"/>
              </w:rPr>
            </w:pPr>
          </w:p>
        </w:tc>
      </w:tr>
      <w:tr w14:paraId="65672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BBABD01">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434765DC">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D36A565">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276" w:type="dxa"/>
            <w:tcBorders>
              <w:top w:val="single" w:color="auto" w:sz="2" w:space="0"/>
              <w:left w:val="single" w:color="auto" w:sz="2" w:space="0"/>
              <w:bottom w:val="single" w:color="auto" w:sz="2" w:space="0"/>
            </w:tcBorders>
            <w:vAlign w:val="center"/>
          </w:tcPr>
          <w:p w14:paraId="52AFB291">
            <w:pPr>
              <w:adjustRightInd w:val="0"/>
              <w:snapToGrid w:val="0"/>
              <w:spacing w:line="300" w:lineRule="exact"/>
              <w:jc w:val="center"/>
              <w:rPr>
                <w:rFonts w:ascii="宋体" w:hAnsi="宋体" w:cs="宋体"/>
                <w:spacing w:val="20"/>
                <w:szCs w:val="21"/>
              </w:rPr>
            </w:pPr>
          </w:p>
        </w:tc>
      </w:tr>
      <w:tr w14:paraId="22E96C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D9847C">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3F23671B">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B644636">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276" w:type="dxa"/>
            <w:tcBorders>
              <w:top w:val="single" w:color="auto" w:sz="2" w:space="0"/>
              <w:left w:val="single" w:color="auto" w:sz="2" w:space="0"/>
              <w:bottom w:val="single" w:color="auto" w:sz="2" w:space="0"/>
            </w:tcBorders>
            <w:vAlign w:val="center"/>
          </w:tcPr>
          <w:p w14:paraId="61FAEA31">
            <w:pPr>
              <w:adjustRightInd w:val="0"/>
              <w:snapToGrid w:val="0"/>
              <w:spacing w:line="300" w:lineRule="exact"/>
              <w:jc w:val="center"/>
              <w:rPr>
                <w:rFonts w:ascii="宋体" w:hAnsi="宋体" w:cs="宋体"/>
                <w:spacing w:val="20"/>
                <w:szCs w:val="21"/>
              </w:rPr>
            </w:pPr>
          </w:p>
        </w:tc>
      </w:tr>
      <w:tr w14:paraId="3F8439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12A6A7F">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A964B64">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B0D320F">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276" w:type="dxa"/>
            <w:tcBorders>
              <w:top w:val="single" w:color="auto" w:sz="2" w:space="0"/>
              <w:left w:val="single" w:color="auto" w:sz="2" w:space="0"/>
              <w:bottom w:val="single" w:color="auto" w:sz="2" w:space="0"/>
            </w:tcBorders>
            <w:vAlign w:val="center"/>
          </w:tcPr>
          <w:p w14:paraId="307643BC">
            <w:pPr>
              <w:adjustRightInd w:val="0"/>
              <w:snapToGrid w:val="0"/>
              <w:spacing w:line="300" w:lineRule="exact"/>
              <w:jc w:val="center"/>
              <w:rPr>
                <w:rFonts w:ascii="宋体" w:hAnsi="宋体" w:cs="宋体"/>
                <w:spacing w:val="20"/>
                <w:szCs w:val="21"/>
              </w:rPr>
            </w:pPr>
          </w:p>
        </w:tc>
      </w:tr>
      <w:tr w14:paraId="6012B6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3A6677F">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67E57CF2">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C238D90">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276" w:type="dxa"/>
            <w:tcBorders>
              <w:top w:val="single" w:color="auto" w:sz="2" w:space="0"/>
              <w:left w:val="single" w:color="auto" w:sz="2" w:space="0"/>
              <w:bottom w:val="single" w:color="auto" w:sz="2" w:space="0"/>
            </w:tcBorders>
            <w:vAlign w:val="center"/>
          </w:tcPr>
          <w:p w14:paraId="3BD36345">
            <w:pPr>
              <w:adjustRightInd w:val="0"/>
              <w:snapToGrid w:val="0"/>
              <w:spacing w:line="300" w:lineRule="exact"/>
              <w:jc w:val="center"/>
              <w:rPr>
                <w:rFonts w:ascii="宋体" w:hAnsi="宋体" w:cs="宋体"/>
                <w:spacing w:val="20"/>
                <w:szCs w:val="21"/>
              </w:rPr>
            </w:pPr>
          </w:p>
        </w:tc>
      </w:tr>
      <w:tr w14:paraId="1148EB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E3D01DB">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7185C497">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AA3E8CD">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276" w:type="dxa"/>
            <w:tcBorders>
              <w:top w:val="single" w:color="auto" w:sz="2" w:space="0"/>
              <w:left w:val="single" w:color="auto" w:sz="2" w:space="0"/>
              <w:bottom w:val="single" w:color="auto" w:sz="2" w:space="0"/>
            </w:tcBorders>
            <w:vAlign w:val="center"/>
          </w:tcPr>
          <w:p w14:paraId="249E0C94">
            <w:pPr>
              <w:adjustRightInd w:val="0"/>
              <w:snapToGrid w:val="0"/>
              <w:spacing w:line="300" w:lineRule="exact"/>
              <w:jc w:val="center"/>
              <w:rPr>
                <w:rFonts w:ascii="宋体" w:hAnsi="宋体" w:cs="宋体"/>
                <w:spacing w:val="20"/>
                <w:szCs w:val="21"/>
              </w:rPr>
            </w:pPr>
          </w:p>
        </w:tc>
      </w:tr>
      <w:tr w14:paraId="656591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339D2B4">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3D9011C9">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1EFB89F">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276" w:type="dxa"/>
            <w:tcBorders>
              <w:top w:val="single" w:color="auto" w:sz="2" w:space="0"/>
              <w:left w:val="single" w:color="auto" w:sz="2" w:space="0"/>
              <w:bottom w:val="single" w:color="auto" w:sz="2" w:space="0"/>
            </w:tcBorders>
            <w:vAlign w:val="center"/>
          </w:tcPr>
          <w:p w14:paraId="752E5C41">
            <w:pPr>
              <w:adjustRightInd w:val="0"/>
              <w:snapToGrid w:val="0"/>
              <w:spacing w:line="300" w:lineRule="exact"/>
              <w:jc w:val="center"/>
              <w:rPr>
                <w:rFonts w:ascii="宋体" w:hAnsi="宋体" w:cs="宋体"/>
                <w:spacing w:val="20"/>
                <w:szCs w:val="21"/>
              </w:rPr>
            </w:pPr>
          </w:p>
        </w:tc>
      </w:tr>
      <w:tr w14:paraId="2AE1E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F5CFEBD">
            <w:pPr>
              <w:adjustRightInd w:val="0"/>
              <w:snapToGrid w:val="0"/>
              <w:spacing w:line="300" w:lineRule="exact"/>
              <w:jc w:val="center"/>
              <w:rPr>
                <w:rFonts w:ascii="宋体" w:hAnsi="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57EB84A9">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5C87FE5">
            <w:pPr>
              <w:adjustRightInd w:val="0"/>
              <w:snapToGrid w:val="0"/>
              <w:spacing w:line="300" w:lineRule="exact"/>
              <w:jc w:val="center"/>
              <w:rPr>
                <w:rFonts w:ascii="宋体" w:hAnsi="宋体" w:cs="宋体"/>
                <w:szCs w:val="21"/>
              </w:rPr>
            </w:pPr>
            <w:r>
              <w:rPr>
                <w:rFonts w:hint="eastAsia" w:ascii="宋体" w:hAnsi="宋体" w:cs="宋体"/>
                <w:szCs w:val="21"/>
              </w:rPr>
              <w:t>开户名称</w:t>
            </w:r>
          </w:p>
        </w:tc>
        <w:tc>
          <w:tcPr>
            <w:tcW w:w="2276" w:type="dxa"/>
            <w:tcBorders>
              <w:top w:val="single" w:color="auto" w:sz="2" w:space="0"/>
              <w:left w:val="single" w:color="auto" w:sz="2" w:space="0"/>
              <w:bottom w:val="single" w:color="auto" w:sz="2" w:space="0"/>
            </w:tcBorders>
            <w:vAlign w:val="center"/>
          </w:tcPr>
          <w:p w14:paraId="0A0C2615">
            <w:pPr>
              <w:adjustRightInd w:val="0"/>
              <w:snapToGrid w:val="0"/>
              <w:spacing w:line="300" w:lineRule="exact"/>
              <w:jc w:val="center"/>
              <w:rPr>
                <w:rFonts w:ascii="宋体" w:hAnsi="宋体" w:cs="宋体"/>
                <w:spacing w:val="20"/>
                <w:szCs w:val="21"/>
              </w:rPr>
            </w:pPr>
          </w:p>
        </w:tc>
      </w:tr>
      <w:tr w14:paraId="59366B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27C7782">
            <w:pPr>
              <w:adjustRightInd w:val="0"/>
              <w:snapToGrid w:val="0"/>
              <w:spacing w:line="300" w:lineRule="exact"/>
              <w:jc w:val="center"/>
              <w:rPr>
                <w:rFonts w:ascii="宋体" w:hAnsi="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6D34C825">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5537E9A3">
            <w:pPr>
              <w:adjustRightInd w:val="0"/>
              <w:snapToGrid w:val="0"/>
              <w:spacing w:line="300" w:lineRule="exact"/>
              <w:jc w:val="center"/>
              <w:rPr>
                <w:rFonts w:ascii="宋体" w:hAnsi="宋体" w:cs="宋体"/>
                <w:szCs w:val="21"/>
              </w:rPr>
            </w:pPr>
            <w:r>
              <w:rPr>
                <w:rFonts w:hint="eastAsia" w:ascii="宋体" w:hAnsi="宋体" w:cs="宋体"/>
                <w:szCs w:val="21"/>
              </w:rPr>
              <w:t>开户银行</w:t>
            </w:r>
          </w:p>
        </w:tc>
        <w:tc>
          <w:tcPr>
            <w:tcW w:w="2276" w:type="dxa"/>
            <w:tcBorders>
              <w:top w:val="single" w:color="auto" w:sz="2" w:space="0"/>
              <w:left w:val="single" w:color="auto" w:sz="2" w:space="0"/>
              <w:bottom w:val="single" w:color="auto" w:sz="2" w:space="0"/>
            </w:tcBorders>
            <w:vAlign w:val="center"/>
          </w:tcPr>
          <w:p w14:paraId="496EBBE6">
            <w:pPr>
              <w:adjustRightInd w:val="0"/>
              <w:snapToGrid w:val="0"/>
              <w:spacing w:line="300" w:lineRule="exact"/>
              <w:jc w:val="center"/>
              <w:rPr>
                <w:rFonts w:ascii="宋体" w:hAnsi="宋体" w:cs="宋体"/>
                <w:spacing w:val="20"/>
                <w:szCs w:val="21"/>
              </w:rPr>
            </w:pPr>
          </w:p>
        </w:tc>
      </w:tr>
      <w:tr w14:paraId="40A49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A755601">
            <w:pPr>
              <w:adjustRightInd w:val="0"/>
              <w:snapToGrid w:val="0"/>
              <w:spacing w:line="300" w:lineRule="exact"/>
              <w:jc w:val="center"/>
              <w:rPr>
                <w:rFonts w:ascii="宋体" w:hAnsi="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67640973">
            <w:pPr>
              <w:adjustRightInd w:val="0"/>
              <w:snapToGrid w:val="0"/>
              <w:spacing w:line="300" w:lineRule="exact"/>
              <w:jc w:val="center"/>
              <w:rPr>
                <w:rFonts w:ascii="宋体" w:hAnsi="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7B09267">
            <w:pPr>
              <w:adjustRightInd w:val="0"/>
              <w:snapToGrid w:val="0"/>
              <w:spacing w:line="300" w:lineRule="exact"/>
              <w:jc w:val="center"/>
              <w:rPr>
                <w:rFonts w:ascii="宋体" w:hAnsi="宋体" w:cs="宋体"/>
                <w:szCs w:val="21"/>
              </w:rPr>
            </w:pPr>
            <w:r>
              <w:rPr>
                <w:rFonts w:hint="eastAsia" w:ascii="宋体" w:hAnsi="宋体" w:cs="宋体"/>
                <w:szCs w:val="21"/>
              </w:rPr>
              <w:t>银行账号</w:t>
            </w:r>
          </w:p>
        </w:tc>
        <w:tc>
          <w:tcPr>
            <w:tcW w:w="2276" w:type="dxa"/>
            <w:tcBorders>
              <w:top w:val="single" w:color="auto" w:sz="2" w:space="0"/>
              <w:left w:val="single" w:color="auto" w:sz="2" w:space="0"/>
              <w:bottom w:val="single" w:color="auto" w:sz="2" w:space="0"/>
            </w:tcBorders>
            <w:vAlign w:val="center"/>
          </w:tcPr>
          <w:p w14:paraId="3D54453A">
            <w:pPr>
              <w:adjustRightInd w:val="0"/>
              <w:snapToGrid w:val="0"/>
              <w:spacing w:line="300" w:lineRule="exact"/>
              <w:jc w:val="center"/>
              <w:rPr>
                <w:rFonts w:ascii="宋体" w:hAnsi="宋体" w:cs="宋体"/>
                <w:spacing w:val="20"/>
                <w:szCs w:val="21"/>
              </w:rPr>
            </w:pPr>
          </w:p>
        </w:tc>
      </w:tr>
      <w:tr w14:paraId="1CC50E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6B088996">
            <w:pPr>
              <w:pStyle w:val="14"/>
              <w:adjustRightInd w:val="0"/>
              <w:snapToGrid w:val="0"/>
              <w:spacing w:before="120" w:beforeLines="50" w:after="0" w:line="360" w:lineRule="auto"/>
              <w:ind w:left="0" w:leftChars="0"/>
              <w:jc w:val="left"/>
              <w:rPr>
                <w:rFonts w:ascii="宋体" w:hAnsi="宋体" w:cs="宋体"/>
                <w:spacing w:val="20"/>
                <w:szCs w:val="21"/>
              </w:rPr>
            </w:pPr>
            <w:r>
              <w:rPr>
                <w:rFonts w:hint="eastAsia" w:ascii="宋体" w:hAnsi="宋体" w:cs="宋体"/>
                <w:szCs w:val="21"/>
              </w:rPr>
              <w:t>注：涉及联合体或其他合同主体的信息应按上表格式加列。</w:t>
            </w:r>
          </w:p>
        </w:tc>
      </w:tr>
    </w:tbl>
    <w:p w14:paraId="0151C784">
      <w:pPr>
        <w:pStyle w:val="4"/>
        <w:adjustRightInd w:val="0"/>
        <w:snapToGrid w:val="0"/>
        <w:spacing w:before="120" w:beforeLines="50" w:line="240" w:lineRule="auto"/>
        <w:jc w:val="center"/>
        <w:rPr>
          <w:rFonts w:ascii="宋体" w:hAnsi="宋体" w:cs="宋体"/>
          <w:sz w:val="28"/>
          <w:szCs w:val="28"/>
        </w:rPr>
      </w:pPr>
      <w:r>
        <w:rPr>
          <w:rFonts w:hint="eastAsia" w:ascii="宋体" w:hAnsi="宋体" w:cs="宋体"/>
          <w:sz w:val="21"/>
          <w:szCs w:val="21"/>
          <w:u w:val="single"/>
        </w:rPr>
        <w:br w:type="page"/>
      </w:r>
      <w:bookmarkStart w:id="50" w:name="_Toc18474"/>
      <w:bookmarkStart w:id="51" w:name="_Toc27624"/>
      <w:r>
        <w:rPr>
          <w:rFonts w:hint="eastAsia" w:ascii="宋体" w:hAnsi="宋体" w:cs="宋体"/>
          <w:b w:val="0"/>
          <w:bCs w:val="0"/>
          <w:sz w:val="28"/>
          <w:szCs w:val="28"/>
        </w:rPr>
        <w:t>第二节 政府采购合同通用条款</w:t>
      </w:r>
      <w:bookmarkEnd w:id="50"/>
      <w:bookmarkEnd w:id="51"/>
    </w:p>
    <w:p w14:paraId="652A5CA2">
      <w:pPr>
        <w:tabs>
          <w:tab w:val="left" w:pos="8820"/>
          <w:tab w:val="left" w:pos="9345"/>
          <w:tab w:val="left" w:pos="9765"/>
        </w:tabs>
        <w:adjustRightInd w:val="0"/>
        <w:snapToGrid w:val="0"/>
        <w:spacing w:line="400" w:lineRule="exact"/>
        <w:jc w:val="lef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14:paraId="2B2480E5">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1.1合同当事人</w:t>
      </w:r>
    </w:p>
    <w:p w14:paraId="78BCD171">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（1）采购人（以下称甲方）是指使用财政性资金，通过政府采购方式向供应商购买货物及其相关服务的国家机关、事业单位、团体组织。</w:t>
      </w:r>
    </w:p>
    <w:p w14:paraId="11F4C026">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（2）供应商（以下称乙方）是指参加政府采购活动并且中标（成交），向采购人提供合同约定的货物及其相关服务的法人、非法人组织或者自然人。</w:t>
      </w:r>
    </w:p>
    <w:p w14:paraId="521CE4DB">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s="宋体"/>
          <w:szCs w:val="21"/>
        </w:rPr>
        <w:t>。</w:t>
      </w:r>
    </w:p>
    <w:p w14:paraId="46E41506">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1.2本合同下列术语应解释为：</w:t>
      </w:r>
    </w:p>
    <w:p w14:paraId="32650DAC">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s="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cs="宋体"/>
          <w:szCs w:val="21"/>
        </w:rPr>
        <w:t>。</w:t>
      </w:r>
    </w:p>
    <w:p w14:paraId="63140676">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（2）“合同价款”系指根据本合同规定乙方在全面履行合同义务后甲方应支付给乙方的价款。</w:t>
      </w:r>
    </w:p>
    <w:p w14:paraId="6DB5823E">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（3）“货物”系指乙方根据本合同规定须向甲方提供的各种形态和种类的物品，包括原材料、设备、产品（</w:t>
      </w:r>
      <w:r>
        <w:rPr>
          <w:rFonts w:hint="eastAsia" w:ascii="宋体" w:hAnsi="宋体" w:cs="宋体"/>
          <w:color w:val="000000" w:themeColor="text1"/>
          <w:szCs w:val="21"/>
          <w14:textFill>
            <w14:solidFill>
              <w14:schemeClr w14:val="tx1"/>
            </w14:solidFill>
          </w14:textFill>
        </w:rPr>
        <w:t>包括软件）及相关的其备品备件、工具、手册及</w:t>
      </w:r>
      <w:r>
        <w:rPr>
          <w:rFonts w:hint="eastAsia" w:ascii="宋体" w:hAnsi="宋体" w:cs="宋体"/>
          <w:color w:val="000000" w:themeColor="text1"/>
          <w:szCs w:val="21"/>
          <w:lang w:val="en"/>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技术资料和材料等。</w:t>
      </w:r>
    </w:p>
    <w:p w14:paraId="4EA94C8C">
      <w:pPr>
        <w:adjustRightInd w:val="0"/>
        <w:snapToGrid w:val="0"/>
        <w:spacing w:line="400" w:lineRule="exact"/>
        <w:ind w:firstLine="420" w:firstLineChars="200"/>
        <w:jc w:val="lef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szCs w:val="21"/>
        </w:rPr>
        <w:t>相关</w:t>
      </w:r>
      <w:r>
        <w:rPr>
          <w:rFonts w:hint="eastAsia" w:ascii="宋体" w:hAnsi="宋体" w:cs="宋体"/>
          <w:color w:val="000000" w:themeColor="text1"/>
          <w:szCs w:val="21"/>
          <w14:textFill>
            <w14:solidFill>
              <w14:schemeClr w14:val="tx1"/>
            </w14:solidFill>
          </w14:textFill>
        </w:rPr>
        <w:t>服务”系指根据合同规定，乙方应提供的与货物有关的技术、管理和</w:t>
      </w:r>
      <w:r>
        <w:rPr>
          <w:rFonts w:hint="eastAsia" w:ascii="宋体" w:hAnsi="宋体" w:cs="宋体"/>
          <w:color w:val="000000" w:themeColor="text1"/>
          <w:szCs w:val="21"/>
          <w:lang w:val="en"/>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s="宋体"/>
          <w:color w:val="000000" w:themeColor="text1"/>
          <w:szCs w:val="21"/>
          <w:lang w:val="en"/>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义务。</w:t>
      </w:r>
    </w:p>
    <w:p w14:paraId="0B4EC484">
      <w:pPr>
        <w:adjustRightInd w:val="0"/>
        <w:snapToGrid w:val="0"/>
        <w:spacing w:line="400" w:lineRule="exact"/>
        <w:ind w:firstLine="420" w:firstLineChars="200"/>
        <w:jc w:val="lef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865BC82">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szCs w:val="21"/>
        </w:rPr>
        <w:t>“联合体”系指由两个以上的自然人、法人或者非法人组织组成，以一个供应商的身份共同参加政府采购的主体</w:t>
      </w:r>
      <w:r>
        <w:rPr>
          <w:rFonts w:hint="eastAsia" w:ascii="宋体" w:hAnsi="宋体" w:cs="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s="宋体"/>
          <w:color w:val="000000" w:themeColor="text1"/>
          <w:szCs w:val="21"/>
          <w14:textFill>
            <w14:solidFill>
              <w14:schemeClr w14:val="tx1"/>
            </w14:solidFill>
          </w14:textFill>
        </w:rPr>
        <w:t>】。</w:t>
      </w:r>
    </w:p>
    <w:p w14:paraId="6C4AFB80">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（7）其他术语解释，见【</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s="宋体"/>
          <w:color w:val="000000" w:themeColor="text1"/>
          <w:szCs w:val="21"/>
          <w14:textFill>
            <w14:solidFill>
              <w14:schemeClr w14:val="tx1"/>
            </w14:solidFill>
          </w14:textFill>
        </w:rPr>
        <w:t>】。</w:t>
      </w:r>
    </w:p>
    <w:p w14:paraId="6D7BCCE5">
      <w:pPr>
        <w:numPr>
          <w:ilvl w:val="0"/>
          <w:numId w:val="10"/>
        </w:numPr>
        <w:autoSpaceDE w:val="0"/>
        <w:autoSpaceDN w:val="0"/>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合同标的及金额</w:t>
      </w:r>
    </w:p>
    <w:p w14:paraId="0FD04027">
      <w:pPr>
        <w:autoSpaceDE w:val="0"/>
        <w:autoSpaceDN w:val="0"/>
        <w:adjustRightInd w:val="0"/>
        <w:snapToGrid w:val="0"/>
        <w:spacing w:line="400" w:lineRule="exact"/>
        <w:ind w:firstLine="420" w:firstLineChars="200"/>
        <w:jc w:val="left"/>
        <w:rPr>
          <w:rFonts w:ascii="宋体" w:hAnsi="宋体" w:cs="宋体"/>
          <w:b/>
          <w:bCs/>
          <w:i/>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s="宋体"/>
          <w:color w:val="000000" w:themeColor="text1"/>
          <w:szCs w:val="21"/>
          <w:lang w:val="en"/>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任何费用。</w:t>
      </w:r>
    </w:p>
    <w:p w14:paraId="119B2A10">
      <w:pPr>
        <w:adjustRightInd w:val="0"/>
        <w:snapToGrid w:val="0"/>
        <w:spacing w:line="400" w:lineRule="exact"/>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履行合同的时间、地点和方式</w:t>
      </w:r>
    </w:p>
    <w:p w14:paraId="638092DA">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14:paraId="3BC6CC78">
      <w:pPr>
        <w:autoSpaceDE w:val="0"/>
        <w:autoSpaceDN w:val="0"/>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甲方的权利和义务</w:t>
      </w:r>
    </w:p>
    <w:p w14:paraId="0CF33537">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6B6D9ACA">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D260A1A">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 甲方有权要求乙方对缺陷部分予以修复，并按合同约定享有货物保修及其他合同约定的权利。</w:t>
      </w:r>
    </w:p>
    <w:p w14:paraId="5A82536D">
      <w:pPr>
        <w:snapToGrid w:val="0"/>
        <w:spacing w:line="400" w:lineRule="exact"/>
        <w:ind w:firstLine="420" w:firstLineChars="200"/>
        <w:rPr>
          <w:rFonts w:ascii="宋体" w:hAnsi="宋体" w:cs="宋体"/>
        </w:rPr>
      </w:pPr>
      <w:r>
        <w:rPr>
          <w:rFonts w:hint="eastAsia" w:ascii="宋体" w:hAnsi="宋体" w:cs="宋体"/>
          <w:color w:val="000000" w:themeColor="text1"/>
          <w:szCs w:val="21"/>
          <w14:textFill>
            <w14:solidFill>
              <w14:schemeClr w14:val="tx1"/>
            </w14:solidFill>
          </w14:textFill>
        </w:rPr>
        <w:t>4.4 甲方应当按照合同约定及时对交付的货物进行验收，</w:t>
      </w:r>
      <w:r>
        <w:rPr>
          <w:rFonts w:hint="eastAsia" w:ascii="宋体" w:hAnsi="宋体" w:cs="宋体"/>
          <w:szCs w:val="21"/>
        </w:rPr>
        <w:t>未</w:t>
      </w:r>
      <w:r>
        <w:rPr>
          <w:rFonts w:hint="eastAsia" w:ascii="宋体" w:hAnsi="宋体" w:cs="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s="宋体"/>
          <w:color w:val="000000" w:themeColor="text1"/>
          <w:szCs w:val="21"/>
          <w14:textFill>
            <w14:solidFill>
              <w14:schemeClr w14:val="tx1"/>
            </w14:solidFill>
          </w14:textFill>
        </w:rPr>
        <w:t>视为验收通过。</w:t>
      </w:r>
    </w:p>
    <w:p w14:paraId="3D4AFCFC">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14:paraId="0CA63E09">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 国家法律法规规定及</w:t>
      </w:r>
      <w:r>
        <w:rPr>
          <w:rFonts w:hint="eastAsia" w:ascii="宋体" w:hAnsi="宋体" w:cs="宋体"/>
          <w:b/>
          <w:bCs/>
          <w:szCs w:val="21"/>
        </w:rPr>
        <w:t>【政府采购合同专用条款】</w:t>
      </w:r>
      <w:r>
        <w:rPr>
          <w:rFonts w:hint="eastAsia" w:ascii="宋体" w:hAnsi="宋体" w:cs="宋体"/>
          <w:color w:val="000000" w:themeColor="text1"/>
          <w:szCs w:val="21"/>
          <w14:textFill>
            <w14:solidFill>
              <w14:schemeClr w14:val="tx1"/>
            </w14:solidFill>
          </w14:textFill>
        </w:rPr>
        <w:t>约定应由甲方承担的其他义务和责任。</w:t>
      </w:r>
    </w:p>
    <w:p w14:paraId="461CC607">
      <w:pPr>
        <w:autoSpaceDE w:val="0"/>
        <w:autoSpaceDN w:val="0"/>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乙方的权利和义务</w:t>
      </w:r>
    </w:p>
    <w:p w14:paraId="08E7C262">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 签署合同后，乙方应确定项目负责人（或项目联系人），负责与本合同有关的事务。</w:t>
      </w:r>
    </w:p>
    <w:p w14:paraId="06CF000D">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8015627">
      <w:pPr>
        <w:pStyle w:val="12"/>
        <w:spacing w:after="0"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5.3乙方有权根据合同约定向甲方收取合同价款。</w:t>
      </w:r>
    </w:p>
    <w:p w14:paraId="1DE67A67">
      <w:pPr>
        <w:pStyle w:val="12"/>
        <w:spacing w:after="0"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5.4国家法律法规规定及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7904DAF4">
      <w:pPr>
        <w:numPr>
          <w:ilvl w:val="0"/>
          <w:numId w:val="11"/>
        </w:numPr>
        <w:autoSpaceDE w:val="0"/>
        <w:autoSpaceDN w:val="0"/>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合同履行</w:t>
      </w:r>
    </w:p>
    <w:p w14:paraId="1938C325">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s="宋体"/>
          <w:color w:val="000000" w:themeColor="text1"/>
          <w:szCs w:val="21"/>
          <w14:textFill>
            <w14:solidFill>
              <w14:schemeClr w14:val="tx1"/>
            </w14:solidFill>
          </w14:textFill>
        </w:rPr>
        <w:t>约定顺序履行合同义务；如果没有先后顺序的，应当同时履行。</w:t>
      </w:r>
    </w:p>
    <w:p w14:paraId="464EB238">
      <w:pPr>
        <w:autoSpaceDE w:val="0"/>
        <w:autoSpaceDN w:val="0"/>
        <w:adjustRightInd w:val="0"/>
        <w:snapToGrid w:val="0"/>
        <w:spacing w:line="400" w:lineRule="exact"/>
        <w:ind w:firstLine="420" w:firstLineChars="200"/>
        <w:jc w:val="left"/>
        <w:rPr>
          <w:rFonts w:ascii="宋体" w:hAnsi="宋体" w:cs="宋体"/>
        </w:rPr>
      </w:pPr>
      <w:r>
        <w:rPr>
          <w:rFonts w:hint="eastAsia" w:ascii="宋体" w:hAnsi="宋体" w:cs="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1AB1F19">
      <w:pPr>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 货物包装、运输、保险和交付要求</w:t>
      </w:r>
    </w:p>
    <w:p w14:paraId="63E5A14B">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 本合同</w:t>
      </w:r>
      <w:r>
        <w:rPr>
          <w:rFonts w:hint="eastAsia" w:ascii="宋体" w:hAnsi="宋体" w:cs="宋体"/>
          <w:bCs/>
          <w:color w:val="000000" w:themeColor="text1"/>
          <w:szCs w:val="21"/>
          <w14:textFill>
            <w14:solidFill>
              <w14:schemeClr w14:val="tx1"/>
            </w14:solidFill>
          </w14:textFill>
        </w:rPr>
        <w:t>涉及商品包装、快递包装的，</w:t>
      </w:r>
      <w:r>
        <w:rPr>
          <w:rFonts w:hint="eastAsia" w:ascii="宋体" w:hAnsi="宋体" w:cs="宋体"/>
          <w:color w:val="000000" w:themeColor="text1"/>
          <w:szCs w:val="21"/>
          <w14:textFill>
            <w14:solidFill>
              <w14:schemeClr w14:val="tx1"/>
            </w14:solidFill>
          </w14:textFill>
        </w:rPr>
        <w:t>除</w:t>
      </w:r>
      <w:r>
        <w:rPr>
          <w:rFonts w:hint="eastAsia" w:ascii="宋体" w:hAnsi="宋体" w:cs="宋体"/>
          <w:b/>
          <w:color w:val="000000" w:themeColor="text1"/>
          <w:szCs w:val="21"/>
          <w14:textFill>
            <w14:solidFill>
              <w14:schemeClr w14:val="tx1"/>
            </w14:solidFill>
          </w14:textFill>
        </w:rPr>
        <w:t>【政府采购合同专用条款】</w:t>
      </w:r>
      <w:r>
        <w:rPr>
          <w:rFonts w:hint="eastAsia" w:ascii="宋体" w:hAnsi="宋体" w:cs="宋体"/>
          <w:bCs/>
          <w:color w:val="000000" w:themeColor="text1"/>
          <w:szCs w:val="21"/>
          <w14:textFill>
            <w14:solidFill>
              <w14:schemeClr w14:val="tx1"/>
            </w14:solidFill>
          </w14:textFill>
        </w:rPr>
        <w:t>另有约定外，</w:t>
      </w:r>
      <w:r>
        <w:rPr>
          <w:rFonts w:hint="eastAsia" w:ascii="宋体" w:hAnsi="宋体" w:cs="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cs="宋体"/>
          <w:b/>
          <w:color w:val="000000" w:themeColor="text1"/>
          <w:szCs w:val="21"/>
          <w14:textFill>
            <w14:solidFill>
              <w14:schemeClr w14:val="tx1"/>
            </w14:solidFill>
          </w14:textFill>
        </w:rPr>
        <w:t>【政府采购合同专用条款】</w:t>
      </w:r>
      <w:r>
        <w:rPr>
          <w:rFonts w:hint="eastAsia" w:ascii="宋体" w:hAnsi="宋体" w:cs="宋体"/>
          <w:bCs/>
          <w:color w:val="000000" w:themeColor="text1"/>
          <w:szCs w:val="21"/>
          <w14:textFill>
            <w14:solidFill>
              <w14:schemeClr w14:val="tx1"/>
            </w14:solidFill>
          </w14:textFill>
        </w:rPr>
        <w:t>约定的</w:t>
      </w:r>
      <w:r>
        <w:rPr>
          <w:rFonts w:hint="eastAsia" w:ascii="宋体" w:hAnsi="宋体" w:cs="宋体"/>
          <w:color w:val="000000" w:themeColor="text1"/>
          <w:szCs w:val="21"/>
          <w14:textFill>
            <w14:solidFill>
              <w14:schemeClr w14:val="tx1"/>
            </w14:solidFill>
          </w14:textFill>
        </w:rPr>
        <w:t>指定现场。</w:t>
      </w:r>
    </w:p>
    <w:p w14:paraId="7EE2F6AF">
      <w:pPr>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 除</w:t>
      </w:r>
      <w:r>
        <w:rPr>
          <w:rFonts w:hint="eastAsia" w:ascii="宋体" w:hAnsi="宋体" w:cs="宋体"/>
          <w:b/>
          <w:color w:val="000000" w:themeColor="text1"/>
          <w:szCs w:val="21"/>
          <w14:textFill>
            <w14:solidFill>
              <w14:schemeClr w14:val="tx1"/>
            </w14:solidFill>
          </w14:textFill>
        </w:rPr>
        <w:t>【政府采购合同专用条款】</w:t>
      </w:r>
      <w:r>
        <w:rPr>
          <w:rFonts w:hint="eastAsia" w:ascii="宋体" w:hAnsi="宋体" w:cs="宋体"/>
          <w:bCs/>
          <w:color w:val="000000" w:themeColor="text1"/>
          <w:szCs w:val="21"/>
          <w14:textFill>
            <w14:solidFill>
              <w14:schemeClr w14:val="tx1"/>
            </w14:solidFill>
          </w14:textFill>
        </w:rPr>
        <w:t>另有约定外，</w:t>
      </w:r>
      <w:r>
        <w:rPr>
          <w:rFonts w:hint="eastAsia" w:ascii="宋体" w:hAnsi="宋体" w:cs="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16790CC7">
      <w:pPr>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 货物保险要求按</w:t>
      </w:r>
      <w:r>
        <w:rPr>
          <w:rFonts w:hint="eastAsia" w:ascii="宋体" w:hAnsi="宋体" w:cs="宋体"/>
          <w:b/>
          <w:color w:val="000000" w:themeColor="text1"/>
          <w:szCs w:val="21"/>
          <w14:textFill>
            <w14:solidFill>
              <w14:schemeClr w14:val="tx1"/>
            </w14:solidFill>
          </w14:textFill>
        </w:rPr>
        <w:t>【政府采购合同专用条款】</w:t>
      </w:r>
      <w:r>
        <w:rPr>
          <w:rFonts w:hint="eastAsia" w:ascii="宋体" w:hAnsi="宋体" w:cs="宋体"/>
          <w:bCs/>
          <w:color w:val="000000" w:themeColor="text1"/>
          <w:szCs w:val="21"/>
          <w14:textFill>
            <w14:solidFill>
              <w14:schemeClr w14:val="tx1"/>
            </w14:solidFill>
          </w14:textFill>
        </w:rPr>
        <w:t>规定执行</w:t>
      </w:r>
      <w:r>
        <w:rPr>
          <w:rFonts w:hint="eastAsia" w:ascii="宋体" w:hAnsi="宋体" w:cs="宋体"/>
          <w:color w:val="000000" w:themeColor="text1"/>
          <w:szCs w:val="21"/>
          <w14:textFill>
            <w14:solidFill>
              <w14:schemeClr w14:val="tx1"/>
            </w14:solidFill>
          </w14:textFill>
        </w:rPr>
        <w:t>。</w:t>
      </w:r>
    </w:p>
    <w:p w14:paraId="4CA311A9">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2D2A2BF">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207E5C85">
      <w:pPr>
        <w:pStyle w:val="99"/>
        <w:ind w:firstLine="420"/>
        <w:rPr>
          <w:rFonts w:ascii="宋体" w:hAnsi="宋体" w:eastAsia="宋体" w:cs="宋体"/>
          <w:sz w:val="21"/>
        </w:rPr>
      </w:pPr>
      <w:r>
        <w:rPr>
          <w:rFonts w:hint="eastAsia" w:ascii="宋体" w:hAnsi="宋体" w:eastAsia="宋体" w:cs="宋体"/>
          <w:color w:val="000000" w:themeColor="text1"/>
          <w:kern w:val="2"/>
          <w:sz w:val="21"/>
          <w14:textFill>
            <w14:solidFill>
              <w14:schemeClr w14:val="tx1"/>
            </w14:solidFill>
          </w14:textFill>
        </w:rPr>
        <w:t xml:space="preserve">7.6 </w:t>
      </w:r>
      <w:r>
        <w:rPr>
          <w:rFonts w:hint="eastAsia" w:ascii="宋体" w:hAnsi="宋体" w:eastAsia="宋体" w:cs="宋体"/>
          <w:color w:val="000000"/>
          <w:kern w:val="2"/>
          <w:sz w:val="21"/>
        </w:rPr>
        <w:t>如因包装、运输问题导致货物</w:t>
      </w:r>
      <w:r>
        <w:rPr>
          <w:rFonts w:hint="eastAsia" w:ascii="宋体" w:hAnsi="宋体" w:eastAsia="宋体" w:cs="宋体"/>
          <w:color w:val="000000" w:themeColor="text1"/>
          <w:kern w:val="2"/>
          <w:sz w:val="21"/>
          <w14:textFill>
            <w14:solidFill>
              <w14:schemeClr w14:val="tx1"/>
            </w14:solidFill>
          </w14:textFill>
        </w:rPr>
        <w:t>损毁、丢失</w:t>
      </w:r>
      <w:r>
        <w:rPr>
          <w:rFonts w:hint="eastAsia" w:ascii="宋体" w:hAnsi="宋体" w:eastAsia="宋体" w:cs="宋体"/>
          <w:color w:val="000000"/>
          <w:kern w:val="2"/>
          <w:sz w:val="21"/>
        </w:rPr>
        <w:t>或者品质下降，甲方有权要求降价、换货、拒收部分或整批货物，由此产生的费用和损失，均由乙方承担。</w:t>
      </w:r>
    </w:p>
    <w:p w14:paraId="560C8FE0">
      <w:pPr>
        <w:adjustRightInd w:val="0"/>
        <w:snapToGrid w:val="0"/>
        <w:spacing w:line="400" w:lineRule="exact"/>
        <w:jc w:val="left"/>
        <w:rPr>
          <w:rFonts w:ascii="宋体" w:hAnsi="宋体" w:cs="宋体"/>
          <w:b/>
          <w:sz w:val="24"/>
        </w:rPr>
      </w:pPr>
      <w:r>
        <w:rPr>
          <w:rFonts w:hint="eastAsia" w:ascii="宋体" w:hAnsi="宋体" w:cs="宋体"/>
          <w:b/>
          <w:color w:val="000000" w:themeColor="text1"/>
          <w:sz w:val="24"/>
          <w14:textFill>
            <w14:solidFill>
              <w14:schemeClr w14:val="tx1"/>
            </w14:solidFill>
          </w14:textFill>
        </w:rPr>
        <w:t xml:space="preserve">8. </w:t>
      </w:r>
      <w:r>
        <w:rPr>
          <w:rFonts w:hint="eastAsia" w:ascii="宋体" w:hAnsi="宋体" w:cs="宋体"/>
          <w:b/>
          <w:sz w:val="24"/>
        </w:rPr>
        <w:t>质量标准和保证</w:t>
      </w:r>
    </w:p>
    <w:p w14:paraId="4D50E1B2">
      <w:pPr>
        <w:pStyle w:val="17"/>
        <w:adjustRightInd w:val="0"/>
        <w:snapToGrid w:val="0"/>
        <w:spacing w:line="400" w:lineRule="exact"/>
        <w:ind w:firstLine="420" w:firstLineChars="200"/>
        <w:jc w:val="left"/>
        <w:rPr>
          <w:rFonts w:hAnsi="宋体" w:cs="宋体"/>
          <w:b/>
        </w:rPr>
      </w:pPr>
      <w:r>
        <w:rPr>
          <w:rFonts w:hint="eastAsia" w:hAnsi="宋体" w:cs="宋体"/>
        </w:rPr>
        <w:t>8.1 质量标准</w:t>
      </w:r>
    </w:p>
    <w:p w14:paraId="03A229F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4601C5">
      <w:pPr>
        <w:pStyle w:val="17"/>
        <w:adjustRightInd w:val="0"/>
        <w:snapToGrid w:val="0"/>
        <w:spacing w:line="400" w:lineRule="exact"/>
        <w:ind w:firstLine="420" w:firstLineChars="200"/>
        <w:jc w:val="left"/>
        <w:rPr>
          <w:rFonts w:hAnsi="宋体" w:cs="宋体"/>
        </w:rPr>
      </w:pPr>
      <w:r>
        <w:rPr>
          <w:rFonts w:hint="eastAsia" w:hAnsi="宋体" w:cs="宋体"/>
        </w:rPr>
        <w:t>（2）采用中华人民共和国法定计量单位。</w:t>
      </w:r>
    </w:p>
    <w:p w14:paraId="345C096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（3）乙方所提供的货物应符合国家有关安全、环保、卫生的规定。</w:t>
      </w:r>
    </w:p>
    <w:p w14:paraId="7B49622E">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（4）乙方应向甲方提交所提供货物的技术文件，包括相应的中文技术文件，如：产品目录、图纸、操作手册、使用说明、维护手册或服务指南等。上述文件应包装好随货物一同发运。</w:t>
      </w:r>
    </w:p>
    <w:p w14:paraId="440E18DC">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8.2 保证</w:t>
      </w:r>
    </w:p>
    <w:p w14:paraId="1DB44DE8">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rPr>
        <w:t>【政府采购合同专用条款】</w:t>
      </w:r>
      <w:r>
        <w:rPr>
          <w:rFonts w:hint="eastAsia" w:ascii="宋体" w:hAnsi="宋体" w:cs="宋体"/>
          <w:szCs w:val="21"/>
        </w:rPr>
        <w:t>规定或乙方书面承诺（两者以较长的为准）的质量保证期内，本保证保持有效。</w:t>
      </w:r>
    </w:p>
    <w:p w14:paraId="14033ED4">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（2）在质量保证期内所发现的缺陷，甲方应尽快以书面形式通知乙方。</w:t>
      </w:r>
    </w:p>
    <w:p w14:paraId="63089FB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（3）乙方收到通知后，应在</w:t>
      </w:r>
      <w:r>
        <w:rPr>
          <w:rFonts w:hint="eastAsia" w:ascii="宋体" w:hAnsi="宋体" w:cs="宋体"/>
          <w:b/>
          <w:szCs w:val="21"/>
        </w:rPr>
        <w:t>【政府采购合同专用条款】</w:t>
      </w:r>
      <w:r>
        <w:rPr>
          <w:rFonts w:hint="eastAsia" w:ascii="宋体" w:hAnsi="宋体" w:cs="宋体"/>
          <w:szCs w:val="21"/>
        </w:rPr>
        <w:t>规定的响应时间内以合理的速度免费维修或更换有缺陷的货物或部件。</w:t>
      </w:r>
    </w:p>
    <w:p w14:paraId="3E63D44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themeColor="text1"/>
          <w:szCs w:val="21"/>
          <w14:textFill>
            <w14:solidFill>
              <w14:schemeClr w14:val="tx1"/>
            </w14:solidFill>
          </w14:textFill>
        </w:rPr>
        <w:t>5</w:t>
      </w:r>
      <w:r>
        <w:rPr>
          <w:rFonts w:hint="eastAsia" w:ascii="宋体" w:hAnsi="宋体" w:cs="宋体"/>
          <w:szCs w:val="21"/>
        </w:rPr>
        <w:t>.1条规定以书面形式</w:t>
      </w:r>
      <w:r>
        <w:rPr>
          <w:rFonts w:hint="eastAsia" w:ascii="宋体" w:hAnsi="宋体" w:cs="宋体"/>
          <w:color w:val="000000" w:themeColor="text1"/>
          <w:szCs w:val="21"/>
          <w14:textFill>
            <w14:solidFill>
              <w14:schemeClr w14:val="tx1"/>
            </w14:solidFill>
          </w14:textFill>
        </w:rPr>
        <w:t>追究</w:t>
      </w:r>
      <w:r>
        <w:rPr>
          <w:rFonts w:hint="eastAsia" w:ascii="宋体" w:hAnsi="宋体" w:cs="宋体"/>
          <w:szCs w:val="21"/>
        </w:rPr>
        <w:t>乙方</w:t>
      </w:r>
      <w:r>
        <w:rPr>
          <w:rFonts w:hint="eastAsia" w:ascii="宋体" w:hAnsi="宋体" w:cs="宋体"/>
          <w:color w:val="000000" w:themeColor="text1"/>
          <w:szCs w:val="21"/>
          <w14:textFill>
            <w14:solidFill>
              <w14:schemeClr w14:val="tx1"/>
            </w14:solidFill>
          </w14:textFill>
        </w:rPr>
        <w:t>的违约责任</w:t>
      </w:r>
      <w:r>
        <w:rPr>
          <w:rFonts w:hint="eastAsia" w:ascii="宋体" w:hAnsi="宋体" w:cs="宋体"/>
          <w:szCs w:val="21"/>
        </w:rPr>
        <w:t>。</w:t>
      </w:r>
    </w:p>
    <w:p w14:paraId="7F6E7F2B">
      <w:pPr>
        <w:adjustRightInd w:val="0"/>
        <w:snapToGrid w:val="0"/>
        <w:spacing w:line="400" w:lineRule="exact"/>
        <w:ind w:firstLine="420" w:firstLineChars="200"/>
        <w:jc w:val="left"/>
        <w:rPr>
          <w:rFonts w:ascii="宋体" w:hAnsi="宋体" w:cs="宋体"/>
        </w:rPr>
      </w:pPr>
      <w:r>
        <w:rPr>
          <w:rFonts w:hint="eastAsia" w:ascii="宋体" w:hAnsi="宋体" w:cs="宋体"/>
          <w:szCs w:val="21"/>
        </w:rPr>
        <w:t>（5）乙方在约定的时间内未能弥补缺陷，甲方可采取必要的补救措施，但其风险和费用将由乙方承担，甲方根据合同约定对乙方行使的其他权利不受影响。</w:t>
      </w:r>
    </w:p>
    <w:p w14:paraId="2353E985">
      <w:pPr>
        <w:adjustRightInd w:val="0"/>
        <w:snapToGrid w:val="0"/>
        <w:spacing w:line="400" w:lineRule="exact"/>
        <w:jc w:val="left"/>
        <w:rPr>
          <w:rFonts w:ascii="宋体" w:hAnsi="宋体" w:cs="宋体"/>
          <w:b/>
          <w:bCs/>
          <w:sz w:val="24"/>
        </w:rPr>
      </w:pPr>
      <w:r>
        <w:rPr>
          <w:rFonts w:hint="eastAsia" w:ascii="宋体" w:hAnsi="宋体" w:cs="宋体"/>
          <w:b/>
          <w:bCs/>
          <w:color w:val="000000" w:themeColor="text1"/>
          <w:sz w:val="24"/>
          <w14:textFill>
            <w14:solidFill>
              <w14:schemeClr w14:val="tx1"/>
            </w14:solidFill>
          </w14:textFill>
        </w:rPr>
        <w:t>9</w:t>
      </w:r>
      <w:r>
        <w:rPr>
          <w:rFonts w:hint="eastAsia" w:ascii="宋体" w:hAnsi="宋体" w:cs="宋体"/>
          <w:b/>
          <w:bCs/>
          <w:sz w:val="24"/>
        </w:rPr>
        <w:t>.</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
          <w:bCs/>
          <w:sz w:val="24"/>
        </w:rPr>
        <w:t>权利瑕疵担保</w:t>
      </w:r>
    </w:p>
    <w:p w14:paraId="5E6B7C70">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 乙方保证对其出售的货物享有合法的权利。</w:t>
      </w:r>
    </w:p>
    <w:p w14:paraId="348B6317">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14:paraId="69437994">
      <w:pPr>
        <w:autoSpaceDE w:val="0"/>
        <w:autoSpaceDN w:val="0"/>
        <w:adjustRightInd w:val="0"/>
        <w:snapToGri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 如甲方使用上述货物构成对第三人侵权的，则由乙方承担全部责任。</w:t>
      </w:r>
    </w:p>
    <w:p w14:paraId="3BA1CE21">
      <w:pPr>
        <w:autoSpaceDE w:val="0"/>
        <w:autoSpaceDN w:val="0"/>
        <w:adjustRightInd w:val="0"/>
        <w:snapToGrid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 知识产权保护</w:t>
      </w:r>
    </w:p>
    <w:p w14:paraId="15EAFD67">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cs="宋体"/>
          <w:szCs w:val="21"/>
        </w:rPr>
        <w:t>何第三人的知识产权等权利。</w:t>
      </w:r>
      <w:bookmarkStart w:id="52"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52"/>
      <w:r>
        <w:rPr>
          <w:rFonts w:hint="eastAsia" w:ascii="宋体" w:hAnsi="宋体" w:cs="宋体"/>
          <w:szCs w:val="21"/>
        </w:rPr>
        <w:t>。</w:t>
      </w:r>
    </w:p>
    <w:p w14:paraId="7BFBCF73">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11. 保密义务</w:t>
      </w:r>
    </w:p>
    <w:p w14:paraId="1337BC69">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895C4BA">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12. 合同价款支付</w:t>
      </w:r>
    </w:p>
    <w:p w14:paraId="321F39BF">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12.1 合同价款支付按照国库集中支付制度及财政管理相关规定执行。</w:t>
      </w:r>
    </w:p>
    <w:p w14:paraId="562A5A11">
      <w:pPr>
        <w:pStyle w:val="4"/>
        <w:spacing w:line="400" w:lineRule="exact"/>
        <w:ind w:firstLine="420" w:firstLineChars="200"/>
        <w:rPr>
          <w:rFonts w:ascii="宋体" w:hAnsi="宋体" w:cs="宋体"/>
        </w:rPr>
      </w:pPr>
      <w:bookmarkStart w:id="53" w:name="_Toc13785"/>
      <w:r>
        <w:rPr>
          <w:rFonts w:hint="eastAsia" w:ascii="宋体" w:hAnsi="宋体" w:cs="宋体"/>
          <w:b w:val="0"/>
          <w:bCs w:val="0"/>
          <w:sz w:val="21"/>
          <w:szCs w:val="21"/>
        </w:rPr>
        <w:t>12.2 对于满足合同约定支付条件的，甲方原则上应当自收到发票后</w:t>
      </w:r>
      <w:r>
        <w:rPr>
          <w:rFonts w:hint="eastAsia" w:ascii="宋体" w:hAnsi="宋体" w:cs="宋体"/>
          <w:b w:val="0"/>
          <w:bCs w:val="0"/>
          <w:sz w:val="21"/>
          <w:szCs w:val="21"/>
          <w:u w:val="single"/>
        </w:rPr>
        <w:t xml:space="preserve">   </w:t>
      </w:r>
      <w:r>
        <w:rPr>
          <w:rFonts w:hint="eastAsia" w:ascii="宋体" w:hAnsi="宋体" w:cs="宋体"/>
          <w:b w:val="0"/>
          <w:bCs w:val="0"/>
          <w:sz w:val="21"/>
          <w:szCs w:val="21"/>
        </w:rPr>
        <w:t>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sz w:val="21"/>
          <w:szCs w:val="21"/>
        </w:rPr>
        <w:t>政府采购合同专用条款</w:t>
      </w:r>
      <w:r>
        <w:rPr>
          <w:rFonts w:hint="eastAsia" w:ascii="宋体" w:hAnsi="宋体" w:cs="宋体"/>
          <w:b w:val="0"/>
          <w:bCs w:val="0"/>
          <w:sz w:val="21"/>
          <w:szCs w:val="21"/>
        </w:rPr>
        <w:t>】中约定。</w:t>
      </w:r>
      <w:bookmarkEnd w:id="53"/>
    </w:p>
    <w:p w14:paraId="4C9C7F26">
      <w:pPr>
        <w:pStyle w:val="12"/>
        <w:spacing w:after="0" w:line="400" w:lineRule="exact"/>
        <w:rPr>
          <w:rFonts w:ascii="宋体" w:hAnsi="宋体" w:cs="宋体"/>
          <w:b/>
          <w:bCs/>
          <w:sz w:val="24"/>
        </w:rPr>
      </w:pPr>
      <w:r>
        <w:rPr>
          <w:rFonts w:hint="eastAsia" w:ascii="宋体" w:hAnsi="宋体" w:cs="宋体"/>
          <w:b/>
          <w:bCs/>
          <w:sz w:val="24"/>
        </w:rPr>
        <w:t>13. 履约保证金</w:t>
      </w:r>
    </w:p>
    <w:p w14:paraId="0B2F71E0">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13.1 </w:t>
      </w:r>
      <w:r>
        <w:rPr>
          <w:rFonts w:hint="eastAsia" w:ascii="宋体" w:hAnsi="宋体" w:cs="宋体"/>
          <w:szCs w:val="15"/>
        </w:rPr>
        <w:t>乙方应当以支票、汇票、本票或者金融机构、担保机构出具的保函等非现金形式提交。</w:t>
      </w:r>
    </w:p>
    <w:p w14:paraId="0A48EAFE">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cs="宋体"/>
          <w:szCs w:val="21"/>
        </w:rPr>
        <w:t>，履约保证金不予退还；如果乙方未能按合同约定全面履行义务，甲方有权从履约保证金中取得补偿或赔偿，且不影响甲方要求乙方承担合同约定的超过履约保证金的违约责任的权利。</w:t>
      </w:r>
    </w:p>
    <w:p w14:paraId="1B75D564">
      <w:pPr>
        <w:spacing w:line="400" w:lineRule="exact"/>
        <w:ind w:firstLine="420"/>
        <w:rPr>
          <w:rFonts w:ascii="宋体" w:hAnsi="宋体" w:cs="宋体"/>
        </w:rPr>
      </w:pPr>
      <w:r>
        <w:rPr>
          <w:rFonts w:hint="eastAsia" w:ascii="宋体" w:hAnsi="宋体" w:cs="宋体"/>
          <w:szCs w:val="21"/>
        </w:rPr>
        <w:t>13.3 甲方在项目通过验收后按照</w:t>
      </w:r>
      <w:r>
        <w:rPr>
          <w:rFonts w:hint="eastAsia" w:ascii="宋体" w:hAnsi="宋体" w:cs="宋体"/>
          <w:b/>
          <w:szCs w:val="21"/>
        </w:rPr>
        <w:t>【政府采购合同专用条款】</w:t>
      </w:r>
      <w:r>
        <w:rPr>
          <w:rFonts w:hint="eastAsia" w:ascii="宋体" w:hAnsi="宋体" w:cs="宋体"/>
          <w:szCs w:val="21"/>
        </w:rPr>
        <w:t>规定的时间内将履约保证金退还乙方；逾期退还的，乙方可要求甲方支付违约金，违约金按照</w:t>
      </w:r>
      <w:r>
        <w:rPr>
          <w:rFonts w:hint="eastAsia" w:ascii="宋体" w:hAnsi="宋体" w:cs="宋体"/>
          <w:b/>
          <w:szCs w:val="21"/>
        </w:rPr>
        <w:t>【政府采购合同专用条款】</w:t>
      </w:r>
      <w:r>
        <w:rPr>
          <w:rFonts w:hint="eastAsia" w:ascii="宋体" w:hAnsi="宋体" w:cs="宋体"/>
          <w:szCs w:val="21"/>
        </w:rPr>
        <w:t>规定支付。</w:t>
      </w:r>
    </w:p>
    <w:p w14:paraId="52A64C58">
      <w:pPr>
        <w:autoSpaceDE w:val="0"/>
        <w:autoSpaceDN w:val="0"/>
        <w:adjustRightInd w:val="0"/>
        <w:snapToGrid w:val="0"/>
        <w:spacing w:line="400" w:lineRule="exact"/>
        <w:jc w:val="left"/>
        <w:rPr>
          <w:rFonts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14:paraId="662C2F89">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14.1 除项目不涉及或采购活动中明确约定无须承担外，乙方还应提供下列服务：</w:t>
      </w:r>
    </w:p>
    <w:p w14:paraId="50256FB8">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（1）货物的现场移动、安装、调试、启动监督及技术支持；</w:t>
      </w:r>
    </w:p>
    <w:p w14:paraId="2D84A7E5">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（2）提供货物组装和维修所需的专用工具和辅助材料；</w:t>
      </w:r>
    </w:p>
    <w:p w14:paraId="720210C4">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（3）在</w:t>
      </w:r>
      <w:r>
        <w:rPr>
          <w:rFonts w:hint="eastAsia" w:ascii="宋体" w:hAnsi="宋体" w:cs="宋体"/>
          <w:b/>
          <w:bCs/>
          <w:szCs w:val="15"/>
        </w:rPr>
        <w:t>【政府采购合同专用条款】</w:t>
      </w:r>
      <w:r>
        <w:rPr>
          <w:rFonts w:hint="eastAsia" w:ascii="宋体" w:hAnsi="宋体" w:cs="宋体"/>
          <w:szCs w:val="21"/>
        </w:rPr>
        <w:t>约定的期限内对所有的货物实施运行监督、维修，但前提条件是该服务并不能免除乙方在质量保证期内所承担的义务；</w:t>
      </w:r>
    </w:p>
    <w:p w14:paraId="2702233C">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（4）在制造商所在地或指定现场就货物的安装、启动、运营、维护、废弃处置等对甲方操作人员进行培训</w:t>
      </w:r>
      <w:r>
        <w:rPr>
          <w:rFonts w:hint="eastAsia" w:ascii="宋体" w:hAnsi="宋体" w:cs="宋体"/>
          <w:szCs w:val="15"/>
        </w:rPr>
        <w:t>；</w:t>
      </w:r>
    </w:p>
    <w:p w14:paraId="08BB2417">
      <w:pPr>
        <w:pStyle w:val="9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5F76F766">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b/>
          <w:szCs w:val="21"/>
        </w:rPr>
        <w:t>【政府采购合同专用条款】</w:t>
      </w:r>
      <w:r>
        <w:rPr>
          <w:rFonts w:hint="eastAsia" w:ascii="宋体" w:hAnsi="宋体" w:cs="宋体"/>
          <w:szCs w:val="21"/>
        </w:rPr>
        <w:t>规定由乙方提供的其他服务。</w:t>
      </w:r>
    </w:p>
    <w:p w14:paraId="05F77346">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14.2 乙方提供的售后服务的费用已包含在合同价款中，甲方不再另行支付。</w:t>
      </w:r>
    </w:p>
    <w:p w14:paraId="5230346D">
      <w:pPr>
        <w:adjustRightInd w:val="0"/>
        <w:snapToGrid w:val="0"/>
        <w:spacing w:line="400" w:lineRule="exact"/>
        <w:jc w:val="left"/>
        <w:rPr>
          <w:rFonts w:ascii="宋体" w:hAnsi="宋体" w:cs="宋体"/>
          <w:b/>
          <w:bCs/>
          <w:sz w:val="24"/>
        </w:rPr>
      </w:pPr>
      <w:r>
        <w:rPr>
          <w:rFonts w:hint="eastAsia" w:ascii="宋体" w:hAnsi="宋体" w:cs="宋体"/>
          <w:b/>
          <w:bCs/>
          <w:sz w:val="24"/>
        </w:rPr>
        <w:t>15. 违约责任</w:t>
      </w:r>
    </w:p>
    <w:p w14:paraId="276CE365">
      <w:pPr>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15.1质量瑕疵的违约责任</w:t>
      </w:r>
    </w:p>
    <w:p w14:paraId="66A226B6">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乙方提供的产品不符合合同约定的质量标准或存在产品质量缺陷，甲方有权要求乙方根据</w:t>
      </w:r>
      <w:r>
        <w:rPr>
          <w:rFonts w:hint="eastAsia" w:ascii="宋体" w:hAnsi="宋体" w:cs="宋体"/>
          <w:b/>
          <w:szCs w:val="21"/>
        </w:rPr>
        <w:t>【政府采购合同专用条款】</w:t>
      </w:r>
      <w:r>
        <w:rPr>
          <w:rFonts w:hint="eastAsia" w:ascii="宋体" w:hAnsi="宋体" w:cs="宋体"/>
          <w:bCs/>
          <w:szCs w:val="21"/>
        </w:rPr>
        <w:t>要求</w:t>
      </w:r>
      <w:r>
        <w:rPr>
          <w:rFonts w:hint="eastAsia" w:ascii="宋体" w:hAnsi="宋体" w:cs="宋体"/>
          <w:szCs w:val="21"/>
        </w:rPr>
        <w:t>及时修理、重作、更换，并承担由此给甲方造成的损失。</w:t>
      </w:r>
    </w:p>
    <w:p w14:paraId="6C59FBC5">
      <w:pPr>
        <w:autoSpaceDE w:val="0"/>
        <w:autoSpaceDN w:val="0"/>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15.2 迟延交货的违约责任</w:t>
      </w:r>
    </w:p>
    <w:p w14:paraId="471C5751">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C1BE921">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（2）如果乙方没有按照合同规定的时间交货和提供相关服务，甲方有权从货款中扣除误期赔偿费而不影响合同项下的其他补救方法，赔偿费按</w:t>
      </w:r>
      <w:r>
        <w:rPr>
          <w:rFonts w:hint="eastAsia" w:ascii="宋体" w:hAnsi="宋体" w:cs="宋体"/>
          <w:b/>
          <w:szCs w:val="21"/>
        </w:rPr>
        <w:t>【政府采购合同专用条款】</w:t>
      </w:r>
      <w:r>
        <w:rPr>
          <w:rFonts w:hint="eastAsia" w:ascii="宋体" w:hAnsi="宋体" w:cs="宋体"/>
          <w:szCs w:val="21"/>
        </w:rPr>
        <w:t>规定执行。如果涉及公共利益，且赔偿金额无法弥补公共利益损失，甲方可要求继续履行或者采取其他补救措施。</w:t>
      </w:r>
    </w:p>
    <w:p w14:paraId="3A1C4EF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15.3 迟延支付的违约责任</w:t>
      </w:r>
    </w:p>
    <w:p w14:paraId="10BC0FBE">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甲方存在迟延支付乙方合同款项的，应当承担</w:t>
      </w:r>
      <w:r>
        <w:rPr>
          <w:rFonts w:hint="eastAsia" w:ascii="宋体" w:hAnsi="宋体" w:cs="宋体"/>
          <w:b/>
          <w:bCs/>
          <w:szCs w:val="21"/>
        </w:rPr>
        <w:t>【政府采购合同专用条款】</w:t>
      </w:r>
      <w:r>
        <w:rPr>
          <w:rFonts w:hint="eastAsia" w:ascii="宋体" w:hAnsi="宋体" w:cs="宋体"/>
          <w:szCs w:val="21"/>
        </w:rPr>
        <w:t>规定的逾期付款利息。</w:t>
      </w:r>
    </w:p>
    <w:p w14:paraId="14AAB0B6">
      <w:pPr>
        <w:adjustRightInd w:val="0"/>
        <w:snapToGrid w:val="0"/>
        <w:spacing w:line="400" w:lineRule="exact"/>
        <w:ind w:firstLine="420" w:firstLineChars="200"/>
        <w:jc w:val="left"/>
        <w:rPr>
          <w:rFonts w:ascii="宋体" w:hAnsi="宋体" w:cs="宋体"/>
          <w:szCs w:val="21"/>
        </w:rPr>
      </w:pPr>
      <w:r>
        <w:rPr>
          <w:rFonts w:hint="eastAsia" w:ascii="宋体" w:hAnsi="宋体" w:cs="宋体"/>
          <w:bCs/>
          <w:szCs w:val="21"/>
        </w:rPr>
        <w:t>15.4其他违约责任根据项目实际需要按</w:t>
      </w:r>
      <w:r>
        <w:rPr>
          <w:rFonts w:hint="eastAsia" w:ascii="宋体" w:hAnsi="宋体" w:cs="宋体"/>
          <w:b/>
          <w:bCs/>
          <w:szCs w:val="21"/>
        </w:rPr>
        <w:t>【政府采购合同专用条款】</w:t>
      </w:r>
      <w:r>
        <w:rPr>
          <w:rFonts w:hint="eastAsia" w:ascii="宋体" w:hAnsi="宋体" w:cs="宋体"/>
          <w:szCs w:val="21"/>
        </w:rPr>
        <w:t>规定执行。</w:t>
      </w:r>
    </w:p>
    <w:p w14:paraId="6DAE6A2A">
      <w:pPr>
        <w:numPr>
          <w:ilvl w:val="0"/>
          <w:numId w:val="12"/>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合同变更、中止与终止</w:t>
      </w:r>
    </w:p>
    <w:p w14:paraId="5CE2C23D">
      <w:pPr>
        <w:adjustRightInd w:val="0"/>
        <w:snapToGrid w:val="0"/>
        <w:spacing w:line="400" w:lineRule="exact"/>
        <w:jc w:val="left"/>
        <w:rPr>
          <w:rFonts w:ascii="宋体" w:hAnsi="宋体" w:cs="宋体"/>
          <w:szCs w:val="21"/>
        </w:rPr>
      </w:pPr>
      <w:r>
        <w:rPr>
          <w:rFonts w:hint="eastAsia" w:ascii="宋体" w:hAnsi="宋体" w:cs="宋体"/>
          <w:szCs w:val="21"/>
        </w:rPr>
        <w:t xml:space="preserve">    16.1合同的变更</w:t>
      </w:r>
    </w:p>
    <w:p w14:paraId="51A4B6A3">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政府采购合同履行中，在不改变合同其他条款的前提下，甲方可以在合同价款10%的范围内追加与合同标的相同的货物，并就此与乙方协商一致后签订补充协议。</w:t>
      </w:r>
    </w:p>
    <w:p w14:paraId="49A9662E">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16.2合同的中止</w:t>
      </w:r>
    </w:p>
    <w:p w14:paraId="3DF5E55A">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（1）合同履行过程中因供应商就采购文件、采购过程或结果提起投诉的，甲方认为有必要的，可以中止合同的履行。</w:t>
      </w:r>
    </w:p>
    <w:p w14:paraId="7241BD9B">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C80573D">
      <w:pPr>
        <w:pStyle w:val="99"/>
        <w:ind w:firstLine="420"/>
        <w:jc w:val="both"/>
        <w:rPr>
          <w:rFonts w:ascii="宋体" w:hAnsi="宋体" w:eastAsia="宋体" w:cs="宋体"/>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5AAB400">
      <w:pPr>
        <w:snapToGrid w:val="0"/>
        <w:spacing w:line="400" w:lineRule="exact"/>
        <w:ind w:firstLine="420" w:firstLineChars="200"/>
        <w:jc w:val="left"/>
        <w:rPr>
          <w:rFonts w:ascii="宋体" w:hAnsi="宋体" w:cs="宋体"/>
        </w:rPr>
      </w:pPr>
      <w:r>
        <w:rPr>
          <w:rFonts w:hint="eastAsia" w:ascii="宋体" w:hAnsi="宋体" w:cs="宋体"/>
          <w:szCs w:val="21"/>
        </w:rPr>
        <w:t>（4）甲方不得以行政区划调整、政府换届、机构或者职能调整以及相关责任人更替为由中止合同。</w:t>
      </w:r>
    </w:p>
    <w:p w14:paraId="4D30B64E">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16.3合同的终止</w:t>
      </w:r>
    </w:p>
    <w:p w14:paraId="3A1BB879">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（1）合同因有效期限届满而终止；</w:t>
      </w:r>
    </w:p>
    <w:p w14:paraId="6B210F26">
      <w:pPr>
        <w:snapToGrid w:val="0"/>
        <w:spacing w:line="400" w:lineRule="exact"/>
        <w:ind w:firstLine="420" w:firstLineChars="200"/>
        <w:rPr>
          <w:rFonts w:ascii="宋体" w:hAnsi="宋体" w:cs="宋体"/>
          <w:szCs w:val="21"/>
        </w:rPr>
      </w:pPr>
      <w:r>
        <w:rPr>
          <w:rFonts w:hint="eastAsia" w:ascii="宋体" w:hAnsi="宋体" w:cs="宋体"/>
          <w:szCs w:val="21"/>
        </w:rPr>
        <w:t>（2）乙方未按合同约定履行，构成根本性违约的，甲方有权终止合同，并追究乙方的违约责任。</w:t>
      </w:r>
    </w:p>
    <w:p w14:paraId="1DA35B6A">
      <w:pPr>
        <w:pStyle w:val="99"/>
        <w:rPr>
          <w:rFonts w:ascii="宋体" w:hAnsi="宋体" w:eastAsia="宋体" w:cs="宋体"/>
        </w:rPr>
      </w:pPr>
      <w:r>
        <w:rPr>
          <w:rFonts w:hint="eastAsia" w:ascii="宋体" w:hAnsi="宋体" w:eastAsia="宋体" w:cs="宋体"/>
        </w:rPr>
        <w:t xml:space="preserve">16.4 </w:t>
      </w:r>
      <w:r>
        <w:rPr>
          <w:rFonts w:hint="eastAsia" w:ascii="宋体" w:hAnsi="宋体" w:eastAsia="宋体" w:cs="宋体"/>
          <w:kern w:val="2"/>
          <w:sz w:val="21"/>
        </w:rPr>
        <w:t>涉及国家利益、社会公共利益的情形</w:t>
      </w:r>
    </w:p>
    <w:p w14:paraId="3F901E79">
      <w:pPr>
        <w:pStyle w:val="99"/>
        <w:ind w:firstLine="420"/>
        <w:jc w:val="both"/>
        <w:rPr>
          <w:rFonts w:ascii="宋体" w:hAnsi="宋体" w:eastAsia="宋体" w:cs="宋体"/>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5B0F9FB5">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17. 合同分包</w:t>
      </w:r>
    </w:p>
    <w:p w14:paraId="5BA99BB6">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17.1 乙方不得将合同转包给其他供应商。涉及合同分包的，乙方应根据采购文件和投标（响应）文件规定进行合同分包。</w:t>
      </w:r>
    </w:p>
    <w:p w14:paraId="5A585C08">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17.2 乙方执行政府采购政策向中小企业依法分包的，乙方应当按采购文件和投标（响应）文件签订分包意向协议，分包意向协议属于本合同组成部分。</w:t>
      </w:r>
    </w:p>
    <w:p w14:paraId="3DB41D25">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18. 不可抗力</w:t>
      </w:r>
    </w:p>
    <w:p w14:paraId="4BC2B899">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18.1 不可抗力是指合同双方不能预见、不能避免且不能克服的客观情况。</w:t>
      </w:r>
    </w:p>
    <w:p w14:paraId="1F86F7A8">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18.2 任何一方对由于不可抗力造成的部分或全部不能履行合同不承担违约责任。但迟延履行后发生不可抗力的，不能免除责任。</w:t>
      </w:r>
    </w:p>
    <w:p w14:paraId="5B78CD30">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973895C">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19. 解决争议的方法</w:t>
      </w:r>
    </w:p>
    <w:p w14:paraId="62353A0A">
      <w:pPr>
        <w:pStyle w:val="9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18D0A62">
      <w:pPr>
        <w:pStyle w:val="9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DDE915A">
      <w:pPr>
        <w:pStyle w:val="9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D369345">
      <w:pPr>
        <w:autoSpaceDE w:val="0"/>
        <w:autoSpaceDN w:val="0"/>
        <w:adjustRightInd w:val="0"/>
        <w:snapToGrid w:val="0"/>
        <w:spacing w:line="400" w:lineRule="exact"/>
        <w:jc w:val="left"/>
        <w:rPr>
          <w:rFonts w:ascii="宋体" w:hAnsi="宋体" w:cs="宋体"/>
          <w:sz w:val="24"/>
        </w:rPr>
      </w:pPr>
      <w:r>
        <w:rPr>
          <w:rFonts w:hint="eastAsia" w:ascii="宋体" w:hAnsi="宋体" w:cs="宋体"/>
          <w:b/>
          <w:sz w:val="24"/>
        </w:rPr>
        <w:t>20. 政府采购政策</w:t>
      </w:r>
    </w:p>
    <w:p w14:paraId="42A2301A">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20.1 </w:t>
      </w:r>
      <w:r>
        <w:rPr>
          <w:rFonts w:hint="eastAsia" w:ascii="宋体" w:hAnsi="宋体" w:cs="宋体"/>
          <w:lang w:val="en-GB"/>
        </w:rPr>
        <w:t>本合同应当按照规定执行政府采购政策。</w:t>
      </w:r>
    </w:p>
    <w:p w14:paraId="7F634CFD">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cs="宋体"/>
          <w:szCs w:val="21"/>
        </w:rPr>
        <w:t>，有过错的一方应当承担赔偿责任，双方都有过错的，各自承担相应的责任。</w:t>
      </w:r>
    </w:p>
    <w:p w14:paraId="4D87A99D">
      <w:pPr>
        <w:pStyle w:val="12"/>
        <w:spacing w:after="0" w:line="400" w:lineRule="exact"/>
        <w:ind w:firstLine="420" w:firstLineChars="200"/>
        <w:rPr>
          <w:rFonts w:ascii="宋体" w:hAnsi="宋体" w:cs="宋体"/>
        </w:rPr>
      </w:pPr>
      <w:r>
        <w:rPr>
          <w:rFonts w:hint="eastAsia" w:ascii="宋体" w:hAnsi="宋体" w:cs="宋体"/>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5CB8AC">
      <w:p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21. 法律适用</w:t>
      </w:r>
    </w:p>
    <w:p w14:paraId="507B718E">
      <w:pPr>
        <w:pStyle w:val="9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7FB297BE">
      <w:pPr>
        <w:pStyle w:val="9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70D9F788">
      <w:pPr>
        <w:numPr>
          <w:ilvl w:val="255"/>
          <w:numId w:val="0"/>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22. 通知</w:t>
      </w:r>
    </w:p>
    <w:p w14:paraId="1D0906EB">
      <w:pPr>
        <w:pStyle w:val="9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393BDE68">
      <w:pPr>
        <w:pStyle w:val="99"/>
        <w:ind w:firstLine="0" w:firstLineChars="0"/>
        <w:jc w:val="both"/>
        <w:rPr>
          <w:rFonts w:ascii="宋体" w:hAnsi="宋体" w:eastAsia="宋体" w:cs="宋体"/>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8A4BA48">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22.3本合同一方给另一方的通知均应采用书面形式，传真或快递送到本合同中规定的对方的地址和办理签收手续。</w:t>
      </w:r>
    </w:p>
    <w:p w14:paraId="6E2F01D5">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22.4通知以送达之日或通知书中规定的生效之日起生效，两者中以较迟之日为准。</w:t>
      </w:r>
    </w:p>
    <w:p w14:paraId="6F5E3E42">
      <w:pPr>
        <w:numPr>
          <w:ilvl w:val="0"/>
          <w:numId w:val="13"/>
        </w:numPr>
        <w:adjustRightInd w:val="0"/>
        <w:snapToGrid w:val="0"/>
        <w:spacing w:line="400" w:lineRule="exact"/>
        <w:jc w:val="left"/>
        <w:rPr>
          <w:rFonts w:ascii="宋体" w:hAnsi="宋体" w:cs="宋体"/>
          <w:b/>
          <w:bCs/>
          <w:sz w:val="24"/>
        </w:rPr>
      </w:pPr>
      <w:r>
        <w:rPr>
          <w:rFonts w:hint="eastAsia" w:ascii="宋体" w:hAnsi="宋体" w:cs="宋体"/>
          <w:b/>
          <w:bCs/>
          <w:sz w:val="24"/>
        </w:rPr>
        <w:t>合同未尽事项</w:t>
      </w:r>
    </w:p>
    <w:p w14:paraId="05E405DE">
      <w:pPr>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23.1合同未尽事项见</w:t>
      </w:r>
      <w:r>
        <w:rPr>
          <w:rFonts w:hint="eastAsia" w:ascii="宋体" w:hAnsi="宋体" w:cs="宋体"/>
          <w:b/>
          <w:szCs w:val="21"/>
        </w:rPr>
        <w:t>【政府采购合同专用条款】</w:t>
      </w:r>
      <w:r>
        <w:rPr>
          <w:rFonts w:hint="eastAsia" w:ascii="宋体" w:hAnsi="宋体" w:cs="宋体"/>
          <w:bCs/>
          <w:szCs w:val="21"/>
        </w:rPr>
        <w:t>。</w:t>
      </w:r>
    </w:p>
    <w:p w14:paraId="284939D2">
      <w:pPr>
        <w:adjustRightInd w:val="0"/>
        <w:snapToGrid w:val="0"/>
        <w:spacing w:line="400" w:lineRule="exact"/>
        <w:jc w:val="left"/>
        <w:rPr>
          <w:rFonts w:ascii="宋体" w:hAnsi="宋体" w:cs="宋体"/>
          <w:sz w:val="28"/>
          <w:szCs w:val="28"/>
        </w:rPr>
      </w:pPr>
      <w:r>
        <w:rPr>
          <w:rFonts w:hint="eastAsia" w:ascii="宋体" w:hAnsi="宋体" w:cs="宋体"/>
          <w:bCs/>
          <w:szCs w:val="21"/>
        </w:rPr>
        <w:t xml:space="preserve">    23.2 合同附件与合同正文具有同等的法律效力。</w:t>
      </w:r>
      <w:bookmarkStart w:id="54" w:name="_Toc20313"/>
    </w:p>
    <w:p w14:paraId="22CB9D9D">
      <w:pPr>
        <w:adjustRightInd w:val="0"/>
        <w:snapToGrid w:val="0"/>
        <w:jc w:val="center"/>
        <w:rPr>
          <w:rFonts w:ascii="宋体" w:hAnsi="宋体" w:cs="宋体"/>
          <w:sz w:val="28"/>
          <w:szCs w:val="28"/>
        </w:rPr>
      </w:pPr>
      <w:r>
        <w:rPr>
          <w:rFonts w:hint="eastAsia" w:ascii="宋体" w:hAnsi="宋体" w:cs="宋体"/>
          <w:sz w:val="28"/>
          <w:szCs w:val="28"/>
        </w:rPr>
        <w:br w:type="page"/>
      </w:r>
    </w:p>
    <w:p w14:paraId="107EA637">
      <w:pPr>
        <w:pStyle w:val="4"/>
        <w:adjustRightInd w:val="0"/>
        <w:snapToGrid w:val="0"/>
        <w:jc w:val="center"/>
        <w:rPr>
          <w:rFonts w:ascii="宋体" w:hAnsi="宋体" w:cs="宋体"/>
          <w:b w:val="0"/>
          <w:bCs w:val="0"/>
          <w:sz w:val="28"/>
          <w:szCs w:val="28"/>
        </w:rPr>
      </w:pPr>
      <w:bookmarkStart w:id="55" w:name="_Toc11490"/>
      <w:r>
        <w:rPr>
          <w:rFonts w:hint="eastAsia" w:ascii="宋体" w:hAnsi="宋体" w:cs="宋体"/>
          <w:b w:val="0"/>
          <w:bCs w:val="0"/>
          <w:sz w:val="28"/>
          <w:szCs w:val="28"/>
        </w:rPr>
        <w:t>第三节 政府采购合同专用条款</w:t>
      </w:r>
      <w:bookmarkEnd w:id="54"/>
      <w:bookmarkEnd w:id="55"/>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0F62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410F22">
            <w:pPr>
              <w:adjustRightInd w:val="0"/>
              <w:snapToGrid w:val="0"/>
              <w:jc w:val="center"/>
              <w:rPr>
                <w:rFonts w:ascii="宋体" w:hAnsi="宋体" w:cs="宋体"/>
                <w:szCs w:val="21"/>
              </w:rPr>
            </w:pPr>
            <w:r>
              <w:rPr>
                <w:rFonts w:hint="eastAsia" w:ascii="宋体" w:hAnsi="宋体" w:cs="宋体"/>
                <w:szCs w:val="21"/>
              </w:rPr>
              <w:t>第二节</w:t>
            </w:r>
          </w:p>
          <w:p w14:paraId="41857255">
            <w:pPr>
              <w:adjustRightInd w:val="0"/>
              <w:snapToGrid w:val="0"/>
              <w:jc w:val="center"/>
              <w:rPr>
                <w:rFonts w:ascii="宋体" w:hAnsi="宋体" w:cs="宋体"/>
                <w:szCs w:val="21"/>
              </w:rPr>
            </w:pPr>
            <w:r>
              <w:rPr>
                <w:rFonts w:hint="eastAsia" w:ascii="宋体" w:hAnsi="宋体" w:cs="宋体"/>
                <w:szCs w:val="21"/>
              </w:rPr>
              <w:t>第1.2（6）项</w:t>
            </w:r>
          </w:p>
        </w:tc>
        <w:tc>
          <w:tcPr>
            <w:tcW w:w="1742" w:type="dxa"/>
            <w:vAlign w:val="center"/>
          </w:tcPr>
          <w:p w14:paraId="0F20994A">
            <w:pPr>
              <w:adjustRightInd w:val="0"/>
              <w:snapToGrid w:val="0"/>
              <w:jc w:val="left"/>
              <w:rPr>
                <w:rFonts w:ascii="宋体" w:hAnsi="宋体" w:cs="宋体"/>
                <w:szCs w:val="21"/>
              </w:rPr>
            </w:pPr>
            <w:r>
              <w:rPr>
                <w:rFonts w:hint="eastAsia" w:ascii="宋体" w:hAnsi="宋体" w:cs="宋体"/>
                <w:szCs w:val="21"/>
              </w:rPr>
              <w:t>联合体具体要求</w:t>
            </w:r>
          </w:p>
        </w:tc>
        <w:tc>
          <w:tcPr>
            <w:tcW w:w="5170" w:type="dxa"/>
            <w:vAlign w:val="center"/>
          </w:tcPr>
          <w:p w14:paraId="1B6A56C4">
            <w:pPr>
              <w:adjustRightInd w:val="0"/>
              <w:snapToGrid w:val="0"/>
              <w:jc w:val="left"/>
              <w:rPr>
                <w:rFonts w:ascii="宋体" w:hAnsi="宋体" w:cs="宋体"/>
                <w:szCs w:val="21"/>
              </w:rPr>
            </w:pPr>
          </w:p>
        </w:tc>
      </w:tr>
      <w:tr w14:paraId="788DCE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DF83DF7">
            <w:pPr>
              <w:adjustRightInd w:val="0"/>
              <w:snapToGrid w:val="0"/>
              <w:jc w:val="center"/>
              <w:rPr>
                <w:rFonts w:ascii="宋体" w:hAnsi="宋体" w:cs="宋体"/>
                <w:szCs w:val="21"/>
              </w:rPr>
            </w:pPr>
            <w:r>
              <w:rPr>
                <w:rFonts w:hint="eastAsia" w:ascii="宋体" w:hAnsi="宋体" w:cs="宋体"/>
                <w:szCs w:val="21"/>
              </w:rPr>
              <w:t>第二节</w:t>
            </w:r>
          </w:p>
          <w:p w14:paraId="1CD8084F">
            <w:pPr>
              <w:adjustRightInd w:val="0"/>
              <w:snapToGrid w:val="0"/>
              <w:jc w:val="center"/>
              <w:rPr>
                <w:rFonts w:ascii="宋体" w:hAnsi="宋体" w:cs="宋体"/>
                <w:szCs w:val="21"/>
              </w:rPr>
            </w:pPr>
            <w:r>
              <w:rPr>
                <w:rFonts w:hint="eastAsia" w:ascii="宋体" w:hAnsi="宋体" w:cs="宋体"/>
                <w:szCs w:val="21"/>
              </w:rPr>
              <w:t>第1.2（7）项</w:t>
            </w:r>
          </w:p>
        </w:tc>
        <w:tc>
          <w:tcPr>
            <w:tcW w:w="1742" w:type="dxa"/>
            <w:vAlign w:val="center"/>
          </w:tcPr>
          <w:p w14:paraId="6F28896F">
            <w:pPr>
              <w:adjustRightInd w:val="0"/>
              <w:snapToGrid w:val="0"/>
              <w:jc w:val="left"/>
              <w:rPr>
                <w:rFonts w:ascii="宋体" w:hAnsi="宋体" w:cs="宋体"/>
                <w:szCs w:val="21"/>
              </w:rPr>
            </w:pPr>
            <w:r>
              <w:rPr>
                <w:rFonts w:hint="eastAsia" w:ascii="宋体" w:hAnsi="宋体" w:cs="宋体"/>
                <w:szCs w:val="21"/>
              </w:rPr>
              <w:t>其他术语解释</w:t>
            </w:r>
          </w:p>
        </w:tc>
        <w:tc>
          <w:tcPr>
            <w:tcW w:w="5170" w:type="dxa"/>
            <w:vAlign w:val="center"/>
          </w:tcPr>
          <w:p w14:paraId="6E12EB44">
            <w:pPr>
              <w:adjustRightInd w:val="0"/>
              <w:snapToGrid w:val="0"/>
              <w:jc w:val="left"/>
              <w:rPr>
                <w:rFonts w:ascii="宋体" w:hAnsi="宋体" w:cs="宋体"/>
                <w:szCs w:val="21"/>
              </w:rPr>
            </w:pPr>
          </w:p>
        </w:tc>
      </w:tr>
      <w:tr w14:paraId="2FDA91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7A8A09">
            <w:pPr>
              <w:adjustRightInd w:val="0"/>
              <w:snapToGrid w:val="0"/>
              <w:jc w:val="center"/>
              <w:rPr>
                <w:rFonts w:ascii="宋体" w:hAnsi="宋体" w:cs="宋体"/>
                <w:szCs w:val="21"/>
              </w:rPr>
            </w:pPr>
            <w:r>
              <w:rPr>
                <w:rFonts w:hint="eastAsia" w:ascii="宋体" w:hAnsi="宋体" w:cs="宋体"/>
                <w:szCs w:val="21"/>
              </w:rPr>
              <w:t>第二节</w:t>
            </w:r>
          </w:p>
          <w:p w14:paraId="70028D79">
            <w:pPr>
              <w:adjustRightInd w:val="0"/>
              <w:snapToGrid w:val="0"/>
              <w:jc w:val="center"/>
              <w:rPr>
                <w:rFonts w:ascii="宋体" w:hAnsi="宋体" w:cs="宋体"/>
                <w:szCs w:val="21"/>
              </w:rPr>
            </w:pPr>
            <w:r>
              <w:rPr>
                <w:rFonts w:hint="eastAsia" w:ascii="宋体" w:hAnsi="宋体" w:cs="宋体"/>
                <w:szCs w:val="21"/>
              </w:rPr>
              <w:t>第4.4款</w:t>
            </w:r>
          </w:p>
        </w:tc>
        <w:tc>
          <w:tcPr>
            <w:tcW w:w="1742" w:type="dxa"/>
            <w:vAlign w:val="center"/>
          </w:tcPr>
          <w:p w14:paraId="5AABF4EE">
            <w:pPr>
              <w:adjustRightInd w:val="0"/>
              <w:snapToGrid w:val="0"/>
              <w:jc w:val="left"/>
              <w:rPr>
                <w:rFonts w:ascii="宋体" w:hAnsi="宋体" w:cs="宋体"/>
                <w:szCs w:val="21"/>
              </w:rPr>
            </w:pPr>
            <w:r>
              <w:rPr>
                <w:rFonts w:hint="eastAsia" w:ascii="宋体" w:hAnsi="宋体" w:cs="宋体"/>
                <w:szCs w:val="21"/>
              </w:rPr>
              <w:t>履约验收中甲方提出异议或作出说明的期限</w:t>
            </w:r>
          </w:p>
        </w:tc>
        <w:tc>
          <w:tcPr>
            <w:tcW w:w="5170" w:type="dxa"/>
            <w:vAlign w:val="center"/>
          </w:tcPr>
          <w:p w14:paraId="595C4F50">
            <w:pPr>
              <w:adjustRightInd w:val="0"/>
              <w:snapToGrid w:val="0"/>
              <w:jc w:val="left"/>
              <w:rPr>
                <w:rFonts w:ascii="宋体" w:hAnsi="宋体" w:cs="宋体"/>
                <w:szCs w:val="21"/>
              </w:rPr>
            </w:pPr>
          </w:p>
        </w:tc>
      </w:tr>
      <w:tr w14:paraId="2F64E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F2E039">
            <w:pPr>
              <w:adjustRightInd w:val="0"/>
              <w:snapToGrid w:val="0"/>
              <w:jc w:val="center"/>
              <w:rPr>
                <w:rFonts w:ascii="宋体" w:hAnsi="宋体" w:cs="宋体"/>
                <w:szCs w:val="21"/>
              </w:rPr>
            </w:pPr>
            <w:r>
              <w:rPr>
                <w:rFonts w:hint="eastAsia" w:ascii="宋体" w:hAnsi="宋体" w:cs="宋体"/>
                <w:szCs w:val="21"/>
              </w:rPr>
              <w:t>第二节</w:t>
            </w:r>
          </w:p>
          <w:p w14:paraId="6D70562D">
            <w:pPr>
              <w:adjustRightInd w:val="0"/>
              <w:snapToGrid w:val="0"/>
              <w:jc w:val="center"/>
              <w:rPr>
                <w:rFonts w:ascii="宋体" w:hAnsi="宋体" w:cs="宋体"/>
                <w:szCs w:val="21"/>
              </w:rPr>
            </w:pPr>
            <w:r>
              <w:rPr>
                <w:rFonts w:hint="eastAsia" w:ascii="宋体" w:hAnsi="宋体" w:cs="宋体"/>
                <w:szCs w:val="21"/>
              </w:rPr>
              <w:t>第4.6款</w:t>
            </w:r>
          </w:p>
        </w:tc>
        <w:tc>
          <w:tcPr>
            <w:tcW w:w="1742" w:type="dxa"/>
            <w:vAlign w:val="center"/>
          </w:tcPr>
          <w:p w14:paraId="194AEA24">
            <w:pPr>
              <w:adjustRightInd w:val="0"/>
              <w:snapToGrid w:val="0"/>
              <w:jc w:val="left"/>
              <w:rPr>
                <w:rFonts w:ascii="宋体" w:hAnsi="宋体" w:cs="宋体"/>
                <w:szCs w:val="21"/>
              </w:rPr>
            </w:pPr>
            <w:r>
              <w:rPr>
                <w:rFonts w:hint="eastAsia" w:ascii="宋体" w:hAnsi="宋体" w:cs="宋体"/>
                <w:szCs w:val="21"/>
              </w:rPr>
              <w:t>约定甲方承担的其他义务和责任</w:t>
            </w:r>
          </w:p>
        </w:tc>
        <w:tc>
          <w:tcPr>
            <w:tcW w:w="5170" w:type="dxa"/>
            <w:vAlign w:val="center"/>
          </w:tcPr>
          <w:p w14:paraId="6C439F68">
            <w:pPr>
              <w:adjustRightInd w:val="0"/>
              <w:snapToGrid w:val="0"/>
              <w:jc w:val="left"/>
              <w:rPr>
                <w:rFonts w:ascii="宋体" w:hAnsi="宋体" w:cs="宋体"/>
                <w:szCs w:val="21"/>
              </w:rPr>
            </w:pPr>
          </w:p>
        </w:tc>
      </w:tr>
      <w:tr w14:paraId="43E22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74D37B">
            <w:pPr>
              <w:adjustRightInd w:val="0"/>
              <w:snapToGrid w:val="0"/>
              <w:jc w:val="center"/>
              <w:rPr>
                <w:rFonts w:ascii="宋体" w:hAnsi="宋体" w:cs="宋体"/>
                <w:szCs w:val="21"/>
              </w:rPr>
            </w:pPr>
            <w:r>
              <w:rPr>
                <w:rFonts w:hint="eastAsia" w:ascii="宋体" w:hAnsi="宋体" w:cs="宋体"/>
                <w:szCs w:val="21"/>
              </w:rPr>
              <w:t>第二节</w:t>
            </w:r>
          </w:p>
          <w:p w14:paraId="44D3F1EB">
            <w:pPr>
              <w:snapToGrid w:val="0"/>
              <w:jc w:val="center"/>
              <w:rPr>
                <w:rFonts w:ascii="宋体" w:hAnsi="宋体" w:cs="宋体"/>
              </w:rPr>
            </w:pPr>
            <w:r>
              <w:rPr>
                <w:rFonts w:hint="eastAsia" w:ascii="宋体" w:hAnsi="宋体" w:cs="宋体"/>
                <w:szCs w:val="21"/>
              </w:rPr>
              <w:t>第5.4款</w:t>
            </w:r>
          </w:p>
        </w:tc>
        <w:tc>
          <w:tcPr>
            <w:tcW w:w="1742" w:type="dxa"/>
            <w:vAlign w:val="center"/>
          </w:tcPr>
          <w:p w14:paraId="1491AEE8">
            <w:pPr>
              <w:adjustRightInd w:val="0"/>
              <w:snapToGrid w:val="0"/>
              <w:jc w:val="left"/>
              <w:rPr>
                <w:rFonts w:ascii="宋体" w:hAnsi="宋体" w:cs="宋体"/>
                <w:szCs w:val="21"/>
              </w:rPr>
            </w:pPr>
            <w:r>
              <w:rPr>
                <w:rFonts w:hint="eastAsia" w:ascii="宋体" w:hAnsi="宋体" w:cs="宋体"/>
                <w:szCs w:val="21"/>
              </w:rPr>
              <w:t>约定乙方承担的其他义务和责任</w:t>
            </w:r>
          </w:p>
        </w:tc>
        <w:tc>
          <w:tcPr>
            <w:tcW w:w="5170" w:type="dxa"/>
            <w:vAlign w:val="center"/>
          </w:tcPr>
          <w:p w14:paraId="7B3717E5">
            <w:pPr>
              <w:adjustRightInd w:val="0"/>
              <w:snapToGrid w:val="0"/>
              <w:jc w:val="left"/>
              <w:rPr>
                <w:rFonts w:ascii="宋体" w:hAnsi="宋体" w:cs="宋体"/>
                <w:szCs w:val="21"/>
              </w:rPr>
            </w:pPr>
          </w:p>
        </w:tc>
      </w:tr>
      <w:tr w14:paraId="56277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939BD6">
            <w:pPr>
              <w:adjustRightInd w:val="0"/>
              <w:snapToGrid w:val="0"/>
              <w:jc w:val="center"/>
              <w:rPr>
                <w:rFonts w:ascii="宋体" w:hAnsi="宋体" w:cs="宋体"/>
                <w:szCs w:val="21"/>
              </w:rPr>
            </w:pPr>
            <w:r>
              <w:rPr>
                <w:rFonts w:hint="eastAsia" w:ascii="宋体" w:hAnsi="宋体" w:cs="宋体"/>
                <w:szCs w:val="21"/>
              </w:rPr>
              <w:t>第二节</w:t>
            </w:r>
          </w:p>
          <w:p w14:paraId="5415740E">
            <w:pPr>
              <w:snapToGrid w:val="0"/>
              <w:jc w:val="center"/>
              <w:rPr>
                <w:rFonts w:ascii="宋体" w:hAnsi="宋体" w:cs="宋体"/>
                <w:szCs w:val="21"/>
              </w:rPr>
            </w:pPr>
            <w:r>
              <w:rPr>
                <w:rFonts w:hint="eastAsia" w:ascii="宋体" w:hAnsi="宋体" w:cs="宋体"/>
                <w:szCs w:val="21"/>
              </w:rPr>
              <w:t>第6.1款</w:t>
            </w:r>
          </w:p>
        </w:tc>
        <w:tc>
          <w:tcPr>
            <w:tcW w:w="1742" w:type="dxa"/>
            <w:vAlign w:val="center"/>
          </w:tcPr>
          <w:p w14:paraId="30DA866C">
            <w:pPr>
              <w:adjustRightInd w:val="0"/>
              <w:snapToGrid w:val="0"/>
              <w:jc w:val="left"/>
              <w:rPr>
                <w:rFonts w:ascii="宋体" w:hAnsi="宋体" w:cs="宋体"/>
                <w:szCs w:val="21"/>
              </w:rPr>
            </w:pPr>
            <w:r>
              <w:rPr>
                <w:rFonts w:hint="eastAsia" w:ascii="宋体" w:hAnsi="宋体" w:cs="宋体"/>
                <w:szCs w:val="21"/>
              </w:rPr>
              <w:t>履行合同义务的顺序</w:t>
            </w:r>
          </w:p>
        </w:tc>
        <w:tc>
          <w:tcPr>
            <w:tcW w:w="5170" w:type="dxa"/>
            <w:vAlign w:val="center"/>
          </w:tcPr>
          <w:p w14:paraId="5EAF8F0A">
            <w:pPr>
              <w:adjustRightInd w:val="0"/>
              <w:snapToGrid w:val="0"/>
              <w:jc w:val="left"/>
              <w:rPr>
                <w:rFonts w:ascii="宋体" w:hAnsi="宋体" w:cs="宋体"/>
                <w:szCs w:val="21"/>
              </w:rPr>
            </w:pPr>
          </w:p>
        </w:tc>
      </w:tr>
      <w:tr w14:paraId="2A41F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34A2D6">
            <w:pPr>
              <w:adjustRightInd w:val="0"/>
              <w:snapToGrid w:val="0"/>
              <w:jc w:val="center"/>
              <w:rPr>
                <w:rFonts w:ascii="宋体" w:hAnsi="宋体" w:cs="宋体"/>
                <w:szCs w:val="21"/>
              </w:rPr>
            </w:pPr>
            <w:r>
              <w:rPr>
                <w:rFonts w:hint="eastAsia" w:ascii="宋体" w:hAnsi="宋体" w:cs="宋体"/>
                <w:szCs w:val="21"/>
              </w:rPr>
              <w:t>第二节</w:t>
            </w:r>
          </w:p>
          <w:p w14:paraId="18DE6D8B">
            <w:pPr>
              <w:adjustRightInd w:val="0"/>
              <w:snapToGrid w:val="0"/>
              <w:jc w:val="center"/>
              <w:rPr>
                <w:rFonts w:ascii="宋体" w:hAnsi="宋体" w:cs="宋体"/>
                <w:szCs w:val="21"/>
              </w:rPr>
            </w:pPr>
            <w:r>
              <w:rPr>
                <w:rFonts w:hint="eastAsia" w:ascii="宋体" w:hAnsi="宋体" w:cs="宋体"/>
                <w:szCs w:val="21"/>
              </w:rPr>
              <w:t>第7.1款</w:t>
            </w:r>
          </w:p>
        </w:tc>
        <w:tc>
          <w:tcPr>
            <w:tcW w:w="1742" w:type="dxa"/>
            <w:vAlign w:val="center"/>
          </w:tcPr>
          <w:p w14:paraId="1E5F002C">
            <w:pPr>
              <w:adjustRightInd w:val="0"/>
              <w:snapToGrid w:val="0"/>
              <w:jc w:val="left"/>
              <w:rPr>
                <w:rFonts w:ascii="宋体" w:hAnsi="宋体" w:cs="宋体"/>
                <w:szCs w:val="21"/>
              </w:rPr>
            </w:pPr>
            <w:r>
              <w:rPr>
                <w:rFonts w:hint="eastAsia" w:ascii="宋体" w:hAnsi="宋体" w:cs="宋体"/>
                <w:szCs w:val="21"/>
              </w:rPr>
              <w:t>包装特殊要求</w:t>
            </w:r>
          </w:p>
        </w:tc>
        <w:tc>
          <w:tcPr>
            <w:tcW w:w="5170" w:type="dxa"/>
            <w:vAlign w:val="center"/>
          </w:tcPr>
          <w:p w14:paraId="085BA49E">
            <w:pPr>
              <w:rPr>
                <w:rFonts w:ascii="宋体" w:hAnsi="宋体" w:cs="宋体"/>
              </w:rPr>
            </w:pPr>
          </w:p>
        </w:tc>
      </w:tr>
      <w:tr w14:paraId="4E5DE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DCE67BC">
            <w:pPr>
              <w:adjustRightInd w:val="0"/>
              <w:snapToGrid w:val="0"/>
              <w:jc w:val="center"/>
              <w:rPr>
                <w:rFonts w:ascii="宋体" w:hAnsi="宋体" w:cs="宋体"/>
                <w:szCs w:val="21"/>
              </w:rPr>
            </w:pPr>
          </w:p>
        </w:tc>
        <w:tc>
          <w:tcPr>
            <w:tcW w:w="1742" w:type="dxa"/>
            <w:vAlign w:val="center"/>
          </w:tcPr>
          <w:p w14:paraId="68B6D247">
            <w:pPr>
              <w:adjustRightInd w:val="0"/>
              <w:snapToGrid w:val="0"/>
              <w:jc w:val="left"/>
              <w:rPr>
                <w:rFonts w:ascii="宋体" w:hAnsi="宋体" w:cs="宋体"/>
                <w:szCs w:val="21"/>
              </w:rPr>
            </w:pPr>
            <w:r>
              <w:rPr>
                <w:rFonts w:hint="eastAsia" w:ascii="宋体" w:hAnsi="宋体" w:cs="宋体"/>
                <w:szCs w:val="21"/>
              </w:rPr>
              <w:t>指定现场</w:t>
            </w:r>
          </w:p>
        </w:tc>
        <w:tc>
          <w:tcPr>
            <w:tcW w:w="5170" w:type="dxa"/>
            <w:vAlign w:val="center"/>
          </w:tcPr>
          <w:p w14:paraId="5BE9D4AB">
            <w:pPr>
              <w:rPr>
                <w:rFonts w:ascii="宋体" w:hAnsi="宋体" w:cs="宋体"/>
              </w:rPr>
            </w:pPr>
          </w:p>
        </w:tc>
      </w:tr>
      <w:tr w14:paraId="5970D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1E62663">
            <w:pPr>
              <w:adjustRightInd w:val="0"/>
              <w:snapToGrid w:val="0"/>
              <w:jc w:val="center"/>
              <w:rPr>
                <w:rFonts w:ascii="宋体" w:hAnsi="宋体" w:cs="宋体"/>
                <w:szCs w:val="21"/>
              </w:rPr>
            </w:pPr>
            <w:r>
              <w:rPr>
                <w:rFonts w:hint="eastAsia" w:ascii="宋体" w:hAnsi="宋体" w:cs="宋体"/>
                <w:szCs w:val="21"/>
              </w:rPr>
              <w:t>第二节</w:t>
            </w:r>
          </w:p>
          <w:p w14:paraId="4FBB3EF9">
            <w:pPr>
              <w:adjustRightInd w:val="0"/>
              <w:snapToGrid w:val="0"/>
              <w:jc w:val="center"/>
              <w:rPr>
                <w:rFonts w:ascii="宋体" w:hAnsi="宋体" w:cs="宋体"/>
                <w:szCs w:val="21"/>
              </w:rPr>
            </w:pPr>
            <w:r>
              <w:rPr>
                <w:rFonts w:hint="eastAsia" w:ascii="宋体" w:hAnsi="宋体" w:cs="宋体"/>
                <w:szCs w:val="21"/>
              </w:rPr>
              <w:t>第7.2款</w:t>
            </w:r>
          </w:p>
        </w:tc>
        <w:tc>
          <w:tcPr>
            <w:tcW w:w="1742" w:type="dxa"/>
            <w:vAlign w:val="center"/>
          </w:tcPr>
          <w:p w14:paraId="2842D56B">
            <w:pPr>
              <w:adjustRightInd w:val="0"/>
              <w:snapToGrid w:val="0"/>
              <w:jc w:val="left"/>
              <w:rPr>
                <w:rFonts w:ascii="宋体" w:hAnsi="宋体" w:cs="宋体"/>
                <w:szCs w:val="21"/>
              </w:rPr>
            </w:pPr>
            <w:r>
              <w:rPr>
                <w:rFonts w:hint="eastAsia" w:ascii="宋体" w:hAnsi="宋体" w:cs="宋体"/>
                <w:szCs w:val="21"/>
              </w:rPr>
              <w:t>运输特殊要求</w:t>
            </w:r>
          </w:p>
        </w:tc>
        <w:tc>
          <w:tcPr>
            <w:tcW w:w="5170" w:type="dxa"/>
            <w:vAlign w:val="center"/>
          </w:tcPr>
          <w:p w14:paraId="0C113154">
            <w:pPr>
              <w:rPr>
                <w:rFonts w:ascii="宋体" w:hAnsi="宋体" w:cs="宋体"/>
              </w:rPr>
            </w:pPr>
          </w:p>
        </w:tc>
      </w:tr>
      <w:tr w14:paraId="6DCEA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677928F">
            <w:pPr>
              <w:adjustRightInd w:val="0"/>
              <w:snapToGrid w:val="0"/>
              <w:jc w:val="center"/>
              <w:rPr>
                <w:rFonts w:ascii="宋体" w:hAnsi="宋体" w:cs="宋体"/>
                <w:szCs w:val="21"/>
              </w:rPr>
            </w:pPr>
            <w:r>
              <w:rPr>
                <w:rFonts w:hint="eastAsia" w:ascii="宋体" w:hAnsi="宋体" w:cs="宋体"/>
                <w:szCs w:val="21"/>
              </w:rPr>
              <w:t>第二节</w:t>
            </w:r>
          </w:p>
          <w:p w14:paraId="6C11BC6E">
            <w:pPr>
              <w:adjustRightInd w:val="0"/>
              <w:snapToGrid w:val="0"/>
              <w:jc w:val="center"/>
              <w:rPr>
                <w:rFonts w:ascii="宋体" w:hAnsi="宋体" w:cs="宋体"/>
                <w:szCs w:val="21"/>
              </w:rPr>
            </w:pPr>
            <w:r>
              <w:rPr>
                <w:rFonts w:hint="eastAsia" w:ascii="宋体" w:hAnsi="宋体" w:cs="宋体"/>
                <w:szCs w:val="21"/>
              </w:rPr>
              <w:t>第7.3款</w:t>
            </w:r>
          </w:p>
        </w:tc>
        <w:tc>
          <w:tcPr>
            <w:tcW w:w="1742" w:type="dxa"/>
            <w:vAlign w:val="center"/>
          </w:tcPr>
          <w:p w14:paraId="7E4B2C10">
            <w:pPr>
              <w:adjustRightInd w:val="0"/>
              <w:snapToGrid w:val="0"/>
              <w:jc w:val="left"/>
              <w:rPr>
                <w:rFonts w:ascii="宋体" w:hAnsi="宋体" w:cs="宋体"/>
                <w:szCs w:val="21"/>
              </w:rPr>
            </w:pPr>
            <w:r>
              <w:rPr>
                <w:rFonts w:hint="eastAsia" w:ascii="宋体" w:hAnsi="宋体" w:cs="宋体"/>
                <w:szCs w:val="21"/>
              </w:rPr>
              <w:t>保险要求</w:t>
            </w:r>
          </w:p>
        </w:tc>
        <w:tc>
          <w:tcPr>
            <w:tcW w:w="5170" w:type="dxa"/>
            <w:vAlign w:val="center"/>
          </w:tcPr>
          <w:p w14:paraId="4C8A67B9">
            <w:pPr>
              <w:rPr>
                <w:rFonts w:ascii="宋体" w:hAnsi="宋体" w:cs="宋体"/>
              </w:rPr>
            </w:pPr>
          </w:p>
        </w:tc>
      </w:tr>
      <w:tr w14:paraId="57CF6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2F505F">
            <w:pPr>
              <w:adjustRightInd w:val="0"/>
              <w:snapToGrid w:val="0"/>
              <w:jc w:val="center"/>
              <w:rPr>
                <w:rFonts w:ascii="宋体" w:hAnsi="宋体" w:cs="宋体"/>
                <w:szCs w:val="21"/>
              </w:rPr>
            </w:pPr>
            <w:r>
              <w:rPr>
                <w:rFonts w:hint="eastAsia" w:ascii="宋体" w:hAnsi="宋体" w:cs="宋体"/>
                <w:szCs w:val="21"/>
              </w:rPr>
              <w:t>第二节</w:t>
            </w:r>
          </w:p>
          <w:p w14:paraId="14F0E868">
            <w:pPr>
              <w:adjustRightInd w:val="0"/>
              <w:snapToGrid w:val="0"/>
              <w:jc w:val="center"/>
              <w:rPr>
                <w:rFonts w:ascii="宋体" w:hAnsi="宋体" w:cs="宋体"/>
                <w:szCs w:val="21"/>
              </w:rPr>
            </w:pPr>
            <w:r>
              <w:rPr>
                <w:rFonts w:hint="eastAsia" w:ascii="宋体" w:hAnsi="宋体" w:cs="宋体"/>
                <w:szCs w:val="21"/>
              </w:rPr>
              <w:t>第8.2（1）项</w:t>
            </w:r>
          </w:p>
        </w:tc>
        <w:tc>
          <w:tcPr>
            <w:tcW w:w="1742" w:type="dxa"/>
            <w:vAlign w:val="center"/>
          </w:tcPr>
          <w:p w14:paraId="0D56B004">
            <w:pPr>
              <w:adjustRightInd w:val="0"/>
              <w:snapToGrid w:val="0"/>
              <w:jc w:val="left"/>
              <w:rPr>
                <w:rFonts w:ascii="宋体" w:hAnsi="宋体" w:cs="宋体"/>
                <w:szCs w:val="21"/>
              </w:rPr>
            </w:pPr>
            <w:r>
              <w:rPr>
                <w:rFonts w:hint="eastAsia" w:ascii="宋体" w:hAnsi="宋体" w:cs="宋体"/>
                <w:szCs w:val="21"/>
              </w:rPr>
              <w:t>质量保证期</w:t>
            </w:r>
          </w:p>
        </w:tc>
        <w:tc>
          <w:tcPr>
            <w:tcW w:w="5170" w:type="dxa"/>
            <w:vAlign w:val="center"/>
          </w:tcPr>
          <w:p w14:paraId="5979D6D7">
            <w:pPr>
              <w:autoSpaceDE w:val="0"/>
              <w:autoSpaceDN w:val="0"/>
              <w:adjustRightInd w:val="0"/>
              <w:snapToGrid w:val="0"/>
              <w:ind w:firstLine="420" w:firstLineChars="200"/>
              <w:jc w:val="left"/>
              <w:rPr>
                <w:rFonts w:ascii="宋体" w:hAnsi="宋体" w:cs="宋体"/>
                <w:szCs w:val="21"/>
              </w:rPr>
            </w:pPr>
          </w:p>
        </w:tc>
      </w:tr>
      <w:tr w14:paraId="0C6F0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1ADA1D">
            <w:pPr>
              <w:adjustRightInd w:val="0"/>
              <w:snapToGrid w:val="0"/>
              <w:jc w:val="center"/>
              <w:rPr>
                <w:rFonts w:ascii="宋体" w:hAnsi="宋体" w:cs="宋体"/>
                <w:szCs w:val="21"/>
              </w:rPr>
            </w:pPr>
            <w:r>
              <w:rPr>
                <w:rFonts w:hint="eastAsia" w:ascii="宋体" w:hAnsi="宋体" w:cs="宋体"/>
                <w:szCs w:val="21"/>
              </w:rPr>
              <w:t>第二节</w:t>
            </w:r>
          </w:p>
          <w:p w14:paraId="58BB2A53">
            <w:pPr>
              <w:adjustRightInd w:val="0"/>
              <w:snapToGrid w:val="0"/>
              <w:jc w:val="center"/>
              <w:rPr>
                <w:rFonts w:ascii="宋体" w:hAnsi="宋体" w:cs="宋体"/>
                <w:szCs w:val="21"/>
              </w:rPr>
            </w:pPr>
            <w:r>
              <w:rPr>
                <w:rFonts w:hint="eastAsia" w:ascii="宋体" w:hAnsi="宋体" w:cs="宋体"/>
                <w:szCs w:val="21"/>
              </w:rPr>
              <w:t>第8.2（3）项</w:t>
            </w:r>
          </w:p>
        </w:tc>
        <w:tc>
          <w:tcPr>
            <w:tcW w:w="1742" w:type="dxa"/>
            <w:vAlign w:val="center"/>
          </w:tcPr>
          <w:p w14:paraId="1F9317EB">
            <w:pPr>
              <w:adjustRightInd w:val="0"/>
              <w:snapToGrid w:val="0"/>
              <w:jc w:val="left"/>
              <w:rPr>
                <w:rFonts w:ascii="宋体" w:hAnsi="宋体" w:cs="宋体"/>
                <w:szCs w:val="21"/>
              </w:rPr>
            </w:pPr>
            <w:r>
              <w:rPr>
                <w:rFonts w:hint="eastAsia" w:ascii="宋体" w:hAnsi="宋体" w:cs="宋体"/>
                <w:szCs w:val="21"/>
              </w:rPr>
              <w:t>货物质量缺陷</w:t>
            </w:r>
          </w:p>
          <w:p w14:paraId="698646D6">
            <w:pPr>
              <w:adjustRightInd w:val="0"/>
              <w:snapToGrid w:val="0"/>
              <w:jc w:val="left"/>
              <w:rPr>
                <w:rFonts w:ascii="宋体" w:hAnsi="宋体" w:cs="宋体"/>
                <w:szCs w:val="21"/>
              </w:rPr>
            </w:pPr>
            <w:r>
              <w:rPr>
                <w:rFonts w:hint="eastAsia" w:ascii="宋体" w:hAnsi="宋体" w:cs="宋体"/>
                <w:szCs w:val="21"/>
              </w:rPr>
              <w:t>响应时间</w:t>
            </w:r>
          </w:p>
        </w:tc>
        <w:tc>
          <w:tcPr>
            <w:tcW w:w="5170" w:type="dxa"/>
            <w:vAlign w:val="center"/>
          </w:tcPr>
          <w:p w14:paraId="43A7A285">
            <w:pPr>
              <w:adjustRightInd w:val="0"/>
              <w:snapToGrid w:val="0"/>
              <w:jc w:val="left"/>
              <w:rPr>
                <w:rFonts w:ascii="宋体" w:hAnsi="宋体" w:cs="宋体"/>
                <w:szCs w:val="21"/>
              </w:rPr>
            </w:pPr>
          </w:p>
        </w:tc>
      </w:tr>
      <w:tr w14:paraId="26074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F4455B">
            <w:pPr>
              <w:snapToGrid w:val="0"/>
              <w:jc w:val="center"/>
              <w:rPr>
                <w:rFonts w:ascii="宋体" w:hAnsi="宋体" w:cs="宋体"/>
                <w:szCs w:val="21"/>
              </w:rPr>
            </w:pPr>
            <w:r>
              <w:rPr>
                <w:rFonts w:hint="eastAsia" w:ascii="宋体" w:hAnsi="宋体" w:cs="宋体"/>
                <w:szCs w:val="21"/>
              </w:rPr>
              <w:t>第二节</w:t>
            </w:r>
          </w:p>
          <w:p w14:paraId="1D308C79">
            <w:pPr>
              <w:pStyle w:val="99"/>
              <w:ind w:firstLine="0" w:firstLineChars="0"/>
              <w:jc w:val="center"/>
              <w:rPr>
                <w:rFonts w:ascii="宋体" w:hAnsi="宋体" w:eastAsia="宋体" w:cs="宋体"/>
              </w:rPr>
            </w:pPr>
            <w:r>
              <w:rPr>
                <w:rFonts w:hint="eastAsia" w:ascii="宋体" w:hAnsi="宋体" w:eastAsia="宋体" w:cs="宋体"/>
              </w:rPr>
              <w:t>第11.1款</w:t>
            </w:r>
          </w:p>
        </w:tc>
        <w:tc>
          <w:tcPr>
            <w:tcW w:w="1742" w:type="dxa"/>
            <w:vAlign w:val="center"/>
          </w:tcPr>
          <w:p w14:paraId="55196929">
            <w:pPr>
              <w:adjustRightInd w:val="0"/>
              <w:snapToGrid w:val="0"/>
              <w:rPr>
                <w:rFonts w:ascii="宋体" w:hAnsi="宋体" w:cs="宋体"/>
                <w:szCs w:val="21"/>
              </w:rPr>
            </w:pPr>
            <w:r>
              <w:rPr>
                <w:rFonts w:hint="eastAsia" w:ascii="宋体" w:hAnsi="宋体" w:cs="宋体"/>
                <w:szCs w:val="21"/>
              </w:rPr>
              <w:t>其他应当保密的信息</w:t>
            </w:r>
          </w:p>
        </w:tc>
        <w:tc>
          <w:tcPr>
            <w:tcW w:w="5170" w:type="dxa"/>
            <w:vAlign w:val="center"/>
          </w:tcPr>
          <w:p w14:paraId="396E17A6">
            <w:pPr>
              <w:adjustRightInd w:val="0"/>
              <w:snapToGrid w:val="0"/>
              <w:jc w:val="left"/>
              <w:rPr>
                <w:rFonts w:ascii="宋体" w:hAnsi="宋体" w:cs="宋体"/>
                <w:szCs w:val="21"/>
              </w:rPr>
            </w:pPr>
          </w:p>
        </w:tc>
      </w:tr>
      <w:tr w14:paraId="7B91CD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622F28">
            <w:pPr>
              <w:adjustRightInd w:val="0"/>
              <w:snapToGrid w:val="0"/>
              <w:jc w:val="center"/>
              <w:rPr>
                <w:rFonts w:ascii="宋体" w:hAnsi="宋体" w:cs="宋体"/>
                <w:szCs w:val="21"/>
              </w:rPr>
            </w:pPr>
            <w:r>
              <w:rPr>
                <w:rFonts w:hint="eastAsia" w:ascii="宋体" w:hAnsi="宋体" w:cs="宋体"/>
                <w:szCs w:val="21"/>
              </w:rPr>
              <w:t>第二节</w:t>
            </w:r>
          </w:p>
          <w:p w14:paraId="18E75DF7">
            <w:pPr>
              <w:adjustRightInd w:val="0"/>
              <w:snapToGrid w:val="0"/>
              <w:jc w:val="center"/>
              <w:rPr>
                <w:rFonts w:ascii="宋体" w:hAnsi="宋体" w:cs="宋体"/>
                <w:szCs w:val="21"/>
              </w:rPr>
            </w:pPr>
            <w:r>
              <w:rPr>
                <w:rFonts w:hint="eastAsia" w:ascii="宋体" w:hAnsi="宋体" w:cs="宋体"/>
                <w:szCs w:val="21"/>
              </w:rPr>
              <w:t>第12.2款</w:t>
            </w:r>
          </w:p>
        </w:tc>
        <w:tc>
          <w:tcPr>
            <w:tcW w:w="1742" w:type="dxa"/>
            <w:vAlign w:val="center"/>
          </w:tcPr>
          <w:p w14:paraId="6ACAB0E4">
            <w:pPr>
              <w:adjustRightInd w:val="0"/>
              <w:snapToGrid w:val="0"/>
              <w:jc w:val="left"/>
              <w:rPr>
                <w:rFonts w:ascii="宋体" w:hAnsi="宋体" w:cs="宋体"/>
                <w:szCs w:val="21"/>
              </w:rPr>
            </w:pPr>
            <w:r>
              <w:rPr>
                <w:rFonts w:hint="eastAsia" w:ascii="宋体" w:hAnsi="宋体" w:cs="宋体"/>
                <w:szCs w:val="21"/>
              </w:rPr>
              <w:t>合同价款支付时间</w:t>
            </w:r>
          </w:p>
        </w:tc>
        <w:tc>
          <w:tcPr>
            <w:tcW w:w="5170" w:type="dxa"/>
            <w:vAlign w:val="center"/>
          </w:tcPr>
          <w:p w14:paraId="372E4C7C">
            <w:pPr>
              <w:adjustRightInd w:val="0"/>
              <w:snapToGrid w:val="0"/>
              <w:jc w:val="left"/>
              <w:rPr>
                <w:rFonts w:ascii="宋体" w:hAnsi="宋体" w:cs="宋体"/>
                <w:szCs w:val="21"/>
              </w:rPr>
            </w:pPr>
          </w:p>
        </w:tc>
      </w:tr>
      <w:tr w14:paraId="25502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8AD5651">
            <w:pPr>
              <w:adjustRightInd w:val="0"/>
              <w:snapToGrid w:val="0"/>
              <w:jc w:val="center"/>
              <w:rPr>
                <w:rFonts w:ascii="宋体" w:hAnsi="宋体" w:cs="宋体"/>
                <w:szCs w:val="21"/>
              </w:rPr>
            </w:pPr>
            <w:r>
              <w:rPr>
                <w:rFonts w:hint="eastAsia" w:ascii="宋体" w:hAnsi="宋体" w:cs="宋体"/>
                <w:szCs w:val="21"/>
              </w:rPr>
              <w:t>第二节</w:t>
            </w:r>
          </w:p>
          <w:p w14:paraId="6D0CD850">
            <w:pPr>
              <w:adjustRightInd w:val="0"/>
              <w:snapToGrid w:val="0"/>
              <w:jc w:val="center"/>
              <w:rPr>
                <w:rFonts w:ascii="宋体" w:hAnsi="宋体" w:cs="宋体"/>
                <w:szCs w:val="21"/>
              </w:rPr>
            </w:pPr>
            <w:r>
              <w:rPr>
                <w:rFonts w:hint="eastAsia" w:ascii="宋体" w:hAnsi="宋体" w:cs="宋体"/>
                <w:szCs w:val="21"/>
              </w:rPr>
              <w:t>第13.2款</w:t>
            </w:r>
          </w:p>
        </w:tc>
        <w:tc>
          <w:tcPr>
            <w:tcW w:w="1742" w:type="dxa"/>
            <w:vAlign w:val="center"/>
          </w:tcPr>
          <w:p w14:paraId="768DB437">
            <w:pPr>
              <w:adjustRightInd w:val="0"/>
              <w:snapToGrid w:val="0"/>
              <w:jc w:val="left"/>
              <w:rPr>
                <w:rFonts w:ascii="宋体" w:hAnsi="宋体" w:cs="宋体"/>
                <w:szCs w:val="21"/>
              </w:rPr>
            </w:pPr>
            <w:r>
              <w:rPr>
                <w:rFonts w:hint="eastAsia" w:ascii="宋体" w:hAnsi="宋体" w:cs="宋体"/>
                <w:szCs w:val="21"/>
              </w:rPr>
              <w:t>履约保证金不予退还的情形</w:t>
            </w:r>
          </w:p>
        </w:tc>
        <w:tc>
          <w:tcPr>
            <w:tcW w:w="5170" w:type="dxa"/>
            <w:vAlign w:val="center"/>
          </w:tcPr>
          <w:p w14:paraId="4523FB62">
            <w:pPr>
              <w:adjustRightInd w:val="0"/>
              <w:snapToGrid w:val="0"/>
              <w:jc w:val="left"/>
              <w:rPr>
                <w:rFonts w:ascii="宋体" w:hAnsi="宋体" w:cs="宋体"/>
                <w:szCs w:val="21"/>
              </w:rPr>
            </w:pPr>
          </w:p>
        </w:tc>
      </w:tr>
      <w:tr w14:paraId="5A4E5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0D520E">
            <w:pPr>
              <w:adjustRightInd w:val="0"/>
              <w:snapToGrid w:val="0"/>
              <w:jc w:val="center"/>
              <w:rPr>
                <w:rFonts w:ascii="宋体" w:hAnsi="宋体" w:cs="宋体"/>
                <w:szCs w:val="21"/>
              </w:rPr>
            </w:pPr>
            <w:r>
              <w:rPr>
                <w:rFonts w:hint="eastAsia" w:ascii="宋体" w:hAnsi="宋体" w:cs="宋体"/>
                <w:szCs w:val="21"/>
              </w:rPr>
              <w:t>第二节</w:t>
            </w:r>
          </w:p>
          <w:p w14:paraId="0119255F">
            <w:pPr>
              <w:adjustRightInd w:val="0"/>
              <w:snapToGrid w:val="0"/>
              <w:jc w:val="center"/>
              <w:rPr>
                <w:rFonts w:ascii="宋体" w:hAnsi="宋体" w:cs="宋体"/>
                <w:szCs w:val="21"/>
              </w:rPr>
            </w:pPr>
            <w:r>
              <w:rPr>
                <w:rFonts w:hint="eastAsia" w:ascii="宋体" w:hAnsi="宋体" w:cs="宋体"/>
                <w:szCs w:val="21"/>
              </w:rPr>
              <w:t>第13.3款</w:t>
            </w:r>
          </w:p>
        </w:tc>
        <w:tc>
          <w:tcPr>
            <w:tcW w:w="1742" w:type="dxa"/>
            <w:vAlign w:val="center"/>
          </w:tcPr>
          <w:p w14:paraId="5AE9799C">
            <w:pPr>
              <w:adjustRightInd w:val="0"/>
              <w:snapToGrid w:val="0"/>
              <w:jc w:val="left"/>
              <w:rPr>
                <w:rFonts w:ascii="宋体" w:hAnsi="宋体" w:cs="宋体"/>
                <w:szCs w:val="21"/>
              </w:rPr>
            </w:pPr>
            <w:r>
              <w:rPr>
                <w:rFonts w:hint="eastAsia" w:ascii="宋体" w:hAnsi="宋体" w:cs="宋体"/>
                <w:szCs w:val="21"/>
              </w:rPr>
              <w:t>履约保证金退还时间及逾期退还的违约金</w:t>
            </w:r>
          </w:p>
        </w:tc>
        <w:tc>
          <w:tcPr>
            <w:tcW w:w="5170" w:type="dxa"/>
            <w:vAlign w:val="center"/>
          </w:tcPr>
          <w:p w14:paraId="0C38EAFA">
            <w:pPr>
              <w:adjustRightInd w:val="0"/>
              <w:snapToGrid w:val="0"/>
              <w:jc w:val="left"/>
              <w:rPr>
                <w:rFonts w:ascii="宋体" w:hAnsi="宋体" w:cs="宋体"/>
                <w:szCs w:val="21"/>
              </w:rPr>
            </w:pPr>
          </w:p>
        </w:tc>
      </w:tr>
      <w:tr w14:paraId="216E7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9D3D16">
            <w:pPr>
              <w:adjustRightInd w:val="0"/>
              <w:snapToGrid w:val="0"/>
              <w:jc w:val="center"/>
              <w:rPr>
                <w:rFonts w:ascii="宋体" w:hAnsi="宋体" w:cs="宋体"/>
                <w:szCs w:val="21"/>
              </w:rPr>
            </w:pPr>
            <w:r>
              <w:rPr>
                <w:rFonts w:hint="eastAsia" w:ascii="宋体" w:hAnsi="宋体" w:cs="宋体"/>
                <w:szCs w:val="21"/>
              </w:rPr>
              <w:t>第二节</w:t>
            </w:r>
          </w:p>
          <w:p w14:paraId="2D25012D">
            <w:pPr>
              <w:adjustRightInd w:val="0"/>
              <w:snapToGrid w:val="0"/>
              <w:jc w:val="center"/>
              <w:rPr>
                <w:rFonts w:ascii="宋体" w:hAnsi="宋体" w:cs="宋体"/>
                <w:szCs w:val="21"/>
              </w:rPr>
            </w:pPr>
            <w:r>
              <w:rPr>
                <w:rFonts w:hint="eastAsia" w:ascii="宋体" w:hAnsi="宋体" w:cs="宋体"/>
                <w:szCs w:val="21"/>
              </w:rPr>
              <w:t>第14.1（3）项</w:t>
            </w:r>
          </w:p>
        </w:tc>
        <w:tc>
          <w:tcPr>
            <w:tcW w:w="1742" w:type="dxa"/>
            <w:vAlign w:val="center"/>
          </w:tcPr>
          <w:p w14:paraId="3507658D">
            <w:pPr>
              <w:adjustRightInd w:val="0"/>
              <w:snapToGrid w:val="0"/>
              <w:jc w:val="left"/>
              <w:rPr>
                <w:rFonts w:ascii="宋体" w:hAnsi="宋体" w:cs="宋体"/>
                <w:szCs w:val="21"/>
              </w:rPr>
            </w:pPr>
            <w:r>
              <w:rPr>
                <w:rFonts w:hint="eastAsia" w:ascii="宋体" w:hAnsi="宋体" w:cs="宋体"/>
                <w:szCs w:val="21"/>
              </w:rPr>
              <w:t>运行监督、维修期限</w:t>
            </w:r>
          </w:p>
        </w:tc>
        <w:tc>
          <w:tcPr>
            <w:tcW w:w="5170" w:type="dxa"/>
            <w:vAlign w:val="center"/>
          </w:tcPr>
          <w:p w14:paraId="7FBC4C6F">
            <w:pPr>
              <w:adjustRightInd w:val="0"/>
              <w:snapToGrid w:val="0"/>
              <w:jc w:val="left"/>
              <w:rPr>
                <w:rFonts w:ascii="宋体" w:hAnsi="宋体" w:cs="宋体"/>
                <w:szCs w:val="21"/>
              </w:rPr>
            </w:pPr>
          </w:p>
        </w:tc>
      </w:tr>
      <w:tr w14:paraId="6F0F1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3E37C6">
            <w:pPr>
              <w:adjustRightInd w:val="0"/>
              <w:snapToGrid w:val="0"/>
              <w:jc w:val="center"/>
              <w:rPr>
                <w:rFonts w:ascii="宋体" w:hAnsi="宋体" w:cs="宋体"/>
                <w:szCs w:val="21"/>
              </w:rPr>
            </w:pPr>
            <w:r>
              <w:rPr>
                <w:rFonts w:hint="eastAsia" w:ascii="宋体" w:hAnsi="宋体" w:cs="宋体"/>
                <w:szCs w:val="21"/>
              </w:rPr>
              <w:t>第二节</w:t>
            </w:r>
          </w:p>
          <w:p w14:paraId="73268287">
            <w:pPr>
              <w:adjustRightInd w:val="0"/>
              <w:snapToGrid w:val="0"/>
              <w:jc w:val="center"/>
              <w:rPr>
                <w:rFonts w:ascii="宋体" w:hAnsi="宋体" w:cs="宋体"/>
                <w:szCs w:val="21"/>
              </w:rPr>
            </w:pPr>
            <w:r>
              <w:rPr>
                <w:rFonts w:hint="eastAsia" w:ascii="宋体" w:hAnsi="宋体" w:cs="宋体"/>
                <w:szCs w:val="21"/>
              </w:rPr>
              <w:t>第14.1（5）项</w:t>
            </w:r>
          </w:p>
        </w:tc>
        <w:tc>
          <w:tcPr>
            <w:tcW w:w="1742" w:type="dxa"/>
            <w:vAlign w:val="center"/>
          </w:tcPr>
          <w:p w14:paraId="520A0009">
            <w:pPr>
              <w:adjustRightInd w:val="0"/>
              <w:snapToGrid w:val="0"/>
              <w:jc w:val="left"/>
              <w:rPr>
                <w:rFonts w:ascii="宋体" w:hAnsi="宋体" w:cs="宋体"/>
                <w:szCs w:val="21"/>
              </w:rPr>
            </w:pPr>
            <w:r>
              <w:rPr>
                <w:rFonts w:hint="eastAsia" w:ascii="宋体" w:hAnsi="宋体" w:cs="宋体"/>
                <w:szCs w:val="21"/>
              </w:rPr>
              <w:t>货物回收的约定</w:t>
            </w:r>
          </w:p>
        </w:tc>
        <w:tc>
          <w:tcPr>
            <w:tcW w:w="5170" w:type="dxa"/>
            <w:vAlign w:val="center"/>
          </w:tcPr>
          <w:p w14:paraId="013A48A4">
            <w:pPr>
              <w:adjustRightInd w:val="0"/>
              <w:snapToGrid w:val="0"/>
              <w:jc w:val="left"/>
              <w:rPr>
                <w:rFonts w:ascii="宋体" w:hAnsi="宋体" w:cs="宋体"/>
                <w:szCs w:val="21"/>
              </w:rPr>
            </w:pPr>
          </w:p>
        </w:tc>
      </w:tr>
      <w:tr w14:paraId="533C7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6E7D9B">
            <w:pPr>
              <w:adjustRightInd w:val="0"/>
              <w:snapToGrid w:val="0"/>
              <w:jc w:val="center"/>
              <w:rPr>
                <w:rFonts w:ascii="宋体" w:hAnsi="宋体" w:cs="宋体"/>
                <w:szCs w:val="21"/>
              </w:rPr>
            </w:pPr>
            <w:r>
              <w:rPr>
                <w:rFonts w:hint="eastAsia" w:ascii="宋体" w:hAnsi="宋体" w:cs="宋体"/>
                <w:szCs w:val="21"/>
              </w:rPr>
              <w:t>第二节</w:t>
            </w:r>
          </w:p>
          <w:p w14:paraId="1E3B304E">
            <w:pPr>
              <w:adjustRightInd w:val="0"/>
              <w:snapToGrid w:val="0"/>
              <w:jc w:val="center"/>
              <w:rPr>
                <w:rFonts w:ascii="宋体" w:hAnsi="宋体" w:cs="宋体"/>
                <w:szCs w:val="21"/>
              </w:rPr>
            </w:pPr>
            <w:r>
              <w:rPr>
                <w:rFonts w:hint="eastAsia" w:ascii="宋体" w:hAnsi="宋体" w:cs="宋体"/>
                <w:szCs w:val="21"/>
              </w:rPr>
              <w:t>第14.1（6）项</w:t>
            </w:r>
          </w:p>
        </w:tc>
        <w:tc>
          <w:tcPr>
            <w:tcW w:w="1742" w:type="dxa"/>
            <w:vAlign w:val="center"/>
          </w:tcPr>
          <w:p w14:paraId="708D97C3">
            <w:pPr>
              <w:adjustRightInd w:val="0"/>
              <w:snapToGrid w:val="0"/>
              <w:jc w:val="left"/>
              <w:rPr>
                <w:rFonts w:ascii="宋体" w:hAnsi="宋体" w:cs="宋体"/>
                <w:szCs w:val="21"/>
              </w:rPr>
            </w:pPr>
            <w:r>
              <w:rPr>
                <w:rFonts w:hint="eastAsia" w:ascii="宋体" w:hAnsi="宋体" w:cs="宋体"/>
                <w:szCs w:val="21"/>
              </w:rPr>
              <w:t>乙方提供的其他服务</w:t>
            </w:r>
          </w:p>
        </w:tc>
        <w:tc>
          <w:tcPr>
            <w:tcW w:w="5170" w:type="dxa"/>
            <w:vAlign w:val="center"/>
          </w:tcPr>
          <w:p w14:paraId="41BF1229">
            <w:pPr>
              <w:adjustRightInd w:val="0"/>
              <w:snapToGrid w:val="0"/>
              <w:jc w:val="left"/>
              <w:rPr>
                <w:rFonts w:ascii="宋体" w:hAnsi="宋体" w:cs="宋体"/>
                <w:szCs w:val="21"/>
              </w:rPr>
            </w:pPr>
          </w:p>
        </w:tc>
      </w:tr>
      <w:tr w14:paraId="03F05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33634C">
            <w:pPr>
              <w:adjustRightInd w:val="0"/>
              <w:snapToGrid w:val="0"/>
              <w:jc w:val="center"/>
              <w:rPr>
                <w:rFonts w:ascii="宋体" w:hAnsi="宋体" w:cs="宋体"/>
                <w:szCs w:val="21"/>
              </w:rPr>
            </w:pPr>
            <w:r>
              <w:rPr>
                <w:rFonts w:hint="eastAsia" w:ascii="宋体" w:hAnsi="宋体" w:cs="宋体"/>
                <w:szCs w:val="21"/>
              </w:rPr>
              <w:t>第二节</w:t>
            </w:r>
          </w:p>
          <w:p w14:paraId="34B98B66">
            <w:pPr>
              <w:adjustRightInd w:val="0"/>
              <w:snapToGrid w:val="0"/>
              <w:jc w:val="center"/>
              <w:rPr>
                <w:rFonts w:ascii="宋体" w:hAnsi="宋体" w:cs="宋体"/>
                <w:szCs w:val="21"/>
              </w:rPr>
            </w:pPr>
            <w:r>
              <w:rPr>
                <w:rFonts w:hint="eastAsia" w:ascii="宋体" w:hAnsi="宋体" w:cs="宋体"/>
                <w:szCs w:val="21"/>
              </w:rPr>
              <w:t>第15.1款</w:t>
            </w:r>
          </w:p>
        </w:tc>
        <w:tc>
          <w:tcPr>
            <w:tcW w:w="1742" w:type="dxa"/>
            <w:vAlign w:val="center"/>
          </w:tcPr>
          <w:p w14:paraId="2C0869C0">
            <w:pPr>
              <w:adjustRightInd w:val="0"/>
              <w:snapToGrid w:val="0"/>
              <w:jc w:val="left"/>
              <w:rPr>
                <w:rFonts w:ascii="宋体" w:hAnsi="宋体" w:cs="宋体"/>
                <w:szCs w:val="21"/>
              </w:rPr>
            </w:pPr>
            <w:r>
              <w:rPr>
                <w:rFonts w:hint="eastAsia" w:ascii="宋体" w:hAnsi="宋体" w:cs="宋体"/>
                <w:szCs w:val="21"/>
              </w:rPr>
              <w:t>修理、重作、更换相关具体规定</w:t>
            </w:r>
          </w:p>
        </w:tc>
        <w:tc>
          <w:tcPr>
            <w:tcW w:w="5170" w:type="dxa"/>
            <w:vAlign w:val="center"/>
          </w:tcPr>
          <w:p w14:paraId="61D6C71E">
            <w:pPr>
              <w:adjustRightInd w:val="0"/>
              <w:snapToGrid w:val="0"/>
              <w:jc w:val="left"/>
              <w:rPr>
                <w:rFonts w:ascii="宋体" w:hAnsi="宋体" w:cs="宋体"/>
                <w:szCs w:val="21"/>
              </w:rPr>
            </w:pPr>
          </w:p>
        </w:tc>
      </w:tr>
      <w:tr w14:paraId="10BCE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E73A58">
            <w:pPr>
              <w:adjustRightInd w:val="0"/>
              <w:snapToGrid w:val="0"/>
              <w:jc w:val="center"/>
              <w:rPr>
                <w:rFonts w:ascii="宋体" w:hAnsi="宋体" w:cs="宋体"/>
                <w:szCs w:val="21"/>
              </w:rPr>
            </w:pPr>
            <w:r>
              <w:rPr>
                <w:rFonts w:hint="eastAsia" w:ascii="宋体" w:hAnsi="宋体" w:cs="宋体"/>
                <w:szCs w:val="21"/>
              </w:rPr>
              <w:t>第二节</w:t>
            </w:r>
          </w:p>
          <w:p w14:paraId="1B093A00">
            <w:pPr>
              <w:adjustRightInd w:val="0"/>
              <w:snapToGrid w:val="0"/>
              <w:jc w:val="center"/>
              <w:rPr>
                <w:rFonts w:ascii="宋体" w:hAnsi="宋体" w:cs="宋体"/>
                <w:szCs w:val="21"/>
              </w:rPr>
            </w:pPr>
            <w:r>
              <w:rPr>
                <w:rFonts w:hint="eastAsia" w:ascii="宋体" w:hAnsi="宋体" w:cs="宋体"/>
                <w:szCs w:val="21"/>
              </w:rPr>
              <w:t>第15.2（2）项</w:t>
            </w:r>
          </w:p>
        </w:tc>
        <w:tc>
          <w:tcPr>
            <w:tcW w:w="1742" w:type="dxa"/>
            <w:vAlign w:val="center"/>
          </w:tcPr>
          <w:p w14:paraId="29D60FA7">
            <w:pPr>
              <w:adjustRightInd w:val="0"/>
              <w:snapToGrid w:val="0"/>
              <w:jc w:val="left"/>
              <w:rPr>
                <w:rFonts w:ascii="宋体" w:hAnsi="宋体" w:cs="宋体"/>
                <w:szCs w:val="21"/>
              </w:rPr>
            </w:pPr>
            <w:r>
              <w:rPr>
                <w:rFonts w:hint="eastAsia" w:ascii="宋体" w:hAnsi="宋体" w:cs="宋体"/>
                <w:szCs w:val="21"/>
              </w:rPr>
              <w:t>迟延交货赔偿费</w:t>
            </w:r>
          </w:p>
        </w:tc>
        <w:tc>
          <w:tcPr>
            <w:tcW w:w="5170" w:type="dxa"/>
            <w:vAlign w:val="center"/>
          </w:tcPr>
          <w:p w14:paraId="0909E07E">
            <w:pPr>
              <w:adjustRightInd w:val="0"/>
              <w:snapToGrid w:val="0"/>
              <w:jc w:val="left"/>
              <w:rPr>
                <w:rFonts w:ascii="宋体" w:hAnsi="宋体" w:cs="宋体"/>
                <w:szCs w:val="21"/>
                <w:u w:val="single"/>
              </w:rPr>
            </w:pPr>
          </w:p>
        </w:tc>
      </w:tr>
      <w:tr w14:paraId="1F8B7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DACE89">
            <w:pPr>
              <w:adjustRightInd w:val="0"/>
              <w:snapToGrid w:val="0"/>
              <w:jc w:val="center"/>
              <w:rPr>
                <w:rFonts w:ascii="宋体" w:hAnsi="宋体" w:cs="宋体"/>
                <w:szCs w:val="21"/>
              </w:rPr>
            </w:pPr>
            <w:r>
              <w:rPr>
                <w:rFonts w:hint="eastAsia" w:ascii="宋体" w:hAnsi="宋体" w:cs="宋体"/>
                <w:szCs w:val="21"/>
              </w:rPr>
              <w:t>第二节</w:t>
            </w:r>
          </w:p>
          <w:p w14:paraId="2400B869">
            <w:pPr>
              <w:adjustRightInd w:val="0"/>
              <w:snapToGrid w:val="0"/>
              <w:jc w:val="center"/>
              <w:rPr>
                <w:rFonts w:ascii="宋体" w:hAnsi="宋体" w:cs="宋体"/>
                <w:szCs w:val="21"/>
              </w:rPr>
            </w:pPr>
            <w:r>
              <w:rPr>
                <w:rFonts w:hint="eastAsia" w:ascii="宋体" w:hAnsi="宋体" w:cs="宋体"/>
                <w:szCs w:val="21"/>
              </w:rPr>
              <w:t>第15.3款</w:t>
            </w:r>
          </w:p>
        </w:tc>
        <w:tc>
          <w:tcPr>
            <w:tcW w:w="1742" w:type="dxa"/>
            <w:vAlign w:val="center"/>
          </w:tcPr>
          <w:p w14:paraId="6319B35E">
            <w:pPr>
              <w:adjustRightInd w:val="0"/>
              <w:snapToGrid w:val="0"/>
              <w:jc w:val="left"/>
              <w:rPr>
                <w:rFonts w:ascii="宋体" w:hAnsi="宋体" w:cs="宋体"/>
                <w:szCs w:val="21"/>
              </w:rPr>
            </w:pPr>
            <w:r>
              <w:rPr>
                <w:rFonts w:hint="eastAsia" w:ascii="宋体" w:hAnsi="宋体" w:cs="宋体"/>
                <w:szCs w:val="21"/>
              </w:rPr>
              <w:t>逾期付款利息</w:t>
            </w:r>
          </w:p>
        </w:tc>
        <w:tc>
          <w:tcPr>
            <w:tcW w:w="5170" w:type="dxa"/>
            <w:vAlign w:val="center"/>
          </w:tcPr>
          <w:p w14:paraId="2A302191">
            <w:pPr>
              <w:adjustRightInd w:val="0"/>
              <w:snapToGrid w:val="0"/>
              <w:jc w:val="left"/>
              <w:rPr>
                <w:rFonts w:ascii="宋体" w:hAnsi="宋体" w:cs="宋体"/>
                <w:szCs w:val="21"/>
                <w:u w:val="single"/>
              </w:rPr>
            </w:pPr>
          </w:p>
        </w:tc>
      </w:tr>
      <w:tr w14:paraId="6E084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DAF7E03">
            <w:pPr>
              <w:adjustRightInd w:val="0"/>
              <w:snapToGrid w:val="0"/>
              <w:jc w:val="center"/>
              <w:rPr>
                <w:rFonts w:ascii="宋体" w:hAnsi="宋体" w:cs="宋体"/>
                <w:szCs w:val="21"/>
              </w:rPr>
            </w:pPr>
            <w:r>
              <w:rPr>
                <w:rFonts w:hint="eastAsia" w:ascii="宋体" w:hAnsi="宋体" w:cs="宋体"/>
                <w:szCs w:val="21"/>
              </w:rPr>
              <w:t>第二节</w:t>
            </w:r>
          </w:p>
          <w:p w14:paraId="7166227F">
            <w:pPr>
              <w:adjustRightInd w:val="0"/>
              <w:snapToGrid w:val="0"/>
              <w:jc w:val="center"/>
              <w:rPr>
                <w:rFonts w:ascii="宋体" w:hAnsi="宋体" w:cs="宋体"/>
                <w:szCs w:val="21"/>
              </w:rPr>
            </w:pPr>
            <w:r>
              <w:rPr>
                <w:rFonts w:hint="eastAsia" w:ascii="宋体" w:hAnsi="宋体" w:cs="宋体"/>
                <w:szCs w:val="21"/>
              </w:rPr>
              <w:t>第15.4款</w:t>
            </w:r>
          </w:p>
        </w:tc>
        <w:tc>
          <w:tcPr>
            <w:tcW w:w="1742" w:type="dxa"/>
            <w:tcBorders>
              <w:left w:val="single" w:color="auto" w:sz="2" w:space="0"/>
              <w:bottom w:val="single" w:color="auto" w:sz="2" w:space="0"/>
              <w:right w:val="single" w:color="auto" w:sz="2" w:space="0"/>
            </w:tcBorders>
            <w:vAlign w:val="center"/>
          </w:tcPr>
          <w:p w14:paraId="76E7A452">
            <w:pPr>
              <w:adjustRightInd w:val="0"/>
              <w:snapToGrid w:val="0"/>
              <w:jc w:val="left"/>
              <w:rPr>
                <w:rFonts w:ascii="宋体" w:hAnsi="宋体" w:cs="宋体"/>
                <w:szCs w:val="21"/>
              </w:rPr>
            </w:pPr>
            <w:r>
              <w:rPr>
                <w:rFonts w:hint="eastAsia" w:ascii="宋体" w:hAnsi="宋体" w:cs="宋体"/>
                <w:szCs w:val="21"/>
              </w:rPr>
              <w:t>其他违约责任</w:t>
            </w:r>
          </w:p>
        </w:tc>
        <w:tc>
          <w:tcPr>
            <w:tcW w:w="5170" w:type="dxa"/>
            <w:tcBorders>
              <w:left w:val="single" w:color="auto" w:sz="2" w:space="0"/>
              <w:bottom w:val="single" w:color="auto" w:sz="2" w:space="0"/>
            </w:tcBorders>
            <w:vAlign w:val="center"/>
          </w:tcPr>
          <w:p w14:paraId="6E6EB7BF">
            <w:pPr>
              <w:adjustRightInd w:val="0"/>
              <w:snapToGrid w:val="0"/>
              <w:jc w:val="left"/>
              <w:rPr>
                <w:rFonts w:ascii="宋体" w:hAnsi="宋体" w:cs="宋体"/>
                <w:szCs w:val="21"/>
                <w:u w:val="single"/>
              </w:rPr>
            </w:pPr>
          </w:p>
        </w:tc>
      </w:tr>
      <w:tr w14:paraId="0CFE1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43BF068">
            <w:pPr>
              <w:adjustRightInd w:val="0"/>
              <w:snapToGrid w:val="0"/>
              <w:jc w:val="center"/>
              <w:rPr>
                <w:rFonts w:ascii="宋体" w:hAnsi="宋体" w:cs="宋体"/>
                <w:szCs w:val="21"/>
              </w:rPr>
            </w:pPr>
            <w:r>
              <w:rPr>
                <w:rFonts w:hint="eastAsia" w:ascii="宋体" w:hAnsi="宋体" w:cs="宋体"/>
                <w:szCs w:val="21"/>
              </w:rPr>
              <w:t>第二节</w:t>
            </w:r>
          </w:p>
          <w:p w14:paraId="4CE0D4BA">
            <w:pPr>
              <w:adjustRightInd w:val="0"/>
              <w:snapToGrid w:val="0"/>
              <w:jc w:val="center"/>
              <w:rPr>
                <w:rFonts w:ascii="宋体" w:hAnsi="宋体" w:cs="宋体"/>
                <w:szCs w:val="21"/>
              </w:rPr>
            </w:pPr>
            <w:r>
              <w:rPr>
                <w:rFonts w:hint="eastAsia" w:ascii="宋体" w:hAnsi="宋体" w:cs="宋体"/>
                <w:szCs w:val="21"/>
              </w:rPr>
              <w:t>第19.2款</w:t>
            </w:r>
          </w:p>
        </w:tc>
        <w:tc>
          <w:tcPr>
            <w:tcW w:w="1742" w:type="dxa"/>
            <w:tcBorders>
              <w:top w:val="single" w:color="auto" w:sz="2" w:space="0"/>
              <w:left w:val="single" w:color="auto" w:sz="2" w:space="0"/>
              <w:right w:val="single" w:color="auto" w:sz="2" w:space="0"/>
            </w:tcBorders>
            <w:vAlign w:val="center"/>
          </w:tcPr>
          <w:p w14:paraId="57D2DD6F">
            <w:pPr>
              <w:adjustRightInd w:val="0"/>
              <w:snapToGrid w:val="0"/>
              <w:jc w:val="left"/>
              <w:rPr>
                <w:rFonts w:ascii="宋体" w:hAnsi="宋体" w:cs="宋体"/>
                <w:szCs w:val="21"/>
              </w:rPr>
            </w:pPr>
            <w:r>
              <w:rPr>
                <w:rFonts w:hint="eastAsia" w:ascii="宋体" w:hAnsi="宋体" w:cs="宋体"/>
                <w:szCs w:val="21"/>
              </w:rPr>
              <w:t>解决争议的方法</w:t>
            </w:r>
          </w:p>
        </w:tc>
        <w:tc>
          <w:tcPr>
            <w:tcW w:w="5170" w:type="dxa"/>
            <w:tcBorders>
              <w:top w:val="single" w:color="auto" w:sz="2" w:space="0"/>
              <w:left w:val="single" w:color="auto" w:sz="2" w:space="0"/>
            </w:tcBorders>
            <w:vAlign w:val="center"/>
          </w:tcPr>
          <w:p w14:paraId="787A72EB">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6920DAC6">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2924665F">
            <w:pPr>
              <w:adjustRightInd w:val="0"/>
              <w:snapToGrid w:val="0"/>
              <w:jc w:val="left"/>
              <w:rPr>
                <w:rFonts w:ascii="宋体" w:hAnsi="宋体" w:cs="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201ED0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0F8CA8B">
            <w:pPr>
              <w:adjustRightInd w:val="0"/>
              <w:snapToGrid w:val="0"/>
              <w:jc w:val="center"/>
              <w:rPr>
                <w:rFonts w:ascii="宋体" w:hAnsi="宋体" w:cs="宋体"/>
                <w:szCs w:val="21"/>
              </w:rPr>
            </w:pPr>
            <w:r>
              <w:rPr>
                <w:rFonts w:hint="eastAsia" w:ascii="宋体" w:hAnsi="宋体" w:cs="宋体"/>
                <w:szCs w:val="21"/>
              </w:rPr>
              <w:t>第二节</w:t>
            </w:r>
          </w:p>
          <w:p w14:paraId="006F3313">
            <w:pPr>
              <w:adjustRightInd w:val="0"/>
              <w:snapToGrid w:val="0"/>
              <w:jc w:val="center"/>
              <w:rPr>
                <w:rFonts w:ascii="宋体" w:hAnsi="宋体" w:cs="宋体"/>
                <w:szCs w:val="21"/>
              </w:rPr>
            </w:pPr>
            <w:r>
              <w:rPr>
                <w:rFonts w:hint="eastAsia" w:ascii="宋体" w:hAnsi="宋体" w:cs="宋体"/>
                <w:szCs w:val="21"/>
              </w:rPr>
              <w:t>第23.1款</w:t>
            </w:r>
          </w:p>
        </w:tc>
        <w:tc>
          <w:tcPr>
            <w:tcW w:w="1742" w:type="dxa"/>
            <w:vAlign w:val="center"/>
          </w:tcPr>
          <w:p w14:paraId="4AC572E2">
            <w:pPr>
              <w:adjustRightInd w:val="0"/>
              <w:snapToGrid w:val="0"/>
              <w:jc w:val="left"/>
              <w:rPr>
                <w:rFonts w:ascii="宋体" w:hAnsi="宋体" w:cs="宋体"/>
                <w:szCs w:val="21"/>
              </w:rPr>
            </w:pPr>
            <w:r>
              <w:rPr>
                <w:rFonts w:hint="eastAsia" w:ascii="宋体" w:hAnsi="宋体" w:cs="宋体"/>
                <w:bCs/>
                <w:szCs w:val="21"/>
              </w:rPr>
              <w:t>其他专用条款</w:t>
            </w:r>
          </w:p>
        </w:tc>
        <w:tc>
          <w:tcPr>
            <w:tcW w:w="5170" w:type="dxa"/>
            <w:vAlign w:val="center"/>
          </w:tcPr>
          <w:p w14:paraId="5D5FB43E">
            <w:pPr>
              <w:adjustRightInd w:val="0"/>
              <w:snapToGrid w:val="0"/>
              <w:jc w:val="left"/>
              <w:rPr>
                <w:rFonts w:ascii="宋体" w:hAnsi="宋体" w:cs="宋体"/>
                <w:szCs w:val="21"/>
              </w:rPr>
            </w:pPr>
          </w:p>
        </w:tc>
      </w:tr>
    </w:tbl>
    <w:p w14:paraId="4B774CDA">
      <w:pPr>
        <w:rPr>
          <w:rFonts w:ascii="宋体" w:hAnsi="宋体" w:cs="宋体"/>
        </w:rPr>
      </w:pPr>
    </w:p>
    <w:p w14:paraId="520AA604">
      <w:pPr>
        <w:spacing w:before="1" w:line="180" w:lineRule="exact"/>
        <w:ind w:left="935"/>
        <w:jc w:val="left"/>
        <w:rPr>
          <w:rFonts w:ascii="宋体" w:hAnsi="宋体" w:cs="宋体"/>
        </w:rPr>
      </w:pPr>
      <w:r>
        <w:rPr>
          <w:rStyle w:val="93"/>
          <w:rFonts w:hint="eastAsia" w:ascii="宋体" w:hAnsi="宋体" w:cs="宋体"/>
          <w:bCs/>
          <w:sz w:val="48"/>
          <w:szCs w:val="48"/>
        </w:rPr>
        <w:br w:type="page"/>
      </w:r>
      <w:bookmarkStart w:id="56" w:name="_Toc432277442"/>
      <w:bookmarkStart w:id="57" w:name="_Toc432264370"/>
      <w:bookmarkStart w:id="58" w:name="_Toc455565646"/>
    </w:p>
    <w:p w14:paraId="10348DC7">
      <w:pPr>
        <w:pStyle w:val="3"/>
        <w:spacing w:before="0" w:after="0" w:line="360" w:lineRule="auto"/>
        <w:jc w:val="center"/>
        <w:rPr>
          <w:rFonts w:ascii="宋体" w:hAnsi="宋体" w:cs="宋体"/>
          <w:b w:val="0"/>
          <w:sz w:val="32"/>
          <w:szCs w:val="32"/>
        </w:rPr>
      </w:pPr>
      <w:bookmarkStart w:id="59" w:name="_Toc13817"/>
      <w:r>
        <w:rPr>
          <w:rFonts w:hint="eastAsia" w:ascii="宋体" w:hAnsi="宋体" w:cs="宋体"/>
          <w:sz w:val="32"/>
          <w:szCs w:val="32"/>
        </w:rPr>
        <w:t>第六章  响应文件格式</w:t>
      </w:r>
      <w:bookmarkEnd w:id="56"/>
      <w:bookmarkEnd w:id="57"/>
      <w:bookmarkEnd w:id="58"/>
      <w:bookmarkEnd w:id="59"/>
    </w:p>
    <w:p w14:paraId="52D104C2">
      <w:pPr>
        <w:jc w:val="right"/>
        <w:rPr>
          <w:rFonts w:hint="eastAsia" w:ascii="宋体" w:hAnsi="宋体" w:eastAsia="宋体" w:cs="宋体"/>
          <w:sz w:val="36"/>
          <w:szCs w:val="36"/>
          <w:highlight w:val="none"/>
        </w:rPr>
      </w:pPr>
      <w:r>
        <w:rPr>
          <w:rFonts w:hint="eastAsia" w:hAnsi="宋体" w:cs="宋体"/>
          <w:b/>
          <w:sz w:val="30"/>
          <w:szCs w:val="30"/>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54"/>
        <w:rPr>
          <w:rFonts w:hint="eastAsia" w:ascii="宋体" w:hAnsi="宋体" w:eastAsia="宋体" w:cs="宋体"/>
          <w:highlight w:val="none"/>
        </w:rPr>
      </w:pPr>
    </w:p>
    <w:p w14:paraId="063C50A7">
      <w:pPr>
        <w:pStyle w:val="54"/>
        <w:rPr>
          <w:rFonts w:hint="eastAsia" w:ascii="宋体" w:hAnsi="宋体" w:eastAsia="宋体" w:cs="宋体"/>
          <w:highlight w:val="none"/>
        </w:rPr>
      </w:pPr>
    </w:p>
    <w:p w14:paraId="7555DEC1">
      <w:pPr>
        <w:pStyle w:val="54"/>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54"/>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12"/>
        <w:rPr>
          <w:rFonts w:hint="eastAsia" w:ascii="宋体" w:hAnsi="宋体" w:eastAsia="宋体" w:cs="宋体"/>
          <w:sz w:val="28"/>
          <w:szCs w:val="28"/>
          <w:highlight w:val="none"/>
        </w:rPr>
      </w:pPr>
    </w:p>
    <w:p w14:paraId="5DEF2264">
      <w:pPr>
        <w:pStyle w:val="13"/>
        <w:rPr>
          <w:rFonts w:hint="eastAsia" w:ascii="宋体" w:hAnsi="宋体" w:eastAsia="宋体" w:cs="宋体"/>
          <w:highlight w:val="none"/>
        </w:rPr>
      </w:pPr>
    </w:p>
    <w:p w14:paraId="6259B1FB">
      <w:pPr>
        <w:pStyle w:val="12"/>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rPr>
      </w:pPr>
      <w:r>
        <w:rPr>
          <w:rFonts w:hint="eastAsia" w:ascii="宋体" w:hAnsi="宋体" w:eastAsia="宋体" w:cs="宋体"/>
          <w:b/>
          <w:sz w:val="24"/>
          <w:szCs w:val="24"/>
          <w:highlight w:val="none"/>
        </w:rPr>
        <w:br w:type="page"/>
      </w:r>
    </w:p>
    <w:p w14:paraId="62004DB6">
      <w:pPr>
        <w:pStyle w:val="4"/>
        <w:numPr>
          <w:ilvl w:val="0"/>
          <w:numId w:val="14"/>
        </w:numPr>
        <w:bidi w:val="0"/>
        <w:jc w:val="center"/>
        <w:rPr>
          <w:rFonts w:hint="eastAsia"/>
          <w:lang w:eastAsia="zh-CN"/>
        </w:rPr>
      </w:pPr>
      <w:bookmarkStart w:id="60" w:name="_Toc29910"/>
      <w:r>
        <w:rPr>
          <w:rFonts w:hint="eastAsia"/>
        </w:rPr>
        <w:t>响应函</w:t>
      </w:r>
      <w:r>
        <w:rPr>
          <w:rFonts w:hint="eastAsia"/>
          <w:lang w:eastAsia="zh-CN"/>
        </w:rPr>
        <w:t>及响应函附表</w:t>
      </w:r>
      <w:bookmarkEnd w:id="60"/>
    </w:p>
    <w:p w14:paraId="048DF3ED">
      <w:pPr>
        <w:numPr>
          <w:ilvl w:val="0"/>
          <w:numId w:val="15"/>
        </w:numPr>
        <w:jc w:val="center"/>
        <w:rPr>
          <w:rFonts w:hint="eastAsia" w:ascii="宋体" w:hAnsi="宋体"/>
          <w:b/>
          <w:color w:val="auto"/>
          <w:sz w:val="32"/>
          <w:szCs w:val="32"/>
        </w:rPr>
      </w:pPr>
      <w:r>
        <w:rPr>
          <w:rFonts w:hint="eastAsia" w:ascii="宋体" w:hAnsi="宋体"/>
          <w:b/>
          <w:color w:val="auto"/>
          <w:sz w:val="32"/>
          <w:szCs w:val="32"/>
          <w:lang w:eastAsia="zh-CN"/>
        </w:rPr>
        <w:t>响应</w:t>
      </w:r>
      <w:r>
        <w:rPr>
          <w:rFonts w:hint="eastAsia" w:ascii="宋体" w:hAnsi="宋体"/>
          <w:b/>
          <w:color w:val="auto"/>
          <w:sz w:val="32"/>
          <w:szCs w:val="32"/>
        </w:rPr>
        <w:t>函</w:t>
      </w:r>
    </w:p>
    <w:p w14:paraId="7A1ECFFF">
      <w:pPr>
        <w:pStyle w:val="12"/>
        <w:numPr>
          <w:ilvl w:val="0"/>
          <w:numId w:val="0"/>
        </w:numPr>
        <w:rPr>
          <w:rFonts w:hint="eastAsia"/>
          <w:lang w:eastAsia="zh-CN"/>
        </w:rPr>
      </w:pPr>
    </w:p>
    <w:p w14:paraId="18F453B4">
      <w:pPr>
        <w:pStyle w:val="17"/>
        <w:snapToGrid w:val="0"/>
        <w:spacing w:line="360" w:lineRule="auto"/>
        <w:rPr>
          <w:rFonts w:hAnsi="宋体" w:cs="宋体"/>
        </w:rPr>
      </w:pPr>
      <w:r>
        <w:rPr>
          <w:rFonts w:hint="eastAsia" w:hAnsi="宋体" w:cs="宋体"/>
          <w:u w:val="single"/>
        </w:rPr>
        <w:t xml:space="preserve">               </w:t>
      </w:r>
      <w:r>
        <w:rPr>
          <w:rFonts w:hint="eastAsia" w:hAnsi="宋体" w:cs="宋体"/>
        </w:rPr>
        <w:t>（采购人名称）：</w:t>
      </w:r>
    </w:p>
    <w:p w14:paraId="46DA84CF">
      <w:pPr>
        <w:pStyle w:val="17"/>
        <w:snapToGrid w:val="0"/>
        <w:spacing w:line="360" w:lineRule="auto"/>
        <w:ind w:firstLine="420"/>
        <w:rPr>
          <w:rFonts w:hAnsi="宋体" w:cs="宋体"/>
        </w:rPr>
      </w:pPr>
      <w:r>
        <w:rPr>
          <w:rFonts w:hint="eastAsia" w:hAnsi="宋体" w:cs="宋体"/>
        </w:rPr>
        <w:t>1.我方已仔研究了</w:t>
      </w:r>
      <w:r>
        <w:rPr>
          <w:rFonts w:hint="eastAsia" w:hAnsi="宋体" w:cs="宋体"/>
          <w:u w:val="single"/>
        </w:rPr>
        <w:t xml:space="preserve">                             </w:t>
      </w:r>
      <w:r>
        <w:rPr>
          <w:rFonts w:hint="eastAsia" w:hAnsi="宋体" w:cs="宋体"/>
        </w:rPr>
        <w:t>（项目名称）谈判文件的全部内容，愿以人民币（大写）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）的投标总报价，并按合同约定履行义务。</w:t>
      </w:r>
    </w:p>
    <w:p w14:paraId="03219BCC">
      <w:pPr>
        <w:numPr>
          <w:ilvl w:val="0"/>
          <w:numId w:val="16"/>
        </w:num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我方的投标文件包括下列内容：</w:t>
      </w:r>
    </w:p>
    <w:p w14:paraId="01F16655">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响应</w:t>
      </w:r>
      <w:r>
        <w:rPr>
          <w:rFonts w:hint="eastAsia" w:ascii="宋体" w:hAnsi="宋体" w:cs="宋体"/>
          <w:color w:val="000000"/>
          <w:szCs w:val="21"/>
        </w:rPr>
        <w:t>函；</w:t>
      </w:r>
    </w:p>
    <w:p w14:paraId="616D4900">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（2）法定代表人身份证明或授权委托书；</w:t>
      </w:r>
    </w:p>
    <w:p w14:paraId="6309749C">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（3）联合体协议书（如有）；</w:t>
      </w:r>
    </w:p>
    <w:p w14:paraId="4E6DF707">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（4）………</w:t>
      </w:r>
    </w:p>
    <w:p w14:paraId="111A8CB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响应文件的上述组成部分如存在内容不一致的，以</w:t>
      </w:r>
      <w:r>
        <w:rPr>
          <w:rFonts w:hint="eastAsia" w:ascii="宋体" w:hAnsi="宋体" w:cs="宋体"/>
          <w:color w:val="000000"/>
          <w:szCs w:val="21"/>
          <w:lang w:eastAsia="zh-CN"/>
        </w:rPr>
        <w:t>响应函</w:t>
      </w:r>
      <w:r>
        <w:rPr>
          <w:rFonts w:hint="eastAsia" w:ascii="宋体" w:hAnsi="宋体" w:cs="宋体"/>
          <w:color w:val="000000"/>
          <w:szCs w:val="21"/>
        </w:rPr>
        <w:t>为准。</w:t>
      </w:r>
    </w:p>
    <w:p w14:paraId="26FEB8A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3．我方承诺除商务和技术偏差表列出的偏差外，我方响应谈判文件的全部要求。</w:t>
      </w:r>
    </w:p>
    <w:p w14:paraId="60FC411F">
      <w:pPr>
        <w:pStyle w:val="17"/>
        <w:numPr>
          <w:ilvl w:val="0"/>
          <w:numId w:val="17"/>
        </w:numPr>
        <w:snapToGrid w:val="0"/>
        <w:spacing w:line="360" w:lineRule="auto"/>
        <w:ind w:firstLine="420"/>
        <w:rPr>
          <w:rFonts w:hAnsi="宋体" w:cs="宋体"/>
          <w:color w:val="000000"/>
        </w:rPr>
      </w:pPr>
      <w:r>
        <w:rPr>
          <w:rFonts w:hint="eastAsia" w:hAnsi="宋体" w:cs="宋体"/>
          <w:color w:val="000000"/>
        </w:rPr>
        <w:t>我方承诺在谈判文件规定的</w:t>
      </w:r>
      <w:r>
        <w:rPr>
          <w:rFonts w:hint="eastAsia" w:hAnsi="宋体" w:cs="宋体"/>
          <w:color w:val="000000"/>
          <w:lang w:eastAsia="zh-CN"/>
        </w:rPr>
        <w:t>谈判</w:t>
      </w:r>
      <w:r>
        <w:rPr>
          <w:rFonts w:hint="eastAsia" w:hAnsi="宋体" w:cs="宋体"/>
          <w:color w:val="000000"/>
        </w:rPr>
        <w:t>有效期内不撤销响应文件。</w:t>
      </w:r>
    </w:p>
    <w:p w14:paraId="72380036">
      <w:pPr>
        <w:numPr>
          <w:ilvl w:val="0"/>
          <w:numId w:val="17"/>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如我方中标，我方承诺：</w:t>
      </w:r>
    </w:p>
    <w:p w14:paraId="5517D4A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（1）在收到</w:t>
      </w:r>
      <w:r>
        <w:rPr>
          <w:rFonts w:hint="eastAsia" w:ascii="宋体" w:hAnsi="宋体" w:cs="宋体"/>
          <w:color w:val="000000"/>
          <w:szCs w:val="21"/>
          <w:lang w:eastAsia="zh-CN"/>
        </w:rPr>
        <w:t>成交</w:t>
      </w:r>
      <w:r>
        <w:rPr>
          <w:rFonts w:hint="eastAsia" w:ascii="宋体" w:hAnsi="宋体" w:cs="宋体"/>
          <w:color w:val="000000"/>
          <w:szCs w:val="21"/>
        </w:rPr>
        <w:t>通知书后，在</w:t>
      </w:r>
      <w:r>
        <w:rPr>
          <w:rFonts w:hint="eastAsia" w:ascii="宋体" w:hAnsi="宋体" w:cs="宋体"/>
          <w:color w:val="000000"/>
          <w:szCs w:val="21"/>
          <w:lang w:eastAsia="zh-CN"/>
        </w:rPr>
        <w:t>成交通知书</w:t>
      </w:r>
      <w:r>
        <w:rPr>
          <w:rFonts w:hint="eastAsia" w:ascii="宋体" w:hAnsi="宋体" w:cs="宋体"/>
          <w:color w:val="000000"/>
          <w:szCs w:val="21"/>
        </w:rPr>
        <w:t>规定的期限内与你方签订合同；</w:t>
      </w:r>
    </w:p>
    <w:p w14:paraId="5249263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（2）在签订合同时不向你方提出附加条件；</w:t>
      </w:r>
    </w:p>
    <w:p w14:paraId="735FEB44">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（3）按照</w:t>
      </w:r>
      <w:r>
        <w:rPr>
          <w:rFonts w:hint="eastAsia" w:ascii="宋体" w:hAnsi="宋体" w:cs="宋体"/>
          <w:color w:val="000000"/>
          <w:szCs w:val="21"/>
          <w:lang w:eastAsia="zh-CN"/>
        </w:rPr>
        <w:t>谈判</w:t>
      </w:r>
      <w:r>
        <w:rPr>
          <w:rFonts w:hint="eastAsia" w:ascii="宋体" w:hAnsi="宋体" w:cs="宋体"/>
          <w:color w:val="000000"/>
          <w:szCs w:val="21"/>
        </w:rPr>
        <w:t>文件要求提交履约保证金；</w:t>
      </w:r>
    </w:p>
    <w:p w14:paraId="1AFB09C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（4）在合同约定的期限内完成合同规定的全部义务。</w:t>
      </w:r>
    </w:p>
    <w:p w14:paraId="211736C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6．我方在此声明，所递交的响应文件及有关资料内容完整、真实和准确，且不存在第二章“供应商须知”第</w:t>
      </w:r>
      <w:r>
        <w:rPr>
          <w:rFonts w:hint="eastAsia" w:ascii="宋体" w:hAnsi="宋体" w:cs="宋体"/>
          <w:color w:val="000000"/>
          <w:szCs w:val="21"/>
          <w:lang w:val="en-US" w:eastAsia="zh-CN"/>
        </w:rPr>
        <w:t>20</w:t>
      </w:r>
      <w:r>
        <w:rPr>
          <w:rFonts w:hint="eastAsia" w:ascii="宋体" w:hAnsi="宋体" w:cs="宋体"/>
          <w:color w:val="000000"/>
          <w:szCs w:val="21"/>
        </w:rPr>
        <w:t xml:space="preserve"> 项规定的任何一种情形。</w:t>
      </w:r>
    </w:p>
    <w:p w14:paraId="4C911D70">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u w:val="single"/>
        </w:rPr>
        <w:t xml:space="preserve">                            （其他补充说明）</w:t>
      </w:r>
      <w:r>
        <w:rPr>
          <w:rFonts w:hint="eastAsia" w:ascii="宋体" w:hAnsi="宋体" w:cs="宋体"/>
          <w:color w:val="000000"/>
          <w:szCs w:val="21"/>
        </w:rPr>
        <w:t>。</w:t>
      </w:r>
    </w:p>
    <w:p w14:paraId="343FE8B1">
      <w:pPr>
        <w:pStyle w:val="17"/>
        <w:snapToGrid w:val="0"/>
        <w:spacing w:line="360" w:lineRule="auto"/>
        <w:ind w:firstLine="420"/>
        <w:rPr>
          <w:rFonts w:hAnsi="宋体" w:cs="宋体"/>
        </w:rPr>
      </w:pPr>
    </w:p>
    <w:p w14:paraId="74FB7F0E">
      <w:pPr>
        <w:pStyle w:val="17"/>
        <w:wordWrap w:val="0"/>
        <w:snapToGrid w:val="0"/>
        <w:spacing w:line="360" w:lineRule="auto"/>
        <w:ind w:firstLine="3578" w:firstLineChars="1704"/>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盖单位公章</w:t>
      </w:r>
      <w:r>
        <w:rPr>
          <w:rFonts w:hint="eastAsia" w:ascii="宋体" w:hAnsi="宋体" w:eastAsia="宋体" w:cs="宋体"/>
        </w:rPr>
        <w:t>）</w:t>
      </w:r>
    </w:p>
    <w:p w14:paraId="05B864ED">
      <w:pPr>
        <w:pStyle w:val="17"/>
        <w:wordWrap w:val="0"/>
        <w:snapToGrid w:val="0"/>
        <w:spacing w:line="360" w:lineRule="auto"/>
        <w:ind w:firstLine="3578" w:firstLineChars="1704"/>
        <w:rPr>
          <w:rFonts w:hAnsi="宋体" w:cs="宋体"/>
          <w:u w:val="single"/>
        </w:rPr>
      </w:pPr>
      <w:r>
        <w:rPr>
          <w:rFonts w:hint="eastAsia" w:hAnsi="宋体" w:cs="宋体"/>
        </w:rPr>
        <w:t>法定代表人或其授权代理人：</w:t>
      </w:r>
      <w:r>
        <w:rPr>
          <w:rFonts w:hint="eastAsia" w:hAnsi="宋体" w:cs="宋体"/>
          <w:u w:val="single"/>
        </w:rPr>
        <w:t xml:space="preserve">        </w:t>
      </w:r>
      <w:r>
        <w:rPr>
          <w:rFonts w:hint="eastAsia" w:hAnsi="宋体" w:cs="宋体"/>
        </w:rPr>
        <w:t>（</w:t>
      </w:r>
      <w:r>
        <w:rPr>
          <w:rFonts w:hint="eastAsia" w:ascii="宋体" w:hAnsi="宋体" w:eastAsia="宋体" w:cs="宋体"/>
        </w:rPr>
        <w:t>签字或签章</w:t>
      </w:r>
      <w:r>
        <w:rPr>
          <w:rFonts w:hint="eastAsia" w:hAnsi="宋体" w:cs="宋体"/>
        </w:rPr>
        <w:t>）</w:t>
      </w:r>
    </w:p>
    <w:p w14:paraId="031D413D">
      <w:pPr>
        <w:pStyle w:val="17"/>
        <w:wordWrap w:val="0"/>
        <w:snapToGrid w:val="0"/>
        <w:spacing w:line="360" w:lineRule="auto"/>
        <w:ind w:firstLine="3578" w:firstLineChars="1704"/>
        <w:rPr>
          <w:rFonts w:hAnsi="宋体" w:cs="宋体"/>
          <w:u w:val="single"/>
        </w:rPr>
      </w:pPr>
      <w:r>
        <w:rPr>
          <w:rFonts w:hint="eastAsia" w:hAnsi="宋体" w:cs="宋体"/>
        </w:rPr>
        <w:t xml:space="preserve">地  址： </w:t>
      </w:r>
      <w:r>
        <w:rPr>
          <w:rFonts w:hint="eastAsia" w:hAnsi="宋体" w:cs="宋体"/>
          <w:u w:val="single"/>
        </w:rPr>
        <w:t xml:space="preserve">                          </w:t>
      </w:r>
    </w:p>
    <w:p w14:paraId="0DC793E4">
      <w:pPr>
        <w:pStyle w:val="17"/>
        <w:wordWrap w:val="0"/>
        <w:snapToGrid w:val="0"/>
        <w:spacing w:line="360" w:lineRule="auto"/>
        <w:ind w:firstLine="3578" w:firstLineChars="1704"/>
        <w:rPr>
          <w:rFonts w:hAnsi="宋体" w:cs="宋体"/>
          <w:u w:val="single"/>
        </w:rPr>
      </w:pPr>
      <w:r>
        <w:rPr>
          <w:rFonts w:hint="eastAsia" w:hAnsi="宋体" w:cs="宋体"/>
        </w:rPr>
        <w:t xml:space="preserve">网  址： </w:t>
      </w:r>
      <w:r>
        <w:rPr>
          <w:rFonts w:hint="eastAsia" w:hAnsi="宋体" w:cs="宋体"/>
          <w:u w:val="single"/>
        </w:rPr>
        <w:t xml:space="preserve">                          </w:t>
      </w:r>
    </w:p>
    <w:p w14:paraId="752F56D5">
      <w:pPr>
        <w:pStyle w:val="17"/>
        <w:wordWrap w:val="0"/>
        <w:snapToGrid w:val="0"/>
        <w:spacing w:line="360" w:lineRule="auto"/>
        <w:ind w:firstLine="3578" w:firstLineChars="1704"/>
        <w:rPr>
          <w:rFonts w:hAnsi="宋体" w:cs="宋体"/>
          <w:u w:val="single"/>
        </w:rPr>
      </w:pPr>
      <w:r>
        <w:rPr>
          <w:rFonts w:hint="eastAsia" w:hAnsi="宋体" w:cs="宋体"/>
        </w:rPr>
        <w:t>电  话：</w:t>
      </w:r>
      <w:r>
        <w:rPr>
          <w:rFonts w:hint="eastAsia" w:hAnsi="宋体" w:cs="宋体"/>
          <w:u w:val="single"/>
        </w:rPr>
        <w:t xml:space="preserve">                           </w:t>
      </w:r>
    </w:p>
    <w:p w14:paraId="0D1924EA">
      <w:pPr>
        <w:pStyle w:val="17"/>
        <w:wordWrap w:val="0"/>
        <w:snapToGrid w:val="0"/>
        <w:spacing w:line="360" w:lineRule="auto"/>
        <w:ind w:firstLine="3578" w:firstLineChars="1704"/>
        <w:rPr>
          <w:rFonts w:hAnsi="宋体" w:cs="宋体"/>
          <w:u w:val="single"/>
        </w:rPr>
      </w:pPr>
      <w:r>
        <w:rPr>
          <w:rFonts w:hint="eastAsia" w:hAnsi="宋体" w:cs="宋体"/>
        </w:rPr>
        <w:t>传  真：</w:t>
      </w:r>
      <w:r>
        <w:rPr>
          <w:rFonts w:hint="eastAsia" w:hAnsi="宋体" w:cs="宋体"/>
          <w:u w:val="single"/>
        </w:rPr>
        <w:t xml:space="preserve">                           </w:t>
      </w:r>
    </w:p>
    <w:p w14:paraId="5CA1E455">
      <w:pPr>
        <w:pStyle w:val="17"/>
        <w:wordWrap w:val="0"/>
        <w:snapToGrid w:val="0"/>
        <w:spacing w:line="360" w:lineRule="auto"/>
        <w:ind w:firstLine="3578" w:firstLineChars="1704"/>
        <w:rPr>
          <w:rFonts w:hAnsi="宋体" w:cs="宋体"/>
          <w:u w:val="single"/>
        </w:rPr>
      </w:pPr>
      <w:r>
        <w:rPr>
          <w:rFonts w:hint="eastAsia" w:hAnsi="宋体" w:cs="宋体"/>
        </w:rPr>
        <w:t>邮  编：</w:t>
      </w:r>
      <w:r>
        <w:rPr>
          <w:rFonts w:hint="eastAsia" w:hAnsi="宋体" w:cs="宋体"/>
          <w:u w:val="single"/>
        </w:rPr>
        <w:t xml:space="preserve">                           </w:t>
      </w:r>
    </w:p>
    <w:p w14:paraId="2FFFF34D">
      <w:pPr>
        <w:pStyle w:val="17"/>
        <w:wordWrap w:val="0"/>
        <w:snapToGrid w:val="0"/>
        <w:spacing w:line="360" w:lineRule="auto"/>
        <w:ind w:firstLine="4200" w:firstLineChars="2000"/>
        <w:jc w:val="left"/>
        <w:rPr>
          <w:rFonts w:hAnsi="宋体" w:cs="宋体"/>
        </w:rPr>
      </w:pP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059C6D7">
      <w:pPr>
        <w:spacing w:line="360" w:lineRule="auto"/>
        <w:rPr>
          <w:rFonts w:ascii="宋体" w:hAnsi="宋体" w:cs="宋体"/>
          <w:szCs w:val="21"/>
        </w:rPr>
      </w:pPr>
      <w:bookmarkStart w:id="61" w:name="_Toc152045791"/>
      <w:bookmarkStart w:id="62" w:name="_Toc262740154"/>
      <w:bookmarkStart w:id="63" w:name="_Toc144974860"/>
      <w:bookmarkStart w:id="64" w:name="_Toc285981645"/>
      <w:bookmarkStart w:id="65" w:name="_Toc238797663"/>
      <w:bookmarkStart w:id="66" w:name="_Toc152042580"/>
      <w:bookmarkStart w:id="67" w:name="_Toc238552301"/>
    </w:p>
    <w:p w14:paraId="5D244FE6">
      <w:pPr>
        <w:jc w:val="center"/>
        <w:rPr>
          <w:rFonts w:ascii="宋体" w:hAnsi="宋体"/>
          <w:b/>
          <w:color w:val="auto"/>
          <w:sz w:val="32"/>
          <w:szCs w:val="32"/>
        </w:rPr>
      </w:pPr>
      <w:bookmarkStart w:id="68" w:name="_Toc28397"/>
      <w:bookmarkStart w:id="69" w:name="_Toc26075"/>
      <w:bookmarkStart w:id="70" w:name="_Toc435802466"/>
      <w:r>
        <w:rPr>
          <w:rFonts w:hint="eastAsia" w:ascii="宋体" w:hAnsi="宋体"/>
          <w:b/>
          <w:color w:val="auto"/>
          <w:sz w:val="32"/>
          <w:szCs w:val="32"/>
        </w:rPr>
        <w:t>（2）</w:t>
      </w:r>
      <w:r>
        <w:rPr>
          <w:rFonts w:hint="eastAsia" w:ascii="宋体" w:hAnsi="宋体"/>
          <w:b/>
          <w:color w:val="auto"/>
          <w:sz w:val="32"/>
          <w:szCs w:val="32"/>
          <w:lang w:eastAsia="zh-CN"/>
        </w:rPr>
        <w:t>响应</w:t>
      </w:r>
      <w:r>
        <w:rPr>
          <w:rFonts w:hint="eastAsia" w:ascii="宋体" w:hAnsi="宋体"/>
          <w:b/>
          <w:color w:val="auto"/>
          <w:sz w:val="32"/>
          <w:szCs w:val="32"/>
        </w:rPr>
        <w:t>函附录</w:t>
      </w:r>
    </w:p>
    <w:p w14:paraId="023CB668">
      <w:pPr>
        <w:wordWrap w:val="0"/>
        <w:spacing w:line="360" w:lineRule="auto"/>
        <w:ind w:firstLine="480" w:firstLineChars="200"/>
        <w:rPr>
          <w:rFonts w:ascii="宋体" w:hAnsi="宋体"/>
          <w:color w:val="auto"/>
          <w:sz w:val="24"/>
        </w:rPr>
      </w:pPr>
      <w:r>
        <w:rPr>
          <w:rFonts w:hint="eastAsia" w:ascii="宋体" w:hAnsi="宋体"/>
          <w:color w:val="auto"/>
          <w:sz w:val="24"/>
        </w:rPr>
        <w:t>项目名称：</w:t>
      </w:r>
      <w:r>
        <w:rPr>
          <w:rFonts w:hint="eastAsia" w:ascii="宋体" w:hAnsi="宋体"/>
          <w:color w:val="auto"/>
          <w:sz w:val="24"/>
          <w:szCs w:val="21"/>
          <w:u w:val="single"/>
        </w:rPr>
        <w:t xml:space="preserve">              </w:t>
      </w:r>
    </w:p>
    <w:p w14:paraId="47F6EB92">
      <w:pPr>
        <w:wordWrap w:val="0"/>
        <w:spacing w:line="360" w:lineRule="auto"/>
        <w:ind w:firstLine="480" w:firstLineChars="200"/>
        <w:rPr>
          <w:rFonts w:ascii="宋体" w:hAnsi="宋体"/>
          <w:color w:val="auto"/>
          <w:sz w:val="24"/>
        </w:rPr>
      </w:pPr>
      <w:r>
        <w:rPr>
          <w:rFonts w:hint="eastAsia" w:ascii="宋体" w:hAnsi="宋体"/>
          <w:color w:val="auto"/>
          <w:sz w:val="24"/>
        </w:rPr>
        <w:t>项目编号：</w:t>
      </w:r>
      <w:r>
        <w:rPr>
          <w:rFonts w:hint="eastAsia" w:ascii="宋体" w:hAnsi="宋体"/>
          <w:color w:val="auto"/>
          <w:sz w:val="24"/>
          <w:szCs w:val="21"/>
          <w:u w:val="single"/>
        </w:rPr>
        <w:t xml:space="preserve">              </w:t>
      </w:r>
    </w:p>
    <w:tbl>
      <w:tblPr>
        <w:tblStyle w:val="35"/>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rPr>
            </w:pPr>
            <w:r>
              <w:rPr>
                <w:rFonts w:hint="eastAsia" w:ascii="宋体" w:hAnsi="宋体" w:cs="宋体"/>
                <w:b/>
                <w:color w:val="auto"/>
                <w:sz w:val="24"/>
              </w:rPr>
              <w:t>序号</w:t>
            </w:r>
          </w:p>
        </w:tc>
        <w:tc>
          <w:tcPr>
            <w:tcW w:w="2047" w:type="dxa"/>
            <w:noWrap w:val="0"/>
            <w:vAlign w:val="center"/>
          </w:tcPr>
          <w:p w14:paraId="52C4A467">
            <w:pPr>
              <w:spacing w:line="440" w:lineRule="exact"/>
              <w:jc w:val="center"/>
              <w:rPr>
                <w:rFonts w:ascii="宋体" w:hAnsi="宋体"/>
                <w:b/>
                <w:color w:val="auto"/>
                <w:sz w:val="22"/>
                <w:szCs w:val="18"/>
              </w:rPr>
            </w:pPr>
            <w:r>
              <w:rPr>
                <w:rFonts w:hint="eastAsia" w:ascii="宋体" w:hAnsi="宋体" w:cs="宋体"/>
                <w:b/>
                <w:color w:val="auto"/>
                <w:sz w:val="24"/>
              </w:rPr>
              <w:t>名称</w:t>
            </w:r>
          </w:p>
        </w:tc>
        <w:tc>
          <w:tcPr>
            <w:tcW w:w="2256" w:type="dxa"/>
            <w:noWrap w:val="0"/>
            <w:vAlign w:val="center"/>
          </w:tcPr>
          <w:p w14:paraId="57FB112A">
            <w:pPr>
              <w:spacing w:line="440" w:lineRule="exact"/>
              <w:jc w:val="center"/>
              <w:rPr>
                <w:rFonts w:ascii="宋体" w:hAnsi="宋体"/>
                <w:b/>
                <w:color w:val="auto"/>
                <w:sz w:val="22"/>
                <w:szCs w:val="18"/>
              </w:rPr>
            </w:pPr>
            <w:r>
              <w:rPr>
                <w:rFonts w:hint="eastAsia" w:ascii="宋体" w:hAnsi="宋体" w:cs="宋体"/>
                <w:b/>
                <w:color w:val="auto"/>
                <w:sz w:val="24"/>
              </w:rPr>
              <w:t>内容</w:t>
            </w:r>
          </w:p>
        </w:tc>
        <w:tc>
          <w:tcPr>
            <w:tcW w:w="1554" w:type="dxa"/>
            <w:noWrap w:val="0"/>
            <w:vAlign w:val="center"/>
          </w:tcPr>
          <w:p w14:paraId="3BAF39DE">
            <w:pPr>
              <w:spacing w:line="440" w:lineRule="exact"/>
              <w:jc w:val="center"/>
              <w:rPr>
                <w:rFonts w:ascii="宋体" w:hAnsi="宋体"/>
                <w:b/>
                <w:color w:val="auto"/>
                <w:sz w:val="22"/>
                <w:szCs w:val="18"/>
              </w:rPr>
            </w:pPr>
            <w:r>
              <w:rPr>
                <w:rFonts w:hint="eastAsia" w:ascii="宋体" w:hAnsi="宋体" w:cs="宋体"/>
                <w:b/>
                <w:color w:val="auto"/>
                <w:sz w:val="24"/>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rPr>
            </w:pPr>
            <w:r>
              <w:rPr>
                <w:rFonts w:hint="eastAsia" w:ascii="宋体" w:hAnsi="宋体"/>
                <w:color w:val="auto"/>
                <w:sz w:val="22"/>
                <w:szCs w:val="18"/>
              </w:rPr>
              <w:t>1</w:t>
            </w:r>
          </w:p>
        </w:tc>
        <w:tc>
          <w:tcPr>
            <w:tcW w:w="2047" w:type="dxa"/>
            <w:noWrap w:val="0"/>
            <w:vAlign w:val="center"/>
          </w:tcPr>
          <w:p w14:paraId="08D2D8C8">
            <w:pPr>
              <w:wordWrap w:val="0"/>
              <w:jc w:val="center"/>
              <w:rPr>
                <w:rFonts w:ascii="宋体" w:hAnsi="宋体"/>
                <w:color w:val="auto"/>
                <w:sz w:val="22"/>
                <w:szCs w:val="18"/>
              </w:rPr>
            </w:pPr>
            <w:r>
              <w:rPr>
                <w:rFonts w:hint="eastAsia" w:ascii="宋体" w:hAnsi="宋体"/>
                <w:color w:val="auto"/>
                <w:sz w:val="22"/>
                <w:szCs w:val="18"/>
              </w:rPr>
              <w:t>项目负责人</w:t>
            </w:r>
          </w:p>
        </w:tc>
        <w:tc>
          <w:tcPr>
            <w:tcW w:w="2256" w:type="dxa"/>
            <w:noWrap w:val="0"/>
            <w:vAlign w:val="center"/>
          </w:tcPr>
          <w:p w14:paraId="5BF24AF9">
            <w:pPr>
              <w:wordWrap w:val="0"/>
              <w:jc w:val="left"/>
              <w:rPr>
                <w:rFonts w:ascii="宋体" w:hAnsi="宋体"/>
                <w:color w:val="auto"/>
                <w:sz w:val="22"/>
                <w:szCs w:val="18"/>
              </w:rPr>
            </w:pPr>
            <w:r>
              <w:rPr>
                <w:rFonts w:hint="eastAsia" w:ascii="宋体" w:hAnsi="宋体"/>
                <w:color w:val="auto"/>
                <w:sz w:val="22"/>
                <w:szCs w:val="18"/>
              </w:rPr>
              <w:t>姓名：</w:t>
            </w:r>
          </w:p>
        </w:tc>
        <w:tc>
          <w:tcPr>
            <w:tcW w:w="1554" w:type="dxa"/>
            <w:noWrap w:val="0"/>
            <w:vAlign w:val="center"/>
          </w:tcPr>
          <w:p w14:paraId="7120EC7A">
            <w:pPr>
              <w:wordWrap w:val="0"/>
              <w:jc w:val="center"/>
              <w:rPr>
                <w:rFonts w:ascii="宋体" w:hAnsi="宋体"/>
                <w:color w:val="auto"/>
                <w:sz w:val="22"/>
                <w:szCs w:val="18"/>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rPr>
            </w:pPr>
            <w:r>
              <w:rPr>
                <w:rFonts w:hint="eastAsia" w:ascii="宋体" w:hAnsi="宋体"/>
                <w:color w:val="auto"/>
                <w:sz w:val="22"/>
                <w:szCs w:val="18"/>
              </w:rPr>
              <w:t>2</w:t>
            </w:r>
          </w:p>
        </w:tc>
        <w:tc>
          <w:tcPr>
            <w:tcW w:w="2047" w:type="dxa"/>
            <w:noWrap w:val="0"/>
            <w:vAlign w:val="center"/>
          </w:tcPr>
          <w:p w14:paraId="0C8F92C3">
            <w:pPr>
              <w:wordWrap w:val="0"/>
              <w:jc w:val="center"/>
              <w:rPr>
                <w:rFonts w:hint="eastAsia" w:ascii="宋体" w:hAnsi="宋体" w:eastAsia="宋体"/>
                <w:color w:val="auto"/>
                <w:sz w:val="22"/>
                <w:szCs w:val="18"/>
                <w:lang w:eastAsia="zh-CN"/>
              </w:rPr>
            </w:pPr>
            <w:r>
              <w:rPr>
                <w:rFonts w:hint="eastAsia" w:ascii="宋体" w:hAnsi="宋体"/>
                <w:color w:val="auto"/>
                <w:sz w:val="22"/>
                <w:szCs w:val="18"/>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rPr>
            </w:pPr>
          </w:p>
        </w:tc>
        <w:tc>
          <w:tcPr>
            <w:tcW w:w="1554" w:type="dxa"/>
            <w:noWrap w:val="0"/>
            <w:vAlign w:val="center"/>
          </w:tcPr>
          <w:p w14:paraId="654CC345">
            <w:pPr>
              <w:wordWrap w:val="0"/>
              <w:jc w:val="center"/>
              <w:rPr>
                <w:rFonts w:ascii="宋体" w:hAnsi="宋体"/>
                <w:color w:val="auto"/>
                <w:sz w:val="22"/>
                <w:szCs w:val="18"/>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rPr>
            </w:pPr>
            <w:r>
              <w:rPr>
                <w:rFonts w:hint="eastAsia" w:ascii="宋体" w:hAnsi="宋体"/>
                <w:color w:val="auto"/>
                <w:sz w:val="22"/>
                <w:szCs w:val="18"/>
              </w:rPr>
              <w:t>3</w:t>
            </w:r>
          </w:p>
        </w:tc>
        <w:tc>
          <w:tcPr>
            <w:tcW w:w="2047" w:type="dxa"/>
            <w:noWrap w:val="0"/>
            <w:vAlign w:val="center"/>
          </w:tcPr>
          <w:p w14:paraId="483D2D19">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质量要求</w:t>
            </w:r>
          </w:p>
        </w:tc>
        <w:tc>
          <w:tcPr>
            <w:tcW w:w="2256" w:type="dxa"/>
            <w:noWrap w:val="0"/>
            <w:vAlign w:val="center"/>
          </w:tcPr>
          <w:p w14:paraId="24379BA4">
            <w:pPr>
              <w:wordWrap w:val="0"/>
              <w:jc w:val="left"/>
              <w:rPr>
                <w:rFonts w:ascii="宋体" w:hAnsi="宋体"/>
                <w:color w:val="auto"/>
                <w:sz w:val="22"/>
                <w:szCs w:val="18"/>
              </w:rPr>
            </w:pPr>
          </w:p>
        </w:tc>
        <w:tc>
          <w:tcPr>
            <w:tcW w:w="1554" w:type="dxa"/>
            <w:noWrap w:val="0"/>
            <w:vAlign w:val="center"/>
          </w:tcPr>
          <w:p w14:paraId="5545BE07">
            <w:pPr>
              <w:wordWrap w:val="0"/>
              <w:jc w:val="center"/>
              <w:rPr>
                <w:rFonts w:ascii="宋体" w:hAnsi="宋体"/>
                <w:color w:val="auto"/>
                <w:sz w:val="22"/>
                <w:szCs w:val="18"/>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rPr>
            </w:pPr>
          </w:p>
        </w:tc>
        <w:tc>
          <w:tcPr>
            <w:tcW w:w="2047" w:type="dxa"/>
            <w:noWrap w:val="0"/>
            <w:vAlign w:val="center"/>
          </w:tcPr>
          <w:p w14:paraId="53C2AE52">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供货地点</w:t>
            </w:r>
          </w:p>
        </w:tc>
        <w:tc>
          <w:tcPr>
            <w:tcW w:w="2256" w:type="dxa"/>
            <w:noWrap w:val="0"/>
            <w:vAlign w:val="center"/>
          </w:tcPr>
          <w:p w14:paraId="1BA01F70">
            <w:pPr>
              <w:wordWrap w:val="0"/>
              <w:jc w:val="left"/>
              <w:rPr>
                <w:rFonts w:hint="eastAsia" w:ascii="宋体" w:hAnsi="宋体"/>
                <w:color w:val="auto"/>
                <w:sz w:val="22"/>
                <w:szCs w:val="18"/>
              </w:rPr>
            </w:pPr>
          </w:p>
        </w:tc>
        <w:tc>
          <w:tcPr>
            <w:tcW w:w="1554" w:type="dxa"/>
            <w:noWrap w:val="0"/>
            <w:vAlign w:val="center"/>
          </w:tcPr>
          <w:p w14:paraId="6E399FE7">
            <w:pPr>
              <w:wordWrap w:val="0"/>
              <w:jc w:val="center"/>
              <w:rPr>
                <w:rFonts w:ascii="宋体" w:hAnsi="宋体"/>
                <w:color w:val="auto"/>
                <w:sz w:val="22"/>
                <w:szCs w:val="18"/>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rPr>
            </w:pPr>
            <w:r>
              <w:rPr>
                <w:rFonts w:hint="eastAsia" w:ascii="宋体" w:hAnsi="宋体"/>
                <w:color w:val="auto"/>
                <w:sz w:val="22"/>
                <w:szCs w:val="18"/>
              </w:rPr>
              <w:t>4</w:t>
            </w:r>
          </w:p>
        </w:tc>
        <w:tc>
          <w:tcPr>
            <w:tcW w:w="2047" w:type="dxa"/>
            <w:noWrap w:val="0"/>
            <w:vAlign w:val="center"/>
          </w:tcPr>
          <w:p w14:paraId="4244F113">
            <w:pPr>
              <w:wordWrap w:val="0"/>
              <w:jc w:val="center"/>
              <w:rPr>
                <w:rFonts w:ascii="宋体" w:hAnsi="宋体"/>
                <w:color w:val="auto"/>
                <w:sz w:val="22"/>
                <w:szCs w:val="18"/>
              </w:rPr>
            </w:pPr>
            <w:r>
              <w:rPr>
                <w:rFonts w:hint="eastAsia" w:ascii="宋体" w:hAnsi="宋体"/>
                <w:color w:val="auto"/>
                <w:sz w:val="22"/>
                <w:szCs w:val="18"/>
              </w:rPr>
              <w:t>联合体投标</w:t>
            </w:r>
          </w:p>
        </w:tc>
        <w:tc>
          <w:tcPr>
            <w:tcW w:w="2256" w:type="dxa"/>
            <w:noWrap w:val="0"/>
            <w:vAlign w:val="center"/>
          </w:tcPr>
          <w:p w14:paraId="55C3D7D8">
            <w:pPr>
              <w:wordWrap w:val="0"/>
              <w:jc w:val="left"/>
              <w:rPr>
                <w:rFonts w:ascii="宋体" w:hAnsi="宋体"/>
                <w:color w:val="auto"/>
                <w:sz w:val="22"/>
                <w:szCs w:val="18"/>
              </w:rPr>
            </w:pPr>
            <w:r>
              <w:rPr>
                <w:rFonts w:hint="eastAsia" w:ascii="宋体" w:hAnsi="宋体"/>
                <w:color w:val="auto"/>
                <w:sz w:val="22"/>
                <w:szCs w:val="18"/>
              </w:rPr>
              <w:t>不接受</w:t>
            </w:r>
          </w:p>
        </w:tc>
        <w:tc>
          <w:tcPr>
            <w:tcW w:w="1554" w:type="dxa"/>
            <w:noWrap w:val="0"/>
            <w:vAlign w:val="center"/>
          </w:tcPr>
          <w:p w14:paraId="5A84DE57">
            <w:pPr>
              <w:wordWrap w:val="0"/>
              <w:jc w:val="center"/>
              <w:rPr>
                <w:rFonts w:ascii="宋体" w:hAnsi="宋体"/>
                <w:color w:val="auto"/>
                <w:sz w:val="22"/>
                <w:szCs w:val="18"/>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rPr>
            </w:pPr>
            <w:r>
              <w:rPr>
                <w:rFonts w:hint="eastAsia" w:ascii="宋体" w:hAnsi="宋体"/>
                <w:color w:val="auto"/>
                <w:sz w:val="22"/>
                <w:szCs w:val="18"/>
              </w:rPr>
              <w:t>5</w:t>
            </w:r>
          </w:p>
        </w:tc>
        <w:tc>
          <w:tcPr>
            <w:tcW w:w="2047" w:type="dxa"/>
            <w:noWrap w:val="0"/>
            <w:vAlign w:val="center"/>
          </w:tcPr>
          <w:p w14:paraId="1D328957">
            <w:pPr>
              <w:wordWrap w:val="0"/>
              <w:jc w:val="center"/>
              <w:rPr>
                <w:rFonts w:ascii="宋体" w:hAnsi="宋体"/>
                <w:color w:val="auto"/>
                <w:sz w:val="22"/>
                <w:szCs w:val="18"/>
              </w:rPr>
            </w:pPr>
            <w:r>
              <w:rPr>
                <w:rFonts w:hint="eastAsia" w:ascii="宋体" w:hAnsi="宋体"/>
                <w:color w:val="auto"/>
                <w:sz w:val="22"/>
                <w:szCs w:val="18"/>
              </w:rPr>
              <w:t>分包</w:t>
            </w:r>
          </w:p>
        </w:tc>
        <w:tc>
          <w:tcPr>
            <w:tcW w:w="2256" w:type="dxa"/>
            <w:noWrap w:val="0"/>
            <w:vAlign w:val="center"/>
          </w:tcPr>
          <w:p w14:paraId="2455DF29">
            <w:pPr>
              <w:wordWrap w:val="0"/>
              <w:jc w:val="left"/>
              <w:rPr>
                <w:rFonts w:ascii="宋体" w:hAnsi="宋体"/>
                <w:color w:val="auto"/>
                <w:sz w:val="22"/>
                <w:szCs w:val="18"/>
              </w:rPr>
            </w:pPr>
            <w:r>
              <w:rPr>
                <w:rFonts w:hint="eastAsia" w:ascii="宋体" w:hAnsi="宋体"/>
                <w:color w:val="auto"/>
                <w:sz w:val="22"/>
                <w:szCs w:val="18"/>
              </w:rPr>
              <w:t>不允许</w:t>
            </w:r>
          </w:p>
        </w:tc>
        <w:tc>
          <w:tcPr>
            <w:tcW w:w="1554" w:type="dxa"/>
            <w:noWrap w:val="0"/>
            <w:vAlign w:val="center"/>
          </w:tcPr>
          <w:p w14:paraId="43BC538D">
            <w:pPr>
              <w:wordWrap w:val="0"/>
              <w:jc w:val="center"/>
              <w:rPr>
                <w:rFonts w:ascii="宋体" w:hAnsi="宋体"/>
                <w:color w:val="auto"/>
                <w:sz w:val="22"/>
                <w:szCs w:val="18"/>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rPr>
            </w:pPr>
            <w:r>
              <w:rPr>
                <w:rFonts w:hint="eastAsia" w:ascii="宋体" w:hAnsi="宋体"/>
                <w:color w:val="auto"/>
                <w:sz w:val="22"/>
                <w:szCs w:val="18"/>
              </w:rPr>
              <w:t>6</w:t>
            </w:r>
          </w:p>
        </w:tc>
        <w:tc>
          <w:tcPr>
            <w:tcW w:w="2047" w:type="dxa"/>
            <w:noWrap w:val="0"/>
            <w:vAlign w:val="center"/>
          </w:tcPr>
          <w:p w14:paraId="09E032AB">
            <w:pPr>
              <w:wordWrap w:val="0"/>
              <w:jc w:val="center"/>
              <w:rPr>
                <w:rFonts w:ascii="宋体" w:hAnsi="宋体"/>
                <w:color w:val="auto"/>
                <w:sz w:val="22"/>
                <w:szCs w:val="18"/>
              </w:rPr>
            </w:pPr>
            <w:r>
              <w:rPr>
                <w:rFonts w:hint="eastAsia" w:ascii="宋体" w:hAnsi="宋体"/>
                <w:color w:val="auto"/>
                <w:sz w:val="22"/>
                <w:szCs w:val="18"/>
                <w:lang w:eastAsia="zh-CN"/>
              </w:rPr>
              <w:t>谈判</w:t>
            </w:r>
            <w:r>
              <w:rPr>
                <w:rFonts w:hint="eastAsia" w:ascii="宋体" w:hAnsi="宋体"/>
                <w:color w:val="auto"/>
                <w:sz w:val="22"/>
                <w:szCs w:val="18"/>
              </w:rPr>
              <w:t>有效期</w:t>
            </w:r>
          </w:p>
        </w:tc>
        <w:tc>
          <w:tcPr>
            <w:tcW w:w="2256" w:type="dxa"/>
            <w:noWrap w:val="0"/>
            <w:vAlign w:val="center"/>
          </w:tcPr>
          <w:p w14:paraId="033981C1">
            <w:pPr>
              <w:wordWrap w:val="0"/>
              <w:jc w:val="left"/>
              <w:rPr>
                <w:rFonts w:ascii="宋体" w:hAnsi="宋体"/>
                <w:color w:val="auto"/>
                <w:sz w:val="22"/>
                <w:szCs w:val="18"/>
              </w:rPr>
            </w:pPr>
            <w:r>
              <w:rPr>
                <w:rFonts w:hint="eastAsia" w:ascii="宋体" w:hAnsi="宋体"/>
                <w:color w:val="auto"/>
                <w:sz w:val="22"/>
                <w:szCs w:val="18"/>
              </w:rPr>
              <w:t>响应文件截止之日后90天（日历天）</w:t>
            </w:r>
          </w:p>
        </w:tc>
        <w:tc>
          <w:tcPr>
            <w:tcW w:w="1554" w:type="dxa"/>
            <w:noWrap w:val="0"/>
            <w:vAlign w:val="center"/>
          </w:tcPr>
          <w:p w14:paraId="5F30CE61">
            <w:pPr>
              <w:wordWrap w:val="0"/>
              <w:jc w:val="center"/>
              <w:rPr>
                <w:rFonts w:ascii="宋体" w:hAnsi="宋体"/>
                <w:color w:val="auto"/>
                <w:sz w:val="22"/>
                <w:szCs w:val="18"/>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lang w:val="en-US" w:eastAsia="zh-CN"/>
              </w:rPr>
            </w:pPr>
            <w:r>
              <w:rPr>
                <w:rFonts w:hint="eastAsia" w:ascii="宋体" w:hAnsi="宋体"/>
                <w:color w:val="auto"/>
                <w:sz w:val="22"/>
                <w:szCs w:val="18"/>
                <w:lang w:val="en-US" w:eastAsia="zh-CN"/>
              </w:rPr>
              <w:t>7</w:t>
            </w:r>
          </w:p>
        </w:tc>
        <w:tc>
          <w:tcPr>
            <w:tcW w:w="2047" w:type="dxa"/>
            <w:noWrap w:val="0"/>
            <w:vAlign w:val="center"/>
          </w:tcPr>
          <w:p w14:paraId="64750052">
            <w:pPr>
              <w:wordWrap w:val="0"/>
              <w:jc w:val="center"/>
              <w:rPr>
                <w:rFonts w:hint="eastAsia" w:ascii="宋体" w:hAnsi="宋体"/>
                <w:color w:val="auto"/>
                <w:sz w:val="22"/>
                <w:szCs w:val="18"/>
              </w:rPr>
            </w:pPr>
            <w:r>
              <w:rPr>
                <w:rFonts w:hint="eastAsia" w:ascii="宋体" w:hAnsi="宋体"/>
                <w:color w:val="auto"/>
                <w:sz w:val="22"/>
                <w:szCs w:val="18"/>
              </w:rPr>
              <w:t>权利义务</w:t>
            </w:r>
          </w:p>
        </w:tc>
        <w:tc>
          <w:tcPr>
            <w:tcW w:w="2256" w:type="dxa"/>
            <w:noWrap w:val="0"/>
            <w:vAlign w:val="center"/>
          </w:tcPr>
          <w:p w14:paraId="1E2B4293">
            <w:pPr>
              <w:wordWrap w:val="0"/>
              <w:jc w:val="left"/>
              <w:rPr>
                <w:rFonts w:hint="eastAsia" w:ascii="宋体" w:hAnsi="宋体"/>
                <w:color w:val="auto"/>
                <w:sz w:val="22"/>
                <w:szCs w:val="18"/>
              </w:rPr>
            </w:pPr>
            <w:r>
              <w:rPr>
                <w:rFonts w:hint="eastAsia" w:ascii="宋体" w:hAnsi="宋体"/>
                <w:color w:val="auto"/>
                <w:sz w:val="22"/>
                <w:szCs w:val="18"/>
              </w:rPr>
              <w:t>符合第</w:t>
            </w:r>
            <w:r>
              <w:rPr>
                <w:rFonts w:hint="eastAsia" w:ascii="宋体" w:hAnsi="宋体"/>
                <w:color w:val="auto"/>
                <w:sz w:val="22"/>
                <w:szCs w:val="18"/>
                <w:lang w:eastAsia="zh-CN"/>
              </w:rPr>
              <w:t>五</w:t>
            </w:r>
            <w:r>
              <w:rPr>
                <w:rFonts w:hint="eastAsia" w:ascii="宋体" w:hAnsi="宋体"/>
                <w:color w:val="auto"/>
                <w:sz w:val="22"/>
                <w:szCs w:val="18"/>
              </w:rPr>
              <w:t>章“合同</w:t>
            </w:r>
            <w:r>
              <w:rPr>
                <w:rFonts w:hint="eastAsia" w:ascii="宋体" w:hAnsi="宋体"/>
                <w:color w:val="auto"/>
                <w:sz w:val="22"/>
                <w:szCs w:val="18"/>
                <w:lang w:eastAsia="zh-CN"/>
              </w:rPr>
              <w:t>主要</w:t>
            </w:r>
            <w:r>
              <w:rPr>
                <w:rFonts w:hint="eastAsia" w:ascii="宋体" w:hAnsi="宋体"/>
                <w:color w:val="auto"/>
                <w:sz w:val="22"/>
                <w:szCs w:val="18"/>
              </w:rPr>
              <w:t>条款及格式”规定</w:t>
            </w:r>
          </w:p>
        </w:tc>
        <w:tc>
          <w:tcPr>
            <w:tcW w:w="1554" w:type="dxa"/>
            <w:noWrap w:val="0"/>
            <w:vAlign w:val="center"/>
          </w:tcPr>
          <w:p w14:paraId="36F62951">
            <w:pPr>
              <w:wordWrap w:val="0"/>
              <w:jc w:val="center"/>
              <w:rPr>
                <w:rFonts w:ascii="宋体" w:hAnsi="宋体"/>
                <w:color w:val="auto"/>
                <w:sz w:val="22"/>
                <w:szCs w:val="18"/>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rPr>
            </w:pPr>
            <w:r>
              <w:rPr>
                <w:rFonts w:hint="eastAsia" w:ascii="宋体" w:hAnsi="宋体"/>
                <w:color w:val="auto"/>
                <w:sz w:val="22"/>
                <w:szCs w:val="18"/>
              </w:rPr>
              <w:t>……</w:t>
            </w:r>
          </w:p>
        </w:tc>
        <w:tc>
          <w:tcPr>
            <w:tcW w:w="2047" w:type="dxa"/>
            <w:noWrap w:val="0"/>
            <w:vAlign w:val="center"/>
          </w:tcPr>
          <w:p w14:paraId="57BC2CAE">
            <w:pPr>
              <w:wordWrap w:val="0"/>
              <w:jc w:val="center"/>
              <w:rPr>
                <w:rFonts w:ascii="宋体" w:hAnsi="宋体"/>
                <w:color w:val="auto"/>
                <w:sz w:val="22"/>
                <w:szCs w:val="18"/>
              </w:rPr>
            </w:pPr>
            <w:r>
              <w:rPr>
                <w:rFonts w:hint="eastAsia" w:ascii="宋体" w:hAnsi="宋体"/>
                <w:color w:val="auto"/>
                <w:sz w:val="22"/>
                <w:szCs w:val="18"/>
              </w:rPr>
              <w:t>……</w:t>
            </w:r>
          </w:p>
        </w:tc>
        <w:tc>
          <w:tcPr>
            <w:tcW w:w="2256" w:type="dxa"/>
            <w:noWrap w:val="0"/>
            <w:vAlign w:val="center"/>
          </w:tcPr>
          <w:p w14:paraId="4A89405C">
            <w:pPr>
              <w:wordWrap w:val="0"/>
              <w:jc w:val="center"/>
              <w:rPr>
                <w:rFonts w:ascii="宋体" w:hAnsi="宋体"/>
                <w:color w:val="auto"/>
                <w:sz w:val="22"/>
                <w:szCs w:val="18"/>
              </w:rPr>
            </w:pPr>
          </w:p>
        </w:tc>
        <w:tc>
          <w:tcPr>
            <w:tcW w:w="1554" w:type="dxa"/>
            <w:noWrap w:val="0"/>
            <w:vAlign w:val="center"/>
          </w:tcPr>
          <w:p w14:paraId="034C85D5">
            <w:pPr>
              <w:wordWrap w:val="0"/>
              <w:jc w:val="center"/>
              <w:rPr>
                <w:rFonts w:ascii="宋体" w:hAnsi="宋体"/>
                <w:color w:val="auto"/>
                <w:sz w:val="22"/>
                <w:szCs w:val="18"/>
              </w:rPr>
            </w:pPr>
          </w:p>
        </w:tc>
      </w:tr>
    </w:tbl>
    <w:p w14:paraId="67A3E2D2">
      <w:pPr>
        <w:wordWrap w:val="0"/>
        <w:spacing w:line="480" w:lineRule="auto"/>
        <w:ind w:firstLine="480" w:firstLineChars="200"/>
        <w:rPr>
          <w:rFonts w:hint="eastAsia" w:ascii="宋体" w:hAnsi="宋体"/>
          <w:color w:val="auto"/>
          <w:sz w:val="24"/>
        </w:rPr>
      </w:pPr>
    </w:p>
    <w:p w14:paraId="473CABF4">
      <w:pPr>
        <w:wordWrap w:val="0"/>
        <w:spacing w:line="480" w:lineRule="auto"/>
        <w:ind w:firstLine="480" w:firstLineChars="200"/>
        <w:rPr>
          <w:rFonts w:hint="eastAsia" w:ascii="宋体" w:hAnsi="宋体"/>
          <w:color w:val="auto"/>
          <w:sz w:val="24"/>
        </w:rPr>
      </w:pPr>
    </w:p>
    <w:p w14:paraId="03E3C4FA">
      <w:pPr>
        <w:wordWrap w:val="0"/>
        <w:spacing w:line="480" w:lineRule="auto"/>
        <w:ind w:firstLine="480" w:firstLineChars="200"/>
        <w:rPr>
          <w:rFonts w:hint="eastAsia" w:ascii="宋体" w:hAnsi="宋体"/>
          <w:color w:val="auto"/>
          <w:sz w:val="24"/>
        </w:rPr>
      </w:pPr>
    </w:p>
    <w:p w14:paraId="347C7CEA">
      <w:pPr>
        <w:wordWrap w:val="0"/>
        <w:spacing w:line="480" w:lineRule="auto"/>
        <w:ind w:firstLine="480" w:firstLineChars="200"/>
        <w:rPr>
          <w:rFonts w:hint="eastAsia" w:ascii="宋体" w:hAnsi="宋体"/>
          <w:color w:val="auto"/>
          <w:sz w:val="24"/>
        </w:rPr>
      </w:pPr>
    </w:p>
    <w:p w14:paraId="523AD68E">
      <w:pPr>
        <w:wordWrap w:val="0"/>
        <w:spacing w:line="480" w:lineRule="auto"/>
        <w:ind w:firstLine="480" w:firstLineChars="200"/>
        <w:rPr>
          <w:rFonts w:hint="eastAsia" w:ascii="宋体" w:hAnsi="宋体"/>
          <w:color w:val="auto"/>
          <w:sz w:val="24"/>
        </w:rPr>
      </w:pPr>
    </w:p>
    <w:p w14:paraId="39B05DFB">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71A9F314">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3E760484">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A00F059">
      <w:pPr>
        <w:rPr>
          <w:rFonts w:hint="eastAsia" w:ascii="宋体" w:hAnsi="宋体" w:cs="宋体"/>
        </w:rPr>
      </w:pPr>
    </w:p>
    <w:p w14:paraId="286D887D">
      <w:pPr>
        <w:rPr>
          <w:rFonts w:hint="eastAsia" w:ascii="宋体" w:hAnsi="宋体" w:cs="宋体"/>
        </w:rPr>
      </w:pPr>
      <w:r>
        <w:rPr>
          <w:rFonts w:hint="eastAsia" w:ascii="宋体" w:hAnsi="宋体" w:cs="宋体"/>
        </w:rPr>
        <w:br w:type="page"/>
      </w:r>
    </w:p>
    <w:p w14:paraId="77CF33F8">
      <w:pPr>
        <w:pStyle w:val="4"/>
        <w:jc w:val="center"/>
        <w:rPr>
          <w:rFonts w:ascii="宋体" w:hAnsi="宋体" w:cs="宋体"/>
        </w:rPr>
      </w:pPr>
      <w:bookmarkStart w:id="71" w:name="_Toc14284"/>
      <w:r>
        <w:rPr>
          <w:rFonts w:hint="eastAsia" w:ascii="宋体" w:hAnsi="宋体" w:cs="宋体"/>
        </w:rPr>
        <w:t>二、法定代表人身份证明</w:t>
      </w:r>
      <w:bookmarkEnd w:id="61"/>
      <w:bookmarkEnd w:id="62"/>
      <w:bookmarkEnd w:id="63"/>
      <w:bookmarkEnd w:id="64"/>
      <w:bookmarkEnd w:id="65"/>
      <w:bookmarkEnd w:id="66"/>
      <w:bookmarkEnd w:id="67"/>
      <w:bookmarkEnd w:id="68"/>
      <w:bookmarkEnd w:id="69"/>
      <w:bookmarkEnd w:id="70"/>
      <w:bookmarkEnd w:id="71"/>
    </w:p>
    <w:p w14:paraId="1A6FFE71">
      <w:pPr>
        <w:spacing w:line="480" w:lineRule="auto"/>
        <w:ind w:firstLine="480" w:firstLineChars="200"/>
        <w:rPr>
          <w:rFonts w:ascii="宋体" w:hAnsi="宋体" w:cs="宋体"/>
          <w:szCs w:val="21"/>
          <w:u w:val="single"/>
        </w:rPr>
      </w:pPr>
      <w:r>
        <w:rPr>
          <w:rFonts w:hint="eastAsia" w:ascii="宋体" w:hAnsi="宋体"/>
          <w:color w:val="auto"/>
          <w:sz w:val="24"/>
          <w:szCs w:val="21"/>
        </w:rPr>
        <w:t>供应商名称</w:t>
      </w:r>
      <w:r>
        <w:rPr>
          <w:rFonts w:hint="eastAsia" w:ascii="宋体" w:hAnsi="宋体" w:cs="宋体"/>
          <w:szCs w:val="21"/>
        </w:rPr>
        <w:t>：</w:t>
      </w:r>
      <w:r>
        <w:rPr>
          <w:rFonts w:hint="eastAsia" w:ascii="宋体" w:hAnsi="宋体" w:cs="宋体"/>
          <w:szCs w:val="21"/>
          <w:u w:val="single"/>
        </w:rPr>
        <w:t xml:space="preserve">                             </w:t>
      </w:r>
    </w:p>
    <w:p w14:paraId="62360B09">
      <w:pPr>
        <w:tabs>
          <w:tab w:val="left" w:pos="1710"/>
        </w:tabs>
        <w:wordWrap w:val="0"/>
        <w:spacing w:line="480" w:lineRule="auto"/>
        <w:ind w:firstLine="480" w:firstLineChars="200"/>
        <w:rPr>
          <w:rFonts w:ascii="宋体" w:hAnsi="宋体"/>
          <w:color w:val="auto"/>
          <w:sz w:val="24"/>
          <w:szCs w:val="21"/>
        </w:rPr>
      </w:pPr>
      <w:bookmarkStart w:id="72" w:name="_Toc144974861"/>
      <w:bookmarkStart w:id="73" w:name="_Toc238797664"/>
      <w:bookmarkStart w:id="74" w:name="_Toc152045792"/>
      <w:bookmarkStart w:id="75" w:name="_Toc262740155"/>
      <w:bookmarkStart w:id="76" w:name="_Toc238552302"/>
      <w:bookmarkStart w:id="77" w:name="_Toc152042581"/>
      <w:r>
        <w:rPr>
          <w:rFonts w:hint="eastAsia" w:ascii="宋体" w:hAnsi="宋体"/>
          <w:color w:val="auto"/>
          <w:sz w:val="24"/>
          <w:szCs w:val="21"/>
        </w:rPr>
        <w:t>单位性质:</w:t>
      </w:r>
      <w:r>
        <w:rPr>
          <w:rFonts w:hint="eastAsia" w:ascii="宋体" w:hAnsi="宋体"/>
          <w:color w:val="auto"/>
          <w:sz w:val="24"/>
          <w:szCs w:val="21"/>
          <w:u w:val="single"/>
        </w:rPr>
        <w:t xml:space="preserve">                                            </w:t>
      </w:r>
    </w:p>
    <w:p w14:paraId="09B88FB0">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地    址：</w:t>
      </w:r>
      <w:r>
        <w:rPr>
          <w:rFonts w:hint="eastAsia" w:ascii="宋体" w:hAnsi="宋体"/>
          <w:color w:val="auto"/>
          <w:sz w:val="24"/>
          <w:szCs w:val="21"/>
          <w:u w:val="single"/>
        </w:rPr>
        <w:t xml:space="preserve">                                           </w:t>
      </w:r>
    </w:p>
    <w:p w14:paraId="13CA95D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成立时间：</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37D86F0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经营期限：</w:t>
      </w:r>
      <w:r>
        <w:rPr>
          <w:rFonts w:hint="eastAsia" w:ascii="宋体" w:hAnsi="宋体"/>
          <w:color w:val="auto"/>
          <w:sz w:val="24"/>
          <w:szCs w:val="21"/>
          <w:u w:val="single"/>
        </w:rPr>
        <w:t xml:space="preserve">                                           </w:t>
      </w:r>
    </w:p>
    <w:p w14:paraId="2CF35CA5">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姓    名：</w:t>
      </w:r>
      <w:r>
        <w:rPr>
          <w:rFonts w:hint="eastAsia" w:ascii="宋体" w:hAnsi="宋体"/>
          <w:color w:val="auto"/>
          <w:sz w:val="24"/>
          <w:szCs w:val="21"/>
          <w:u w:val="single"/>
        </w:rPr>
        <w:t xml:space="preserve">                 </w:t>
      </w:r>
      <w:r>
        <w:rPr>
          <w:rFonts w:hint="eastAsia" w:ascii="宋体" w:hAnsi="宋体"/>
          <w:color w:val="auto"/>
          <w:sz w:val="24"/>
          <w:szCs w:val="21"/>
        </w:rPr>
        <w:t>性     别：</w:t>
      </w:r>
      <w:r>
        <w:rPr>
          <w:rFonts w:hint="eastAsia" w:ascii="宋体" w:hAnsi="宋体"/>
          <w:color w:val="auto"/>
          <w:sz w:val="24"/>
          <w:szCs w:val="21"/>
          <w:u w:val="single"/>
        </w:rPr>
        <w:t xml:space="preserve">                </w:t>
      </w:r>
    </w:p>
    <w:p w14:paraId="3820229C">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年    龄：</w:t>
      </w:r>
      <w:r>
        <w:rPr>
          <w:rFonts w:hint="eastAsia" w:ascii="宋体" w:hAnsi="宋体"/>
          <w:color w:val="auto"/>
          <w:sz w:val="24"/>
          <w:szCs w:val="21"/>
          <w:u w:val="single"/>
        </w:rPr>
        <w:t xml:space="preserve">                 </w:t>
      </w:r>
      <w:r>
        <w:rPr>
          <w:rFonts w:hint="eastAsia" w:ascii="宋体" w:hAnsi="宋体"/>
          <w:color w:val="auto"/>
          <w:sz w:val="24"/>
          <w:szCs w:val="21"/>
        </w:rPr>
        <w:t>职     务：</w:t>
      </w:r>
      <w:r>
        <w:rPr>
          <w:rFonts w:hint="eastAsia" w:ascii="宋体" w:hAnsi="宋体"/>
          <w:color w:val="auto"/>
          <w:sz w:val="24"/>
          <w:szCs w:val="21"/>
          <w:u w:val="single"/>
        </w:rPr>
        <w:t xml:space="preserve">                </w:t>
      </w:r>
    </w:p>
    <w:p w14:paraId="1BC173D2">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系</w:t>
      </w:r>
      <w:r>
        <w:rPr>
          <w:rFonts w:hint="eastAsia" w:ascii="宋体" w:hAnsi="宋体"/>
          <w:color w:val="auto"/>
          <w:sz w:val="24"/>
          <w:szCs w:val="21"/>
          <w:u w:val="single"/>
        </w:rPr>
        <w:t xml:space="preserve">                                    </w:t>
      </w:r>
      <w:r>
        <w:rPr>
          <w:rFonts w:hint="eastAsia" w:ascii="宋体" w:hAnsi="宋体"/>
          <w:color w:val="auto"/>
          <w:sz w:val="24"/>
          <w:szCs w:val="21"/>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rPr>
        <w:t>）的法定代表人。</w:t>
      </w:r>
    </w:p>
    <w:p w14:paraId="65093C13">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特此证明。</w:t>
      </w:r>
    </w:p>
    <w:tbl>
      <w:tblPr>
        <w:tblStyle w:val="35"/>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A54A2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noWrap w:val="0"/>
            <w:vAlign w:val="center"/>
          </w:tcPr>
          <w:p w14:paraId="28365EA7">
            <w:pPr>
              <w:spacing w:line="360" w:lineRule="auto"/>
              <w:jc w:val="center"/>
              <w:rPr>
                <w:rFonts w:ascii="宋体" w:hAnsi="宋体"/>
                <w:b/>
                <w:color w:val="auto"/>
                <w:sz w:val="24"/>
              </w:rPr>
            </w:pPr>
            <w:r>
              <w:rPr>
                <w:rFonts w:ascii="宋体" w:hAnsi="宋体"/>
                <w:b/>
                <w:color w:val="auto"/>
                <w:sz w:val="24"/>
              </w:rPr>
              <w:t>法定代表人居民身份证复印件（正、反面）</w:t>
            </w:r>
          </w:p>
        </w:tc>
      </w:tr>
    </w:tbl>
    <w:p w14:paraId="1BD09C8B">
      <w:pPr>
        <w:wordWrap w:val="0"/>
        <w:spacing w:line="480" w:lineRule="auto"/>
        <w:ind w:firstLine="480" w:firstLineChars="200"/>
        <w:rPr>
          <w:rFonts w:hint="eastAsia" w:ascii="宋体" w:hAnsi="宋体"/>
          <w:color w:val="auto"/>
          <w:sz w:val="24"/>
        </w:rPr>
      </w:pPr>
    </w:p>
    <w:p w14:paraId="7470EAA9">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10905A99">
      <w:pPr>
        <w:wordWrap w:val="0"/>
        <w:spacing w:line="480" w:lineRule="auto"/>
        <w:ind w:firstLine="480" w:firstLineChars="200"/>
        <w:rPr>
          <w:rFonts w:ascii="宋体" w:hAnsi="宋体"/>
          <w:color w:val="auto"/>
          <w:sz w:val="24"/>
        </w:rPr>
      </w:pPr>
      <w:r>
        <w:rPr>
          <w:rFonts w:hint="eastAsia" w:ascii="宋体" w:hAnsi="宋体"/>
          <w:color w:val="auto"/>
          <w:sz w:val="24"/>
        </w:rPr>
        <w:t>法定代表人：</w:t>
      </w:r>
      <w:r>
        <w:rPr>
          <w:rFonts w:hint="eastAsia" w:ascii="宋体" w:hAnsi="宋体"/>
          <w:color w:val="auto"/>
          <w:sz w:val="24"/>
          <w:szCs w:val="21"/>
          <w:u w:val="single"/>
        </w:rPr>
        <w:t xml:space="preserve">                                </w:t>
      </w:r>
      <w:r>
        <w:rPr>
          <w:rFonts w:hint="eastAsia" w:ascii="宋体" w:hAnsi="宋体"/>
          <w:color w:val="auto"/>
          <w:sz w:val="24"/>
        </w:rPr>
        <w:t>（签字或签章）</w:t>
      </w:r>
    </w:p>
    <w:p w14:paraId="139D15F8">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8888EF6">
      <w:pPr>
        <w:jc w:val="center"/>
        <w:rPr>
          <w:rFonts w:ascii="宋体" w:hAnsi="宋体" w:cs="宋体"/>
        </w:rPr>
      </w:pPr>
      <w:r>
        <w:rPr>
          <w:rFonts w:hint="eastAsia" w:ascii="宋体" w:hAnsi="宋体" w:cs="宋体"/>
        </w:rPr>
        <w:br w:type="page"/>
      </w:r>
      <w:bookmarkStart w:id="78" w:name="_Toc285981646"/>
    </w:p>
    <w:p w14:paraId="3E03A3ED">
      <w:pPr>
        <w:pStyle w:val="4"/>
        <w:jc w:val="center"/>
        <w:rPr>
          <w:rFonts w:ascii="宋体" w:hAnsi="宋体" w:cs="宋体"/>
        </w:rPr>
      </w:pPr>
      <w:bookmarkStart w:id="79" w:name="_Toc25608"/>
      <w:bookmarkStart w:id="80" w:name="_Toc435802467"/>
      <w:bookmarkStart w:id="81" w:name="_Toc1643"/>
      <w:bookmarkStart w:id="82" w:name="_Toc6778"/>
      <w:r>
        <w:rPr>
          <w:rFonts w:hint="eastAsia" w:ascii="宋体" w:hAnsi="宋体" w:cs="宋体"/>
        </w:rPr>
        <w:t>三、授权委托书</w:t>
      </w:r>
      <w:bookmarkEnd w:id="72"/>
      <w:bookmarkEnd w:id="73"/>
      <w:bookmarkEnd w:id="74"/>
      <w:bookmarkEnd w:id="75"/>
      <w:bookmarkEnd w:id="76"/>
      <w:bookmarkEnd w:id="77"/>
      <w:bookmarkEnd w:id="78"/>
      <w:bookmarkEnd w:id="79"/>
      <w:bookmarkEnd w:id="80"/>
      <w:bookmarkEnd w:id="81"/>
      <w:bookmarkEnd w:id="82"/>
    </w:p>
    <w:p w14:paraId="65E7E7D7">
      <w:pPr>
        <w:pStyle w:val="17"/>
        <w:snapToGrid w:val="0"/>
        <w:spacing w:line="480" w:lineRule="auto"/>
        <w:ind w:firstLine="840" w:firstLineChars="400"/>
        <w:rPr>
          <w:rFonts w:hAnsi="宋体" w:cs="宋体"/>
        </w:rPr>
      </w:pPr>
      <w:r>
        <w:rPr>
          <w:rFonts w:hint="eastAsia" w:hAnsi="宋体" w:cs="宋体"/>
        </w:rPr>
        <w:t xml:space="preserve">本人 </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w:t>
      </w:r>
      <w:r>
        <w:rPr>
          <w:rFonts w:hint="eastAsia" w:hAnsi="宋体" w:cs="宋体"/>
          <w:szCs w:val="21"/>
        </w:rPr>
        <w:t>供应商</w:t>
      </w:r>
      <w:r>
        <w:rPr>
          <w:rFonts w:hint="eastAsia" w:hAnsi="宋体" w:cs="宋体"/>
        </w:rPr>
        <w:t>名称）的法定代表人，现委托</w:t>
      </w:r>
      <w:r>
        <w:rPr>
          <w:rFonts w:hint="eastAsia" w:hAnsi="宋体" w:cs="宋体"/>
          <w:u w:val="single"/>
        </w:rPr>
        <w:t xml:space="preserve">           </w:t>
      </w:r>
      <w:r>
        <w:rPr>
          <w:rFonts w:hint="eastAsia" w:hAnsi="宋体" w:cs="宋体"/>
        </w:rPr>
        <w:t>（姓名）为我方代理人。代理人根据授权，以我方名义签署、澄清确认、递交、撤回、修改</w:t>
      </w:r>
      <w:r>
        <w:rPr>
          <w:rFonts w:hint="eastAsia" w:hAnsi="宋体" w:cs="宋体"/>
          <w:u w:val="single"/>
        </w:rPr>
        <w:t>（</w:t>
      </w:r>
      <w:r>
        <w:rPr>
          <w:rFonts w:hint="eastAsia" w:hAnsi="宋体" w:cs="宋体"/>
          <w:u w:val="single"/>
          <w:lang w:eastAsia="zh-CN"/>
        </w:rPr>
        <w:t>谈判</w:t>
      </w:r>
      <w:r>
        <w:rPr>
          <w:rFonts w:hint="eastAsia" w:hAnsi="宋体" w:cs="宋体"/>
          <w:u w:val="single"/>
        </w:rPr>
        <w:t>项目名称）</w:t>
      </w:r>
      <w:r>
        <w:rPr>
          <w:rFonts w:hint="eastAsia" w:hAnsi="宋体" w:cs="宋体"/>
        </w:rPr>
        <w:t>招标项目响应文件、签订合同和处理有关事宜，其法律后果由我方承担。</w:t>
      </w:r>
    </w:p>
    <w:p w14:paraId="017906D0">
      <w:pPr>
        <w:pStyle w:val="17"/>
        <w:snapToGrid w:val="0"/>
        <w:spacing w:line="480" w:lineRule="auto"/>
        <w:ind w:firstLine="420"/>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 xml:space="preserve"> </w:t>
      </w:r>
    </w:p>
    <w:p w14:paraId="03DC6D9D">
      <w:pPr>
        <w:pStyle w:val="17"/>
        <w:snapToGrid w:val="0"/>
        <w:spacing w:line="480" w:lineRule="auto"/>
        <w:ind w:firstLine="420"/>
        <w:rPr>
          <w:rFonts w:hAnsi="宋体" w:cs="宋体"/>
        </w:rPr>
      </w:pPr>
      <w:r>
        <w:rPr>
          <w:rFonts w:hint="eastAsia" w:hAnsi="宋体" w:cs="宋体"/>
        </w:rPr>
        <w:t>代理人无转委托权。</w:t>
      </w:r>
    </w:p>
    <w:p w14:paraId="30FB110F">
      <w:pPr>
        <w:pStyle w:val="17"/>
        <w:snapToGrid w:val="0"/>
        <w:spacing w:line="480" w:lineRule="auto"/>
        <w:ind w:firstLine="420"/>
        <w:rPr>
          <w:rFonts w:hAnsi="宋体" w:cs="宋体"/>
        </w:rPr>
      </w:pPr>
      <w:r>
        <w:rPr>
          <w:rFonts w:hint="eastAsia" w:hAnsi="宋体" w:cs="宋体"/>
        </w:rPr>
        <w:t>附：法定代表人身份证复印件及委托代理人身份证复印件</w:t>
      </w:r>
    </w:p>
    <w:p w14:paraId="0E5B6B49">
      <w:pPr>
        <w:pStyle w:val="17"/>
        <w:snapToGrid w:val="0"/>
        <w:spacing w:line="480" w:lineRule="auto"/>
        <w:ind w:firstLine="420"/>
        <w:rPr>
          <w:rFonts w:hAnsi="宋体" w:cs="宋体"/>
        </w:rPr>
      </w:pPr>
      <w:r>
        <w:rPr>
          <w:rFonts w:hint="eastAsia" w:hAnsi="宋体" w:cs="宋体"/>
        </w:rPr>
        <w:t>注：本授权委托书需由供应商加盖单位公章并由其法定代表人和委托代理人签字</w:t>
      </w:r>
    </w:p>
    <w:p w14:paraId="023D72FF">
      <w:pPr>
        <w:pStyle w:val="17"/>
        <w:snapToGrid w:val="0"/>
        <w:spacing w:line="360" w:lineRule="auto"/>
        <w:ind w:firstLine="400"/>
        <w:rPr>
          <w:rFonts w:hAnsi="宋体" w:cs="宋体"/>
        </w:rPr>
      </w:pPr>
    </w:p>
    <w:p w14:paraId="226D95DD">
      <w:pPr>
        <w:pStyle w:val="17"/>
        <w:snapToGrid w:val="0"/>
        <w:spacing w:line="360" w:lineRule="auto"/>
        <w:ind w:firstLine="400"/>
        <w:rPr>
          <w:rFonts w:hAnsi="宋体" w:cs="宋体"/>
        </w:rPr>
      </w:pPr>
    </w:p>
    <w:p w14:paraId="1AFDABF0">
      <w:pPr>
        <w:pStyle w:val="17"/>
        <w:snapToGrid w:val="0"/>
        <w:spacing w:line="720" w:lineRule="auto"/>
        <w:ind w:firstLine="3120" w:firstLineChars="1300"/>
        <w:rPr>
          <w:rFonts w:hAnsi="宋体" w:cs="宋体"/>
        </w:rPr>
      </w:pPr>
      <w:r>
        <w:rPr>
          <w:rFonts w:hint="eastAsia" w:ascii="宋体" w:hAnsi="宋体"/>
          <w:color w:val="auto"/>
          <w:sz w:val="24"/>
        </w:rPr>
        <w:t>供应商名称</w:t>
      </w:r>
      <w:r>
        <w:rPr>
          <w:rFonts w:hint="eastAsia" w:hAnsi="宋体" w:cs="宋体"/>
        </w:rPr>
        <w:t>：</w:t>
      </w:r>
      <w:r>
        <w:rPr>
          <w:rFonts w:hint="eastAsia" w:hAnsi="宋体" w:cs="宋体"/>
          <w:u w:val="single"/>
        </w:rPr>
        <w:t xml:space="preserve">                      </w:t>
      </w:r>
      <w:r>
        <w:rPr>
          <w:rFonts w:hint="eastAsia" w:hAnsi="宋体" w:cs="宋体"/>
        </w:rPr>
        <w:t>（盖单位</w:t>
      </w:r>
      <w:r>
        <w:rPr>
          <w:rFonts w:hint="eastAsia" w:hAnsi="宋体" w:cs="宋体"/>
          <w:lang w:eastAsia="zh-CN"/>
        </w:rPr>
        <w:t>公</w:t>
      </w:r>
      <w:r>
        <w:rPr>
          <w:rFonts w:hint="eastAsia" w:hAnsi="宋体" w:cs="宋体"/>
        </w:rPr>
        <w:t>章）</w:t>
      </w:r>
    </w:p>
    <w:p w14:paraId="40761749">
      <w:pPr>
        <w:pStyle w:val="17"/>
        <w:snapToGrid w:val="0"/>
        <w:spacing w:line="720" w:lineRule="auto"/>
        <w:ind w:firstLine="3158" w:firstLineChars="1504"/>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w:t>
      </w:r>
      <w:r>
        <w:rPr>
          <w:rFonts w:hint="eastAsia" w:ascii="宋体" w:hAnsi="宋体"/>
          <w:color w:val="auto"/>
          <w:sz w:val="24"/>
        </w:rPr>
        <w:t>签字或签章</w:t>
      </w:r>
      <w:r>
        <w:rPr>
          <w:rFonts w:hint="eastAsia" w:hAnsi="宋体" w:cs="宋体"/>
        </w:rPr>
        <w:t>）</w:t>
      </w:r>
    </w:p>
    <w:p w14:paraId="1BB0DD86">
      <w:pPr>
        <w:pStyle w:val="17"/>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6E2A5191">
      <w:pPr>
        <w:pStyle w:val="17"/>
        <w:snapToGrid w:val="0"/>
        <w:spacing w:line="720" w:lineRule="auto"/>
        <w:ind w:firstLine="3158" w:firstLineChars="1504"/>
        <w:rPr>
          <w:rFonts w:hAnsi="宋体" w:cs="宋体"/>
        </w:rPr>
      </w:pPr>
      <w:r>
        <w:rPr>
          <w:rFonts w:hint="eastAsia" w:hAnsi="宋体" w:cs="宋体"/>
        </w:rPr>
        <w:t>授权代理人：</w:t>
      </w:r>
      <w:r>
        <w:rPr>
          <w:rFonts w:hint="eastAsia" w:hAnsi="宋体" w:cs="宋体"/>
          <w:u w:val="single"/>
        </w:rPr>
        <w:t xml:space="preserve">                      </w:t>
      </w:r>
      <w:r>
        <w:rPr>
          <w:rFonts w:hint="eastAsia" w:hAnsi="宋体" w:cs="宋体"/>
        </w:rPr>
        <w:t>（签字）</w:t>
      </w:r>
    </w:p>
    <w:p w14:paraId="35D3F5B8">
      <w:pPr>
        <w:pStyle w:val="17"/>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703C90F3">
      <w:pPr>
        <w:spacing w:line="360" w:lineRule="auto"/>
        <w:ind w:firstLine="3998" w:firstLineChars="19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E6473">
      <w:pPr>
        <w:spacing w:line="319" w:lineRule="exact"/>
        <w:rPr>
          <w:rFonts w:ascii="宋体" w:hAnsi="宋体" w:cs="宋体"/>
          <w:color w:val="000000"/>
          <w:sz w:val="30"/>
        </w:rPr>
      </w:pPr>
    </w:p>
    <w:p w14:paraId="0D3DC8C6">
      <w:pPr>
        <w:spacing w:line="319" w:lineRule="exact"/>
        <w:rPr>
          <w:rFonts w:ascii="宋体" w:hAnsi="宋体" w:cs="宋体"/>
          <w:color w:val="000000"/>
          <w:sz w:val="30"/>
        </w:rPr>
      </w:pPr>
    </w:p>
    <w:p w14:paraId="644F5083">
      <w:pPr>
        <w:spacing w:line="319" w:lineRule="exact"/>
        <w:rPr>
          <w:rFonts w:ascii="宋体" w:hAnsi="宋体" w:cs="宋体"/>
          <w:color w:val="000000"/>
          <w:sz w:val="30"/>
        </w:rPr>
      </w:pPr>
    </w:p>
    <w:p w14:paraId="22182E44">
      <w:pPr>
        <w:pStyle w:val="103"/>
        <w:jc w:val="both"/>
        <w:rPr>
          <w:color w:val="auto"/>
          <w:sz w:val="21"/>
          <w:szCs w:val="21"/>
        </w:rPr>
      </w:pPr>
      <w:r>
        <w:rPr>
          <w:color w:val="auto"/>
          <w:sz w:val="21"/>
          <w:szCs w:val="21"/>
        </w:rPr>
        <w:t>要求：真实有效且内容完整、清晰、整洁。</w:t>
      </w:r>
    </w:p>
    <w:p w14:paraId="073B7BB1">
      <w:pPr>
        <w:pStyle w:val="103"/>
        <w:ind w:firstLine="480"/>
        <w:jc w:val="both"/>
        <w:rPr>
          <w:color w:val="auto"/>
          <w:sz w:val="21"/>
          <w:szCs w:val="21"/>
        </w:rPr>
      </w:pPr>
      <w:r>
        <w:rPr>
          <w:color w:val="auto"/>
          <w:sz w:val="21"/>
          <w:szCs w:val="21"/>
        </w:rPr>
        <w:t>※注意：</w:t>
      </w:r>
    </w:p>
    <w:p w14:paraId="68C13410">
      <w:pPr>
        <w:pStyle w:val="103"/>
        <w:ind w:firstLine="480"/>
        <w:jc w:val="both"/>
        <w:rPr>
          <w:color w:val="auto"/>
          <w:sz w:val="21"/>
          <w:szCs w:val="21"/>
        </w:rPr>
      </w:pPr>
      <w:r>
        <w:rPr>
          <w:color w:val="auto"/>
          <w:sz w:val="21"/>
          <w:szCs w:val="21"/>
        </w:rPr>
        <w:t>1、企业（银行、保险、石油石化、电力、电信等行业除外）、事业单位和社会团体法人的“单位负责人”指法定代表人，即与实际提交的“营业执照等证明文件”载明的一致。</w:t>
      </w:r>
    </w:p>
    <w:p w14:paraId="72D5409C">
      <w:pPr>
        <w:pStyle w:val="103"/>
        <w:ind w:firstLine="480"/>
        <w:jc w:val="both"/>
        <w:rPr>
          <w:color w:val="auto"/>
          <w:sz w:val="21"/>
          <w:szCs w:val="21"/>
        </w:rPr>
      </w:pPr>
      <w:r>
        <w:rPr>
          <w:color w:val="auto"/>
          <w:sz w:val="21"/>
          <w:szCs w:val="21"/>
        </w:rPr>
        <w:t>2、银行、保险、石油石化、电力、电信等行业：以法人身份参加投标的</w:t>
      </w:r>
      <w:r>
        <w:rPr>
          <w:rFonts w:hint="eastAsia"/>
          <w:color w:val="auto"/>
          <w:sz w:val="21"/>
          <w:szCs w:val="21"/>
          <w:lang w:eastAsia="zh-CN"/>
        </w:rPr>
        <w:t>，</w:t>
      </w:r>
      <w:r>
        <w:rPr>
          <w:color w:val="auto"/>
          <w:sz w:val="21"/>
          <w:szCs w:val="21"/>
        </w:rPr>
        <w:t>“单位负责人”指法定代表人，即与实际提交的“营业执照等证明文件”载明的一致；以非法人身份参加投标的，“单位负责人”指代表单位行使职权的主要负责人，即与实际提交的“营业执照等证明文件”载明的一致。</w:t>
      </w:r>
    </w:p>
    <w:p w14:paraId="580C101C">
      <w:pPr>
        <w:pStyle w:val="103"/>
        <w:ind w:firstLine="480"/>
        <w:jc w:val="both"/>
        <w:rPr>
          <w:color w:val="auto"/>
          <w:sz w:val="21"/>
          <w:szCs w:val="21"/>
        </w:rPr>
      </w:pPr>
      <w:r>
        <w:rPr>
          <w:color w:val="auto"/>
          <w:sz w:val="21"/>
          <w:szCs w:val="21"/>
        </w:rPr>
        <w:t>3、投标人（自然人除外）：若投标人代表为单位授权的委托代理人，应提供本授权书</w:t>
      </w:r>
      <w:r>
        <w:rPr>
          <w:rFonts w:hint="eastAsia"/>
          <w:color w:val="auto"/>
          <w:sz w:val="21"/>
          <w:szCs w:val="21"/>
          <w:lang w:eastAsia="zh-CN"/>
        </w:rPr>
        <w:t>，法定代表人委托他人投标的，委托代理人应是投标人本单位的人员</w:t>
      </w:r>
      <w:r>
        <w:rPr>
          <w:color w:val="auto"/>
          <w:sz w:val="21"/>
          <w:szCs w:val="21"/>
        </w:rPr>
        <w:t>；若投标人代表为单位负责人，应在此项下提交</w:t>
      </w:r>
      <w:r>
        <w:rPr>
          <w:rFonts w:hint="eastAsia"/>
          <w:color w:val="auto"/>
          <w:sz w:val="21"/>
          <w:szCs w:val="21"/>
        </w:rPr>
        <w:t>法定代表人身份证明</w:t>
      </w:r>
      <w:r>
        <w:rPr>
          <w:rFonts w:hint="eastAsia"/>
          <w:color w:val="auto"/>
          <w:sz w:val="21"/>
          <w:szCs w:val="21"/>
          <w:lang w:val="en-US" w:eastAsia="zh-CN"/>
        </w:rPr>
        <w:t>或</w:t>
      </w:r>
      <w:r>
        <w:rPr>
          <w:color w:val="auto"/>
          <w:sz w:val="21"/>
          <w:szCs w:val="21"/>
        </w:rPr>
        <w:t>其身份证正反面复印件，可不提供本授权书。</w:t>
      </w:r>
    </w:p>
    <w:p w14:paraId="329D3418">
      <w:pPr>
        <w:pStyle w:val="103"/>
        <w:ind w:firstLine="480"/>
        <w:jc w:val="both"/>
        <w:rPr>
          <w:color w:val="auto"/>
          <w:sz w:val="21"/>
          <w:szCs w:val="21"/>
        </w:rPr>
      </w:pPr>
      <w:r>
        <w:rPr>
          <w:color w:val="auto"/>
          <w:sz w:val="21"/>
          <w:szCs w:val="21"/>
        </w:rPr>
        <w:t>4、投标人为自然人的，</w:t>
      </w:r>
      <w:r>
        <w:rPr>
          <w:rFonts w:hint="eastAsia"/>
          <w:color w:val="auto"/>
          <w:sz w:val="21"/>
          <w:szCs w:val="21"/>
          <w:lang w:val="en-US" w:eastAsia="zh-CN"/>
        </w:rPr>
        <w:t>应在此项下提交</w:t>
      </w:r>
      <w:r>
        <w:rPr>
          <w:rFonts w:hint="eastAsia"/>
          <w:color w:val="auto"/>
          <w:sz w:val="21"/>
          <w:szCs w:val="21"/>
        </w:rPr>
        <w:t>其身份证正反面复印件</w:t>
      </w:r>
      <w:r>
        <w:rPr>
          <w:rFonts w:hint="eastAsia"/>
          <w:color w:val="auto"/>
          <w:sz w:val="21"/>
          <w:szCs w:val="21"/>
          <w:lang w:eastAsia="zh-CN"/>
        </w:rPr>
        <w:t>，</w:t>
      </w:r>
      <w:r>
        <w:rPr>
          <w:color w:val="auto"/>
          <w:sz w:val="21"/>
          <w:szCs w:val="21"/>
        </w:rPr>
        <w:t>可不填写本授权书。</w:t>
      </w:r>
    </w:p>
    <w:p w14:paraId="1548BF5F">
      <w:pPr>
        <w:spacing w:line="319" w:lineRule="exact"/>
        <w:rPr>
          <w:rFonts w:ascii="宋体" w:hAnsi="宋体" w:cs="宋体"/>
          <w:color w:val="000000"/>
          <w:sz w:val="30"/>
        </w:rPr>
      </w:pPr>
      <w:r>
        <w:rPr>
          <w:rFonts w:ascii="宋体" w:hAnsi="宋体" w:eastAsia="宋体"/>
          <w:color w:val="auto"/>
          <w:sz w:val="21"/>
          <w:szCs w:val="21"/>
        </w:rPr>
        <w:br w:type="page"/>
      </w:r>
    </w:p>
    <w:p w14:paraId="25A94D5F">
      <w:pPr>
        <w:spacing w:line="319" w:lineRule="exact"/>
        <w:rPr>
          <w:rFonts w:ascii="宋体" w:hAnsi="宋体" w:cs="宋体"/>
          <w:color w:val="000000"/>
          <w:sz w:val="30"/>
        </w:rPr>
      </w:pPr>
    </w:p>
    <w:p w14:paraId="5618D05C">
      <w:pPr>
        <w:spacing w:line="319" w:lineRule="exact"/>
        <w:rPr>
          <w:rFonts w:ascii="宋体" w:hAnsi="宋体" w:cs="宋体"/>
          <w:color w:val="000000"/>
          <w:sz w:val="30"/>
        </w:rPr>
      </w:pPr>
    </w:p>
    <w:p w14:paraId="1ECB2A20">
      <w:pPr>
        <w:pStyle w:val="4"/>
        <w:bidi w:val="0"/>
        <w:jc w:val="center"/>
        <w:rPr>
          <w:rFonts w:hint="eastAsia"/>
          <w:lang w:val="en-US" w:eastAsia="zh-CN"/>
        </w:rPr>
      </w:pPr>
      <w:bookmarkStart w:id="83" w:name="_Toc14200"/>
      <w:r>
        <w:rPr>
          <w:rFonts w:hint="eastAsia"/>
          <w:lang w:val="en-US" w:eastAsia="zh-CN"/>
        </w:rPr>
        <w:t>四、首次报价一览表</w:t>
      </w:r>
      <w:bookmarkEnd w:id="83"/>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34"/>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服务承诺</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18"/>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18"/>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12"/>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12"/>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12"/>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12"/>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lang w:eastAsia="en-US"/>
        </w:rPr>
      </w:pPr>
      <w:r>
        <w:rPr>
          <w:rFonts w:hint="eastAsia" w:ascii="宋体" w:hAnsi="宋体" w:cs="宋体"/>
          <w:b/>
          <w:kern w:val="0"/>
          <w:sz w:val="32"/>
          <w:szCs w:val="32"/>
        </w:rPr>
        <w:t>报价明细表</w:t>
      </w:r>
    </w:p>
    <w:tbl>
      <w:tblPr>
        <w:tblStyle w:val="35"/>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rPr>
            </w:pPr>
            <w:r>
              <w:rPr>
                <w:rFonts w:hint="eastAsia" w:ascii="宋体" w:hAnsi="宋体" w:cs="宋体"/>
                <w:b/>
                <w:bCs/>
                <w:kern w:val="0"/>
                <w:sz w:val="24"/>
              </w:rPr>
              <w:t xml:space="preserve">项目名称：                                         </w:t>
            </w:r>
            <w:r>
              <w:rPr>
                <w:rFonts w:hint="eastAsia" w:ascii="宋体" w:hAnsi="宋体" w:cs="宋体"/>
                <w:b/>
                <w:kern w:val="0"/>
                <w:sz w:val="24"/>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rPr>
            </w:pPr>
            <w:r>
              <w:rPr>
                <w:rFonts w:hint="eastAsia" w:ascii="宋体" w:hAnsi="宋体" w:cs="宋体"/>
                <w:kern w:val="0"/>
                <w:sz w:val="24"/>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352F204B">
            <w:pPr>
              <w:spacing w:line="288" w:lineRule="auto"/>
              <w:jc w:val="center"/>
              <w:rPr>
                <w:rFonts w:ascii="宋体" w:hAnsi="宋体" w:cs="宋体"/>
                <w:kern w:val="0"/>
                <w:sz w:val="24"/>
                <w:lang w:eastAsia="en-US"/>
              </w:rPr>
            </w:pPr>
            <w:r>
              <w:rPr>
                <w:rFonts w:hint="eastAsia" w:ascii="宋体" w:hAnsi="宋体" w:cs="宋体"/>
                <w:kern w:val="0"/>
                <w:sz w:val="24"/>
                <w:lang w:eastAsia="en-US"/>
              </w:rPr>
              <w:t>货物名称</w:t>
            </w:r>
          </w:p>
        </w:tc>
        <w:tc>
          <w:tcPr>
            <w:tcW w:w="728" w:type="dxa"/>
            <w:noWrap w:val="0"/>
            <w:vAlign w:val="center"/>
          </w:tcPr>
          <w:p w14:paraId="1A7C88F0">
            <w:pPr>
              <w:spacing w:line="288" w:lineRule="auto"/>
              <w:jc w:val="center"/>
              <w:rPr>
                <w:rFonts w:ascii="宋体" w:hAnsi="宋体" w:cs="宋体"/>
                <w:kern w:val="0"/>
                <w:sz w:val="24"/>
                <w:lang w:eastAsia="en-US"/>
              </w:rPr>
            </w:pPr>
            <w:r>
              <w:rPr>
                <w:rFonts w:hint="eastAsia" w:ascii="宋体" w:hAnsi="宋体" w:cs="宋体"/>
                <w:kern w:val="0"/>
                <w:sz w:val="24"/>
                <w:lang w:eastAsia="en-US"/>
              </w:rPr>
              <w:t>制造厂商</w:t>
            </w:r>
          </w:p>
        </w:tc>
        <w:tc>
          <w:tcPr>
            <w:tcW w:w="788" w:type="dxa"/>
            <w:noWrap w:val="0"/>
            <w:vAlign w:val="center"/>
          </w:tcPr>
          <w:p w14:paraId="69E58B06">
            <w:pPr>
              <w:spacing w:line="288" w:lineRule="auto"/>
              <w:jc w:val="center"/>
              <w:rPr>
                <w:rFonts w:ascii="宋体" w:hAnsi="宋体" w:cs="宋体"/>
                <w:kern w:val="0"/>
                <w:sz w:val="24"/>
                <w:lang w:eastAsia="en-US"/>
              </w:rPr>
            </w:pPr>
            <w:r>
              <w:rPr>
                <w:rFonts w:hint="eastAsia" w:ascii="宋体" w:hAnsi="宋体" w:cs="宋体"/>
                <w:kern w:val="0"/>
                <w:sz w:val="24"/>
                <w:lang w:eastAsia="en-US"/>
              </w:rPr>
              <w:t>品牌型号</w:t>
            </w:r>
          </w:p>
        </w:tc>
        <w:tc>
          <w:tcPr>
            <w:tcW w:w="739" w:type="dxa"/>
            <w:noWrap w:val="0"/>
            <w:vAlign w:val="center"/>
          </w:tcPr>
          <w:p w14:paraId="1FB742A0">
            <w:pPr>
              <w:spacing w:line="288" w:lineRule="auto"/>
              <w:jc w:val="center"/>
              <w:rPr>
                <w:rFonts w:ascii="宋体" w:hAnsi="宋体" w:cs="宋体"/>
                <w:kern w:val="0"/>
                <w:sz w:val="24"/>
                <w:lang w:eastAsia="en-US"/>
              </w:rPr>
            </w:pPr>
            <w:r>
              <w:rPr>
                <w:rFonts w:hint="eastAsia" w:ascii="宋体" w:hAnsi="宋体" w:cs="宋体"/>
                <w:kern w:val="0"/>
                <w:sz w:val="24"/>
                <w:lang w:eastAsia="en-US"/>
              </w:rPr>
              <w:t>数量</w:t>
            </w:r>
          </w:p>
        </w:tc>
        <w:tc>
          <w:tcPr>
            <w:tcW w:w="1623" w:type="dxa"/>
            <w:noWrap w:val="0"/>
            <w:vAlign w:val="center"/>
          </w:tcPr>
          <w:p w14:paraId="4DAF4BA9">
            <w:pPr>
              <w:spacing w:line="288" w:lineRule="auto"/>
              <w:jc w:val="center"/>
              <w:rPr>
                <w:rFonts w:ascii="宋体" w:hAnsi="宋体" w:cs="宋体"/>
                <w:kern w:val="0"/>
                <w:sz w:val="24"/>
                <w:lang w:eastAsia="en-US"/>
              </w:rPr>
            </w:pPr>
            <w:r>
              <w:rPr>
                <w:rFonts w:hint="eastAsia" w:ascii="宋体" w:hAnsi="宋体" w:cs="宋体"/>
                <w:kern w:val="0"/>
                <w:sz w:val="24"/>
                <w:lang w:eastAsia="en-US"/>
              </w:rPr>
              <w:t>单价</w:t>
            </w:r>
          </w:p>
        </w:tc>
        <w:tc>
          <w:tcPr>
            <w:tcW w:w="2249" w:type="dxa"/>
            <w:noWrap w:val="0"/>
            <w:vAlign w:val="center"/>
          </w:tcPr>
          <w:p w14:paraId="277924B4">
            <w:pPr>
              <w:spacing w:line="288" w:lineRule="auto"/>
              <w:jc w:val="center"/>
              <w:rPr>
                <w:rFonts w:ascii="宋体" w:hAnsi="宋体" w:cs="宋体"/>
                <w:kern w:val="0"/>
                <w:sz w:val="24"/>
                <w:lang w:eastAsia="en-US"/>
              </w:rPr>
            </w:pPr>
            <w:r>
              <w:rPr>
                <w:rFonts w:hint="eastAsia" w:ascii="宋体" w:hAnsi="宋体" w:cs="宋体"/>
                <w:kern w:val="0"/>
                <w:sz w:val="24"/>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lang w:eastAsia="en-US"/>
              </w:rPr>
            </w:pPr>
          </w:p>
        </w:tc>
        <w:tc>
          <w:tcPr>
            <w:tcW w:w="2281" w:type="dxa"/>
            <w:noWrap w:val="0"/>
            <w:vAlign w:val="center"/>
          </w:tcPr>
          <w:p w14:paraId="0116C425">
            <w:pPr>
              <w:spacing w:line="288" w:lineRule="auto"/>
              <w:jc w:val="center"/>
              <w:rPr>
                <w:rFonts w:ascii="宋体" w:hAnsi="宋体" w:cs="宋体"/>
                <w:kern w:val="0"/>
                <w:sz w:val="24"/>
                <w:lang w:eastAsia="en-US"/>
              </w:rPr>
            </w:pPr>
          </w:p>
        </w:tc>
        <w:tc>
          <w:tcPr>
            <w:tcW w:w="728" w:type="dxa"/>
            <w:noWrap w:val="0"/>
            <w:vAlign w:val="center"/>
          </w:tcPr>
          <w:p w14:paraId="657A50DB">
            <w:pPr>
              <w:spacing w:line="288" w:lineRule="auto"/>
              <w:jc w:val="center"/>
              <w:rPr>
                <w:rFonts w:ascii="宋体" w:hAnsi="宋体" w:cs="宋体"/>
                <w:kern w:val="0"/>
                <w:sz w:val="24"/>
                <w:lang w:eastAsia="en-US"/>
              </w:rPr>
            </w:pPr>
          </w:p>
        </w:tc>
        <w:tc>
          <w:tcPr>
            <w:tcW w:w="788" w:type="dxa"/>
            <w:noWrap w:val="0"/>
            <w:vAlign w:val="center"/>
          </w:tcPr>
          <w:p w14:paraId="32CF48ED">
            <w:pPr>
              <w:spacing w:line="288" w:lineRule="auto"/>
              <w:jc w:val="center"/>
              <w:rPr>
                <w:rFonts w:ascii="宋体" w:hAnsi="宋体" w:cs="宋体"/>
                <w:kern w:val="0"/>
                <w:sz w:val="24"/>
                <w:lang w:eastAsia="en-US"/>
              </w:rPr>
            </w:pPr>
          </w:p>
        </w:tc>
        <w:tc>
          <w:tcPr>
            <w:tcW w:w="739" w:type="dxa"/>
            <w:noWrap w:val="0"/>
            <w:vAlign w:val="center"/>
          </w:tcPr>
          <w:p w14:paraId="5E5EB4ED">
            <w:pPr>
              <w:spacing w:line="288" w:lineRule="auto"/>
              <w:jc w:val="center"/>
              <w:rPr>
                <w:rFonts w:ascii="宋体" w:hAnsi="宋体" w:cs="宋体"/>
                <w:kern w:val="0"/>
                <w:sz w:val="24"/>
                <w:lang w:eastAsia="en-US"/>
              </w:rPr>
            </w:pPr>
          </w:p>
        </w:tc>
        <w:tc>
          <w:tcPr>
            <w:tcW w:w="1623" w:type="dxa"/>
            <w:noWrap w:val="0"/>
            <w:vAlign w:val="center"/>
          </w:tcPr>
          <w:p w14:paraId="3B1DB476">
            <w:pPr>
              <w:spacing w:line="288" w:lineRule="auto"/>
              <w:jc w:val="center"/>
              <w:rPr>
                <w:rFonts w:ascii="宋体" w:hAnsi="宋体" w:cs="宋体"/>
                <w:kern w:val="0"/>
                <w:sz w:val="24"/>
                <w:lang w:eastAsia="en-US"/>
              </w:rPr>
            </w:pPr>
          </w:p>
        </w:tc>
        <w:tc>
          <w:tcPr>
            <w:tcW w:w="2249" w:type="dxa"/>
            <w:noWrap w:val="0"/>
            <w:vAlign w:val="center"/>
          </w:tcPr>
          <w:p w14:paraId="09C59682">
            <w:pPr>
              <w:spacing w:line="288" w:lineRule="auto"/>
              <w:jc w:val="center"/>
              <w:rPr>
                <w:rFonts w:ascii="宋体" w:hAnsi="宋体" w:cs="宋体"/>
                <w:kern w:val="0"/>
                <w:sz w:val="24"/>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3F941476">
            <w:pPr>
              <w:spacing w:line="288" w:lineRule="auto"/>
              <w:jc w:val="center"/>
              <w:rPr>
                <w:rFonts w:ascii="宋体" w:hAnsi="宋体" w:cs="宋体"/>
                <w:kern w:val="0"/>
                <w:sz w:val="24"/>
                <w:lang w:eastAsia="en-US"/>
              </w:rPr>
            </w:pPr>
          </w:p>
        </w:tc>
        <w:tc>
          <w:tcPr>
            <w:tcW w:w="728" w:type="dxa"/>
            <w:noWrap w:val="0"/>
            <w:vAlign w:val="center"/>
          </w:tcPr>
          <w:p w14:paraId="1D752A0B">
            <w:pPr>
              <w:spacing w:line="288" w:lineRule="auto"/>
              <w:jc w:val="center"/>
              <w:rPr>
                <w:rFonts w:ascii="宋体" w:hAnsi="宋体" w:cs="宋体"/>
                <w:kern w:val="0"/>
                <w:sz w:val="24"/>
                <w:lang w:eastAsia="en-US"/>
              </w:rPr>
            </w:pPr>
          </w:p>
        </w:tc>
        <w:tc>
          <w:tcPr>
            <w:tcW w:w="788" w:type="dxa"/>
            <w:noWrap w:val="0"/>
            <w:vAlign w:val="center"/>
          </w:tcPr>
          <w:p w14:paraId="55E90CBF">
            <w:pPr>
              <w:spacing w:line="288" w:lineRule="auto"/>
              <w:jc w:val="center"/>
              <w:rPr>
                <w:rFonts w:ascii="宋体" w:hAnsi="宋体" w:cs="宋体"/>
                <w:kern w:val="0"/>
                <w:sz w:val="24"/>
                <w:lang w:eastAsia="en-US"/>
              </w:rPr>
            </w:pPr>
          </w:p>
        </w:tc>
        <w:tc>
          <w:tcPr>
            <w:tcW w:w="739" w:type="dxa"/>
            <w:noWrap w:val="0"/>
            <w:vAlign w:val="center"/>
          </w:tcPr>
          <w:p w14:paraId="29E85EAA">
            <w:pPr>
              <w:spacing w:line="288" w:lineRule="auto"/>
              <w:jc w:val="center"/>
              <w:rPr>
                <w:rFonts w:ascii="宋体" w:hAnsi="宋体" w:cs="宋体"/>
                <w:kern w:val="0"/>
                <w:sz w:val="24"/>
                <w:lang w:eastAsia="en-US"/>
              </w:rPr>
            </w:pPr>
          </w:p>
        </w:tc>
        <w:tc>
          <w:tcPr>
            <w:tcW w:w="1623" w:type="dxa"/>
            <w:noWrap w:val="0"/>
            <w:vAlign w:val="center"/>
          </w:tcPr>
          <w:p w14:paraId="6B078C17">
            <w:pPr>
              <w:spacing w:line="288" w:lineRule="auto"/>
              <w:jc w:val="center"/>
              <w:rPr>
                <w:rFonts w:ascii="宋体" w:hAnsi="宋体" w:cs="宋体"/>
                <w:kern w:val="0"/>
                <w:sz w:val="24"/>
                <w:lang w:eastAsia="en-US"/>
              </w:rPr>
            </w:pPr>
          </w:p>
        </w:tc>
        <w:tc>
          <w:tcPr>
            <w:tcW w:w="2249" w:type="dxa"/>
            <w:noWrap w:val="0"/>
            <w:vAlign w:val="center"/>
          </w:tcPr>
          <w:p w14:paraId="535AC6D9">
            <w:pPr>
              <w:spacing w:line="288" w:lineRule="auto"/>
              <w:jc w:val="center"/>
              <w:rPr>
                <w:rFonts w:ascii="宋体" w:hAnsi="宋体" w:cs="宋体"/>
                <w:kern w:val="0"/>
                <w:sz w:val="24"/>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lang w:eastAsia="en-US"/>
              </w:rPr>
            </w:pPr>
          </w:p>
        </w:tc>
        <w:tc>
          <w:tcPr>
            <w:tcW w:w="2281" w:type="dxa"/>
            <w:noWrap w:val="0"/>
            <w:vAlign w:val="center"/>
          </w:tcPr>
          <w:p w14:paraId="5F86845F">
            <w:pPr>
              <w:spacing w:line="288" w:lineRule="auto"/>
              <w:jc w:val="center"/>
              <w:rPr>
                <w:rFonts w:ascii="宋体" w:hAnsi="宋体" w:cs="宋体"/>
                <w:kern w:val="0"/>
                <w:sz w:val="24"/>
                <w:lang w:eastAsia="en-US"/>
              </w:rPr>
            </w:pPr>
            <w:r>
              <w:rPr>
                <w:rFonts w:hint="eastAsia" w:ascii="宋体" w:hAnsi="宋体" w:cs="宋体"/>
                <w:kern w:val="0"/>
                <w:sz w:val="24"/>
                <w:lang w:eastAsia="en-US"/>
              </w:rPr>
              <w:t>合计</w:t>
            </w:r>
          </w:p>
        </w:tc>
        <w:tc>
          <w:tcPr>
            <w:tcW w:w="728" w:type="dxa"/>
            <w:noWrap w:val="0"/>
            <w:vAlign w:val="center"/>
          </w:tcPr>
          <w:p w14:paraId="231ED07F">
            <w:pPr>
              <w:spacing w:line="288" w:lineRule="auto"/>
              <w:jc w:val="center"/>
              <w:rPr>
                <w:rFonts w:ascii="宋体" w:hAnsi="宋体" w:cs="宋体"/>
                <w:kern w:val="0"/>
                <w:sz w:val="24"/>
                <w:lang w:eastAsia="en-US"/>
              </w:rPr>
            </w:pPr>
          </w:p>
        </w:tc>
        <w:tc>
          <w:tcPr>
            <w:tcW w:w="788" w:type="dxa"/>
            <w:noWrap w:val="0"/>
            <w:vAlign w:val="center"/>
          </w:tcPr>
          <w:p w14:paraId="52970559">
            <w:pPr>
              <w:spacing w:line="288" w:lineRule="auto"/>
              <w:jc w:val="center"/>
              <w:rPr>
                <w:rFonts w:ascii="宋体" w:hAnsi="宋体" w:cs="宋体"/>
                <w:kern w:val="0"/>
                <w:sz w:val="24"/>
                <w:lang w:eastAsia="en-US"/>
              </w:rPr>
            </w:pPr>
          </w:p>
        </w:tc>
        <w:tc>
          <w:tcPr>
            <w:tcW w:w="739" w:type="dxa"/>
            <w:noWrap w:val="0"/>
            <w:vAlign w:val="center"/>
          </w:tcPr>
          <w:p w14:paraId="55688171">
            <w:pPr>
              <w:spacing w:line="288" w:lineRule="auto"/>
              <w:jc w:val="center"/>
              <w:rPr>
                <w:rFonts w:ascii="宋体" w:hAnsi="宋体" w:cs="宋体"/>
                <w:kern w:val="0"/>
                <w:sz w:val="24"/>
                <w:lang w:eastAsia="en-US"/>
              </w:rPr>
            </w:pPr>
          </w:p>
        </w:tc>
        <w:tc>
          <w:tcPr>
            <w:tcW w:w="1623" w:type="dxa"/>
            <w:noWrap w:val="0"/>
            <w:vAlign w:val="center"/>
          </w:tcPr>
          <w:p w14:paraId="58327038">
            <w:pPr>
              <w:spacing w:line="288" w:lineRule="auto"/>
              <w:jc w:val="center"/>
              <w:rPr>
                <w:rFonts w:ascii="宋体" w:hAnsi="宋体" w:cs="宋体"/>
                <w:kern w:val="0"/>
                <w:sz w:val="24"/>
                <w:lang w:eastAsia="en-US"/>
              </w:rPr>
            </w:pPr>
          </w:p>
        </w:tc>
        <w:tc>
          <w:tcPr>
            <w:tcW w:w="2249" w:type="dxa"/>
            <w:noWrap w:val="0"/>
            <w:vAlign w:val="center"/>
          </w:tcPr>
          <w:p w14:paraId="6156D40D">
            <w:pPr>
              <w:spacing w:line="288" w:lineRule="auto"/>
              <w:jc w:val="center"/>
              <w:rPr>
                <w:rFonts w:ascii="宋体" w:hAnsi="宋体" w:cs="宋体"/>
                <w:kern w:val="0"/>
                <w:sz w:val="24"/>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lang w:eastAsia="en-US"/>
              </w:rPr>
            </w:pPr>
            <w:r>
              <w:rPr>
                <w:rFonts w:hint="eastAsia" w:ascii="宋体" w:hAnsi="宋体" w:cs="宋体"/>
                <w:kern w:val="0"/>
                <w:sz w:val="24"/>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0F229B72">
            <w:pPr>
              <w:spacing w:line="288" w:lineRule="auto"/>
              <w:jc w:val="center"/>
              <w:rPr>
                <w:rFonts w:ascii="宋体" w:hAnsi="宋体" w:cs="宋体"/>
                <w:kern w:val="0"/>
                <w:sz w:val="24"/>
                <w:lang w:eastAsia="en-US"/>
              </w:rPr>
            </w:pPr>
            <w:r>
              <w:rPr>
                <w:rFonts w:hint="eastAsia" w:ascii="宋体" w:hAnsi="宋体" w:cs="宋体"/>
                <w:kern w:val="0"/>
                <w:sz w:val="24"/>
                <w:lang w:eastAsia="en-US"/>
              </w:rPr>
              <w:t>项目</w:t>
            </w:r>
          </w:p>
        </w:tc>
        <w:tc>
          <w:tcPr>
            <w:tcW w:w="2255" w:type="dxa"/>
            <w:gridSpan w:val="3"/>
            <w:noWrap w:val="0"/>
            <w:vAlign w:val="center"/>
          </w:tcPr>
          <w:p w14:paraId="6ADF2E2D">
            <w:pPr>
              <w:spacing w:line="288" w:lineRule="auto"/>
              <w:jc w:val="center"/>
              <w:rPr>
                <w:rFonts w:ascii="宋体" w:hAnsi="宋体" w:cs="宋体"/>
                <w:kern w:val="0"/>
                <w:sz w:val="24"/>
                <w:lang w:eastAsia="en-US"/>
              </w:rPr>
            </w:pPr>
            <w:r>
              <w:rPr>
                <w:rFonts w:hint="eastAsia" w:ascii="宋体" w:hAnsi="宋体" w:cs="宋体"/>
                <w:kern w:val="0"/>
                <w:sz w:val="24"/>
                <w:lang w:eastAsia="en-US"/>
              </w:rPr>
              <w:t>内容和标准</w:t>
            </w:r>
          </w:p>
        </w:tc>
        <w:tc>
          <w:tcPr>
            <w:tcW w:w="1623" w:type="dxa"/>
            <w:noWrap w:val="0"/>
            <w:vAlign w:val="center"/>
          </w:tcPr>
          <w:p w14:paraId="54A85D29">
            <w:pPr>
              <w:spacing w:line="288" w:lineRule="auto"/>
              <w:jc w:val="center"/>
              <w:rPr>
                <w:rFonts w:ascii="宋体" w:hAnsi="宋体" w:cs="宋体"/>
                <w:kern w:val="0"/>
                <w:sz w:val="24"/>
                <w:lang w:eastAsia="en-US"/>
              </w:rPr>
            </w:pPr>
            <w:r>
              <w:rPr>
                <w:rFonts w:hint="eastAsia" w:ascii="宋体" w:hAnsi="宋体" w:cs="宋体"/>
                <w:kern w:val="0"/>
                <w:sz w:val="24"/>
                <w:lang w:eastAsia="en-US"/>
              </w:rPr>
              <w:t>报价</w:t>
            </w:r>
          </w:p>
        </w:tc>
        <w:tc>
          <w:tcPr>
            <w:tcW w:w="2249" w:type="dxa"/>
            <w:noWrap w:val="0"/>
            <w:vAlign w:val="center"/>
          </w:tcPr>
          <w:p w14:paraId="7627EAD3">
            <w:pPr>
              <w:spacing w:line="288" w:lineRule="auto"/>
              <w:jc w:val="center"/>
              <w:rPr>
                <w:rFonts w:ascii="宋体" w:hAnsi="宋体" w:cs="宋体"/>
                <w:kern w:val="0"/>
                <w:sz w:val="24"/>
                <w:lang w:eastAsia="en-US"/>
              </w:rPr>
            </w:pPr>
            <w:r>
              <w:rPr>
                <w:rFonts w:hint="eastAsia" w:ascii="宋体" w:hAnsi="宋体" w:cs="宋体"/>
                <w:kern w:val="0"/>
                <w:sz w:val="24"/>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lang w:eastAsia="en-US"/>
              </w:rPr>
            </w:pPr>
          </w:p>
        </w:tc>
        <w:tc>
          <w:tcPr>
            <w:tcW w:w="2281" w:type="dxa"/>
            <w:noWrap w:val="0"/>
            <w:vAlign w:val="center"/>
          </w:tcPr>
          <w:p w14:paraId="4D71279A">
            <w:pPr>
              <w:spacing w:line="288" w:lineRule="auto"/>
              <w:jc w:val="center"/>
              <w:rPr>
                <w:rFonts w:ascii="宋体" w:hAnsi="宋体" w:cs="宋体"/>
                <w:kern w:val="0"/>
                <w:sz w:val="24"/>
                <w:lang w:eastAsia="en-US"/>
              </w:rPr>
            </w:pPr>
          </w:p>
        </w:tc>
        <w:tc>
          <w:tcPr>
            <w:tcW w:w="2255" w:type="dxa"/>
            <w:gridSpan w:val="3"/>
            <w:noWrap w:val="0"/>
            <w:vAlign w:val="center"/>
          </w:tcPr>
          <w:p w14:paraId="13964487">
            <w:pPr>
              <w:spacing w:line="288" w:lineRule="auto"/>
              <w:jc w:val="center"/>
              <w:rPr>
                <w:rFonts w:ascii="宋体" w:hAnsi="宋体" w:cs="宋体"/>
                <w:kern w:val="0"/>
                <w:sz w:val="24"/>
                <w:lang w:eastAsia="en-US"/>
              </w:rPr>
            </w:pPr>
          </w:p>
        </w:tc>
        <w:tc>
          <w:tcPr>
            <w:tcW w:w="1623" w:type="dxa"/>
            <w:noWrap w:val="0"/>
            <w:vAlign w:val="center"/>
          </w:tcPr>
          <w:p w14:paraId="585F1B68">
            <w:pPr>
              <w:spacing w:line="288" w:lineRule="auto"/>
              <w:jc w:val="center"/>
              <w:rPr>
                <w:rFonts w:ascii="宋体" w:hAnsi="宋体" w:cs="宋体"/>
                <w:kern w:val="0"/>
                <w:sz w:val="24"/>
                <w:lang w:eastAsia="en-US"/>
              </w:rPr>
            </w:pPr>
          </w:p>
        </w:tc>
        <w:tc>
          <w:tcPr>
            <w:tcW w:w="2249" w:type="dxa"/>
            <w:noWrap w:val="0"/>
            <w:vAlign w:val="center"/>
          </w:tcPr>
          <w:p w14:paraId="0C5DB9F0">
            <w:pPr>
              <w:spacing w:line="288" w:lineRule="auto"/>
              <w:jc w:val="center"/>
              <w:rPr>
                <w:rFonts w:ascii="宋体" w:hAnsi="宋体" w:cs="宋体"/>
                <w:kern w:val="0"/>
                <w:sz w:val="24"/>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4B54B61F">
            <w:pPr>
              <w:spacing w:line="288" w:lineRule="auto"/>
              <w:jc w:val="center"/>
              <w:rPr>
                <w:rFonts w:ascii="宋体" w:hAnsi="宋体" w:cs="宋体"/>
                <w:kern w:val="0"/>
                <w:sz w:val="24"/>
                <w:lang w:eastAsia="en-US"/>
              </w:rPr>
            </w:pPr>
          </w:p>
        </w:tc>
        <w:tc>
          <w:tcPr>
            <w:tcW w:w="2255" w:type="dxa"/>
            <w:gridSpan w:val="3"/>
            <w:noWrap w:val="0"/>
            <w:vAlign w:val="center"/>
          </w:tcPr>
          <w:p w14:paraId="40A76F09">
            <w:pPr>
              <w:spacing w:line="288" w:lineRule="auto"/>
              <w:jc w:val="center"/>
              <w:rPr>
                <w:rFonts w:ascii="宋体" w:hAnsi="宋体" w:cs="宋体"/>
                <w:kern w:val="0"/>
                <w:sz w:val="24"/>
                <w:lang w:eastAsia="en-US"/>
              </w:rPr>
            </w:pPr>
          </w:p>
        </w:tc>
        <w:tc>
          <w:tcPr>
            <w:tcW w:w="1623" w:type="dxa"/>
            <w:noWrap w:val="0"/>
            <w:vAlign w:val="center"/>
          </w:tcPr>
          <w:p w14:paraId="0BBE5AA6">
            <w:pPr>
              <w:spacing w:line="288" w:lineRule="auto"/>
              <w:jc w:val="center"/>
              <w:rPr>
                <w:rFonts w:ascii="宋体" w:hAnsi="宋体" w:cs="宋体"/>
                <w:kern w:val="0"/>
                <w:sz w:val="24"/>
                <w:lang w:eastAsia="en-US"/>
              </w:rPr>
            </w:pPr>
          </w:p>
        </w:tc>
        <w:tc>
          <w:tcPr>
            <w:tcW w:w="2249" w:type="dxa"/>
            <w:noWrap w:val="0"/>
            <w:vAlign w:val="center"/>
          </w:tcPr>
          <w:p w14:paraId="0338F746">
            <w:pPr>
              <w:spacing w:line="288" w:lineRule="auto"/>
              <w:jc w:val="center"/>
              <w:rPr>
                <w:rFonts w:ascii="宋体" w:hAnsi="宋体" w:cs="宋体"/>
                <w:kern w:val="0"/>
                <w:sz w:val="24"/>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lang w:eastAsia="en-US"/>
              </w:rPr>
            </w:pPr>
            <w:r>
              <w:rPr>
                <w:rFonts w:hint="eastAsia" w:ascii="宋体" w:hAnsi="宋体" w:cs="宋体"/>
                <w:kern w:val="0"/>
                <w:sz w:val="24"/>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rPr>
            </w:pPr>
            <w:r>
              <w:rPr>
                <w:rFonts w:hint="eastAsia" w:ascii="宋体" w:hAnsi="宋体" w:cs="宋体"/>
                <w:kern w:val="0"/>
                <w:sz w:val="24"/>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元</w:t>
            </w:r>
          </w:p>
          <w:p w14:paraId="017D20D9">
            <w:pPr>
              <w:spacing w:line="288" w:lineRule="auto"/>
              <w:jc w:val="left"/>
              <w:rPr>
                <w:rFonts w:ascii="宋体" w:hAnsi="宋体" w:cs="宋体"/>
                <w:kern w:val="0"/>
                <w:sz w:val="24"/>
                <w:u w:val="single"/>
              </w:rPr>
            </w:pPr>
            <w:r>
              <w:rPr>
                <w:rFonts w:hint="eastAsia" w:ascii="宋体" w:hAnsi="宋体" w:cs="宋体"/>
                <w:kern w:val="0"/>
                <w:sz w:val="24"/>
              </w:rPr>
              <w:t xml:space="preserve">小写：￥ </w:t>
            </w:r>
            <w:r>
              <w:rPr>
                <w:rFonts w:hint="eastAsia" w:ascii="宋体" w:hAnsi="宋体" w:cs="宋体"/>
                <w:kern w:val="0"/>
                <w:sz w:val="24"/>
                <w:u w:val="single"/>
              </w:rPr>
              <w:t xml:space="preserve">             元</w:t>
            </w:r>
          </w:p>
        </w:tc>
      </w:tr>
    </w:tbl>
    <w:p w14:paraId="16DC3DD0">
      <w:pPr>
        <w:spacing w:before="240" w:beforeLines="100" w:line="288" w:lineRule="auto"/>
        <w:jc w:val="left"/>
        <w:rPr>
          <w:rFonts w:ascii="宋体" w:hAnsi="宋体" w:cs="宋体"/>
          <w:kern w:val="0"/>
          <w:sz w:val="24"/>
          <w:lang w:eastAsia="en-US"/>
        </w:rPr>
      </w:pPr>
      <w:r>
        <w:rPr>
          <w:rFonts w:hint="eastAsia" w:ascii="宋体" w:hAnsi="宋体" w:cs="宋体"/>
          <w:kern w:val="0"/>
          <w:sz w:val="24"/>
          <w:lang w:eastAsia="en-US"/>
        </w:rPr>
        <w:t>注明：</w:t>
      </w:r>
    </w:p>
    <w:p w14:paraId="36826DC1">
      <w:pPr>
        <w:numPr>
          <w:ilvl w:val="0"/>
          <w:numId w:val="19"/>
        </w:numPr>
        <w:spacing w:line="288" w:lineRule="auto"/>
        <w:rPr>
          <w:rFonts w:ascii="宋体" w:hAnsi="宋体" w:cs="宋体"/>
          <w:sz w:val="24"/>
        </w:rPr>
      </w:pPr>
      <w:r>
        <w:rPr>
          <w:rFonts w:hint="eastAsia" w:ascii="宋体" w:hAnsi="宋体" w:cs="宋体"/>
          <w:sz w:val="24"/>
        </w:rPr>
        <w:t>此表为报价总表的明细表。</w:t>
      </w:r>
    </w:p>
    <w:p w14:paraId="61AE228D">
      <w:pPr>
        <w:numPr>
          <w:ilvl w:val="0"/>
          <w:numId w:val="19"/>
        </w:numPr>
        <w:spacing w:line="288" w:lineRule="auto"/>
        <w:rPr>
          <w:rFonts w:ascii="宋体" w:hAnsi="宋体" w:cs="宋体"/>
          <w:sz w:val="24"/>
        </w:rPr>
      </w:pPr>
      <w:r>
        <w:rPr>
          <w:rFonts w:hint="eastAsia" w:ascii="宋体" w:hAnsi="宋体" w:cs="宋体"/>
          <w:sz w:val="24"/>
        </w:rPr>
        <w:t>如果单价和总价不符时，以单价为准，修正总价。</w:t>
      </w:r>
    </w:p>
    <w:p w14:paraId="1E11CD07">
      <w:pPr>
        <w:numPr>
          <w:ilvl w:val="0"/>
          <w:numId w:val="19"/>
        </w:numPr>
        <w:spacing w:line="288" w:lineRule="auto"/>
        <w:rPr>
          <w:rFonts w:ascii="宋体" w:hAnsi="宋体" w:cs="宋体"/>
          <w:sz w:val="24"/>
        </w:rPr>
      </w:pPr>
      <w:r>
        <w:rPr>
          <w:rFonts w:hint="eastAsia" w:ascii="宋体" w:hAnsi="宋体" w:cs="宋体"/>
          <w:sz w:val="24"/>
        </w:rPr>
        <w:t>供应商应列明按“采购需求”所要求提供的所有报价项的价格明细。</w:t>
      </w:r>
    </w:p>
    <w:p w14:paraId="51F5A181">
      <w:pPr>
        <w:numPr>
          <w:ilvl w:val="0"/>
          <w:numId w:val="19"/>
        </w:numPr>
        <w:spacing w:line="288" w:lineRule="auto"/>
        <w:rPr>
          <w:rFonts w:ascii="宋体" w:hAnsi="宋体" w:cs="宋体"/>
          <w:sz w:val="24"/>
        </w:rPr>
      </w:pPr>
      <w:r>
        <w:rPr>
          <w:rFonts w:hint="eastAsia" w:ascii="宋体" w:hAnsi="宋体" w:cs="宋体"/>
          <w:sz w:val="24"/>
        </w:rPr>
        <w:t>货物名称与产品注册证登记名称保持一致。</w:t>
      </w:r>
    </w:p>
    <w:p w14:paraId="26DD2A30">
      <w:pPr>
        <w:spacing w:line="288" w:lineRule="auto"/>
        <w:jc w:val="left"/>
        <w:rPr>
          <w:rFonts w:ascii="宋体" w:hAnsi="宋体" w:cs="宋体"/>
          <w:kern w:val="0"/>
          <w:sz w:val="24"/>
        </w:rPr>
      </w:pPr>
    </w:p>
    <w:tbl>
      <w:tblPr>
        <w:tblStyle w:val="35"/>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rPr>
            </w:pPr>
            <w:r>
              <w:rPr>
                <w:rFonts w:hint="eastAsia" w:ascii="宋体" w:hAnsi="宋体" w:cs="宋体"/>
                <w:kern w:val="0"/>
                <w:sz w:val="24"/>
              </w:rPr>
              <w:t>供应商名称（加盖公章）：</w:t>
            </w:r>
          </w:p>
        </w:tc>
        <w:tc>
          <w:tcPr>
            <w:tcW w:w="3992" w:type="dxa"/>
            <w:noWrap w:val="0"/>
            <w:vAlign w:val="top"/>
          </w:tcPr>
          <w:p w14:paraId="35E06385">
            <w:pPr>
              <w:spacing w:line="288" w:lineRule="auto"/>
              <w:jc w:val="left"/>
              <w:rPr>
                <w:rFonts w:ascii="宋体" w:hAnsi="宋体" w:cs="宋体"/>
                <w:kern w:val="0"/>
                <w:sz w:val="24"/>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rPr>
            </w:pPr>
          </w:p>
          <w:p w14:paraId="313D17D1">
            <w:pPr>
              <w:spacing w:line="288" w:lineRule="auto"/>
              <w:jc w:val="left"/>
              <w:rPr>
                <w:rFonts w:ascii="宋体" w:hAnsi="宋体" w:cs="宋体"/>
                <w:kern w:val="0"/>
                <w:sz w:val="24"/>
                <w:lang w:eastAsia="en-US"/>
              </w:rPr>
            </w:pPr>
            <w:r>
              <w:rPr>
                <w:rFonts w:hint="eastAsia" w:ascii="宋体" w:hAnsi="宋体" w:cs="宋体"/>
                <w:kern w:val="0"/>
                <w:sz w:val="24"/>
                <w:lang w:eastAsia="en-US"/>
              </w:rPr>
              <w:t>日期：         年         月          日</w:t>
            </w:r>
          </w:p>
        </w:tc>
        <w:tc>
          <w:tcPr>
            <w:tcW w:w="3992" w:type="dxa"/>
            <w:noWrap w:val="0"/>
            <w:vAlign w:val="top"/>
          </w:tcPr>
          <w:p w14:paraId="35EB2672">
            <w:pPr>
              <w:spacing w:line="288" w:lineRule="auto"/>
              <w:jc w:val="left"/>
              <w:rPr>
                <w:rFonts w:ascii="宋体" w:hAnsi="宋体" w:cs="宋体"/>
                <w:kern w:val="0"/>
                <w:sz w:val="24"/>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rPr>
      </w:pPr>
    </w:p>
    <w:p w14:paraId="7A414129">
      <w:pPr>
        <w:rPr>
          <w:rFonts w:hint="eastAsia" w:ascii="宋体" w:hAnsi="宋体" w:eastAsia="宋体"/>
          <w:b/>
          <w:bCs/>
          <w:color w:val="auto"/>
          <w:sz w:val="32"/>
          <w:szCs w:val="32"/>
          <w:lang w:eastAsia="zh-CN"/>
        </w:rPr>
      </w:pPr>
      <w:r>
        <w:rPr>
          <w:rFonts w:hint="eastAsia" w:ascii="宋体" w:hAnsi="宋体" w:eastAsia="宋体"/>
          <w:b/>
          <w:bCs/>
          <w:color w:val="auto"/>
          <w:sz w:val="32"/>
          <w:szCs w:val="32"/>
          <w:lang w:eastAsia="zh-CN"/>
        </w:rPr>
        <w:br w:type="page"/>
      </w:r>
    </w:p>
    <w:p w14:paraId="5E77B5EC">
      <w:pPr>
        <w:jc w:val="center"/>
        <w:rPr>
          <w:rFonts w:ascii="宋体" w:hAnsi="宋体"/>
          <w:b/>
          <w:color w:val="auto"/>
          <w:sz w:val="32"/>
          <w:szCs w:val="32"/>
        </w:rPr>
      </w:pPr>
      <w:r>
        <w:rPr>
          <w:rFonts w:hint="eastAsia" w:ascii="宋体" w:hAnsi="宋体"/>
          <w:b/>
          <w:bCs/>
          <w:color w:val="auto"/>
          <w:sz w:val="32"/>
          <w:szCs w:val="32"/>
          <w:lang w:eastAsia="zh-CN"/>
        </w:rPr>
        <w:t>五</w:t>
      </w:r>
      <w:r>
        <w:rPr>
          <w:rFonts w:hint="eastAsia" w:ascii="宋体" w:hAnsi="宋体" w:eastAsia="宋体"/>
          <w:b/>
          <w:bCs/>
          <w:color w:val="auto"/>
          <w:sz w:val="32"/>
          <w:szCs w:val="32"/>
          <w:lang w:eastAsia="zh-CN"/>
        </w:rPr>
        <w:t>、</w:t>
      </w:r>
      <w:r>
        <w:rPr>
          <w:rFonts w:hint="eastAsia" w:ascii="宋体" w:hAnsi="宋体"/>
          <w:b/>
          <w:bCs/>
          <w:color w:val="auto"/>
          <w:sz w:val="32"/>
          <w:szCs w:val="32"/>
        </w:rPr>
        <w:t>投标保证金</w:t>
      </w:r>
    </w:p>
    <w:p w14:paraId="4685E85D">
      <w:pPr>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采购</w:t>
      </w:r>
      <w:r>
        <w:rPr>
          <w:rFonts w:hint="eastAsia" w:ascii="宋体" w:hAnsi="宋体" w:cs="宋体"/>
          <w:color w:val="auto"/>
          <w:sz w:val="24"/>
          <w:u w:val="single"/>
        </w:rPr>
        <w:t>人名称}</w:t>
      </w:r>
      <w:r>
        <w:rPr>
          <w:rFonts w:hint="eastAsia" w:ascii="宋体" w:hAnsi="宋体" w:cs="宋体"/>
          <w:color w:val="auto"/>
          <w:sz w:val="24"/>
          <w:u w:val="single"/>
        </w:rPr>
        <w:tab/>
      </w:r>
      <w:r>
        <w:rPr>
          <w:rFonts w:hint="eastAsia" w:ascii="宋体" w:hAnsi="宋体" w:cs="宋体"/>
          <w:color w:val="auto"/>
          <w:sz w:val="24"/>
          <w:u w:val="single"/>
        </w:rPr>
        <w:tab/>
      </w:r>
    </w:p>
    <w:p w14:paraId="0384A567">
      <w:pPr>
        <w:rPr>
          <w:rFonts w:hint="eastAsia" w:ascii="宋体" w:hAnsi="宋体" w:cs="宋体"/>
          <w:color w:val="auto"/>
          <w:sz w:val="24"/>
        </w:rPr>
      </w:pPr>
    </w:p>
    <w:p w14:paraId="2F355859">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名称）</w:t>
      </w:r>
      <w:r>
        <w:rPr>
          <w:rFonts w:hint="eastAsia" w:ascii="宋体" w:hAnsi="宋体" w:cs="宋体"/>
          <w:color w:val="auto"/>
          <w:sz w:val="24"/>
        </w:rPr>
        <w:t>（以下称“</w:t>
      </w:r>
      <w:r>
        <w:rPr>
          <w:rFonts w:hint="eastAsia" w:ascii="宋体" w:hAnsi="宋体" w:cs="宋体"/>
          <w:color w:val="auto"/>
          <w:sz w:val="24"/>
          <w:lang w:eastAsia="zh-CN"/>
        </w:rPr>
        <w:t>供应商</w:t>
      </w:r>
      <w:r>
        <w:rPr>
          <w:rFonts w:hint="eastAsia" w:ascii="宋体" w:hAnsi="宋体" w:cs="宋体"/>
          <w:color w:val="auto"/>
          <w:sz w:val="24"/>
        </w:rPr>
        <w:t>”）于年月日递交了</w:t>
      </w:r>
      <w:r>
        <w:rPr>
          <w:rFonts w:hint="eastAsia" w:ascii="宋体" w:hAnsi="宋体" w:cs="宋体"/>
          <w:color w:val="auto"/>
          <w:sz w:val="24"/>
          <w:u w:val="single"/>
        </w:rPr>
        <w:t xml:space="preserve">    {</w:t>
      </w:r>
      <w:r>
        <w:rPr>
          <w:rFonts w:hint="eastAsia" w:ascii="宋体" w:hAnsi="宋体" w:cs="宋体"/>
          <w:color w:val="auto"/>
          <w:sz w:val="24"/>
          <w:u w:val="single"/>
          <w:lang w:eastAsia="zh-CN"/>
        </w:rPr>
        <w:t>谈判</w:t>
      </w:r>
      <w:r>
        <w:rPr>
          <w:rFonts w:hint="eastAsia" w:ascii="宋体" w:hAnsi="宋体" w:cs="宋体"/>
          <w:color w:val="auto"/>
          <w:sz w:val="24"/>
          <w:u w:val="single"/>
        </w:rPr>
        <w:t xml:space="preserve">项目名称、项目编号}    </w:t>
      </w:r>
      <w:r>
        <w:rPr>
          <w:rFonts w:hint="eastAsia" w:ascii="宋体" w:hAnsi="宋体" w:cs="宋体"/>
          <w:color w:val="auto"/>
          <w:sz w:val="24"/>
        </w:rPr>
        <w:t>的投标保证金人民币</w:t>
      </w:r>
      <w:r>
        <w:rPr>
          <w:rFonts w:hint="eastAsia" w:ascii="宋体" w:hAnsi="宋体" w:cs="宋体"/>
          <w:color w:val="auto"/>
          <w:sz w:val="24"/>
          <w:lang w:eastAsia="zh-CN"/>
        </w:rPr>
        <w:t>（</w:t>
      </w:r>
      <w:r>
        <w:rPr>
          <w:rFonts w:hint="eastAsia" w:ascii="宋体" w:hAnsi="宋体" w:cs="宋体"/>
          <w:color w:val="auto"/>
          <w:sz w:val="24"/>
          <w:lang w:val="en-US" w:eastAsia="zh-CN"/>
        </w:rPr>
        <w:t>小写</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元；</w:t>
      </w:r>
    </w:p>
    <w:p w14:paraId="1B377EFE">
      <w:pPr>
        <w:spacing w:line="360" w:lineRule="auto"/>
        <w:jc w:val="center"/>
        <w:rPr>
          <w:rFonts w:hint="eastAsia" w:ascii="宋体" w:hAnsi="宋体" w:cs="宋体"/>
          <w:color w:val="auto"/>
          <w:sz w:val="24"/>
        </w:rPr>
      </w:pPr>
    </w:p>
    <w:p w14:paraId="17D701DF">
      <w:pPr>
        <w:spacing w:line="360" w:lineRule="auto"/>
        <w:ind w:firstLine="240" w:firstLineChars="100"/>
        <w:rPr>
          <w:rFonts w:hint="eastAsia" w:ascii="宋体" w:hAnsi="宋体" w:cs="宋体"/>
          <w:color w:val="auto"/>
          <w:sz w:val="24"/>
        </w:rPr>
      </w:pPr>
      <w:r>
        <w:rPr>
          <w:rFonts w:hint="eastAsia" w:ascii="宋体" w:hAnsi="宋体" w:cs="宋体"/>
          <w:color w:val="auto"/>
          <w:sz w:val="24"/>
        </w:rPr>
        <w:t>如果我方在投标有效期内收到你方的</w:t>
      </w:r>
      <w:r>
        <w:rPr>
          <w:rFonts w:hint="eastAsia" w:ascii="宋体" w:hAnsi="宋体" w:cs="宋体"/>
          <w:color w:val="auto"/>
          <w:sz w:val="24"/>
          <w:lang w:eastAsia="zh-CN"/>
        </w:rPr>
        <w:t>成交通知书</w:t>
      </w:r>
      <w:r>
        <w:rPr>
          <w:rFonts w:hint="eastAsia" w:ascii="宋体" w:hAnsi="宋体" w:cs="宋体"/>
          <w:color w:val="auto"/>
          <w:sz w:val="24"/>
        </w:rPr>
        <w:t>后</w:t>
      </w:r>
    </w:p>
    <w:p w14:paraId="02FAD27F">
      <w:pPr>
        <w:spacing w:line="360" w:lineRule="auto"/>
        <w:ind w:firstLine="240" w:firstLineChars="100"/>
        <w:rPr>
          <w:rFonts w:hint="eastAsia" w:ascii="宋体" w:hAnsi="宋体" w:cs="宋体"/>
          <w:color w:val="auto"/>
          <w:sz w:val="24"/>
        </w:rPr>
      </w:pPr>
      <w:r>
        <w:rPr>
          <w:rFonts w:hint="eastAsia" w:ascii="宋体" w:hAnsi="宋体" w:cs="宋体"/>
          <w:color w:val="auto"/>
          <w:sz w:val="24"/>
        </w:rPr>
        <w:t>1、不能或拒绝按投标须知的要求签署合同协议书；</w:t>
      </w:r>
    </w:p>
    <w:p w14:paraId="327E7852">
      <w:pPr>
        <w:spacing w:line="360" w:lineRule="auto"/>
        <w:ind w:firstLine="240" w:firstLineChars="100"/>
        <w:rPr>
          <w:rFonts w:hint="eastAsia" w:ascii="宋体" w:hAnsi="宋体" w:cs="宋体"/>
          <w:color w:val="auto"/>
          <w:sz w:val="24"/>
        </w:rPr>
      </w:pPr>
      <w:r>
        <w:rPr>
          <w:rFonts w:hint="eastAsia" w:ascii="宋体" w:hAnsi="宋体" w:cs="宋体"/>
          <w:color w:val="auto"/>
          <w:sz w:val="24"/>
        </w:rPr>
        <w:t>2、不能在</w:t>
      </w:r>
      <w:r>
        <w:rPr>
          <w:rFonts w:hint="eastAsia" w:ascii="宋体" w:hAnsi="宋体" w:cs="宋体"/>
          <w:color w:val="auto"/>
          <w:sz w:val="24"/>
          <w:lang w:eastAsia="zh-CN"/>
        </w:rPr>
        <w:t>谈判</w:t>
      </w:r>
      <w:r>
        <w:rPr>
          <w:rFonts w:hint="eastAsia" w:ascii="宋体" w:hAnsi="宋体" w:cs="宋体"/>
          <w:color w:val="auto"/>
          <w:sz w:val="24"/>
        </w:rPr>
        <w:t>有效期内撤回</w:t>
      </w:r>
      <w:r>
        <w:rPr>
          <w:rFonts w:hint="eastAsia" w:ascii="宋体" w:hAnsi="宋体" w:cs="宋体"/>
          <w:color w:val="auto"/>
          <w:sz w:val="24"/>
          <w:lang w:eastAsia="zh-CN"/>
        </w:rPr>
        <w:t>响应</w:t>
      </w:r>
      <w:r>
        <w:rPr>
          <w:rFonts w:hint="eastAsia" w:ascii="宋体" w:hAnsi="宋体" w:cs="宋体"/>
          <w:color w:val="auto"/>
          <w:sz w:val="24"/>
        </w:rPr>
        <w:t>文件。</w:t>
      </w:r>
    </w:p>
    <w:p w14:paraId="53E95333">
      <w:pPr>
        <w:spacing w:line="360" w:lineRule="auto"/>
        <w:ind w:firstLine="240" w:firstLineChars="100"/>
        <w:rPr>
          <w:rFonts w:hint="eastAsia" w:ascii="宋体" w:hAnsi="宋体" w:cs="宋体"/>
          <w:color w:val="auto"/>
          <w:sz w:val="24"/>
        </w:rPr>
      </w:pPr>
      <w:r>
        <w:rPr>
          <w:rFonts w:hint="eastAsia" w:ascii="宋体" w:hAnsi="宋体" w:cs="宋体"/>
          <w:color w:val="auto"/>
          <w:sz w:val="24"/>
        </w:rPr>
        <w:t>否则你方有权没收我方的投标保证金。</w:t>
      </w:r>
    </w:p>
    <w:p w14:paraId="123B4E12">
      <w:pPr>
        <w:spacing w:line="360" w:lineRule="auto"/>
        <w:ind w:firstLine="240" w:firstLineChars="100"/>
        <w:rPr>
          <w:rFonts w:hint="eastAsia" w:ascii="宋体" w:hAnsi="宋体" w:cs="宋体"/>
          <w:color w:val="auto"/>
          <w:sz w:val="24"/>
        </w:rPr>
      </w:pPr>
      <w:r>
        <w:rPr>
          <w:rFonts w:hint="eastAsia" w:ascii="宋体" w:hAnsi="宋体" w:cs="宋体"/>
          <w:color w:val="auto"/>
          <w:sz w:val="24"/>
        </w:rPr>
        <w:t>我方同意</w:t>
      </w:r>
      <w:r>
        <w:rPr>
          <w:rFonts w:hint="eastAsia" w:ascii="宋体" w:hAnsi="宋体" w:cs="宋体"/>
          <w:color w:val="auto"/>
          <w:sz w:val="24"/>
          <w:lang w:eastAsia="zh-CN"/>
        </w:rPr>
        <w:t>谈判</w:t>
      </w:r>
      <w:r>
        <w:rPr>
          <w:rFonts w:hint="eastAsia" w:ascii="宋体" w:hAnsi="宋体" w:cs="宋体"/>
          <w:color w:val="auto"/>
          <w:sz w:val="24"/>
        </w:rPr>
        <w:t>文件有关投标保证金规定，并对我方有约束力。</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rPr>
            </w:pPr>
          </w:p>
          <w:p w14:paraId="0DC2112A">
            <w:pPr>
              <w:rPr>
                <w:rFonts w:hint="eastAsia" w:ascii="宋体" w:hAnsi="宋体" w:cs="宋体"/>
                <w:color w:val="auto"/>
              </w:rPr>
            </w:pPr>
            <w:r>
              <w:rPr>
                <w:rFonts w:hint="eastAsia" w:ascii="宋体" w:hAnsi="宋体" w:cs="宋体"/>
                <w:b/>
                <w:color w:val="auto"/>
              </w:rPr>
              <w:t>附:投标保证金到账证明</w:t>
            </w:r>
          </w:p>
          <w:p w14:paraId="4E50140C">
            <w:pPr>
              <w:rPr>
                <w:rFonts w:hint="eastAsia" w:ascii="宋体" w:hAnsi="宋体" w:cs="宋体"/>
                <w:color w:val="auto"/>
              </w:rPr>
            </w:pPr>
          </w:p>
          <w:p w14:paraId="7EB0F492">
            <w:pPr>
              <w:rPr>
                <w:rFonts w:hint="eastAsia" w:ascii="宋体" w:hAnsi="宋体" w:cs="宋体"/>
                <w:color w:val="auto"/>
              </w:rPr>
            </w:pPr>
          </w:p>
          <w:p w14:paraId="276C4924">
            <w:pPr>
              <w:rPr>
                <w:rFonts w:hint="eastAsia" w:ascii="宋体" w:hAnsi="宋体" w:cs="宋体"/>
                <w:b/>
                <w:color w:val="auto"/>
              </w:rPr>
            </w:pPr>
            <w:r>
              <w:rPr>
                <w:rFonts w:hint="eastAsia" w:ascii="宋体" w:hAnsi="宋体" w:cs="宋体"/>
                <w:b/>
                <w:color w:val="auto"/>
              </w:rPr>
              <w:t>附：基本账户开户许可证复印件（加盖公章）</w:t>
            </w:r>
          </w:p>
          <w:p w14:paraId="399C94E1">
            <w:pPr>
              <w:rPr>
                <w:rFonts w:hint="eastAsia" w:ascii="宋体" w:hAnsi="宋体" w:cs="宋体"/>
                <w:color w:val="auto"/>
              </w:rPr>
            </w:pPr>
          </w:p>
          <w:p w14:paraId="51210496">
            <w:pPr>
              <w:rPr>
                <w:rFonts w:hint="eastAsia" w:ascii="宋体" w:hAnsi="宋体" w:cs="宋体"/>
                <w:color w:val="auto"/>
              </w:rPr>
            </w:pPr>
          </w:p>
          <w:p w14:paraId="38B59D16">
            <w:pPr>
              <w:rPr>
                <w:rFonts w:hint="eastAsia" w:ascii="宋体" w:hAnsi="宋体" w:cs="宋体"/>
                <w:color w:val="auto"/>
              </w:rPr>
            </w:pPr>
          </w:p>
        </w:tc>
      </w:tr>
    </w:tbl>
    <w:p w14:paraId="4829995E">
      <w:pPr>
        <w:rPr>
          <w:rFonts w:hint="eastAsia" w:ascii="宋体" w:hAnsi="宋体" w:cs="宋体"/>
          <w:color w:val="auto"/>
        </w:rPr>
      </w:pPr>
    </w:p>
    <w:p w14:paraId="5ECD303D">
      <w:pPr>
        <w:rPr>
          <w:rFonts w:hint="eastAsia" w:ascii="宋体" w:hAnsi="宋体" w:cs="宋体"/>
          <w:color w:val="auto"/>
          <w:sz w:val="24"/>
        </w:rPr>
      </w:pPr>
    </w:p>
    <w:p w14:paraId="72BE821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97A7E81">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270010F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30EE9A1">
      <w:pPr>
        <w:pStyle w:val="9"/>
        <w:ind w:left="2940"/>
        <w:rPr>
          <w:rFonts w:ascii="宋体" w:hAnsi="宋体" w:cs="宋体"/>
        </w:rPr>
      </w:pPr>
    </w:p>
    <w:p w14:paraId="0E3AFBFF">
      <w:pPr>
        <w:rPr>
          <w:rFonts w:ascii="宋体" w:hAnsi="宋体" w:cs="宋体"/>
        </w:rPr>
      </w:pPr>
    </w:p>
    <w:p w14:paraId="774053E0">
      <w:pPr>
        <w:rPr>
          <w:rFonts w:ascii="宋体" w:hAnsi="宋体" w:cs="宋体"/>
        </w:rPr>
      </w:pPr>
      <w:r>
        <w:rPr>
          <w:rFonts w:ascii="宋体" w:hAnsi="宋体" w:cs="宋体"/>
        </w:rPr>
        <w:br w:type="page"/>
      </w:r>
    </w:p>
    <w:p w14:paraId="73C98526">
      <w:pPr>
        <w:pStyle w:val="4"/>
        <w:bidi w:val="0"/>
        <w:jc w:val="center"/>
        <w:rPr>
          <w:rFonts w:hint="eastAsia"/>
          <w:lang w:val="zh-CN"/>
        </w:rPr>
      </w:pPr>
      <w:bookmarkStart w:id="84" w:name="_Toc25412"/>
      <w:r>
        <w:rPr>
          <w:rFonts w:hint="eastAsia" w:ascii="宋体" w:hAnsi="宋体" w:eastAsia="宋体" w:cs="Times New Roman"/>
          <w:b/>
          <w:bCs/>
          <w:color w:val="auto"/>
          <w:kern w:val="2"/>
          <w:sz w:val="32"/>
          <w:szCs w:val="32"/>
          <w:lang w:val="zh-CN" w:eastAsia="zh-CN" w:bidi="ar-SA"/>
        </w:rPr>
        <w:t>六、商务条款偏离表</w:t>
      </w:r>
      <w:bookmarkEnd w:id="84"/>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35"/>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107"/>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34"/>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34"/>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34"/>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34"/>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4"/>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85" w:name="_Toc8694"/>
      <w:r>
        <w:rPr>
          <w:rFonts w:hint="eastAsia"/>
          <w:lang w:val="zh-CN"/>
        </w:rPr>
        <w:t>七、技术规格偏离表</w:t>
      </w:r>
      <w:bookmarkEnd w:id="85"/>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35"/>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107"/>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12"/>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rPr>
      </w:pPr>
      <w:bookmarkStart w:id="86" w:name="_Toc3586"/>
      <w:bookmarkStart w:id="87" w:name="_Toc435802476"/>
      <w:bookmarkStart w:id="88" w:name="_Toc24063"/>
      <w:r>
        <w:rPr>
          <w:rFonts w:hint="eastAsia"/>
        </w:rPr>
        <w:br w:type="page"/>
      </w:r>
    </w:p>
    <w:p w14:paraId="3979D472">
      <w:pPr>
        <w:pStyle w:val="4"/>
        <w:bidi w:val="0"/>
        <w:jc w:val="center"/>
      </w:pPr>
      <w:bookmarkStart w:id="89" w:name="_Toc25293"/>
      <w:r>
        <w:rPr>
          <w:rFonts w:hint="eastAsia"/>
          <w:lang w:val="en-US" w:eastAsia="zh-CN"/>
        </w:rPr>
        <w:t>八</w:t>
      </w:r>
      <w:r>
        <w:rPr>
          <w:rFonts w:hint="eastAsia"/>
        </w:rPr>
        <w:t>、投标人资格声明</w:t>
      </w:r>
      <w:bookmarkEnd w:id="89"/>
    </w:p>
    <w:p w14:paraId="6233D1EC">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lang w:val="zh-CN"/>
        </w:rPr>
        <w:t>致：</w:t>
      </w:r>
      <w:r>
        <w:rPr>
          <w:rFonts w:hint="eastAsia" w:ascii="宋体" w:hAnsi="宋体"/>
          <w:color w:val="auto"/>
          <w:sz w:val="24"/>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一、</w:t>
      </w:r>
      <w:r>
        <w:rPr>
          <w:rFonts w:hint="eastAsia" w:ascii="宋体" w:hAnsi="宋体"/>
          <w:color w:val="auto"/>
          <w:sz w:val="24"/>
          <w:lang w:val="zh-CN"/>
        </w:rPr>
        <w:t>按照《中华人民共和国政府采购法》第</w:t>
      </w:r>
      <w:r>
        <w:rPr>
          <w:rFonts w:ascii="宋体" w:hAnsi="宋体"/>
          <w:color w:val="auto"/>
          <w:sz w:val="24"/>
        </w:rPr>
        <w:t>22</w:t>
      </w:r>
      <w:r>
        <w:rPr>
          <w:rFonts w:hint="eastAsia" w:ascii="宋体" w:hAnsi="宋体"/>
          <w:color w:val="auto"/>
          <w:sz w:val="24"/>
          <w:lang w:val="zh-CN"/>
        </w:rPr>
        <w:t>条和你公司发布的</w:t>
      </w:r>
      <w:r>
        <w:rPr>
          <w:rFonts w:hint="eastAsia" w:ascii="宋体" w:hAnsi="宋体"/>
          <w:color w:val="auto"/>
          <w:sz w:val="24"/>
          <w:u w:val="single"/>
          <w:lang w:val="zh-CN"/>
        </w:rPr>
        <w:t xml:space="preserve"> （项目名称、项目编号）</w:t>
      </w:r>
      <w:r>
        <w:rPr>
          <w:rFonts w:hint="eastAsia" w:ascii="宋体" w:hAnsi="宋体"/>
          <w:color w:val="auto"/>
          <w:sz w:val="24"/>
          <w:lang w:val="zh-CN"/>
        </w:rPr>
        <w:t>谈判文件的规定，我</w:t>
      </w:r>
      <w:r>
        <w:rPr>
          <w:rFonts w:hint="eastAsia" w:ascii="宋体" w:hAnsi="宋体"/>
          <w:color w:val="auto"/>
          <w:sz w:val="24"/>
          <w:lang w:val="en-US" w:eastAsia="zh-CN"/>
        </w:rPr>
        <w:t>方</w:t>
      </w:r>
      <w:r>
        <w:rPr>
          <w:rFonts w:hint="eastAsia" w:ascii="宋体" w:hAnsi="宋体"/>
          <w:color w:val="auto"/>
          <w:sz w:val="24"/>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lang w:val="zh-CN"/>
        </w:rPr>
        <w:t>二、我</w:t>
      </w:r>
      <w:r>
        <w:rPr>
          <w:rFonts w:hint="eastAsia" w:ascii="宋体" w:hAnsi="宋体"/>
          <w:color w:val="auto"/>
          <w:sz w:val="24"/>
          <w:lang w:val="en-US" w:eastAsia="zh-CN"/>
        </w:rPr>
        <w:t>方</w:t>
      </w:r>
      <w:r>
        <w:rPr>
          <w:rFonts w:hint="eastAsia" w:ascii="宋体" w:hAnsi="宋体"/>
          <w:color w:val="auto"/>
          <w:sz w:val="24"/>
          <w:lang w:val="zh-CN"/>
        </w:rPr>
        <w:t>保证上述声明的事项都是真实的，如有虚假，我</w:t>
      </w:r>
      <w:r>
        <w:rPr>
          <w:rFonts w:hint="eastAsia" w:ascii="宋体" w:hAnsi="宋体"/>
          <w:color w:val="auto"/>
          <w:sz w:val="24"/>
          <w:lang w:val="en-US" w:eastAsia="zh-CN"/>
        </w:rPr>
        <w:t>单位</w:t>
      </w:r>
      <w:r>
        <w:rPr>
          <w:rFonts w:hint="eastAsia" w:ascii="宋体" w:hAnsi="宋体"/>
          <w:color w:val="auto"/>
          <w:sz w:val="24"/>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三、</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lang w:eastAsia="zh-CN"/>
        </w:rPr>
      </w:pPr>
    </w:p>
    <w:p w14:paraId="32B3A760">
      <w:pPr>
        <w:wordWrap w:val="0"/>
        <w:spacing w:line="480" w:lineRule="auto"/>
        <w:ind w:firstLine="480" w:firstLineChars="200"/>
        <w:rPr>
          <w:rFonts w:hint="eastAsia" w:ascii="宋体" w:hAnsi="宋体"/>
          <w:color w:val="auto"/>
          <w:sz w:val="24"/>
          <w:lang w:eastAsia="zh-CN"/>
        </w:rPr>
      </w:pPr>
    </w:p>
    <w:p w14:paraId="0973399E">
      <w:pPr>
        <w:wordWrap w:val="0"/>
        <w:spacing w:line="48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02C601A2">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w:t>
      </w:r>
      <w:r>
        <w:rPr>
          <w:rFonts w:hint="eastAsia" w:ascii="宋体" w:hAnsi="宋体"/>
          <w:color w:val="auto"/>
          <w:sz w:val="24"/>
        </w:rPr>
        <w:t>投标人代表：</w:t>
      </w:r>
      <w:r>
        <w:rPr>
          <w:rFonts w:hint="eastAsia" w:ascii="宋体" w:hAnsi="宋体"/>
          <w:color w:val="auto"/>
          <w:sz w:val="24"/>
          <w:u w:val="single"/>
        </w:rPr>
        <w:t xml:space="preserve">                     </w:t>
      </w:r>
      <w:r>
        <w:rPr>
          <w:rFonts w:hint="eastAsia" w:ascii="宋体" w:hAnsi="宋体"/>
          <w:color w:val="auto"/>
          <w:sz w:val="24"/>
        </w:rPr>
        <w:t>（签字或签章）</w:t>
      </w:r>
    </w:p>
    <w:p w14:paraId="267B8780">
      <w:pPr>
        <w:tabs>
          <w:tab w:val="left" w:pos="0"/>
        </w:tabs>
        <w:wordWrap w:val="0"/>
        <w:spacing w:line="360" w:lineRule="auto"/>
        <w:ind w:firstLine="480" w:firstLineChars="200"/>
        <w:jc w:val="left"/>
        <w:rPr>
          <w:rFonts w:ascii="宋体" w:hAnsi="宋体"/>
          <w:color w:val="auto"/>
          <w:sz w:val="24"/>
          <w:lang w:val="zh-CN"/>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0601412">
      <w:pPr>
        <w:rPr>
          <w:rFonts w:hint="eastAsia"/>
        </w:rPr>
      </w:pPr>
    </w:p>
    <w:p w14:paraId="7D548A15">
      <w:pPr>
        <w:rPr>
          <w:rFonts w:hint="eastAsia"/>
        </w:rPr>
      </w:pPr>
      <w:r>
        <w:rPr>
          <w:rFonts w:hint="eastAsia"/>
        </w:rPr>
        <w:br w:type="page"/>
      </w:r>
    </w:p>
    <w:p w14:paraId="6345FAC2">
      <w:pPr>
        <w:tabs>
          <w:tab w:val="left" w:pos="0"/>
        </w:tabs>
        <w:wordWrap w:val="0"/>
        <w:spacing w:line="360" w:lineRule="auto"/>
        <w:jc w:val="center"/>
        <w:rPr>
          <w:rFonts w:ascii="宋体" w:hAnsi="宋体"/>
          <w:b/>
          <w:color w:val="auto"/>
          <w:sz w:val="32"/>
          <w:szCs w:val="32"/>
        </w:rPr>
      </w:pPr>
      <w:r>
        <w:rPr>
          <w:rFonts w:hint="eastAsia" w:ascii="宋体" w:hAnsi="宋体"/>
          <w:b/>
          <w:color w:val="auto"/>
          <w:sz w:val="32"/>
          <w:szCs w:val="32"/>
          <w:lang w:eastAsia="zh-CN"/>
        </w:rPr>
        <w:t>九、</w:t>
      </w:r>
      <w:r>
        <w:rPr>
          <w:rFonts w:hint="eastAsia" w:ascii="宋体" w:hAnsi="宋体"/>
          <w:b/>
          <w:color w:val="auto"/>
          <w:sz w:val="32"/>
          <w:szCs w:val="32"/>
        </w:rPr>
        <w:t>投标人基本情况</w:t>
      </w:r>
    </w:p>
    <w:tbl>
      <w:tblPr>
        <w:tblStyle w:val="35"/>
        <w:tblW w:w="0" w:type="auto"/>
        <w:jc w:val="center"/>
        <w:tblLayout w:type="fixed"/>
        <w:tblCellMar>
          <w:top w:w="0" w:type="dxa"/>
          <w:left w:w="108" w:type="dxa"/>
          <w:bottom w:w="0" w:type="dxa"/>
          <w:right w:w="108" w:type="dxa"/>
        </w:tblCellMar>
      </w:tblPr>
      <w:tblGrid>
        <w:gridCol w:w="4056"/>
        <w:gridCol w:w="5754"/>
      </w:tblGrid>
      <w:tr w14:paraId="467D4D26">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rPr>
            </w:pPr>
            <w:r>
              <w:rPr>
                <w:rFonts w:hint="eastAsia" w:ascii="宋体" w:hAnsi="宋体" w:cs="宋体"/>
                <w:b/>
                <w:bCs/>
                <w:color w:val="auto"/>
                <w:kern w:val="0"/>
                <w:sz w:val="24"/>
              </w:rPr>
              <w:t>单位名称：</w:t>
            </w:r>
            <w:r>
              <w:rPr>
                <w:rFonts w:hint="eastAsia" w:ascii="宋体" w:hAnsi="宋体"/>
                <w:b/>
                <w:color w:val="auto"/>
                <w:sz w:val="24"/>
                <w:u w:val="single"/>
              </w:rPr>
              <w:t xml:space="preserve">                                 </w:t>
            </w:r>
            <w:r>
              <w:rPr>
                <w:rFonts w:hint="eastAsia" w:ascii="宋体" w:hAnsi="宋体"/>
                <w:b/>
                <w:color w:val="auto"/>
                <w:sz w:val="24"/>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rPr>
            </w:pPr>
            <w:r>
              <w:rPr>
                <w:rFonts w:hint="eastAsia" w:ascii="宋体" w:hAnsi="宋体" w:cs="宋体"/>
                <w:b/>
                <w:color w:val="auto"/>
                <w:kern w:val="0"/>
                <w:sz w:val="24"/>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行业类别</w:t>
            </w:r>
          </w:p>
          <w:p w14:paraId="4DA8CD4B">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□（一）农、林、牧、渔业 </w:t>
            </w:r>
          </w:p>
          <w:p w14:paraId="6ED9ACD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□（二）工业 </w:t>
            </w:r>
          </w:p>
          <w:p w14:paraId="16C4876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□（三）建筑业 </w:t>
            </w:r>
          </w:p>
          <w:p w14:paraId="476F0127">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□（四）批发业 </w:t>
            </w:r>
          </w:p>
          <w:p w14:paraId="2A666F9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□（五）零售业 </w:t>
            </w:r>
          </w:p>
          <w:p w14:paraId="51C3E2A8">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□（六）交通运输业 </w:t>
            </w:r>
          </w:p>
          <w:p w14:paraId="733990B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□（七）仓储业 </w:t>
            </w:r>
          </w:p>
          <w:p w14:paraId="7857FC9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□（八）邮政业 </w:t>
            </w:r>
          </w:p>
          <w:p w14:paraId="1FEAF285">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□（九）住宿业 </w:t>
            </w:r>
          </w:p>
          <w:p w14:paraId="7EE65F2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□（十）餐饮业 </w:t>
            </w:r>
          </w:p>
          <w:p w14:paraId="7E5300B2">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□（十一）信息传输业 </w:t>
            </w:r>
          </w:p>
          <w:p w14:paraId="09D69907">
            <w:pPr>
              <w:widowControl/>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 xml:space="preserve">（十二）软件和信息信息技术服务业 </w:t>
            </w:r>
          </w:p>
          <w:p w14:paraId="722501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□（十三）房地产开发经营 </w:t>
            </w:r>
          </w:p>
          <w:p w14:paraId="0EBB45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□（十四）物业管理 </w:t>
            </w:r>
          </w:p>
          <w:p w14:paraId="2AD8896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□（十五）租赁和商务服务业 </w:t>
            </w:r>
          </w:p>
          <w:p w14:paraId="7D4C6D8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rPr>
      </w:pPr>
      <w:r>
        <w:rPr>
          <w:rFonts w:hint="eastAsia" w:ascii="宋体" w:hAnsi="宋体"/>
          <w:color w:val="auto"/>
          <w:sz w:val="24"/>
        </w:rPr>
        <w:t>后附：营业执照副本等相关证件。</w:t>
      </w:r>
    </w:p>
    <w:p w14:paraId="304E0A71">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B946AA8">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71C7B50C">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C506860">
      <w:pPr>
        <w:pStyle w:val="4"/>
        <w:pageBreakBefore w:val="0"/>
        <w:widowControl w:val="0"/>
        <w:kinsoku/>
        <w:overflowPunct/>
        <w:topLinePunct w:val="0"/>
        <w:autoSpaceDE/>
        <w:autoSpaceDN/>
        <w:bidi w:val="0"/>
        <w:adjustRightInd/>
        <w:snapToGrid/>
        <w:spacing w:line="440" w:lineRule="exact"/>
        <w:jc w:val="center"/>
        <w:textAlignment w:val="auto"/>
        <w:rPr>
          <w:rFonts w:hint="eastAsia"/>
          <w:lang w:val="en-US" w:eastAsia="zh-CN"/>
        </w:rPr>
      </w:pPr>
      <w:bookmarkStart w:id="90" w:name="_Toc8182"/>
      <w:r>
        <w:rPr>
          <w:rFonts w:hint="eastAsia"/>
          <w:lang w:eastAsia="zh-CN"/>
        </w:rPr>
        <w:t>十、</w:t>
      </w:r>
      <w:r>
        <w:rPr>
          <w:rFonts w:hint="eastAsia"/>
        </w:rPr>
        <w:t>财务状况</w:t>
      </w:r>
      <w:r>
        <w:rPr>
          <w:rFonts w:hint="eastAsia"/>
          <w:lang w:val="en-US" w:eastAsia="zh-CN"/>
        </w:rPr>
        <w:t>报告</w:t>
      </w:r>
      <w:bookmarkEnd w:id="90"/>
    </w:p>
    <w:p w14:paraId="07B407C3">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（采购人或采购代理机构）</w:t>
      </w:r>
    </w:p>
    <w:p w14:paraId="32A31705">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 ）</w:t>
      </w:r>
      <w:r>
        <w:rPr>
          <w:rFonts w:hint="eastAsia" w:ascii="宋体" w:hAnsi="宋体" w:eastAsia="宋体" w:cs="宋体"/>
          <w:color w:val="auto"/>
          <w:sz w:val="24"/>
          <w:lang w:eastAsia="zh-CN"/>
        </w:rPr>
        <w:t>供应商</w:t>
      </w:r>
      <w:r>
        <w:rPr>
          <w:rFonts w:hint="eastAsia" w:ascii="宋体" w:hAnsi="宋体" w:eastAsia="宋体" w:cs="宋体"/>
          <w:color w:val="auto"/>
          <w:sz w:val="24"/>
        </w:rPr>
        <w:t>提供财务报表或财务报告的</w:t>
      </w:r>
    </w:p>
    <w:p w14:paraId="1BB0DBF5">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企业适用：现附上我方</w:t>
      </w:r>
      <w:r>
        <w:rPr>
          <w:rFonts w:hint="eastAsia" w:ascii="宋体" w:hAnsi="宋体" w:eastAsia="宋体" w:cs="宋体"/>
          <w:color w:val="auto"/>
          <w:sz w:val="24"/>
          <w:u w:val="single"/>
        </w:rPr>
        <w:t>（填写“具体的年度、或半年度、季度”）</w:t>
      </w:r>
      <w:r>
        <w:rPr>
          <w:rFonts w:hint="eastAsia" w:ascii="宋体" w:hAnsi="宋体" w:eastAsia="宋体" w:cs="宋体"/>
          <w:color w:val="auto"/>
          <w:sz w:val="24"/>
        </w:rPr>
        <w:t>财务报表或财务报告复印件，包括资产负债表、利润表、现金流量表、所有者权益变动表（若有）及其附注（若有）上述证明材料真实有效，否则我方负全部责任。</w:t>
      </w:r>
    </w:p>
    <w:p w14:paraId="4A62CDC0">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□事业单位适用：现附上我方</w:t>
      </w:r>
      <w:r>
        <w:rPr>
          <w:rFonts w:hint="eastAsia" w:ascii="宋体" w:hAnsi="宋体" w:eastAsia="宋体" w:cs="宋体"/>
          <w:color w:val="auto"/>
          <w:sz w:val="24"/>
          <w:u w:val="single"/>
        </w:rPr>
        <w:t>（填写“具体的年度、或半年度、或季度”）</w:t>
      </w:r>
      <w:r>
        <w:rPr>
          <w:rFonts w:hint="eastAsia" w:ascii="宋体" w:hAnsi="宋体" w:eastAsia="宋体" w:cs="宋体"/>
          <w:color w:val="auto"/>
          <w:sz w:val="24"/>
        </w:rPr>
        <w:t>财务报表或财务报告复印件，包括资产负债表、收入支出表（或收入费用表）、财政补助收入支出表（若有），上述证明材料真实有效，否则我方负全部责任。</w:t>
      </w:r>
    </w:p>
    <w:p w14:paraId="4803024B">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□社会团体、民办非企适用：现附上我方</w:t>
      </w:r>
      <w:r>
        <w:rPr>
          <w:rFonts w:hint="eastAsia" w:ascii="宋体" w:hAnsi="宋体" w:eastAsia="宋体" w:cs="宋体"/>
          <w:color w:val="auto"/>
          <w:sz w:val="24"/>
          <w:u w:val="single"/>
        </w:rPr>
        <w:t>（填写“具体的年度、或半年度、或季度”）</w:t>
      </w:r>
      <w:r>
        <w:rPr>
          <w:rFonts w:hint="eastAsia" w:ascii="宋体" w:hAnsi="宋体" w:eastAsia="宋体" w:cs="宋体"/>
          <w:color w:val="auto"/>
          <w:sz w:val="24"/>
        </w:rPr>
        <w:t>财务报表或财务报告复印件，包括资产负债表、业务活动表、现金流量表，上述证明材料真实有效，否则我方负全部责任。</w:t>
      </w:r>
    </w:p>
    <w:p w14:paraId="570020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 ）投标人提供资信证明的</w:t>
      </w:r>
    </w:p>
    <w:p w14:paraId="7CED3BEA">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□非自然人适用（包括企业、事业单位、社会团体和其他组织）：现附上我方银行：</w:t>
      </w:r>
      <w:r>
        <w:rPr>
          <w:rFonts w:hint="eastAsia" w:ascii="宋体" w:hAnsi="宋体" w:eastAsia="宋体" w:cs="宋体"/>
          <w:color w:val="auto"/>
          <w:sz w:val="24"/>
          <w:u w:val="single"/>
        </w:rPr>
        <w:t>（填写“开户银行全称”）</w:t>
      </w:r>
      <w:r>
        <w:rPr>
          <w:rFonts w:hint="eastAsia" w:ascii="宋体" w:hAnsi="宋体" w:eastAsia="宋体" w:cs="宋体"/>
          <w:color w:val="auto"/>
          <w:sz w:val="24"/>
        </w:rPr>
        <w:t>出具的资信证明复印件，上述证明材料真实有效，否则我方负全部责任。</w:t>
      </w:r>
    </w:p>
    <w:p w14:paraId="6125CCE6">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□自然人适用：现附上我方银行</w:t>
      </w:r>
      <w:r>
        <w:rPr>
          <w:rFonts w:hint="eastAsia" w:ascii="宋体" w:hAnsi="宋体" w:eastAsia="宋体" w:cs="宋体"/>
          <w:color w:val="auto"/>
          <w:sz w:val="24"/>
          <w:u w:val="single"/>
        </w:rPr>
        <w:t>：（填写自然人的“个人账户的开户银行全称”）</w:t>
      </w:r>
      <w:r>
        <w:rPr>
          <w:rFonts w:hint="eastAsia" w:ascii="宋体" w:hAnsi="宋体" w:eastAsia="宋体" w:cs="宋体"/>
          <w:color w:val="auto"/>
          <w:sz w:val="24"/>
        </w:rPr>
        <w:t>出具的资信证明复印件，上述证明材料真实有效，否则我方负全部责任。</w:t>
      </w:r>
    </w:p>
    <w:p w14:paraId="29A119B3">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※注意：</w:t>
      </w:r>
    </w:p>
    <w:p w14:paraId="55F10178">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1、请</w:t>
      </w:r>
      <w:r>
        <w:rPr>
          <w:rFonts w:hint="eastAsia" w:ascii="宋体" w:hAnsi="宋体" w:eastAsia="宋体" w:cs="宋体"/>
          <w:color w:val="auto"/>
          <w:sz w:val="24"/>
          <w:lang w:eastAsia="zh-CN"/>
        </w:rPr>
        <w:t>供应商</w:t>
      </w:r>
      <w:r>
        <w:rPr>
          <w:rFonts w:hint="eastAsia" w:ascii="宋体" w:hAnsi="宋体" w:eastAsia="宋体" w:cs="宋体"/>
          <w:color w:val="auto"/>
          <w:sz w:val="24"/>
        </w:rPr>
        <w:t>按照实际情况编制填写，在相应的（）中打“√”并选择相应的“□”（若有）后，再按照本格式的要求提供相应证明材料的复印件。</w:t>
      </w:r>
    </w:p>
    <w:p w14:paraId="32FDAC48">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提供的财务报表或财务报告复印件应符合下列规定：</w:t>
      </w:r>
    </w:p>
    <w:p w14:paraId="232FD93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cs="宋体"/>
          <w:color w:val="auto"/>
          <w:sz w:val="24"/>
          <w:lang w:val="en-US" w:eastAsia="zh-CN"/>
        </w:rPr>
        <w:t>2.1</w:t>
      </w:r>
      <w:r>
        <w:rPr>
          <w:rFonts w:hint="eastAsia" w:ascii="宋体" w:hAnsi="宋体" w:eastAsia="宋体" w:cs="宋体"/>
          <w:color w:val="auto"/>
          <w:sz w:val="24"/>
        </w:rPr>
        <w:t>.成立年限满3年及以上的</w:t>
      </w:r>
      <w:r>
        <w:rPr>
          <w:rFonts w:hint="eastAsia" w:ascii="宋体" w:hAnsi="宋体" w:eastAsia="宋体" w:cs="宋体"/>
          <w:color w:val="auto"/>
          <w:sz w:val="24"/>
          <w:lang w:eastAsia="zh-CN"/>
        </w:rPr>
        <w:t>供应商</w:t>
      </w:r>
      <w:r>
        <w:rPr>
          <w:rFonts w:hint="eastAsia" w:ascii="宋体" w:hAnsi="宋体" w:eastAsia="宋体" w:cs="宋体"/>
          <w:color w:val="auto"/>
          <w:sz w:val="24"/>
        </w:rPr>
        <w:t>，提供近三年（202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年）的年度财务报表或财务审计报告。</w:t>
      </w:r>
    </w:p>
    <w:p w14:paraId="2E6FB67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rPr>
      </w:pPr>
      <w:r>
        <w:rPr>
          <w:rFonts w:hint="eastAsia" w:ascii="宋体" w:hAnsi="宋体" w:cs="宋体"/>
          <w:color w:val="auto"/>
          <w:sz w:val="24"/>
          <w:lang w:val="en-US" w:eastAsia="zh-CN"/>
        </w:rPr>
        <w:t>2.2</w:t>
      </w:r>
      <w:r>
        <w:rPr>
          <w:rFonts w:hint="eastAsia" w:ascii="宋体" w:hAnsi="宋体" w:eastAsia="宋体" w:cs="宋体"/>
          <w:color w:val="auto"/>
          <w:sz w:val="24"/>
        </w:rPr>
        <w:t>.供应商的成立时间少于规定年份的，应提供成立以来至202</w:t>
      </w:r>
      <w:r>
        <w:rPr>
          <w:rFonts w:hint="eastAsia" w:ascii="宋体" w:hAnsi="宋体" w:cs="宋体"/>
          <w:color w:val="auto"/>
          <w:sz w:val="24"/>
          <w:lang w:val="en-US" w:eastAsia="zh-CN"/>
        </w:rPr>
        <w:t>4</w:t>
      </w:r>
      <w:r>
        <w:rPr>
          <w:rFonts w:hint="eastAsia" w:ascii="宋体" w:hAnsi="宋体" w:eastAsia="宋体" w:cs="宋体"/>
          <w:color w:val="auto"/>
          <w:sz w:val="24"/>
        </w:rPr>
        <w:t>年的</w:t>
      </w:r>
      <w:r>
        <w:rPr>
          <w:rFonts w:hint="eastAsia" w:ascii="宋体" w:hAnsi="宋体" w:cs="宋体"/>
          <w:color w:val="auto"/>
          <w:sz w:val="24"/>
          <w:lang w:eastAsia="zh-CN"/>
        </w:rPr>
        <w:t>单位财务报表</w:t>
      </w:r>
      <w:r>
        <w:rPr>
          <w:rFonts w:hint="eastAsia" w:ascii="宋体" w:hAnsi="宋体" w:eastAsia="宋体" w:cs="宋体"/>
          <w:color w:val="auto"/>
          <w:sz w:val="24"/>
        </w:rPr>
        <w:t>或财务审计报告。</w:t>
      </w:r>
    </w:p>
    <w:p w14:paraId="479BEB7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lang w:val="en-US" w:eastAsia="zh-CN"/>
        </w:rPr>
      </w:pPr>
      <w:r>
        <w:rPr>
          <w:rFonts w:hint="eastAsia" w:ascii="宋体" w:hAnsi="宋体" w:cs="宋体"/>
          <w:color w:val="auto"/>
          <w:sz w:val="24"/>
          <w:lang w:val="en-US" w:eastAsia="zh-CN"/>
        </w:rPr>
        <w:t>2.3</w:t>
      </w:r>
      <w:r>
        <w:rPr>
          <w:rFonts w:hint="eastAsia" w:ascii="宋体" w:hAnsi="宋体" w:eastAsia="宋体" w:cs="宋体"/>
          <w:color w:val="auto"/>
          <w:sz w:val="24"/>
        </w:rPr>
        <w:t>.无法按照以上</w:t>
      </w:r>
      <w:r>
        <w:rPr>
          <w:rFonts w:hint="eastAsia" w:ascii="宋体" w:hAnsi="宋体" w:cs="宋体"/>
          <w:color w:val="auto"/>
          <w:sz w:val="24"/>
          <w:lang w:val="en-US" w:eastAsia="zh-CN"/>
        </w:rPr>
        <w:t>2.1</w:t>
      </w:r>
      <w:r>
        <w:rPr>
          <w:rFonts w:hint="eastAsia" w:ascii="宋体" w:hAnsi="宋体" w:eastAsia="宋体" w:cs="宋体"/>
          <w:color w:val="auto"/>
          <w:sz w:val="24"/>
        </w:rPr>
        <w:t>、</w:t>
      </w:r>
      <w:r>
        <w:rPr>
          <w:rFonts w:hint="eastAsia" w:ascii="宋体" w:hAnsi="宋体" w:cs="宋体"/>
          <w:color w:val="auto"/>
          <w:sz w:val="24"/>
          <w:lang w:val="en-US" w:eastAsia="zh-CN"/>
        </w:rPr>
        <w:t>2.2</w:t>
      </w:r>
      <w:r>
        <w:rPr>
          <w:rFonts w:hint="eastAsia" w:ascii="宋体" w:hAnsi="宋体" w:eastAsia="宋体" w:cs="宋体"/>
          <w:color w:val="auto"/>
          <w:sz w:val="24"/>
        </w:rPr>
        <w:t>项规定提供财务报表或财务报告的</w:t>
      </w:r>
      <w:r>
        <w:rPr>
          <w:rFonts w:hint="eastAsia" w:ascii="宋体" w:hAnsi="宋体" w:eastAsia="宋体" w:cs="宋体"/>
          <w:color w:val="auto"/>
          <w:sz w:val="24"/>
          <w:lang w:eastAsia="zh-CN"/>
        </w:rPr>
        <w:t>供应商</w:t>
      </w:r>
      <w:r>
        <w:rPr>
          <w:rFonts w:hint="eastAsia" w:ascii="宋体" w:hAnsi="宋体" w:eastAsia="宋体" w:cs="宋体"/>
          <w:color w:val="auto"/>
          <w:sz w:val="24"/>
        </w:rPr>
        <w:t>（包括但不限于：202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年之后成立的</w:t>
      </w:r>
      <w:r>
        <w:rPr>
          <w:rFonts w:hint="eastAsia" w:ascii="宋体" w:hAnsi="宋体" w:eastAsia="宋体" w:cs="宋体"/>
          <w:color w:val="auto"/>
          <w:sz w:val="24"/>
          <w:lang w:eastAsia="zh-CN"/>
        </w:rPr>
        <w:t>供应商</w:t>
      </w:r>
      <w:r>
        <w:rPr>
          <w:rFonts w:hint="eastAsia" w:ascii="宋体" w:hAnsi="宋体" w:eastAsia="宋体" w:cs="宋体"/>
          <w:color w:val="auto"/>
          <w:sz w:val="24"/>
        </w:rPr>
        <w:t>），应提供银行出具的资信证明</w:t>
      </w:r>
      <w:r>
        <w:rPr>
          <w:rFonts w:hint="eastAsia" w:ascii="宋体" w:hAnsi="宋体" w:cs="宋体"/>
          <w:color w:val="auto"/>
          <w:sz w:val="24"/>
          <w:lang w:eastAsia="zh-CN"/>
        </w:rPr>
        <w:t>。</w:t>
      </w:r>
    </w:p>
    <w:p w14:paraId="790F523E">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jc w:val="right"/>
        <w:textAlignment w:val="auto"/>
        <w:outlineLvl w:val="2"/>
        <w:rPr>
          <w:rFonts w:hint="eastAsia" w:ascii="宋体" w:hAnsi="宋体" w:eastAsia="宋体" w:cs="宋体"/>
          <w:color w:val="auto"/>
          <w:sz w:val="24"/>
        </w:rPr>
      </w:pPr>
      <w:r>
        <w:rPr>
          <w:rFonts w:hint="eastAsia" w:ascii="宋体" w:hAnsi="宋体"/>
          <w:color w:val="auto"/>
          <w:sz w:val="24"/>
          <w:lang w:eastAsia="zh-CN"/>
        </w:rPr>
        <w:t>供应商名称</w:t>
      </w:r>
      <w:r>
        <w:rPr>
          <w:rFonts w:hint="eastAsia" w:ascii="宋体" w:hAnsi="宋体" w:eastAsia="宋体" w:cs="宋体"/>
          <w:color w:val="auto"/>
          <w:sz w:val="24"/>
        </w:rPr>
        <w:t>：</w:t>
      </w:r>
      <w:r>
        <w:rPr>
          <w:rFonts w:hint="eastAsia" w:ascii="宋体" w:hAnsi="宋体" w:eastAsia="宋体" w:cs="宋体"/>
          <w:color w:val="auto"/>
          <w:sz w:val="24"/>
          <w:u w:val="single"/>
        </w:rPr>
        <w:t>（全称并加盖单位公章）</w:t>
      </w:r>
    </w:p>
    <w:p w14:paraId="25E3C0D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right"/>
        <w:textAlignment w:val="auto"/>
        <w:outlineLvl w:val="2"/>
        <w:rPr>
          <w:rFonts w:hint="eastAsia" w:ascii="宋体" w:hAnsi="宋体" w:eastAsia="宋体" w:cs="宋体"/>
          <w:color w:val="auto"/>
          <w:sz w:val="24"/>
          <w:u w:val="none"/>
        </w:rPr>
      </w:pPr>
      <w:r>
        <w:rPr>
          <w:rFonts w:hint="eastAsia" w:ascii="宋体" w:hAnsi="宋体" w:eastAsia="宋体" w:cs="宋体"/>
          <w:color w:val="auto"/>
          <w:sz w:val="24"/>
        </w:rPr>
        <w:t>日期：</w:t>
      </w:r>
      <w:r>
        <w:rPr>
          <w:rFonts w:hint="eastAsia" w:ascii="宋体" w:hAnsi="宋体" w:eastAsia="宋体" w:cs="宋体"/>
          <w:color w:val="auto"/>
          <w:sz w:val="24"/>
          <w:u w:val="single"/>
        </w:rPr>
        <w:t>　　</w:t>
      </w:r>
      <w:r>
        <w:rPr>
          <w:rFonts w:hint="eastAsia" w:ascii="宋体" w:hAnsi="宋体" w:eastAsia="宋体" w:cs="宋体"/>
          <w:color w:val="auto"/>
          <w:sz w:val="24"/>
          <w:u w:val="none"/>
        </w:rPr>
        <w:t>年</w:t>
      </w:r>
      <w:r>
        <w:rPr>
          <w:rFonts w:hint="eastAsia" w:ascii="宋体" w:hAnsi="宋体" w:eastAsia="宋体" w:cs="宋体"/>
          <w:color w:val="auto"/>
          <w:sz w:val="24"/>
          <w:u w:val="single"/>
        </w:rPr>
        <w:t>　　</w:t>
      </w:r>
      <w:r>
        <w:rPr>
          <w:rFonts w:hint="eastAsia" w:ascii="宋体" w:hAnsi="宋体" w:eastAsia="宋体" w:cs="宋体"/>
          <w:color w:val="auto"/>
          <w:sz w:val="24"/>
          <w:u w:val="none"/>
        </w:rPr>
        <w:t>月</w:t>
      </w:r>
      <w:r>
        <w:rPr>
          <w:rFonts w:hint="eastAsia" w:ascii="宋体" w:hAnsi="宋体" w:eastAsia="宋体" w:cs="宋体"/>
          <w:color w:val="auto"/>
          <w:sz w:val="24"/>
          <w:u w:val="single"/>
        </w:rPr>
        <w:t>　　</w:t>
      </w:r>
      <w:r>
        <w:rPr>
          <w:rFonts w:hint="eastAsia" w:ascii="宋体" w:hAnsi="宋体" w:eastAsia="宋体" w:cs="宋体"/>
          <w:color w:val="auto"/>
          <w:sz w:val="24"/>
          <w:u w:val="none"/>
        </w:rPr>
        <w:t>日</w:t>
      </w:r>
    </w:p>
    <w:p w14:paraId="55813FB0">
      <w:pPr>
        <w:wordWrap/>
        <w:spacing w:line="360" w:lineRule="auto"/>
        <w:ind w:firstLine="643" w:firstLineChars="200"/>
        <w:jc w:val="right"/>
        <w:outlineLvl w:val="2"/>
        <w:rPr>
          <w:rFonts w:hint="eastAsia" w:ascii="宋体" w:hAnsi="宋体"/>
          <w:b/>
          <w:color w:val="auto"/>
          <w:sz w:val="32"/>
          <w:szCs w:val="32"/>
        </w:rPr>
      </w:pPr>
    </w:p>
    <w:p w14:paraId="281E189D">
      <w:pPr>
        <w:pStyle w:val="4"/>
        <w:bidi w:val="0"/>
        <w:jc w:val="center"/>
        <w:rPr>
          <w:rFonts w:hint="eastAsia" w:ascii="宋体" w:hAnsi="宋体" w:eastAsia="宋体" w:cs="宋体"/>
          <w:color w:val="auto"/>
          <w:szCs w:val="32"/>
        </w:rPr>
      </w:pPr>
      <w:bookmarkStart w:id="91" w:name="_Toc17949"/>
      <w:r>
        <w:rPr>
          <w:rFonts w:hint="eastAsia"/>
          <w:lang w:eastAsia="zh-CN"/>
        </w:rPr>
        <w:t>十一、</w:t>
      </w:r>
      <w:r>
        <w:rPr>
          <w:rFonts w:hint="eastAsia"/>
        </w:rPr>
        <w:t>依法缴纳税收证明材料</w:t>
      </w:r>
      <w:bookmarkEnd w:id="91"/>
    </w:p>
    <w:p w14:paraId="06734352">
      <w:pPr>
        <w:pStyle w:val="103"/>
        <w:ind w:firstLine="480"/>
        <w:jc w:val="both"/>
        <w:rPr>
          <w:rFonts w:hint="eastAsia" w:ascii="宋体" w:hAnsi="宋体" w:eastAsia="宋体" w:cs="宋体"/>
          <w:color w:val="auto"/>
          <w:sz w:val="24"/>
          <w:szCs w:val="24"/>
        </w:rPr>
      </w:pPr>
    </w:p>
    <w:p w14:paraId="129519EB">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9ACB808">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1、依法缴纳税收的</w:t>
      </w:r>
      <w:r>
        <w:rPr>
          <w:rFonts w:hint="eastAsia" w:ascii="宋体" w:hAnsi="宋体" w:eastAsia="宋体" w:cs="宋体"/>
          <w:color w:val="auto"/>
          <w:sz w:val="24"/>
          <w:szCs w:val="24"/>
          <w:lang w:eastAsia="zh-CN"/>
        </w:rPr>
        <w:t>供应商</w:t>
      </w:r>
    </w:p>
    <w:p w14:paraId="51FD205E">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57CB111D">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3BF0DC94">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3E14636B">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4E233B69">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2、依法免税的</w:t>
      </w:r>
      <w:r>
        <w:rPr>
          <w:rFonts w:hint="eastAsia" w:ascii="宋体" w:hAnsi="宋体" w:eastAsia="宋体" w:cs="宋体"/>
          <w:color w:val="auto"/>
          <w:sz w:val="24"/>
          <w:szCs w:val="24"/>
          <w:lang w:eastAsia="zh-CN"/>
        </w:rPr>
        <w:t>供应商</w:t>
      </w:r>
    </w:p>
    <w:p w14:paraId="1091E762">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14:paraId="4ACCDBA7">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3B3F14A">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按照实际情况编制填写，在相应的（）中打“√”，并按照本格式的要求提供相应证明材料的复印件。</w:t>
      </w:r>
    </w:p>
    <w:p w14:paraId="1563A503">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提供的税收缴纳凭据复印件应符合下列规定：</w:t>
      </w:r>
    </w:p>
    <w:p w14:paraId="1BEA7EE5">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截止时间前已依法缴纳税收的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，提供投标截止时间前六个月中任一月份的税收缴纳凭据复印件。</w:t>
      </w:r>
    </w:p>
    <w:p w14:paraId="70482E36">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，视同满足本项资格条件要求。</w:t>
      </w:r>
    </w:p>
    <w:p w14:paraId="2A91B475">
      <w:pPr>
        <w:pStyle w:val="103"/>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，提供依法免税证明材料的，视同满足本项资格条件要求。</w:t>
      </w:r>
    </w:p>
    <w:p w14:paraId="3FEFA606">
      <w:pPr>
        <w:pStyle w:val="103"/>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rPr>
      </w:pPr>
      <w:r>
        <w:rPr>
          <w:rFonts w:hint="eastAsia" w:ascii="宋体" w:hAnsi="宋体"/>
          <w:color w:val="auto"/>
          <w:sz w:val="24"/>
          <w:lang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14:paraId="3F2D39EB">
      <w:pPr>
        <w:pStyle w:val="103"/>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5EE207A">
      <w:pPr>
        <w:pStyle w:val="103"/>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rPr>
      </w:pPr>
      <w:r>
        <w:rPr>
          <w:color w:val="auto"/>
        </w:rPr>
        <w:t xml:space="preserve"> </w:t>
      </w:r>
    </w:p>
    <w:p w14:paraId="30B8A2AB">
      <w:pPr>
        <w:rPr>
          <w:rFonts w:hint="eastAsia"/>
          <w:lang w:eastAsia="zh-CN"/>
        </w:rPr>
      </w:pPr>
      <w:r>
        <w:rPr>
          <w:rFonts w:hint="eastAsia"/>
          <w:lang w:eastAsia="zh-CN"/>
        </w:rPr>
        <w:br w:type="page"/>
      </w:r>
    </w:p>
    <w:p w14:paraId="2BBAA5A0">
      <w:pPr>
        <w:pStyle w:val="4"/>
        <w:bidi w:val="0"/>
        <w:jc w:val="center"/>
        <w:rPr>
          <w:rFonts w:hint="eastAsia" w:ascii="宋体" w:hAnsi="宋体" w:eastAsia="宋体" w:cs="宋体"/>
          <w:b/>
          <w:color w:val="auto"/>
          <w:szCs w:val="32"/>
        </w:rPr>
      </w:pPr>
      <w:bookmarkStart w:id="92" w:name="_Toc25780"/>
      <w:r>
        <w:rPr>
          <w:rFonts w:hint="eastAsia"/>
          <w:lang w:eastAsia="zh-CN"/>
        </w:rPr>
        <w:t>十二、</w:t>
      </w:r>
      <w:r>
        <w:rPr>
          <w:rFonts w:hint="eastAsia"/>
        </w:rPr>
        <w:t>依法缴纳社会保障资金证明材料</w:t>
      </w:r>
      <w:bookmarkEnd w:id="92"/>
    </w:p>
    <w:p w14:paraId="690DC772">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47C413A">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1、依法缴纳社会保障资金的</w:t>
      </w:r>
      <w:r>
        <w:rPr>
          <w:rFonts w:hint="eastAsia" w:ascii="宋体" w:hAnsi="宋体" w:eastAsia="宋体" w:cs="宋体"/>
          <w:color w:val="auto"/>
          <w:sz w:val="24"/>
          <w:szCs w:val="24"/>
          <w:lang w:eastAsia="zh-CN"/>
        </w:rPr>
        <w:t>供应商</w:t>
      </w:r>
    </w:p>
    <w:p w14:paraId="6D285EB6">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39563817">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29562D8">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4C0F0FB1">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4FC0E91">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2、依法不需要缴纳或暂缓缴纳社会保障资金的</w:t>
      </w:r>
      <w:r>
        <w:rPr>
          <w:rFonts w:hint="eastAsia" w:ascii="宋体" w:hAnsi="宋体" w:eastAsia="宋体" w:cs="宋体"/>
          <w:color w:val="auto"/>
          <w:sz w:val="24"/>
          <w:szCs w:val="24"/>
          <w:lang w:eastAsia="zh-CN"/>
        </w:rPr>
        <w:t>供应商</w:t>
      </w:r>
    </w:p>
    <w:p w14:paraId="0FD34F81">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14:paraId="0691D4B3">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53B243A">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按照实际情况编制填写，在相应的（）中打“√”，并按照本格式的要求提供相应证明材料的复印件。</w:t>
      </w:r>
    </w:p>
    <w:p w14:paraId="3B056081">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提供的社会保障资金缴纳凭据复印件应符合下列规定：</w:t>
      </w:r>
    </w:p>
    <w:p w14:paraId="06768AC6">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2.1投标截止时间前已依法缴纳社会保障资金的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，提供投标截止时间前六个月中任一月份的社会保障资金缴纳凭据复印件。</w:t>
      </w:r>
    </w:p>
    <w:p w14:paraId="3B820174">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，视同满足本项资格条件要求。</w:t>
      </w:r>
    </w:p>
    <w:p w14:paraId="7C7F3952">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，提供依法不需要缴纳或暂缓缴纳社会保障资金证明材料的，视同满足本项资格条件要求。</w:t>
      </w:r>
    </w:p>
    <w:p w14:paraId="1A35588C">
      <w:pPr>
        <w:pStyle w:val="103"/>
        <w:keepNext w:val="0"/>
        <w:keepLines w:val="0"/>
        <w:pageBreakBefore w:val="0"/>
        <w:widowControl/>
        <w:kinsoku/>
        <w:wordWrap/>
        <w:overflowPunct/>
        <w:topLinePunct w:val="0"/>
        <w:autoSpaceDE/>
        <w:autoSpaceDN/>
        <w:bidi w:val="0"/>
        <w:adjustRightInd/>
        <w:snapToGrid/>
        <w:spacing w:line="360" w:lineRule="auto"/>
        <w:ind w:firstLine="482"/>
        <w:jc w:val="right"/>
        <w:textAlignment w:val="auto"/>
        <w:rPr>
          <w:color w:val="auto"/>
          <w:sz w:val="24"/>
          <w:szCs w:val="24"/>
        </w:rPr>
      </w:pPr>
      <w:r>
        <w:rPr>
          <w:rFonts w:hint="eastAsia" w:ascii="宋体" w:hAnsi="宋体"/>
          <w:color w:val="auto"/>
          <w:sz w:val="24"/>
          <w:lang w:eastAsia="zh-CN"/>
        </w:rPr>
        <w:t>供应商名称</w:t>
      </w:r>
      <w:r>
        <w:rPr>
          <w:color w:val="auto"/>
          <w:sz w:val="24"/>
          <w:szCs w:val="24"/>
        </w:rPr>
        <w:t>：</w:t>
      </w:r>
      <w:r>
        <w:rPr>
          <w:color w:val="auto"/>
          <w:sz w:val="24"/>
          <w:szCs w:val="24"/>
          <w:u w:val="single"/>
        </w:rPr>
        <w:t>（全称并加盖单位公章）</w:t>
      </w:r>
    </w:p>
    <w:p w14:paraId="38490245">
      <w:pPr>
        <w:pStyle w:val="103"/>
        <w:keepNext w:val="0"/>
        <w:keepLines w:val="0"/>
        <w:pageBreakBefore w:val="0"/>
        <w:widowControl/>
        <w:kinsoku/>
        <w:wordWrap/>
        <w:overflowPunct/>
        <w:topLinePunct w:val="0"/>
        <w:autoSpaceDE/>
        <w:autoSpaceDN/>
        <w:bidi w:val="0"/>
        <w:adjustRightInd/>
        <w:snapToGrid/>
        <w:spacing w:line="360" w:lineRule="auto"/>
        <w:ind w:firstLine="482"/>
        <w:jc w:val="right"/>
        <w:textAlignment w:val="auto"/>
        <w:rPr>
          <w:color w:val="auto"/>
          <w:sz w:val="24"/>
          <w:szCs w:val="24"/>
        </w:rPr>
      </w:pPr>
      <w:r>
        <w:rPr>
          <w:color w:val="auto"/>
          <w:sz w:val="24"/>
          <w:szCs w:val="24"/>
        </w:rPr>
        <w:t>日期：</w:t>
      </w:r>
      <w:r>
        <w:rPr>
          <w:color w:val="auto"/>
          <w:sz w:val="24"/>
          <w:szCs w:val="24"/>
          <w:u w:val="single"/>
        </w:rPr>
        <w:t>　　年　　月　　日</w:t>
      </w:r>
    </w:p>
    <w:p w14:paraId="03EC71AE">
      <w:pPr>
        <w:pStyle w:val="103"/>
        <w:ind w:firstLine="960"/>
        <w:jc w:val="both"/>
        <w:rPr>
          <w:color w:val="auto"/>
        </w:rPr>
      </w:pPr>
      <w:r>
        <w:rPr>
          <w:color w:val="auto"/>
        </w:rPr>
        <w:t xml:space="preserve"> </w:t>
      </w:r>
    </w:p>
    <w:p w14:paraId="6757D7E3">
      <w:pPr>
        <w:pStyle w:val="103"/>
        <w:ind w:firstLine="960"/>
        <w:jc w:val="center"/>
        <w:outlineLvl w:val="3"/>
        <w:rPr>
          <w:rFonts w:hint="eastAsia" w:ascii="宋体" w:hAnsi="宋体" w:eastAsia="宋体" w:cs="宋体"/>
          <w:b/>
          <w:color w:val="auto"/>
          <w:sz w:val="32"/>
          <w:szCs w:val="32"/>
          <w:lang w:val="en-US" w:eastAsia="zh-CN"/>
        </w:rPr>
      </w:pPr>
    </w:p>
    <w:p w14:paraId="4159A217">
      <w:pPr>
        <w:pStyle w:val="103"/>
        <w:ind w:firstLine="960"/>
        <w:jc w:val="center"/>
        <w:outlineLvl w:val="3"/>
        <w:rPr>
          <w:rFonts w:hint="eastAsia" w:ascii="宋体" w:hAnsi="宋体" w:eastAsia="宋体" w:cs="宋体"/>
          <w:b/>
          <w:color w:val="auto"/>
          <w:sz w:val="32"/>
          <w:szCs w:val="32"/>
          <w:lang w:val="en-US" w:eastAsia="zh-CN"/>
        </w:rPr>
      </w:pPr>
    </w:p>
    <w:p w14:paraId="6B637573">
      <w:pPr>
        <w:pStyle w:val="4"/>
        <w:bidi w:val="0"/>
        <w:jc w:val="center"/>
        <w:rPr>
          <w:rFonts w:hint="eastAsia" w:ascii="宋体" w:hAnsi="宋体" w:eastAsia="宋体" w:cs="宋体"/>
          <w:b/>
          <w:color w:val="auto"/>
          <w:szCs w:val="32"/>
        </w:rPr>
      </w:pPr>
      <w:bookmarkStart w:id="93" w:name="_Toc6140"/>
      <w:r>
        <w:rPr>
          <w:rFonts w:hint="eastAsia"/>
          <w:lang w:val="en-US" w:eastAsia="zh-CN"/>
        </w:rPr>
        <w:t>十三、具</w:t>
      </w:r>
      <w:r>
        <w:rPr>
          <w:rFonts w:hint="eastAsia"/>
        </w:rPr>
        <w:t>备履行合同所必需设备和专业技术能力的声明函（若有）</w:t>
      </w:r>
      <w:bookmarkEnd w:id="93"/>
    </w:p>
    <w:p w14:paraId="762CE6C3">
      <w:pPr>
        <w:pStyle w:val="103"/>
        <w:ind w:firstLine="480"/>
        <w:jc w:val="both"/>
        <w:rPr>
          <w:color w:val="auto"/>
        </w:rPr>
      </w:pPr>
    </w:p>
    <w:p w14:paraId="54785995">
      <w:pPr>
        <w:pStyle w:val="10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3DFFC5E">
      <w:pPr>
        <w:pStyle w:val="10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2E6C6F21">
      <w:pPr>
        <w:pStyle w:val="103"/>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44B3832">
      <w:pPr>
        <w:pStyle w:val="10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B5879AB">
      <w:pPr>
        <w:pStyle w:val="103"/>
        <w:ind w:firstLine="48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1EC7D071">
      <w:pPr>
        <w:pStyle w:val="103"/>
        <w:ind w:firstLine="480"/>
        <w:jc w:val="right"/>
        <w:rPr>
          <w:rFonts w:hint="eastAsia" w:ascii="宋体" w:hAnsi="宋体" w:eastAsia="宋体" w:cs="宋体"/>
          <w:color w:val="auto"/>
          <w:sz w:val="24"/>
          <w:szCs w:val="24"/>
        </w:rPr>
      </w:pPr>
      <w:r>
        <w:rPr>
          <w:rFonts w:hint="eastAsia" w:ascii="宋体" w:hAnsi="宋体"/>
          <w:color w:val="auto"/>
          <w:sz w:val="24"/>
          <w:lang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14:paraId="67D0EC28">
      <w:pPr>
        <w:pStyle w:val="10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3FEFB7">
      <w:pPr>
        <w:pStyle w:val="103"/>
        <w:ind w:firstLine="480"/>
        <w:jc w:val="center"/>
        <w:rPr>
          <w:rFonts w:hint="eastAsia" w:ascii="宋体" w:hAnsi="宋体" w:eastAsia="宋体" w:cs="宋体"/>
          <w:b/>
          <w:color w:val="auto"/>
          <w:sz w:val="32"/>
          <w:szCs w:val="32"/>
          <w:lang w:val="en-US" w:eastAsia="zh-CN"/>
        </w:rPr>
      </w:pPr>
    </w:p>
    <w:p w14:paraId="421C4497">
      <w:pPr>
        <w:pStyle w:val="103"/>
        <w:ind w:firstLine="480"/>
        <w:jc w:val="center"/>
        <w:rPr>
          <w:rFonts w:hint="eastAsia" w:ascii="宋体" w:hAnsi="宋体" w:eastAsia="宋体" w:cs="宋体"/>
          <w:b/>
          <w:color w:val="auto"/>
          <w:sz w:val="32"/>
          <w:szCs w:val="32"/>
          <w:lang w:val="en-US" w:eastAsia="zh-CN"/>
        </w:rPr>
      </w:pPr>
    </w:p>
    <w:p w14:paraId="49823871">
      <w:pPr>
        <w:pStyle w:val="103"/>
        <w:ind w:firstLine="480"/>
        <w:jc w:val="center"/>
        <w:rPr>
          <w:rFonts w:hint="eastAsia" w:ascii="宋体" w:hAnsi="宋体" w:eastAsia="宋体" w:cs="宋体"/>
          <w:b/>
          <w:color w:val="auto"/>
          <w:sz w:val="32"/>
          <w:szCs w:val="32"/>
          <w:lang w:val="en-US" w:eastAsia="zh-CN"/>
        </w:rPr>
      </w:pPr>
    </w:p>
    <w:p w14:paraId="34DA3F1C">
      <w:pPr>
        <w:pStyle w:val="103"/>
        <w:ind w:firstLine="480"/>
        <w:jc w:val="center"/>
        <w:rPr>
          <w:rFonts w:hint="eastAsia" w:ascii="宋体" w:hAnsi="宋体" w:eastAsia="宋体" w:cs="宋体"/>
          <w:b/>
          <w:color w:val="auto"/>
          <w:sz w:val="32"/>
          <w:szCs w:val="32"/>
          <w:lang w:val="en-US" w:eastAsia="zh-CN"/>
        </w:rPr>
      </w:pPr>
    </w:p>
    <w:p w14:paraId="12D9AC75">
      <w:pPr>
        <w:pStyle w:val="103"/>
        <w:ind w:firstLine="480"/>
        <w:jc w:val="center"/>
        <w:rPr>
          <w:rFonts w:hint="eastAsia" w:ascii="宋体" w:hAnsi="宋体" w:eastAsia="宋体" w:cs="宋体"/>
          <w:b/>
          <w:color w:val="auto"/>
          <w:sz w:val="32"/>
          <w:szCs w:val="32"/>
          <w:lang w:val="en-US" w:eastAsia="zh-CN"/>
        </w:rPr>
      </w:pPr>
    </w:p>
    <w:p w14:paraId="533FE5D9">
      <w:pPr>
        <w:pStyle w:val="103"/>
        <w:ind w:firstLine="480"/>
        <w:jc w:val="center"/>
        <w:rPr>
          <w:rFonts w:hint="eastAsia" w:ascii="宋体" w:hAnsi="宋体" w:eastAsia="宋体" w:cs="宋体"/>
          <w:b/>
          <w:color w:val="auto"/>
          <w:sz w:val="32"/>
          <w:szCs w:val="32"/>
          <w:lang w:val="en-US" w:eastAsia="zh-CN"/>
        </w:rPr>
      </w:pPr>
    </w:p>
    <w:p w14:paraId="1A165767">
      <w:pPr>
        <w:pStyle w:val="103"/>
        <w:ind w:firstLine="480"/>
        <w:jc w:val="center"/>
        <w:rPr>
          <w:rFonts w:hint="eastAsia" w:ascii="宋体" w:hAnsi="宋体" w:eastAsia="宋体" w:cs="宋体"/>
          <w:b/>
          <w:color w:val="auto"/>
          <w:sz w:val="32"/>
          <w:szCs w:val="32"/>
          <w:lang w:val="en-US" w:eastAsia="zh-CN"/>
        </w:rPr>
      </w:pPr>
    </w:p>
    <w:p w14:paraId="2BF8702E">
      <w:pPr>
        <w:pStyle w:val="103"/>
        <w:ind w:firstLine="480"/>
        <w:jc w:val="center"/>
        <w:rPr>
          <w:rFonts w:hint="eastAsia" w:ascii="宋体" w:hAnsi="宋体" w:eastAsia="宋体" w:cs="宋体"/>
          <w:b/>
          <w:color w:val="auto"/>
          <w:sz w:val="32"/>
          <w:szCs w:val="32"/>
          <w:lang w:val="en-US" w:eastAsia="zh-CN"/>
        </w:rPr>
      </w:pPr>
    </w:p>
    <w:p w14:paraId="335DEE25">
      <w:pPr>
        <w:pStyle w:val="103"/>
        <w:ind w:firstLine="480"/>
        <w:jc w:val="center"/>
        <w:rPr>
          <w:rFonts w:hint="eastAsia" w:ascii="宋体" w:hAnsi="宋体" w:eastAsia="宋体" w:cs="宋体"/>
          <w:b/>
          <w:color w:val="auto"/>
          <w:sz w:val="32"/>
          <w:szCs w:val="32"/>
          <w:lang w:val="en-US" w:eastAsia="zh-CN"/>
        </w:rPr>
      </w:pPr>
    </w:p>
    <w:p w14:paraId="2D052120">
      <w:pPr>
        <w:pStyle w:val="103"/>
        <w:ind w:firstLine="480"/>
        <w:jc w:val="center"/>
        <w:rPr>
          <w:rFonts w:hint="eastAsia" w:ascii="宋体" w:hAnsi="宋体" w:eastAsia="宋体" w:cs="宋体"/>
          <w:b/>
          <w:color w:val="auto"/>
          <w:sz w:val="32"/>
          <w:szCs w:val="32"/>
          <w:lang w:val="en-US" w:eastAsia="zh-CN"/>
        </w:rPr>
      </w:pPr>
    </w:p>
    <w:p w14:paraId="57834270">
      <w:pPr>
        <w:pStyle w:val="103"/>
        <w:ind w:firstLine="480"/>
        <w:jc w:val="center"/>
        <w:rPr>
          <w:rFonts w:hint="eastAsia" w:ascii="宋体" w:hAnsi="宋体" w:eastAsia="宋体" w:cs="宋体"/>
          <w:b/>
          <w:color w:val="auto"/>
          <w:sz w:val="32"/>
          <w:szCs w:val="32"/>
          <w:lang w:val="en-US" w:eastAsia="zh-CN"/>
        </w:rPr>
      </w:pPr>
    </w:p>
    <w:p w14:paraId="18327B10">
      <w:pPr>
        <w:pStyle w:val="103"/>
        <w:ind w:firstLine="480"/>
        <w:jc w:val="center"/>
        <w:rPr>
          <w:rFonts w:hint="eastAsia" w:ascii="宋体" w:hAnsi="宋体" w:eastAsia="宋体" w:cs="宋体"/>
          <w:b/>
          <w:color w:val="auto"/>
          <w:sz w:val="32"/>
          <w:szCs w:val="32"/>
          <w:lang w:val="en-US" w:eastAsia="zh-CN"/>
        </w:rPr>
      </w:pPr>
    </w:p>
    <w:p w14:paraId="2C8DD7BF">
      <w:pPr>
        <w:pStyle w:val="103"/>
        <w:ind w:firstLine="480"/>
        <w:jc w:val="center"/>
        <w:rPr>
          <w:rFonts w:hint="eastAsia" w:ascii="宋体" w:hAnsi="宋体" w:eastAsia="宋体" w:cs="宋体"/>
          <w:b/>
          <w:color w:val="auto"/>
          <w:sz w:val="32"/>
          <w:szCs w:val="32"/>
          <w:lang w:val="en-US" w:eastAsia="zh-CN"/>
        </w:rPr>
      </w:pPr>
    </w:p>
    <w:p w14:paraId="303F0AD5">
      <w:pPr>
        <w:pStyle w:val="103"/>
        <w:ind w:firstLine="480"/>
        <w:jc w:val="center"/>
        <w:rPr>
          <w:rFonts w:hint="eastAsia" w:ascii="宋体" w:hAnsi="宋体" w:eastAsia="宋体" w:cs="宋体"/>
          <w:b/>
          <w:color w:val="auto"/>
          <w:sz w:val="32"/>
          <w:szCs w:val="32"/>
          <w:lang w:val="en-US" w:eastAsia="zh-CN"/>
        </w:rPr>
      </w:pPr>
    </w:p>
    <w:p w14:paraId="6202EDEC">
      <w:pPr>
        <w:pStyle w:val="103"/>
        <w:ind w:firstLine="480"/>
        <w:jc w:val="center"/>
        <w:rPr>
          <w:rFonts w:hint="eastAsia" w:ascii="宋体" w:hAnsi="宋体" w:eastAsia="宋体" w:cs="宋体"/>
          <w:b/>
          <w:color w:val="auto"/>
          <w:sz w:val="32"/>
          <w:szCs w:val="32"/>
          <w:lang w:val="en-US" w:eastAsia="zh-CN"/>
        </w:rPr>
      </w:pPr>
    </w:p>
    <w:p w14:paraId="38608E3F">
      <w:pPr>
        <w:pStyle w:val="103"/>
        <w:ind w:firstLine="480"/>
        <w:jc w:val="center"/>
        <w:rPr>
          <w:rFonts w:hint="eastAsia" w:ascii="宋体" w:hAnsi="宋体" w:eastAsia="宋体" w:cs="宋体"/>
          <w:b/>
          <w:color w:val="auto"/>
          <w:sz w:val="32"/>
          <w:szCs w:val="32"/>
          <w:lang w:val="en-US" w:eastAsia="zh-CN"/>
        </w:rPr>
      </w:pPr>
    </w:p>
    <w:p w14:paraId="7B7AF1A3">
      <w:pPr>
        <w:pStyle w:val="103"/>
        <w:ind w:firstLine="480"/>
        <w:jc w:val="center"/>
        <w:rPr>
          <w:rFonts w:hint="eastAsia" w:ascii="宋体" w:hAnsi="宋体" w:eastAsia="宋体" w:cs="宋体"/>
          <w:b/>
          <w:color w:val="auto"/>
          <w:sz w:val="32"/>
          <w:szCs w:val="32"/>
          <w:lang w:val="en-US" w:eastAsia="zh-CN"/>
        </w:rPr>
      </w:pPr>
    </w:p>
    <w:p w14:paraId="0616649E">
      <w:pPr>
        <w:pStyle w:val="103"/>
        <w:ind w:firstLine="480"/>
        <w:jc w:val="center"/>
        <w:rPr>
          <w:rFonts w:hint="eastAsia" w:ascii="宋体" w:hAnsi="宋体" w:eastAsia="宋体" w:cs="宋体"/>
          <w:b/>
          <w:color w:val="auto"/>
          <w:sz w:val="32"/>
          <w:szCs w:val="32"/>
          <w:lang w:val="en-US" w:eastAsia="zh-CN"/>
        </w:rPr>
      </w:pPr>
    </w:p>
    <w:p w14:paraId="0C4B8A68">
      <w:pPr>
        <w:pStyle w:val="103"/>
        <w:ind w:firstLine="480"/>
        <w:jc w:val="center"/>
        <w:rPr>
          <w:rFonts w:hint="eastAsia" w:ascii="宋体" w:hAnsi="宋体" w:eastAsia="宋体" w:cs="宋体"/>
          <w:b/>
          <w:color w:val="auto"/>
          <w:sz w:val="32"/>
          <w:szCs w:val="32"/>
          <w:lang w:val="en-US" w:eastAsia="zh-CN"/>
        </w:rPr>
      </w:pPr>
    </w:p>
    <w:p w14:paraId="183AC105">
      <w:pPr>
        <w:pStyle w:val="103"/>
        <w:ind w:firstLine="480"/>
        <w:jc w:val="center"/>
        <w:rPr>
          <w:rFonts w:hint="eastAsia" w:ascii="宋体" w:hAnsi="宋体" w:eastAsia="宋体" w:cs="宋体"/>
          <w:b/>
          <w:color w:val="auto"/>
          <w:sz w:val="32"/>
          <w:szCs w:val="32"/>
          <w:lang w:val="en-US" w:eastAsia="zh-CN"/>
        </w:rPr>
      </w:pPr>
    </w:p>
    <w:p w14:paraId="5AE0F947">
      <w:pPr>
        <w:pStyle w:val="103"/>
        <w:ind w:firstLine="480"/>
        <w:jc w:val="center"/>
        <w:rPr>
          <w:rFonts w:hint="eastAsia" w:ascii="宋体" w:hAnsi="宋体" w:eastAsia="宋体" w:cs="宋体"/>
          <w:b/>
          <w:color w:val="auto"/>
          <w:sz w:val="32"/>
          <w:szCs w:val="32"/>
          <w:lang w:val="en-US" w:eastAsia="zh-CN"/>
        </w:rPr>
      </w:pPr>
    </w:p>
    <w:p w14:paraId="6D905609">
      <w:pPr>
        <w:pStyle w:val="103"/>
        <w:ind w:firstLine="480"/>
        <w:jc w:val="center"/>
        <w:rPr>
          <w:rFonts w:hint="eastAsia" w:ascii="宋体" w:hAnsi="宋体" w:eastAsia="宋体" w:cs="宋体"/>
          <w:b/>
          <w:color w:val="auto"/>
          <w:sz w:val="32"/>
          <w:szCs w:val="32"/>
          <w:lang w:val="en-US" w:eastAsia="zh-CN"/>
        </w:rPr>
      </w:pPr>
    </w:p>
    <w:p w14:paraId="73D6FC25">
      <w:pPr>
        <w:pStyle w:val="4"/>
        <w:bidi w:val="0"/>
        <w:jc w:val="center"/>
        <w:rPr>
          <w:rFonts w:hint="eastAsia"/>
        </w:rPr>
      </w:pPr>
      <w:bookmarkStart w:id="94" w:name="_Toc19046"/>
      <w:r>
        <w:rPr>
          <w:rFonts w:hint="eastAsia"/>
          <w:lang w:val="en-US" w:eastAsia="zh-CN"/>
        </w:rPr>
        <w:t>十四、</w:t>
      </w:r>
      <w:r>
        <w:rPr>
          <w:rFonts w:hint="eastAsia"/>
        </w:rPr>
        <w:t>参加采购活动前三年内在经营活动中没有重大违法记录书面声明</w:t>
      </w:r>
      <w:bookmarkEnd w:id="94"/>
    </w:p>
    <w:p w14:paraId="0CA55F21">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F1F0CBD">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年内，我方在经营活动中没有重大违法记录，即没有因违法经营受到刑事处罚或责令停产停业、吊销许可证或执照、较大数额罚款等行政处罚。否则产生不利后果由我方承担责任。</w:t>
      </w:r>
    </w:p>
    <w:p w14:paraId="34236F35">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2639298">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B56F2D">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38BDE2D0">
      <w:pPr>
        <w:pStyle w:val="103"/>
        <w:ind w:firstLine="960"/>
        <w:jc w:val="center"/>
        <w:outlineLvl w:val="3"/>
        <w:rPr>
          <w:rFonts w:hint="eastAsia" w:ascii="宋体" w:hAnsi="宋体" w:eastAsia="宋体" w:cs="宋体"/>
          <w:b/>
          <w:color w:val="auto"/>
          <w:sz w:val="32"/>
          <w:szCs w:val="32"/>
          <w:lang w:val="en-US" w:eastAsia="zh-CN"/>
        </w:rPr>
      </w:pPr>
    </w:p>
    <w:p w14:paraId="5E544D98">
      <w:pPr>
        <w:pStyle w:val="103"/>
        <w:ind w:firstLine="960"/>
        <w:jc w:val="center"/>
        <w:outlineLvl w:val="3"/>
        <w:rPr>
          <w:rFonts w:hint="eastAsia" w:ascii="宋体" w:hAnsi="宋体" w:eastAsia="宋体" w:cs="宋体"/>
          <w:b/>
          <w:color w:val="auto"/>
          <w:sz w:val="32"/>
          <w:szCs w:val="32"/>
          <w:lang w:val="en-US" w:eastAsia="zh-CN"/>
        </w:rPr>
      </w:pPr>
    </w:p>
    <w:p w14:paraId="1BDCDF0E">
      <w:pPr>
        <w:pStyle w:val="103"/>
        <w:ind w:firstLine="960"/>
        <w:jc w:val="center"/>
        <w:outlineLvl w:val="3"/>
        <w:rPr>
          <w:rFonts w:hint="eastAsia" w:ascii="宋体" w:hAnsi="宋体" w:eastAsia="宋体" w:cs="宋体"/>
          <w:b/>
          <w:color w:val="auto"/>
          <w:sz w:val="32"/>
          <w:szCs w:val="32"/>
          <w:lang w:val="en-US" w:eastAsia="zh-CN"/>
        </w:rPr>
      </w:pPr>
    </w:p>
    <w:p w14:paraId="082D46B9">
      <w:pPr>
        <w:pStyle w:val="103"/>
        <w:ind w:firstLine="960"/>
        <w:jc w:val="center"/>
        <w:outlineLvl w:val="3"/>
        <w:rPr>
          <w:rFonts w:hint="eastAsia" w:ascii="宋体" w:hAnsi="宋体" w:eastAsia="宋体" w:cs="宋体"/>
          <w:b/>
          <w:color w:val="auto"/>
          <w:sz w:val="32"/>
          <w:szCs w:val="32"/>
          <w:lang w:val="en-US" w:eastAsia="zh-CN"/>
        </w:rPr>
      </w:pPr>
    </w:p>
    <w:p w14:paraId="5F1675DE">
      <w:pPr>
        <w:pStyle w:val="103"/>
        <w:ind w:firstLine="960"/>
        <w:jc w:val="center"/>
        <w:outlineLvl w:val="3"/>
        <w:rPr>
          <w:rFonts w:hint="eastAsia" w:ascii="宋体" w:hAnsi="宋体" w:eastAsia="宋体" w:cs="宋体"/>
          <w:b/>
          <w:color w:val="auto"/>
          <w:sz w:val="32"/>
          <w:szCs w:val="32"/>
          <w:lang w:val="en-US" w:eastAsia="zh-CN"/>
        </w:rPr>
      </w:pPr>
    </w:p>
    <w:p w14:paraId="5D0D4C26">
      <w:pPr>
        <w:pStyle w:val="103"/>
        <w:ind w:firstLine="960"/>
        <w:jc w:val="center"/>
        <w:outlineLvl w:val="3"/>
        <w:rPr>
          <w:rFonts w:hint="eastAsia" w:ascii="宋体" w:hAnsi="宋体" w:eastAsia="宋体" w:cs="宋体"/>
          <w:b/>
          <w:color w:val="auto"/>
          <w:sz w:val="32"/>
          <w:szCs w:val="32"/>
          <w:lang w:val="en-US" w:eastAsia="zh-CN"/>
        </w:rPr>
      </w:pPr>
    </w:p>
    <w:p w14:paraId="7859348B">
      <w:pPr>
        <w:pStyle w:val="103"/>
        <w:ind w:firstLine="960"/>
        <w:jc w:val="center"/>
        <w:outlineLvl w:val="3"/>
        <w:rPr>
          <w:rFonts w:hint="eastAsia" w:ascii="宋体" w:hAnsi="宋体" w:eastAsia="宋体" w:cs="宋体"/>
          <w:b/>
          <w:color w:val="auto"/>
          <w:sz w:val="32"/>
          <w:szCs w:val="32"/>
          <w:lang w:val="en-US" w:eastAsia="zh-CN"/>
        </w:rPr>
      </w:pPr>
    </w:p>
    <w:p w14:paraId="3F1DBCB7">
      <w:pPr>
        <w:pStyle w:val="103"/>
        <w:ind w:firstLine="960"/>
        <w:jc w:val="center"/>
        <w:outlineLvl w:val="3"/>
        <w:rPr>
          <w:rFonts w:hint="eastAsia" w:ascii="宋体" w:hAnsi="宋体" w:eastAsia="宋体" w:cs="宋体"/>
          <w:b/>
          <w:color w:val="auto"/>
          <w:sz w:val="32"/>
          <w:szCs w:val="32"/>
          <w:lang w:val="en-US" w:eastAsia="zh-CN"/>
        </w:rPr>
      </w:pPr>
    </w:p>
    <w:p w14:paraId="1541268E">
      <w:pPr>
        <w:pStyle w:val="103"/>
        <w:ind w:firstLine="960"/>
        <w:jc w:val="center"/>
        <w:outlineLvl w:val="3"/>
        <w:rPr>
          <w:rFonts w:hint="eastAsia" w:ascii="宋体" w:hAnsi="宋体" w:eastAsia="宋体" w:cs="宋体"/>
          <w:b/>
          <w:color w:val="auto"/>
          <w:sz w:val="32"/>
          <w:szCs w:val="32"/>
          <w:lang w:val="en-US" w:eastAsia="zh-CN"/>
        </w:rPr>
      </w:pPr>
    </w:p>
    <w:p w14:paraId="47EF2701">
      <w:pPr>
        <w:pStyle w:val="103"/>
        <w:ind w:firstLine="960"/>
        <w:jc w:val="center"/>
        <w:outlineLvl w:val="3"/>
        <w:rPr>
          <w:rFonts w:hint="eastAsia" w:ascii="宋体" w:hAnsi="宋体" w:eastAsia="宋体" w:cs="宋体"/>
          <w:b/>
          <w:color w:val="auto"/>
          <w:sz w:val="32"/>
          <w:szCs w:val="32"/>
          <w:lang w:val="en-US" w:eastAsia="zh-CN"/>
        </w:rPr>
      </w:pPr>
    </w:p>
    <w:p w14:paraId="343F9E66">
      <w:pPr>
        <w:pStyle w:val="103"/>
        <w:ind w:firstLine="960"/>
        <w:jc w:val="center"/>
        <w:outlineLvl w:val="3"/>
        <w:rPr>
          <w:rFonts w:hint="eastAsia" w:ascii="宋体" w:hAnsi="宋体" w:eastAsia="宋体" w:cs="宋体"/>
          <w:b/>
          <w:color w:val="auto"/>
          <w:sz w:val="32"/>
          <w:szCs w:val="32"/>
          <w:lang w:val="en-US" w:eastAsia="zh-CN"/>
        </w:rPr>
      </w:pPr>
    </w:p>
    <w:p w14:paraId="7B41F6B9">
      <w:pPr>
        <w:pStyle w:val="103"/>
        <w:ind w:firstLine="960"/>
        <w:jc w:val="center"/>
        <w:outlineLvl w:val="3"/>
        <w:rPr>
          <w:rFonts w:hint="eastAsia" w:ascii="宋体" w:hAnsi="宋体" w:eastAsia="宋体" w:cs="宋体"/>
          <w:b/>
          <w:color w:val="auto"/>
          <w:sz w:val="32"/>
          <w:szCs w:val="32"/>
          <w:lang w:val="en-US" w:eastAsia="zh-CN"/>
        </w:rPr>
      </w:pPr>
    </w:p>
    <w:p w14:paraId="2592CA8E">
      <w:pPr>
        <w:pStyle w:val="103"/>
        <w:ind w:firstLine="960"/>
        <w:jc w:val="center"/>
        <w:outlineLvl w:val="3"/>
        <w:rPr>
          <w:rFonts w:hint="eastAsia" w:ascii="宋体" w:hAnsi="宋体" w:eastAsia="宋体" w:cs="宋体"/>
          <w:b/>
          <w:color w:val="auto"/>
          <w:sz w:val="32"/>
          <w:szCs w:val="32"/>
          <w:lang w:val="en-US" w:eastAsia="zh-CN"/>
        </w:rPr>
      </w:pPr>
    </w:p>
    <w:p w14:paraId="402793A5">
      <w:pPr>
        <w:pStyle w:val="103"/>
        <w:ind w:firstLine="960"/>
        <w:jc w:val="center"/>
        <w:outlineLvl w:val="3"/>
        <w:rPr>
          <w:rFonts w:hint="eastAsia" w:ascii="宋体" w:hAnsi="宋体" w:eastAsia="宋体" w:cs="宋体"/>
          <w:b/>
          <w:color w:val="auto"/>
          <w:sz w:val="32"/>
          <w:szCs w:val="32"/>
          <w:lang w:val="en-US" w:eastAsia="zh-CN"/>
        </w:rPr>
      </w:pPr>
    </w:p>
    <w:p w14:paraId="51E35BD3">
      <w:pPr>
        <w:pStyle w:val="4"/>
        <w:bidi w:val="0"/>
        <w:jc w:val="center"/>
        <w:rPr>
          <w:rFonts w:hint="eastAsia" w:eastAsia="宋体"/>
          <w:color w:val="auto"/>
          <w:lang w:val="en-US" w:eastAsia="zh-CN"/>
        </w:rPr>
      </w:pPr>
      <w:bookmarkStart w:id="95" w:name="_Toc8726"/>
      <w:r>
        <w:rPr>
          <w:rFonts w:hint="eastAsia"/>
          <w:lang w:val="en-US" w:eastAsia="zh-CN"/>
        </w:rPr>
        <w:t>十五、</w:t>
      </w:r>
      <w:r>
        <w:rPr>
          <w:rFonts w:hint="eastAsia"/>
        </w:rPr>
        <w:t>信用记录查询</w:t>
      </w:r>
      <w:r>
        <w:rPr>
          <w:rFonts w:hint="eastAsia"/>
          <w:lang w:val="en-US" w:eastAsia="zh-CN"/>
        </w:rPr>
        <w:t>截图</w:t>
      </w:r>
      <w:bookmarkEnd w:id="95"/>
    </w:p>
    <w:p w14:paraId="0CE25BE4">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参加本项目采购活动(投标截止时间)前三年内被列入失信被执行人名单、重大税收违法失信主体、政府采购严重违法失信行为记录名单、行贿罪及其他重大违法记录且相关信用惩戒期限未满的，其资格审查不合格。</w:t>
      </w:r>
    </w:p>
    <w:p w14:paraId="709F5D43">
      <w:pPr>
        <w:pStyle w:val="103"/>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应了解</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自身的信用记录情况。当</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受到200万以上罚款的行政处罚且该罚款不属较大数额罚款时，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应在电子投标文件中提供此项罚款不属于较大数额罚款的依据（如提供：相关法律制度的规定、行政执法机构对该罚款不属于较大数额罚款的认定或者其他有效依据）。</w:t>
      </w:r>
    </w:p>
    <w:p w14:paraId="5F233F2D">
      <w:pPr>
        <w:wordWrap/>
        <w:spacing w:line="360" w:lineRule="auto"/>
        <w:ind w:firstLine="643" w:firstLineChars="200"/>
        <w:jc w:val="center"/>
        <w:outlineLvl w:val="2"/>
        <w:rPr>
          <w:rFonts w:hint="eastAsia" w:ascii="宋体" w:hAnsi="宋体"/>
          <w:b/>
          <w:color w:val="auto"/>
          <w:sz w:val="32"/>
          <w:szCs w:val="32"/>
        </w:rPr>
      </w:pPr>
    </w:p>
    <w:p w14:paraId="0683CA32">
      <w:pPr>
        <w:wordWrap/>
        <w:spacing w:line="360" w:lineRule="auto"/>
        <w:ind w:firstLine="643" w:firstLineChars="200"/>
        <w:jc w:val="center"/>
        <w:outlineLvl w:val="2"/>
        <w:rPr>
          <w:rFonts w:hint="eastAsia" w:ascii="宋体" w:hAnsi="宋体"/>
          <w:b/>
          <w:color w:val="auto"/>
          <w:sz w:val="32"/>
          <w:szCs w:val="32"/>
        </w:rPr>
      </w:pPr>
    </w:p>
    <w:p w14:paraId="02ADF2EC">
      <w:pPr>
        <w:wordWrap/>
        <w:spacing w:line="360" w:lineRule="auto"/>
        <w:ind w:firstLine="643" w:firstLineChars="200"/>
        <w:jc w:val="center"/>
        <w:outlineLvl w:val="2"/>
        <w:rPr>
          <w:rFonts w:hint="eastAsia" w:ascii="宋体" w:hAnsi="宋体"/>
          <w:b/>
          <w:color w:val="auto"/>
          <w:sz w:val="32"/>
          <w:szCs w:val="32"/>
        </w:rPr>
      </w:pPr>
    </w:p>
    <w:p w14:paraId="6579C300">
      <w:pPr>
        <w:wordWrap/>
        <w:spacing w:line="360" w:lineRule="auto"/>
        <w:ind w:firstLine="643" w:firstLineChars="200"/>
        <w:jc w:val="center"/>
        <w:outlineLvl w:val="2"/>
        <w:rPr>
          <w:rFonts w:hint="eastAsia" w:ascii="宋体" w:hAnsi="宋体"/>
          <w:b/>
          <w:color w:val="auto"/>
          <w:sz w:val="32"/>
          <w:szCs w:val="32"/>
        </w:rPr>
      </w:pPr>
    </w:p>
    <w:p w14:paraId="6481412B">
      <w:pPr>
        <w:wordWrap/>
        <w:spacing w:line="360" w:lineRule="auto"/>
        <w:ind w:firstLine="643" w:firstLineChars="200"/>
        <w:jc w:val="center"/>
        <w:outlineLvl w:val="2"/>
        <w:rPr>
          <w:rFonts w:hint="eastAsia" w:ascii="宋体" w:hAnsi="宋体"/>
          <w:b/>
          <w:color w:val="auto"/>
          <w:sz w:val="32"/>
          <w:szCs w:val="32"/>
        </w:rPr>
      </w:pPr>
    </w:p>
    <w:p w14:paraId="45597122">
      <w:pPr>
        <w:wordWrap/>
        <w:spacing w:line="360" w:lineRule="auto"/>
        <w:ind w:firstLine="643" w:firstLineChars="200"/>
        <w:jc w:val="center"/>
        <w:outlineLvl w:val="2"/>
        <w:rPr>
          <w:rFonts w:hint="eastAsia" w:ascii="宋体" w:hAnsi="宋体"/>
          <w:b/>
          <w:color w:val="auto"/>
          <w:sz w:val="32"/>
          <w:szCs w:val="32"/>
        </w:rPr>
      </w:pPr>
    </w:p>
    <w:p w14:paraId="6A59511D">
      <w:pPr>
        <w:wordWrap/>
        <w:spacing w:line="360" w:lineRule="auto"/>
        <w:ind w:firstLine="643" w:firstLineChars="200"/>
        <w:jc w:val="center"/>
        <w:outlineLvl w:val="2"/>
        <w:rPr>
          <w:rFonts w:hint="eastAsia" w:ascii="宋体" w:hAnsi="宋体"/>
          <w:b/>
          <w:color w:val="auto"/>
          <w:sz w:val="32"/>
          <w:szCs w:val="32"/>
        </w:rPr>
      </w:pPr>
    </w:p>
    <w:p w14:paraId="0FB26576">
      <w:pPr>
        <w:wordWrap/>
        <w:spacing w:line="360" w:lineRule="auto"/>
        <w:ind w:firstLine="643" w:firstLineChars="200"/>
        <w:jc w:val="center"/>
        <w:outlineLvl w:val="2"/>
        <w:rPr>
          <w:rFonts w:hint="eastAsia" w:ascii="宋体" w:hAnsi="宋体"/>
          <w:b/>
          <w:color w:val="auto"/>
          <w:sz w:val="32"/>
          <w:szCs w:val="32"/>
        </w:rPr>
      </w:pPr>
    </w:p>
    <w:p w14:paraId="178750AB">
      <w:pPr>
        <w:wordWrap/>
        <w:spacing w:line="360" w:lineRule="auto"/>
        <w:ind w:firstLine="643" w:firstLineChars="200"/>
        <w:jc w:val="center"/>
        <w:outlineLvl w:val="2"/>
        <w:rPr>
          <w:rFonts w:hint="eastAsia" w:ascii="宋体" w:hAnsi="宋体"/>
          <w:b/>
          <w:color w:val="auto"/>
          <w:sz w:val="32"/>
          <w:szCs w:val="32"/>
        </w:rPr>
      </w:pPr>
    </w:p>
    <w:p w14:paraId="5DF2F326">
      <w:pPr>
        <w:wordWrap/>
        <w:spacing w:line="360" w:lineRule="auto"/>
        <w:ind w:firstLine="643" w:firstLineChars="200"/>
        <w:jc w:val="center"/>
        <w:outlineLvl w:val="2"/>
        <w:rPr>
          <w:rFonts w:hint="eastAsia" w:ascii="宋体" w:hAnsi="宋体"/>
          <w:b/>
          <w:color w:val="auto"/>
          <w:sz w:val="32"/>
          <w:szCs w:val="32"/>
        </w:rPr>
      </w:pPr>
    </w:p>
    <w:p w14:paraId="14ED562C">
      <w:pPr>
        <w:wordWrap/>
        <w:spacing w:line="360" w:lineRule="auto"/>
        <w:ind w:firstLine="643" w:firstLineChars="200"/>
        <w:jc w:val="center"/>
        <w:outlineLvl w:val="2"/>
        <w:rPr>
          <w:rFonts w:hint="eastAsia" w:ascii="宋体" w:hAnsi="宋体"/>
          <w:b/>
          <w:color w:val="auto"/>
          <w:sz w:val="32"/>
          <w:szCs w:val="32"/>
        </w:rPr>
      </w:pPr>
    </w:p>
    <w:p w14:paraId="2F975832">
      <w:pPr>
        <w:wordWrap/>
        <w:spacing w:line="360" w:lineRule="auto"/>
        <w:ind w:firstLine="643" w:firstLineChars="200"/>
        <w:jc w:val="center"/>
        <w:outlineLvl w:val="2"/>
        <w:rPr>
          <w:rFonts w:hint="eastAsia" w:ascii="宋体" w:hAnsi="宋体"/>
          <w:b/>
          <w:color w:val="auto"/>
          <w:sz w:val="32"/>
          <w:szCs w:val="32"/>
        </w:rPr>
      </w:pPr>
    </w:p>
    <w:p w14:paraId="03B56725">
      <w:pPr>
        <w:wordWrap/>
        <w:spacing w:line="360" w:lineRule="auto"/>
        <w:ind w:firstLine="643" w:firstLineChars="200"/>
        <w:jc w:val="center"/>
        <w:outlineLvl w:val="2"/>
        <w:rPr>
          <w:rFonts w:hint="eastAsia" w:ascii="宋体" w:hAnsi="宋体"/>
          <w:b/>
          <w:color w:val="auto"/>
          <w:sz w:val="32"/>
          <w:szCs w:val="32"/>
        </w:rPr>
      </w:pPr>
    </w:p>
    <w:p w14:paraId="44AC61EF">
      <w:pPr>
        <w:wordWrap/>
        <w:spacing w:line="360" w:lineRule="auto"/>
        <w:ind w:firstLine="643" w:firstLineChars="200"/>
        <w:jc w:val="center"/>
        <w:outlineLvl w:val="2"/>
        <w:rPr>
          <w:rFonts w:hint="eastAsia" w:ascii="宋体" w:hAnsi="宋体"/>
          <w:b/>
          <w:color w:val="auto"/>
          <w:sz w:val="32"/>
          <w:szCs w:val="32"/>
        </w:rPr>
      </w:pPr>
    </w:p>
    <w:p w14:paraId="6B9283B5">
      <w:pPr>
        <w:pStyle w:val="4"/>
        <w:bidi w:val="0"/>
        <w:jc w:val="center"/>
      </w:pPr>
      <w:bookmarkStart w:id="96" w:name="_Toc4912"/>
      <w:r>
        <w:rPr>
          <w:rFonts w:hint="eastAsia"/>
          <w:lang w:eastAsia="zh-CN"/>
        </w:rPr>
        <w:t>十六、</w:t>
      </w:r>
      <w:r>
        <w:rPr>
          <w:rFonts w:hint="eastAsia"/>
        </w:rPr>
        <w:t>类似项目经验（如有）</w:t>
      </w:r>
      <w:bookmarkEnd w:id="96"/>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rPr>
            </w:pPr>
            <w:r>
              <w:rPr>
                <w:rFonts w:ascii="宋体" w:hAnsi="宋体"/>
                <w:b/>
                <w:color w:val="auto"/>
                <w:sz w:val="24"/>
              </w:rPr>
              <w:t>序号</w:t>
            </w:r>
          </w:p>
        </w:tc>
        <w:tc>
          <w:tcPr>
            <w:tcW w:w="1365" w:type="dxa"/>
            <w:noWrap w:val="0"/>
            <w:vAlign w:val="center"/>
          </w:tcPr>
          <w:p w14:paraId="38D4F73B">
            <w:pPr>
              <w:wordWrap w:val="0"/>
              <w:spacing w:line="360" w:lineRule="auto"/>
              <w:jc w:val="center"/>
              <w:rPr>
                <w:rFonts w:ascii="宋体" w:hAnsi="宋体"/>
                <w:b/>
                <w:color w:val="auto"/>
                <w:sz w:val="24"/>
              </w:rPr>
            </w:pPr>
            <w:r>
              <w:rPr>
                <w:rFonts w:hint="eastAsia" w:ascii="宋体" w:hAnsi="宋体"/>
                <w:b/>
                <w:color w:val="auto"/>
                <w:sz w:val="24"/>
              </w:rPr>
              <w:t>采购人</w:t>
            </w:r>
          </w:p>
        </w:tc>
        <w:tc>
          <w:tcPr>
            <w:tcW w:w="1620" w:type="dxa"/>
            <w:noWrap w:val="0"/>
            <w:vAlign w:val="center"/>
          </w:tcPr>
          <w:p w14:paraId="502216EE">
            <w:pPr>
              <w:wordWrap w:val="0"/>
              <w:spacing w:line="360" w:lineRule="auto"/>
              <w:jc w:val="center"/>
              <w:rPr>
                <w:rFonts w:ascii="宋体" w:hAnsi="宋体"/>
                <w:b/>
                <w:color w:val="auto"/>
                <w:sz w:val="24"/>
              </w:rPr>
            </w:pPr>
            <w:r>
              <w:rPr>
                <w:rFonts w:ascii="宋体" w:hAnsi="宋体"/>
                <w:b/>
                <w:color w:val="auto"/>
                <w:sz w:val="24"/>
              </w:rPr>
              <w:t>项目名称</w:t>
            </w:r>
          </w:p>
        </w:tc>
        <w:tc>
          <w:tcPr>
            <w:tcW w:w="1620" w:type="dxa"/>
            <w:noWrap w:val="0"/>
            <w:vAlign w:val="center"/>
          </w:tcPr>
          <w:p w14:paraId="22D1E474">
            <w:pPr>
              <w:wordWrap w:val="0"/>
              <w:spacing w:line="360" w:lineRule="auto"/>
              <w:jc w:val="center"/>
              <w:rPr>
                <w:rFonts w:ascii="宋体" w:hAnsi="宋体"/>
                <w:b/>
                <w:color w:val="auto"/>
                <w:sz w:val="24"/>
              </w:rPr>
            </w:pPr>
            <w:r>
              <w:rPr>
                <w:rFonts w:hint="eastAsia" w:ascii="宋体" w:hAnsi="宋体"/>
                <w:b/>
                <w:color w:val="auto"/>
                <w:sz w:val="24"/>
              </w:rPr>
              <w:t>采购内容</w:t>
            </w:r>
          </w:p>
        </w:tc>
        <w:tc>
          <w:tcPr>
            <w:tcW w:w="1430" w:type="dxa"/>
            <w:noWrap w:val="0"/>
            <w:vAlign w:val="center"/>
          </w:tcPr>
          <w:p w14:paraId="2834FA24">
            <w:pPr>
              <w:wordWrap w:val="0"/>
              <w:spacing w:line="360" w:lineRule="auto"/>
              <w:jc w:val="center"/>
              <w:rPr>
                <w:rFonts w:ascii="宋体" w:hAnsi="宋体"/>
                <w:b/>
                <w:color w:val="auto"/>
                <w:sz w:val="24"/>
              </w:rPr>
            </w:pPr>
            <w:r>
              <w:rPr>
                <w:rFonts w:hint="eastAsia" w:ascii="宋体" w:hAnsi="宋体"/>
                <w:b/>
                <w:color w:val="auto"/>
                <w:sz w:val="24"/>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260" w:type="dxa"/>
            <w:noWrap w:val="0"/>
            <w:vAlign w:val="center"/>
          </w:tcPr>
          <w:p w14:paraId="3EE2DE15">
            <w:pPr>
              <w:wordWrap w:val="0"/>
              <w:spacing w:line="360" w:lineRule="auto"/>
              <w:jc w:val="center"/>
              <w:rPr>
                <w:rFonts w:ascii="宋体" w:hAnsi="宋体"/>
                <w:b/>
                <w:color w:val="auto"/>
                <w:sz w:val="24"/>
              </w:rPr>
            </w:pPr>
            <w:r>
              <w:rPr>
                <w:rFonts w:hint="eastAsia" w:ascii="宋体" w:hAnsi="宋体"/>
                <w:b/>
                <w:color w:val="auto"/>
                <w:sz w:val="24"/>
              </w:rPr>
              <w:t>采购人</w:t>
            </w:r>
            <w:r>
              <w:rPr>
                <w:rFonts w:ascii="宋体" w:hAnsi="宋体"/>
                <w:b/>
                <w:color w:val="auto"/>
                <w:sz w:val="24"/>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rPr>
            </w:pPr>
          </w:p>
        </w:tc>
        <w:tc>
          <w:tcPr>
            <w:tcW w:w="1365" w:type="dxa"/>
            <w:noWrap w:val="0"/>
            <w:vAlign w:val="center"/>
          </w:tcPr>
          <w:p w14:paraId="7D13E10A">
            <w:pPr>
              <w:pStyle w:val="13"/>
              <w:wordWrap w:val="0"/>
              <w:spacing w:line="360" w:lineRule="auto"/>
              <w:ind w:left="8000"/>
              <w:rPr>
                <w:rFonts w:ascii="宋体" w:hAnsi="宋体"/>
                <w:color w:val="auto"/>
                <w:szCs w:val="24"/>
              </w:rPr>
            </w:pPr>
          </w:p>
        </w:tc>
        <w:tc>
          <w:tcPr>
            <w:tcW w:w="1620" w:type="dxa"/>
            <w:noWrap w:val="0"/>
            <w:vAlign w:val="center"/>
          </w:tcPr>
          <w:p w14:paraId="7BBC45C0">
            <w:pPr>
              <w:wordWrap w:val="0"/>
              <w:spacing w:line="360" w:lineRule="auto"/>
              <w:rPr>
                <w:rFonts w:ascii="宋体" w:hAnsi="宋体"/>
                <w:color w:val="auto"/>
                <w:sz w:val="24"/>
              </w:rPr>
            </w:pPr>
          </w:p>
        </w:tc>
        <w:tc>
          <w:tcPr>
            <w:tcW w:w="1620" w:type="dxa"/>
            <w:noWrap w:val="0"/>
            <w:vAlign w:val="center"/>
          </w:tcPr>
          <w:p w14:paraId="0F97FDFE">
            <w:pPr>
              <w:wordWrap w:val="0"/>
              <w:spacing w:line="360" w:lineRule="auto"/>
              <w:rPr>
                <w:rFonts w:ascii="宋体" w:hAnsi="宋体"/>
                <w:color w:val="auto"/>
                <w:sz w:val="24"/>
              </w:rPr>
            </w:pPr>
          </w:p>
        </w:tc>
        <w:tc>
          <w:tcPr>
            <w:tcW w:w="1430" w:type="dxa"/>
            <w:noWrap w:val="0"/>
            <w:vAlign w:val="center"/>
          </w:tcPr>
          <w:p w14:paraId="46BDA22E">
            <w:pPr>
              <w:wordWrap w:val="0"/>
              <w:spacing w:line="360" w:lineRule="auto"/>
              <w:rPr>
                <w:rFonts w:ascii="宋体" w:hAnsi="宋体"/>
                <w:color w:val="auto"/>
                <w:sz w:val="24"/>
              </w:rPr>
            </w:pPr>
          </w:p>
        </w:tc>
        <w:tc>
          <w:tcPr>
            <w:tcW w:w="1345" w:type="dxa"/>
            <w:noWrap w:val="0"/>
            <w:vAlign w:val="center"/>
          </w:tcPr>
          <w:p w14:paraId="6F3B300E">
            <w:pPr>
              <w:wordWrap w:val="0"/>
              <w:spacing w:line="360" w:lineRule="auto"/>
              <w:rPr>
                <w:rFonts w:ascii="宋体" w:hAnsi="宋体"/>
                <w:color w:val="auto"/>
                <w:sz w:val="24"/>
              </w:rPr>
            </w:pPr>
          </w:p>
        </w:tc>
        <w:tc>
          <w:tcPr>
            <w:tcW w:w="1260" w:type="dxa"/>
            <w:noWrap w:val="0"/>
            <w:vAlign w:val="center"/>
          </w:tcPr>
          <w:p w14:paraId="05C30BCA">
            <w:pPr>
              <w:wordWrap w:val="0"/>
              <w:spacing w:line="360" w:lineRule="auto"/>
              <w:rPr>
                <w:rFonts w:ascii="宋体" w:hAnsi="宋体"/>
                <w:color w:val="auto"/>
                <w:sz w:val="24"/>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rPr>
            </w:pPr>
          </w:p>
        </w:tc>
        <w:tc>
          <w:tcPr>
            <w:tcW w:w="1365" w:type="dxa"/>
            <w:noWrap w:val="0"/>
            <w:vAlign w:val="center"/>
          </w:tcPr>
          <w:p w14:paraId="272B3E5A">
            <w:pPr>
              <w:wordWrap w:val="0"/>
              <w:spacing w:line="360" w:lineRule="auto"/>
              <w:rPr>
                <w:rFonts w:ascii="宋体" w:hAnsi="宋体"/>
                <w:color w:val="auto"/>
                <w:sz w:val="24"/>
              </w:rPr>
            </w:pPr>
          </w:p>
        </w:tc>
        <w:tc>
          <w:tcPr>
            <w:tcW w:w="1620" w:type="dxa"/>
            <w:noWrap w:val="0"/>
            <w:vAlign w:val="center"/>
          </w:tcPr>
          <w:p w14:paraId="191A47F0">
            <w:pPr>
              <w:wordWrap w:val="0"/>
              <w:spacing w:line="360" w:lineRule="auto"/>
              <w:rPr>
                <w:rFonts w:ascii="宋体" w:hAnsi="宋体"/>
                <w:color w:val="auto"/>
                <w:sz w:val="24"/>
              </w:rPr>
            </w:pPr>
          </w:p>
        </w:tc>
        <w:tc>
          <w:tcPr>
            <w:tcW w:w="1620" w:type="dxa"/>
            <w:noWrap w:val="0"/>
            <w:vAlign w:val="center"/>
          </w:tcPr>
          <w:p w14:paraId="4C6FCE18">
            <w:pPr>
              <w:wordWrap w:val="0"/>
              <w:spacing w:line="360" w:lineRule="auto"/>
              <w:rPr>
                <w:rFonts w:ascii="宋体" w:hAnsi="宋体"/>
                <w:color w:val="auto"/>
                <w:sz w:val="24"/>
              </w:rPr>
            </w:pPr>
          </w:p>
        </w:tc>
        <w:tc>
          <w:tcPr>
            <w:tcW w:w="1430" w:type="dxa"/>
            <w:noWrap w:val="0"/>
            <w:vAlign w:val="center"/>
          </w:tcPr>
          <w:p w14:paraId="6E763513">
            <w:pPr>
              <w:wordWrap w:val="0"/>
              <w:spacing w:line="360" w:lineRule="auto"/>
              <w:rPr>
                <w:rFonts w:ascii="宋体" w:hAnsi="宋体"/>
                <w:color w:val="auto"/>
                <w:sz w:val="24"/>
              </w:rPr>
            </w:pPr>
          </w:p>
        </w:tc>
        <w:tc>
          <w:tcPr>
            <w:tcW w:w="1345" w:type="dxa"/>
            <w:noWrap w:val="0"/>
            <w:vAlign w:val="center"/>
          </w:tcPr>
          <w:p w14:paraId="383B4224">
            <w:pPr>
              <w:wordWrap w:val="0"/>
              <w:spacing w:line="360" w:lineRule="auto"/>
              <w:rPr>
                <w:rFonts w:ascii="宋体" w:hAnsi="宋体"/>
                <w:color w:val="auto"/>
                <w:sz w:val="24"/>
              </w:rPr>
            </w:pPr>
          </w:p>
        </w:tc>
        <w:tc>
          <w:tcPr>
            <w:tcW w:w="1260" w:type="dxa"/>
            <w:noWrap w:val="0"/>
            <w:vAlign w:val="center"/>
          </w:tcPr>
          <w:p w14:paraId="047E1CD4">
            <w:pPr>
              <w:wordWrap w:val="0"/>
              <w:spacing w:line="360" w:lineRule="auto"/>
              <w:rPr>
                <w:rFonts w:ascii="宋体" w:hAnsi="宋体"/>
                <w:color w:val="auto"/>
                <w:sz w:val="24"/>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rPr>
            </w:pPr>
          </w:p>
        </w:tc>
        <w:tc>
          <w:tcPr>
            <w:tcW w:w="1365" w:type="dxa"/>
            <w:noWrap w:val="0"/>
            <w:vAlign w:val="center"/>
          </w:tcPr>
          <w:p w14:paraId="1BFBA1AD">
            <w:pPr>
              <w:wordWrap w:val="0"/>
              <w:spacing w:line="360" w:lineRule="auto"/>
              <w:rPr>
                <w:rFonts w:ascii="宋体" w:hAnsi="宋体"/>
                <w:color w:val="auto"/>
                <w:sz w:val="24"/>
              </w:rPr>
            </w:pPr>
          </w:p>
        </w:tc>
        <w:tc>
          <w:tcPr>
            <w:tcW w:w="1620" w:type="dxa"/>
            <w:noWrap w:val="0"/>
            <w:vAlign w:val="center"/>
          </w:tcPr>
          <w:p w14:paraId="444CA4A1">
            <w:pPr>
              <w:wordWrap w:val="0"/>
              <w:spacing w:line="360" w:lineRule="auto"/>
              <w:rPr>
                <w:rFonts w:ascii="宋体" w:hAnsi="宋体"/>
                <w:color w:val="auto"/>
                <w:sz w:val="24"/>
              </w:rPr>
            </w:pPr>
          </w:p>
        </w:tc>
        <w:tc>
          <w:tcPr>
            <w:tcW w:w="1620" w:type="dxa"/>
            <w:noWrap w:val="0"/>
            <w:vAlign w:val="center"/>
          </w:tcPr>
          <w:p w14:paraId="3E1AAC4B">
            <w:pPr>
              <w:wordWrap w:val="0"/>
              <w:spacing w:line="360" w:lineRule="auto"/>
              <w:rPr>
                <w:rFonts w:ascii="宋体" w:hAnsi="宋体"/>
                <w:color w:val="auto"/>
                <w:sz w:val="24"/>
              </w:rPr>
            </w:pPr>
          </w:p>
        </w:tc>
        <w:tc>
          <w:tcPr>
            <w:tcW w:w="1430" w:type="dxa"/>
            <w:noWrap w:val="0"/>
            <w:vAlign w:val="center"/>
          </w:tcPr>
          <w:p w14:paraId="4A1F0436">
            <w:pPr>
              <w:wordWrap w:val="0"/>
              <w:spacing w:line="360" w:lineRule="auto"/>
              <w:rPr>
                <w:rFonts w:ascii="宋体" w:hAnsi="宋体"/>
                <w:color w:val="auto"/>
                <w:sz w:val="24"/>
              </w:rPr>
            </w:pPr>
          </w:p>
        </w:tc>
        <w:tc>
          <w:tcPr>
            <w:tcW w:w="1345" w:type="dxa"/>
            <w:noWrap w:val="0"/>
            <w:vAlign w:val="center"/>
          </w:tcPr>
          <w:p w14:paraId="451E56D9">
            <w:pPr>
              <w:wordWrap w:val="0"/>
              <w:spacing w:line="360" w:lineRule="auto"/>
              <w:rPr>
                <w:rFonts w:ascii="宋体" w:hAnsi="宋体"/>
                <w:color w:val="auto"/>
                <w:sz w:val="24"/>
              </w:rPr>
            </w:pPr>
          </w:p>
        </w:tc>
        <w:tc>
          <w:tcPr>
            <w:tcW w:w="1260" w:type="dxa"/>
            <w:noWrap w:val="0"/>
            <w:vAlign w:val="center"/>
          </w:tcPr>
          <w:p w14:paraId="01C70781">
            <w:pPr>
              <w:wordWrap w:val="0"/>
              <w:spacing w:line="360" w:lineRule="auto"/>
              <w:rPr>
                <w:rFonts w:ascii="宋体" w:hAnsi="宋体"/>
                <w:color w:val="auto"/>
                <w:sz w:val="24"/>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rPr>
            </w:pPr>
          </w:p>
        </w:tc>
        <w:tc>
          <w:tcPr>
            <w:tcW w:w="1365" w:type="dxa"/>
            <w:noWrap w:val="0"/>
            <w:vAlign w:val="center"/>
          </w:tcPr>
          <w:p w14:paraId="4CC35275">
            <w:pPr>
              <w:wordWrap w:val="0"/>
              <w:spacing w:line="360" w:lineRule="auto"/>
              <w:rPr>
                <w:rFonts w:ascii="宋体" w:hAnsi="宋体"/>
                <w:color w:val="auto"/>
                <w:sz w:val="24"/>
              </w:rPr>
            </w:pPr>
          </w:p>
        </w:tc>
        <w:tc>
          <w:tcPr>
            <w:tcW w:w="1620" w:type="dxa"/>
            <w:noWrap w:val="0"/>
            <w:vAlign w:val="center"/>
          </w:tcPr>
          <w:p w14:paraId="64033AFA">
            <w:pPr>
              <w:wordWrap w:val="0"/>
              <w:spacing w:line="360" w:lineRule="auto"/>
              <w:rPr>
                <w:rFonts w:ascii="宋体" w:hAnsi="宋体"/>
                <w:color w:val="auto"/>
                <w:sz w:val="24"/>
              </w:rPr>
            </w:pPr>
          </w:p>
        </w:tc>
        <w:tc>
          <w:tcPr>
            <w:tcW w:w="1620" w:type="dxa"/>
            <w:noWrap w:val="0"/>
            <w:vAlign w:val="center"/>
          </w:tcPr>
          <w:p w14:paraId="72EEFB60">
            <w:pPr>
              <w:wordWrap w:val="0"/>
              <w:spacing w:line="360" w:lineRule="auto"/>
              <w:rPr>
                <w:rFonts w:ascii="宋体" w:hAnsi="宋体"/>
                <w:color w:val="auto"/>
                <w:sz w:val="24"/>
              </w:rPr>
            </w:pPr>
          </w:p>
        </w:tc>
        <w:tc>
          <w:tcPr>
            <w:tcW w:w="1430" w:type="dxa"/>
            <w:noWrap w:val="0"/>
            <w:vAlign w:val="center"/>
          </w:tcPr>
          <w:p w14:paraId="77A319DA">
            <w:pPr>
              <w:wordWrap w:val="0"/>
              <w:spacing w:line="360" w:lineRule="auto"/>
              <w:rPr>
                <w:rFonts w:ascii="宋体" w:hAnsi="宋体"/>
                <w:color w:val="auto"/>
                <w:sz w:val="24"/>
              </w:rPr>
            </w:pPr>
          </w:p>
        </w:tc>
        <w:tc>
          <w:tcPr>
            <w:tcW w:w="1345" w:type="dxa"/>
            <w:noWrap w:val="0"/>
            <w:vAlign w:val="center"/>
          </w:tcPr>
          <w:p w14:paraId="499A036B">
            <w:pPr>
              <w:wordWrap w:val="0"/>
              <w:spacing w:line="360" w:lineRule="auto"/>
              <w:rPr>
                <w:rFonts w:ascii="宋体" w:hAnsi="宋体"/>
                <w:color w:val="auto"/>
                <w:sz w:val="24"/>
              </w:rPr>
            </w:pPr>
          </w:p>
        </w:tc>
        <w:tc>
          <w:tcPr>
            <w:tcW w:w="1260" w:type="dxa"/>
            <w:noWrap w:val="0"/>
            <w:vAlign w:val="center"/>
          </w:tcPr>
          <w:p w14:paraId="7FF6A41F">
            <w:pPr>
              <w:wordWrap w:val="0"/>
              <w:spacing w:line="360" w:lineRule="auto"/>
              <w:rPr>
                <w:rFonts w:ascii="宋体" w:hAnsi="宋体"/>
                <w:color w:val="auto"/>
                <w:sz w:val="24"/>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rPr>
            </w:pPr>
          </w:p>
        </w:tc>
        <w:tc>
          <w:tcPr>
            <w:tcW w:w="1365" w:type="dxa"/>
            <w:noWrap w:val="0"/>
            <w:vAlign w:val="center"/>
          </w:tcPr>
          <w:p w14:paraId="04FE76A8">
            <w:pPr>
              <w:wordWrap w:val="0"/>
              <w:spacing w:line="360" w:lineRule="auto"/>
              <w:rPr>
                <w:rFonts w:ascii="宋体" w:hAnsi="宋体"/>
                <w:color w:val="auto"/>
                <w:sz w:val="24"/>
              </w:rPr>
            </w:pPr>
          </w:p>
        </w:tc>
        <w:tc>
          <w:tcPr>
            <w:tcW w:w="1620" w:type="dxa"/>
            <w:noWrap w:val="0"/>
            <w:vAlign w:val="center"/>
          </w:tcPr>
          <w:p w14:paraId="179DF324">
            <w:pPr>
              <w:wordWrap w:val="0"/>
              <w:spacing w:line="360" w:lineRule="auto"/>
              <w:rPr>
                <w:rFonts w:ascii="宋体" w:hAnsi="宋体"/>
                <w:color w:val="auto"/>
                <w:sz w:val="24"/>
              </w:rPr>
            </w:pPr>
          </w:p>
        </w:tc>
        <w:tc>
          <w:tcPr>
            <w:tcW w:w="1620" w:type="dxa"/>
            <w:noWrap w:val="0"/>
            <w:vAlign w:val="center"/>
          </w:tcPr>
          <w:p w14:paraId="614CFB0C">
            <w:pPr>
              <w:wordWrap w:val="0"/>
              <w:spacing w:line="360" w:lineRule="auto"/>
              <w:rPr>
                <w:rFonts w:ascii="宋体" w:hAnsi="宋体"/>
                <w:color w:val="auto"/>
                <w:sz w:val="24"/>
              </w:rPr>
            </w:pPr>
          </w:p>
        </w:tc>
        <w:tc>
          <w:tcPr>
            <w:tcW w:w="1430" w:type="dxa"/>
            <w:noWrap w:val="0"/>
            <w:vAlign w:val="center"/>
          </w:tcPr>
          <w:p w14:paraId="5CE9F0D9">
            <w:pPr>
              <w:wordWrap w:val="0"/>
              <w:spacing w:line="360" w:lineRule="auto"/>
              <w:rPr>
                <w:rFonts w:ascii="宋体" w:hAnsi="宋体"/>
                <w:color w:val="auto"/>
                <w:sz w:val="24"/>
              </w:rPr>
            </w:pPr>
          </w:p>
        </w:tc>
        <w:tc>
          <w:tcPr>
            <w:tcW w:w="1345" w:type="dxa"/>
            <w:noWrap w:val="0"/>
            <w:vAlign w:val="center"/>
          </w:tcPr>
          <w:p w14:paraId="2EC1BB8C">
            <w:pPr>
              <w:wordWrap w:val="0"/>
              <w:spacing w:line="360" w:lineRule="auto"/>
              <w:rPr>
                <w:rFonts w:ascii="宋体" w:hAnsi="宋体"/>
                <w:color w:val="auto"/>
                <w:sz w:val="24"/>
              </w:rPr>
            </w:pPr>
          </w:p>
        </w:tc>
        <w:tc>
          <w:tcPr>
            <w:tcW w:w="1260" w:type="dxa"/>
            <w:noWrap w:val="0"/>
            <w:vAlign w:val="center"/>
          </w:tcPr>
          <w:p w14:paraId="1F9C2EC3">
            <w:pPr>
              <w:wordWrap w:val="0"/>
              <w:spacing w:line="360" w:lineRule="auto"/>
              <w:rPr>
                <w:rFonts w:ascii="宋体" w:hAnsi="宋体"/>
                <w:color w:val="auto"/>
                <w:sz w:val="24"/>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rPr>
            </w:pPr>
          </w:p>
        </w:tc>
        <w:tc>
          <w:tcPr>
            <w:tcW w:w="1365" w:type="dxa"/>
            <w:noWrap w:val="0"/>
            <w:vAlign w:val="center"/>
          </w:tcPr>
          <w:p w14:paraId="08AFCF94">
            <w:pPr>
              <w:wordWrap w:val="0"/>
              <w:spacing w:line="360" w:lineRule="auto"/>
              <w:rPr>
                <w:rFonts w:ascii="宋体" w:hAnsi="宋体"/>
                <w:color w:val="auto"/>
                <w:sz w:val="24"/>
              </w:rPr>
            </w:pPr>
          </w:p>
        </w:tc>
        <w:tc>
          <w:tcPr>
            <w:tcW w:w="1620" w:type="dxa"/>
            <w:noWrap w:val="0"/>
            <w:vAlign w:val="center"/>
          </w:tcPr>
          <w:p w14:paraId="6249E50D">
            <w:pPr>
              <w:wordWrap w:val="0"/>
              <w:spacing w:line="360" w:lineRule="auto"/>
              <w:rPr>
                <w:rFonts w:ascii="宋体" w:hAnsi="宋体"/>
                <w:color w:val="auto"/>
                <w:sz w:val="24"/>
              </w:rPr>
            </w:pPr>
          </w:p>
        </w:tc>
        <w:tc>
          <w:tcPr>
            <w:tcW w:w="1620" w:type="dxa"/>
            <w:noWrap w:val="0"/>
            <w:vAlign w:val="center"/>
          </w:tcPr>
          <w:p w14:paraId="6246D63B">
            <w:pPr>
              <w:wordWrap w:val="0"/>
              <w:spacing w:line="360" w:lineRule="auto"/>
              <w:rPr>
                <w:rFonts w:ascii="宋体" w:hAnsi="宋体"/>
                <w:color w:val="auto"/>
                <w:sz w:val="24"/>
              </w:rPr>
            </w:pPr>
          </w:p>
        </w:tc>
        <w:tc>
          <w:tcPr>
            <w:tcW w:w="1430" w:type="dxa"/>
            <w:noWrap w:val="0"/>
            <w:vAlign w:val="center"/>
          </w:tcPr>
          <w:p w14:paraId="2EA57ADA">
            <w:pPr>
              <w:wordWrap w:val="0"/>
              <w:spacing w:line="360" w:lineRule="auto"/>
              <w:rPr>
                <w:rFonts w:ascii="宋体" w:hAnsi="宋体"/>
                <w:color w:val="auto"/>
                <w:sz w:val="24"/>
              </w:rPr>
            </w:pPr>
          </w:p>
        </w:tc>
        <w:tc>
          <w:tcPr>
            <w:tcW w:w="1345" w:type="dxa"/>
            <w:noWrap w:val="0"/>
            <w:vAlign w:val="center"/>
          </w:tcPr>
          <w:p w14:paraId="6D5AB866">
            <w:pPr>
              <w:wordWrap w:val="0"/>
              <w:spacing w:line="360" w:lineRule="auto"/>
              <w:rPr>
                <w:rFonts w:ascii="宋体" w:hAnsi="宋体"/>
                <w:color w:val="auto"/>
                <w:sz w:val="24"/>
              </w:rPr>
            </w:pPr>
          </w:p>
        </w:tc>
        <w:tc>
          <w:tcPr>
            <w:tcW w:w="1260" w:type="dxa"/>
            <w:noWrap w:val="0"/>
            <w:vAlign w:val="center"/>
          </w:tcPr>
          <w:p w14:paraId="3D08CA23">
            <w:pPr>
              <w:wordWrap w:val="0"/>
              <w:spacing w:line="360" w:lineRule="auto"/>
              <w:rPr>
                <w:rFonts w:ascii="宋体" w:hAnsi="宋体"/>
                <w:color w:val="auto"/>
                <w:sz w:val="24"/>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rPr>
            </w:pPr>
          </w:p>
        </w:tc>
        <w:tc>
          <w:tcPr>
            <w:tcW w:w="1365" w:type="dxa"/>
            <w:noWrap w:val="0"/>
            <w:vAlign w:val="center"/>
          </w:tcPr>
          <w:p w14:paraId="50EEC673">
            <w:pPr>
              <w:wordWrap w:val="0"/>
              <w:spacing w:line="360" w:lineRule="auto"/>
              <w:rPr>
                <w:rFonts w:ascii="宋体" w:hAnsi="宋体"/>
                <w:color w:val="auto"/>
                <w:sz w:val="24"/>
              </w:rPr>
            </w:pPr>
          </w:p>
        </w:tc>
        <w:tc>
          <w:tcPr>
            <w:tcW w:w="1620" w:type="dxa"/>
            <w:noWrap w:val="0"/>
            <w:vAlign w:val="center"/>
          </w:tcPr>
          <w:p w14:paraId="76A7EC00">
            <w:pPr>
              <w:wordWrap w:val="0"/>
              <w:spacing w:line="360" w:lineRule="auto"/>
              <w:rPr>
                <w:rFonts w:ascii="宋体" w:hAnsi="宋体"/>
                <w:color w:val="auto"/>
                <w:sz w:val="24"/>
              </w:rPr>
            </w:pPr>
          </w:p>
        </w:tc>
        <w:tc>
          <w:tcPr>
            <w:tcW w:w="1620" w:type="dxa"/>
            <w:noWrap w:val="0"/>
            <w:vAlign w:val="center"/>
          </w:tcPr>
          <w:p w14:paraId="20BF2C62">
            <w:pPr>
              <w:wordWrap w:val="0"/>
              <w:spacing w:line="360" w:lineRule="auto"/>
              <w:rPr>
                <w:rFonts w:ascii="宋体" w:hAnsi="宋体"/>
                <w:color w:val="auto"/>
                <w:sz w:val="24"/>
              </w:rPr>
            </w:pPr>
          </w:p>
        </w:tc>
        <w:tc>
          <w:tcPr>
            <w:tcW w:w="1430" w:type="dxa"/>
            <w:noWrap w:val="0"/>
            <w:vAlign w:val="center"/>
          </w:tcPr>
          <w:p w14:paraId="23FF9B92">
            <w:pPr>
              <w:wordWrap w:val="0"/>
              <w:spacing w:line="360" w:lineRule="auto"/>
              <w:rPr>
                <w:rFonts w:ascii="宋体" w:hAnsi="宋体"/>
                <w:color w:val="auto"/>
                <w:sz w:val="24"/>
              </w:rPr>
            </w:pPr>
          </w:p>
        </w:tc>
        <w:tc>
          <w:tcPr>
            <w:tcW w:w="1345" w:type="dxa"/>
            <w:noWrap w:val="0"/>
            <w:vAlign w:val="center"/>
          </w:tcPr>
          <w:p w14:paraId="70FB6390">
            <w:pPr>
              <w:wordWrap w:val="0"/>
              <w:spacing w:line="360" w:lineRule="auto"/>
              <w:rPr>
                <w:rFonts w:ascii="宋体" w:hAnsi="宋体"/>
                <w:color w:val="auto"/>
                <w:sz w:val="24"/>
              </w:rPr>
            </w:pPr>
          </w:p>
        </w:tc>
        <w:tc>
          <w:tcPr>
            <w:tcW w:w="1260" w:type="dxa"/>
            <w:noWrap w:val="0"/>
            <w:vAlign w:val="center"/>
          </w:tcPr>
          <w:p w14:paraId="4ECFE1AC">
            <w:pPr>
              <w:wordWrap w:val="0"/>
              <w:spacing w:line="360" w:lineRule="auto"/>
              <w:rPr>
                <w:rFonts w:ascii="宋体" w:hAnsi="宋体"/>
                <w:color w:val="auto"/>
                <w:sz w:val="24"/>
              </w:rPr>
            </w:pPr>
          </w:p>
        </w:tc>
      </w:tr>
    </w:tbl>
    <w:p w14:paraId="15DDA4AD">
      <w:pPr>
        <w:wordWrap w:val="0"/>
        <w:spacing w:line="360" w:lineRule="auto"/>
        <w:ind w:firstLine="482" w:firstLineChars="200"/>
        <w:rPr>
          <w:rFonts w:ascii="宋体" w:hAnsi="宋体"/>
          <w:color w:val="auto"/>
          <w:sz w:val="24"/>
        </w:rPr>
      </w:pPr>
      <w:r>
        <w:rPr>
          <w:rFonts w:hint="eastAsia" w:ascii="宋体" w:hAnsi="宋体"/>
          <w:b/>
          <w:bCs/>
          <w:color w:val="auto"/>
          <w:sz w:val="24"/>
        </w:rPr>
        <w:t>后附</w:t>
      </w:r>
      <w:r>
        <w:rPr>
          <w:rFonts w:ascii="宋体" w:hAnsi="宋体"/>
          <w:b/>
          <w:bCs/>
          <w:color w:val="auto"/>
          <w:sz w:val="24"/>
        </w:rPr>
        <w:t>：上述项目的</w:t>
      </w:r>
      <w:r>
        <w:rPr>
          <w:rFonts w:hint="eastAsia" w:ascii="宋体" w:hAnsi="宋体"/>
          <w:b/>
          <w:bCs/>
          <w:color w:val="auto"/>
          <w:sz w:val="24"/>
        </w:rPr>
        <w:t>中标通知书或合同</w:t>
      </w:r>
      <w:r>
        <w:rPr>
          <w:rFonts w:ascii="宋体" w:hAnsi="宋体"/>
          <w:b/>
          <w:bCs/>
          <w:color w:val="auto"/>
          <w:sz w:val="24"/>
        </w:rPr>
        <w:t>（包括</w:t>
      </w:r>
      <w:r>
        <w:rPr>
          <w:rFonts w:hint="eastAsia" w:ascii="宋体" w:hAnsi="宋体"/>
          <w:b/>
          <w:bCs/>
          <w:color w:val="auto"/>
          <w:sz w:val="24"/>
        </w:rPr>
        <w:t>：项目名称、</w:t>
      </w:r>
      <w:r>
        <w:rPr>
          <w:rFonts w:ascii="宋体" w:hAnsi="宋体"/>
          <w:b/>
          <w:bCs/>
          <w:color w:val="auto"/>
          <w:sz w:val="24"/>
        </w:rPr>
        <w:t>签约时间、</w:t>
      </w:r>
      <w:r>
        <w:rPr>
          <w:rFonts w:hint="eastAsia" w:ascii="宋体" w:hAnsi="宋体"/>
          <w:b/>
          <w:bCs/>
          <w:color w:val="auto"/>
          <w:sz w:val="24"/>
        </w:rPr>
        <w:t>中标</w:t>
      </w:r>
      <w:r>
        <w:rPr>
          <w:rFonts w:ascii="宋体" w:hAnsi="宋体"/>
          <w:b/>
          <w:bCs/>
          <w:color w:val="auto"/>
          <w:sz w:val="24"/>
        </w:rPr>
        <w:t>金额和双方</w:t>
      </w:r>
      <w:r>
        <w:rPr>
          <w:rFonts w:hint="eastAsia" w:ascii="宋体" w:hAnsi="宋体"/>
          <w:b/>
          <w:bCs/>
          <w:color w:val="auto"/>
          <w:sz w:val="24"/>
        </w:rPr>
        <w:t>签字并</w:t>
      </w:r>
      <w:r>
        <w:rPr>
          <w:rFonts w:ascii="宋体" w:hAnsi="宋体"/>
          <w:b/>
          <w:bCs/>
          <w:color w:val="auto"/>
          <w:sz w:val="24"/>
        </w:rPr>
        <w:t>盖章）复印件</w:t>
      </w:r>
      <w:r>
        <w:rPr>
          <w:rFonts w:ascii="宋体" w:hAnsi="宋体"/>
          <w:b/>
          <w:color w:val="auto"/>
          <w:sz w:val="24"/>
        </w:rPr>
        <w:t>，否则该项业绩视为无效。</w:t>
      </w:r>
    </w:p>
    <w:p w14:paraId="4B753EB3">
      <w:pPr>
        <w:tabs>
          <w:tab w:val="left" w:pos="1365"/>
        </w:tabs>
        <w:wordWrap w:val="0"/>
        <w:spacing w:line="360" w:lineRule="auto"/>
        <w:ind w:firstLine="480" w:firstLineChars="200"/>
        <w:rPr>
          <w:rFonts w:ascii="宋体" w:hAnsi="宋体"/>
          <w:color w:val="auto"/>
          <w:sz w:val="24"/>
        </w:rPr>
      </w:pPr>
      <w:bookmarkStart w:id="97" w:name="_Toc424468844"/>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4AD62C6B">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9E84555">
      <w:pPr>
        <w:pStyle w:val="4"/>
        <w:bidi w:val="0"/>
        <w:jc w:val="center"/>
      </w:pPr>
      <w:bookmarkStart w:id="98" w:name="_Toc18578"/>
      <w:r>
        <w:rPr>
          <w:rFonts w:hint="eastAsia"/>
          <w:lang w:eastAsia="zh-CN"/>
        </w:rPr>
        <w:t>十七</w:t>
      </w:r>
      <w:r>
        <w:rPr>
          <w:rFonts w:hint="eastAsia"/>
        </w:rPr>
        <w:t>、服务承诺</w:t>
      </w:r>
      <w:bookmarkEnd w:id="97"/>
      <w:bookmarkEnd w:id="98"/>
    </w:p>
    <w:p w14:paraId="378ABCF5">
      <w:pPr>
        <w:wordWrap w:val="0"/>
        <w:spacing w:line="360" w:lineRule="auto"/>
        <w:ind w:firstLine="643" w:firstLineChars="200"/>
        <w:jc w:val="center"/>
        <w:rPr>
          <w:rFonts w:hint="eastAsia" w:ascii="宋体" w:hAnsi="宋体" w:eastAsia="宋体"/>
          <w:b/>
          <w:color w:val="auto"/>
          <w:sz w:val="32"/>
          <w:szCs w:val="32"/>
          <w:lang w:eastAsia="zh-CN"/>
        </w:rPr>
      </w:pPr>
      <w:r>
        <w:rPr>
          <w:rFonts w:hint="eastAsia" w:ascii="宋体" w:hAnsi="宋体"/>
          <w:b/>
          <w:color w:val="auto"/>
          <w:sz w:val="32"/>
          <w:szCs w:val="32"/>
          <w:lang w:eastAsia="zh-CN"/>
        </w:rPr>
        <w:t>格式自拟</w:t>
      </w:r>
    </w:p>
    <w:p w14:paraId="5AE8B0B1">
      <w:pPr>
        <w:wordWrap w:val="0"/>
        <w:spacing w:line="360" w:lineRule="auto"/>
        <w:ind w:firstLine="643" w:firstLineChars="200"/>
        <w:jc w:val="center"/>
        <w:rPr>
          <w:rFonts w:hint="eastAsia" w:ascii="宋体" w:hAnsi="宋体"/>
          <w:b/>
          <w:color w:val="auto"/>
          <w:sz w:val="32"/>
          <w:szCs w:val="32"/>
        </w:rPr>
      </w:pPr>
    </w:p>
    <w:p w14:paraId="28912A51">
      <w:pPr>
        <w:wordWrap w:val="0"/>
        <w:spacing w:line="360" w:lineRule="auto"/>
        <w:ind w:firstLine="643" w:firstLineChars="200"/>
        <w:jc w:val="center"/>
        <w:rPr>
          <w:rFonts w:hint="eastAsia" w:ascii="宋体" w:hAnsi="宋体"/>
          <w:b/>
          <w:color w:val="auto"/>
          <w:sz w:val="32"/>
          <w:szCs w:val="32"/>
        </w:rPr>
      </w:pPr>
    </w:p>
    <w:p w14:paraId="629B598C">
      <w:pPr>
        <w:tabs>
          <w:tab w:val="left" w:pos="1365"/>
        </w:tabs>
        <w:wordWrap w:val="0"/>
        <w:spacing w:line="360" w:lineRule="auto"/>
        <w:rPr>
          <w:rFonts w:hint="eastAsia" w:ascii="宋体" w:hAnsi="宋体"/>
          <w:b/>
          <w:color w:val="auto"/>
          <w:sz w:val="32"/>
          <w:szCs w:val="32"/>
        </w:rPr>
      </w:pPr>
      <w:bookmarkStart w:id="99"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rPr>
      </w:pPr>
    </w:p>
    <w:p w14:paraId="71793775">
      <w:pPr>
        <w:tabs>
          <w:tab w:val="left" w:pos="1365"/>
        </w:tabs>
        <w:wordWrap w:val="0"/>
        <w:spacing w:line="360" w:lineRule="auto"/>
        <w:ind w:firstLine="643" w:firstLineChars="200"/>
        <w:jc w:val="center"/>
        <w:rPr>
          <w:rFonts w:hint="eastAsia" w:ascii="宋体" w:hAnsi="宋体"/>
          <w:b/>
          <w:color w:val="auto"/>
          <w:sz w:val="32"/>
          <w:szCs w:val="32"/>
        </w:rPr>
      </w:pPr>
    </w:p>
    <w:p w14:paraId="3D5D4997">
      <w:pPr>
        <w:tabs>
          <w:tab w:val="left" w:pos="1365"/>
        </w:tabs>
        <w:wordWrap w:val="0"/>
        <w:spacing w:line="360" w:lineRule="auto"/>
        <w:ind w:firstLine="643" w:firstLineChars="200"/>
        <w:jc w:val="center"/>
        <w:rPr>
          <w:rFonts w:hint="eastAsia" w:ascii="宋体" w:hAnsi="宋体"/>
          <w:b/>
          <w:color w:val="auto"/>
          <w:sz w:val="32"/>
          <w:szCs w:val="32"/>
        </w:rPr>
      </w:pPr>
    </w:p>
    <w:p w14:paraId="6AB12BB2">
      <w:pPr>
        <w:tabs>
          <w:tab w:val="left" w:pos="1365"/>
        </w:tabs>
        <w:wordWrap w:val="0"/>
        <w:spacing w:line="360" w:lineRule="auto"/>
        <w:ind w:firstLine="643" w:firstLineChars="200"/>
        <w:jc w:val="center"/>
        <w:rPr>
          <w:rFonts w:hint="eastAsia" w:ascii="宋体" w:hAnsi="宋体"/>
          <w:b/>
          <w:color w:val="auto"/>
          <w:sz w:val="32"/>
          <w:szCs w:val="32"/>
        </w:rPr>
      </w:pPr>
    </w:p>
    <w:p w14:paraId="352D0758">
      <w:pPr>
        <w:tabs>
          <w:tab w:val="left" w:pos="1365"/>
        </w:tabs>
        <w:wordWrap w:val="0"/>
        <w:spacing w:line="360" w:lineRule="auto"/>
        <w:ind w:firstLine="643" w:firstLineChars="200"/>
        <w:jc w:val="center"/>
        <w:rPr>
          <w:rFonts w:hint="eastAsia" w:ascii="宋体" w:hAnsi="宋体"/>
          <w:b/>
          <w:color w:val="auto"/>
          <w:sz w:val="32"/>
          <w:szCs w:val="32"/>
        </w:rPr>
      </w:pPr>
    </w:p>
    <w:p w14:paraId="0B2F999F">
      <w:pPr>
        <w:tabs>
          <w:tab w:val="left" w:pos="1365"/>
        </w:tabs>
        <w:wordWrap w:val="0"/>
        <w:spacing w:line="360" w:lineRule="auto"/>
        <w:ind w:firstLine="643" w:firstLineChars="200"/>
        <w:jc w:val="center"/>
        <w:rPr>
          <w:rFonts w:hint="eastAsia" w:ascii="宋体" w:hAnsi="宋体"/>
          <w:b/>
          <w:color w:val="auto"/>
          <w:sz w:val="32"/>
          <w:szCs w:val="32"/>
        </w:rPr>
      </w:pPr>
    </w:p>
    <w:p w14:paraId="193F2B31">
      <w:pPr>
        <w:tabs>
          <w:tab w:val="left" w:pos="1365"/>
        </w:tabs>
        <w:wordWrap w:val="0"/>
        <w:spacing w:line="360" w:lineRule="auto"/>
        <w:ind w:firstLine="643" w:firstLineChars="200"/>
        <w:jc w:val="center"/>
        <w:rPr>
          <w:rFonts w:hint="eastAsia" w:ascii="宋体" w:hAnsi="宋体"/>
          <w:b/>
          <w:color w:val="auto"/>
          <w:sz w:val="32"/>
          <w:szCs w:val="32"/>
        </w:rPr>
      </w:pPr>
    </w:p>
    <w:p w14:paraId="2A93D7EF">
      <w:pPr>
        <w:tabs>
          <w:tab w:val="left" w:pos="1365"/>
        </w:tabs>
        <w:wordWrap w:val="0"/>
        <w:spacing w:line="360" w:lineRule="auto"/>
        <w:ind w:firstLine="643" w:firstLineChars="200"/>
        <w:jc w:val="center"/>
        <w:rPr>
          <w:rFonts w:hint="eastAsia" w:ascii="宋体" w:hAnsi="宋体"/>
          <w:b/>
          <w:color w:val="auto"/>
          <w:sz w:val="32"/>
          <w:szCs w:val="32"/>
        </w:rPr>
      </w:pPr>
    </w:p>
    <w:p w14:paraId="67D2CD1E">
      <w:pPr>
        <w:tabs>
          <w:tab w:val="left" w:pos="1365"/>
        </w:tabs>
        <w:wordWrap w:val="0"/>
        <w:spacing w:line="360" w:lineRule="auto"/>
        <w:ind w:firstLine="643" w:firstLineChars="200"/>
        <w:jc w:val="center"/>
        <w:rPr>
          <w:rFonts w:hint="eastAsia" w:ascii="宋体" w:hAnsi="宋体"/>
          <w:b/>
          <w:color w:val="auto"/>
          <w:sz w:val="32"/>
          <w:szCs w:val="32"/>
        </w:rPr>
      </w:pPr>
    </w:p>
    <w:bookmarkEnd w:id="86"/>
    <w:bookmarkEnd w:id="87"/>
    <w:bookmarkEnd w:id="88"/>
    <w:bookmarkEnd w:id="99"/>
    <w:p w14:paraId="7E282412">
      <w:pPr>
        <w:rPr>
          <w:rFonts w:hint="eastAsia"/>
          <w:lang w:val="en-US" w:eastAsia="zh-CN"/>
        </w:rPr>
      </w:pPr>
      <w:r>
        <w:rPr>
          <w:rFonts w:hint="eastAsia"/>
          <w:lang w:val="en-US" w:eastAsia="zh-CN"/>
        </w:rPr>
        <w:br w:type="page"/>
      </w:r>
    </w:p>
    <w:p w14:paraId="5119AB5D">
      <w:pPr>
        <w:pStyle w:val="4"/>
        <w:bidi w:val="0"/>
        <w:jc w:val="center"/>
        <w:rPr>
          <w:lang w:eastAsia="en-US"/>
        </w:rPr>
      </w:pPr>
      <w:bookmarkStart w:id="100" w:name="_Toc31436"/>
      <w:r>
        <w:rPr>
          <w:rFonts w:hint="eastAsia"/>
          <w:lang w:val="en-US" w:eastAsia="zh-CN"/>
        </w:rPr>
        <w:t>十八、</w:t>
      </w:r>
      <w:r>
        <w:rPr>
          <w:rFonts w:hint="eastAsia"/>
          <w:lang w:eastAsia="en-US"/>
        </w:rPr>
        <w:t>实施方案</w:t>
      </w:r>
      <w:bookmarkEnd w:id="100"/>
    </w:p>
    <w:p w14:paraId="05EF1CB7">
      <w:pPr>
        <w:wordWrap w:val="0"/>
        <w:spacing w:before="275" w:line="357" w:lineRule="auto"/>
        <w:ind w:left="555" w:right="3855"/>
        <w:rPr>
          <w:rFonts w:ascii="宋体" w:hAnsi="宋体" w:cs="宋体"/>
          <w:szCs w:val="21"/>
        </w:rPr>
      </w:pPr>
    </w:p>
    <w:p w14:paraId="67C0B3D3">
      <w:pPr>
        <w:wordWrap w:val="0"/>
        <w:spacing w:line="360" w:lineRule="auto"/>
        <w:ind w:firstLine="643" w:firstLineChars="200"/>
        <w:jc w:val="center"/>
        <w:rPr>
          <w:rFonts w:hint="eastAsia" w:ascii="宋体" w:hAnsi="宋体" w:eastAsia="宋体" w:cs="Times New Roman"/>
          <w:b/>
          <w:color w:val="auto"/>
          <w:sz w:val="32"/>
          <w:szCs w:val="32"/>
          <w:lang w:eastAsia="zh-CN"/>
        </w:rPr>
        <w:sectPr>
          <w:footerReference r:id="rId8" w:type="default"/>
          <w:pgSz w:w="12240" w:h="15840"/>
          <w:pgMar w:top="1400" w:right="1720" w:bottom="1120" w:left="1720" w:header="0" w:footer="921" w:gutter="0"/>
          <w:cols w:space="720" w:num="1"/>
        </w:sectPr>
      </w:pPr>
      <w:r>
        <w:rPr>
          <w:rFonts w:hint="eastAsia" w:ascii="宋体" w:hAnsi="宋体" w:eastAsia="宋体" w:cs="Times New Roman"/>
          <w:b/>
          <w:color w:val="auto"/>
          <w:sz w:val="32"/>
          <w:szCs w:val="32"/>
          <w:lang w:eastAsia="zh-CN"/>
        </w:rPr>
        <w:t>格式自拟</w:t>
      </w:r>
    </w:p>
    <w:p w14:paraId="03AEE92D">
      <w:pPr>
        <w:rPr>
          <w:rFonts w:hint="eastAsia" w:ascii="Cambria" w:hAnsi="Cambria" w:eastAsia="宋体" w:cs="Times New Roman"/>
          <w:b/>
          <w:bCs/>
          <w:kern w:val="2"/>
          <w:sz w:val="32"/>
          <w:szCs w:val="32"/>
          <w:lang w:val="en-US" w:eastAsia="zh-CN" w:bidi="ar-SA"/>
        </w:rPr>
      </w:pPr>
    </w:p>
    <w:p w14:paraId="609E6036">
      <w:pPr>
        <w:wordWrap w:val="0"/>
        <w:spacing w:line="360" w:lineRule="auto"/>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格式自拟</w:t>
      </w:r>
    </w:p>
    <w:p w14:paraId="7084B482">
      <w:pPr>
        <w:rPr>
          <w:rFonts w:hint="eastAsia" w:ascii="Cambria" w:hAnsi="Cambria" w:eastAsia="宋体" w:cs="Times New Roman"/>
          <w:b/>
          <w:bCs/>
          <w:kern w:val="2"/>
          <w:sz w:val="32"/>
          <w:szCs w:val="32"/>
          <w:lang w:val="en-US" w:eastAsia="zh-CN" w:bidi="ar-SA"/>
        </w:rPr>
      </w:pPr>
    </w:p>
    <w:p w14:paraId="64AAC638">
      <w:pPr>
        <w:pStyle w:val="99"/>
        <w:ind w:firstLine="640"/>
        <w:rPr>
          <w:rFonts w:ascii="宋体" w:hAnsi="宋体" w:eastAsia="宋体" w:cs="宋体"/>
          <w:sz w:val="32"/>
          <w:szCs w:val="32"/>
        </w:rPr>
      </w:pPr>
    </w:p>
    <w:p w14:paraId="681F5DF3">
      <w:pPr>
        <w:pStyle w:val="99"/>
        <w:ind w:firstLine="640"/>
        <w:rPr>
          <w:rFonts w:ascii="宋体" w:hAnsi="宋体" w:eastAsia="宋体" w:cs="宋体"/>
          <w:sz w:val="32"/>
          <w:szCs w:val="32"/>
        </w:rPr>
      </w:pPr>
    </w:p>
    <w:p w14:paraId="1FC4A03B">
      <w:pPr>
        <w:pStyle w:val="99"/>
        <w:ind w:firstLine="640"/>
        <w:rPr>
          <w:rFonts w:ascii="宋体" w:hAnsi="宋体" w:eastAsia="宋体" w:cs="宋体"/>
          <w:sz w:val="32"/>
          <w:szCs w:val="32"/>
        </w:rPr>
      </w:pPr>
    </w:p>
    <w:p w14:paraId="3147BA67">
      <w:pPr>
        <w:pStyle w:val="99"/>
        <w:ind w:firstLine="640"/>
        <w:rPr>
          <w:rFonts w:ascii="宋体" w:hAnsi="宋体" w:eastAsia="宋体" w:cs="宋体"/>
          <w:sz w:val="32"/>
          <w:szCs w:val="32"/>
        </w:rPr>
      </w:pPr>
    </w:p>
    <w:p w14:paraId="3440362D">
      <w:pPr>
        <w:pStyle w:val="99"/>
        <w:ind w:firstLine="640"/>
        <w:rPr>
          <w:rFonts w:ascii="宋体" w:hAnsi="宋体" w:eastAsia="宋体" w:cs="宋体"/>
          <w:sz w:val="32"/>
          <w:szCs w:val="32"/>
        </w:rPr>
      </w:pPr>
    </w:p>
    <w:p w14:paraId="7CB84332">
      <w:pPr>
        <w:pStyle w:val="99"/>
        <w:ind w:firstLine="640"/>
        <w:rPr>
          <w:rFonts w:ascii="宋体" w:hAnsi="宋体" w:eastAsia="宋体" w:cs="宋体"/>
          <w:sz w:val="32"/>
          <w:szCs w:val="32"/>
        </w:rPr>
      </w:pPr>
    </w:p>
    <w:p w14:paraId="2FFC4507">
      <w:pPr>
        <w:pStyle w:val="99"/>
        <w:ind w:firstLine="640"/>
        <w:rPr>
          <w:rFonts w:ascii="宋体" w:hAnsi="宋体" w:eastAsia="宋体" w:cs="宋体"/>
          <w:sz w:val="32"/>
          <w:szCs w:val="32"/>
        </w:rPr>
      </w:pPr>
    </w:p>
    <w:p w14:paraId="1592EA3D">
      <w:pPr>
        <w:pStyle w:val="99"/>
        <w:ind w:firstLine="640"/>
        <w:rPr>
          <w:rFonts w:ascii="宋体" w:hAnsi="宋体" w:eastAsia="宋体" w:cs="宋体"/>
          <w:sz w:val="32"/>
          <w:szCs w:val="32"/>
        </w:rPr>
      </w:pPr>
    </w:p>
    <w:p w14:paraId="77C2CDDA">
      <w:pPr>
        <w:pStyle w:val="99"/>
        <w:ind w:firstLine="640"/>
        <w:rPr>
          <w:rFonts w:ascii="宋体" w:hAnsi="宋体" w:eastAsia="宋体" w:cs="宋体"/>
          <w:sz w:val="32"/>
          <w:szCs w:val="32"/>
        </w:rPr>
      </w:pPr>
    </w:p>
    <w:p w14:paraId="67F54C2A">
      <w:pPr>
        <w:pStyle w:val="99"/>
        <w:ind w:firstLine="640"/>
        <w:rPr>
          <w:rFonts w:ascii="宋体" w:hAnsi="宋体" w:eastAsia="宋体" w:cs="宋体"/>
          <w:sz w:val="32"/>
          <w:szCs w:val="32"/>
        </w:rPr>
      </w:pPr>
    </w:p>
    <w:p w14:paraId="43D25E84">
      <w:pPr>
        <w:pStyle w:val="99"/>
        <w:ind w:firstLine="640"/>
        <w:rPr>
          <w:rFonts w:ascii="宋体" w:hAnsi="宋体" w:eastAsia="宋体" w:cs="宋体"/>
          <w:sz w:val="32"/>
          <w:szCs w:val="32"/>
        </w:rPr>
      </w:pPr>
    </w:p>
    <w:p w14:paraId="765A063A">
      <w:pPr>
        <w:pStyle w:val="99"/>
        <w:ind w:firstLine="640"/>
        <w:rPr>
          <w:rFonts w:ascii="宋体" w:hAnsi="宋体" w:eastAsia="宋体" w:cs="宋体"/>
          <w:sz w:val="32"/>
          <w:szCs w:val="32"/>
        </w:rPr>
      </w:pPr>
    </w:p>
    <w:p w14:paraId="2CB9D08D">
      <w:pPr>
        <w:pStyle w:val="99"/>
        <w:ind w:firstLine="640"/>
        <w:rPr>
          <w:rFonts w:ascii="宋体" w:hAnsi="宋体" w:eastAsia="宋体" w:cs="宋体"/>
          <w:sz w:val="32"/>
          <w:szCs w:val="32"/>
        </w:rPr>
      </w:pPr>
    </w:p>
    <w:p w14:paraId="6D3BCF51">
      <w:pPr>
        <w:pStyle w:val="99"/>
        <w:ind w:firstLine="640"/>
        <w:rPr>
          <w:rFonts w:ascii="宋体" w:hAnsi="宋体" w:eastAsia="宋体" w:cs="宋体"/>
          <w:sz w:val="32"/>
          <w:szCs w:val="32"/>
        </w:rPr>
      </w:pPr>
    </w:p>
    <w:p w14:paraId="147C6882">
      <w:pPr>
        <w:pStyle w:val="99"/>
        <w:ind w:firstLine="640"/>
        <w:rPr>
          <w:rFonts w:ascii="宋体" w:hAnsi="宋体" w:eastAsia="宋体" w:cs="宋体"/>
          <w:sz w:val="32"/>
          <w:szCs w:val="32"/>
        </w:rPr>
      </w:pPr>
    </w:p>
    <w:p w14:paraId="70C18923">
      <w:pPr>
        <w:pStyle w:val="99"/>
        <w:ind w:firstLine="640"/>
        <w:rPr>
          <w:rFonts w:ascii="宋体" w:hAnsi="宋体" w:eastAsia="宋体" w:cs="宋体"/>
          <w:sz w:val="32"/>
          <w:szCs w:val="32"/>
        </w:rPr>
      </w:pPr>
    </w:p>
    <w:p w14:paraId="1C34F85F">
      <w:pPr>
        <w:pStyle w:val="99"/>
        <w:ind w:firstLine="640"/>
        <w:rPr>
          <w:rFonts w:ascii="宋体" w:hAnsi="宋体" w:eastAsia="宋体" w:cs="宋体"/>
          <w:sz w:val="32"/>
          <w:szCs w:val="32"/>
        </w:rPr>
      </w:pPr>
    </w:p>
    <w:p w14:paraId="01E8915D">
      <w:pPr>
        <w:pStyle w:val="99"/>
        <w:ind w:firstLine="640"/>
        <w:rPr>
          <w:rFonts w:ascii="宋体" w:hAnsi="宋体" w:eastAsia="宋体" w:cs="宋体"/>
          <w:sz w:val="32"/>
          <w:szCs w:val="32"/>
        </w:rPr>
      </w:pPr>
    </w:p>
    <w:p w14:paraId="218AA9DB">
      <w:pPr>
        <w:pStyle w:val="99"/>
        <w:ind w:firstLine="640"/>
        <w:rPr>
          <w:rFonts w:ascii="宋体" w:hAnsi="宋体" w:eastAsia="宋体" w:cs="宋体"/>
          <w:sz w:val="32"/>
          <w:szCs w:val="32"/>
        </w:rPr>
      </w:pPr>
    </w:p>
    <w:p w14:paraId="368E98C1">
      <w:pPr>
        <w:pStyle w:val="99"/>
        <w:ind w:firstLine="640"/>
        <w:rPr>
          <w:rFonts w:ascii="宋体" w:hAnsi="宋体" w:eastAsia="宋体" w:cs="宋体"/>
          <w:sz w:val="32"/>
          <w:szCs w:val="32"/>
        </w:rPr>
      </w:pPr>
    </w:p>
    <w:p w14:paraId="54ACD1B3">
      <w:pPr>
        <w:pStyle w:val="99"/>
        <w:ind w:firstLine="640"/>
        <w:rPr>
          <w:rFonts w:ascii="宋体" w:hAnsi="宋体" w:eastAsia="宋体" w:cs="宋体"/>
          <w:sz w:val="32"/>
          <w:szCs w:val="32"/>
        </w:rPr>
      </w:pPr>
    </w:p>
    <w:p w14:paraId="52499CD9">
      <w:pPr>
        <w:pStyle w:val="99"/>
        <w:ind w:firstLine="640"/>
        <w:rPr>
          <w:rFonts w:ascii="宋体" w:hAnsi="宋体" w:eastAsia="宋体" w:cs="宋体"/>
          <w:sz w:val="32"/>
          <w:szCs w:val="32"/>
        </w:rPr>
      </w:pPr>
    </w:p>
    <w:p w14:paraId="16022C69">
      <w:pPr>
        <w:pStyle w:val="99"/>
        <w:ind w:firstLine="640"/>
        <w:rPr>
          <w:rFonts w:ascii="宋体" w:hAnsi="宋体" w:eastAsia="宋体" w:cs="宋体"/>
          <w:sz w:val="32"/>
          <w:szCs w:val="32"/>
        </w:rPr>
      </w:pPr>
    </w:p>
    <w:p w14:paraId="16C63E45">
      <w:pPr>
        <w:pStyle w:val="99"/>
        <w:ind w:firstLine="640"/>
        <w:rPr>
          <w:rFonts w:ascii="宋体" w:hAnsi="宋体" w:eastAsia="宋体" w:cs="宋体"/>
          <w:sz w:val="32"/>
          <w:szCs w:val="32"/>
        </w:rPr>
      </w:pPr>
    </w:p>
    <w:p w14:paraId="58A65834">
      <w:pPr>
        <w:pStyle w:val="99"/>
        <w:ind w:firstLine="640"/>
        <w:rPr>
          <w:rFonts w:ascii="宋体" w:hAnsi="宋体" w:eastAsia="宋体" w:cs="宋体"/>
          <w:sz w:val="32"/>
          <w:szCs w:val="32"/>
        </w:rPr>
      </w:pPr>
    </w:p>
    <w:p w14:paraId="48F15D3A">
      <w:pPr>
        <w:pStyle w:val="99"/>
        <w:ind w:firstLine="640"/>
        <w:rPr>
          <w:rFonts w:ascii="宋体" w:hAnsi="宋体" w:eastAsia="宋体" w:cs="宋体"/>
          <w:sz w:val="32"/>
          <w:szCs w:val="32"/>
        </w:rPr>
      </w:pPr>
    </w:p>
    <w:p w14:paraId="3E1CE5B3">
      <w:pPr>
        <w:pStyle w:val="99"/>
        <w:ind w:firstLine="640"/>
        <w:rPr>
          <w:rFonts w:ascii="宋体" w:hAnsi="宋体" w:eastAsia="宋体" w:cs="宋体"/>
          <w:sz w:val="32"/>
          <w:szCs w:val="32"/>
        </w:rPr>
      </w:pPr>
    </w:p>
    <w:p w14:paraId="2EA34F85">
      <w:pPr>
        <w:pStyle w:val="99"/>
        <w:ind w:firstLine="640"/>
        <w:rPr>
          <w:rFonts w:ascii="宋体" w:hAnsi="宋体" w:eastAsia="宋体" w:cs="宋体"/>
          <w:sz w:val="32"/>
          <w:szCs w:val="32"/>
        </w:rPr>
      </w:pPr>
    </w:p>
    <w:p w14:paraId="1AF58BAB">
      <w:pPr>
        <w:rPr>
          <w:rFonts w:ascii="宋体" w:hAnsi="宋体" w:eastAsia="宋体" w:cs="宋体"/>
          <w:sz w:val="32"/>
          <w:szCs w:val="32"/>
        </w:rPr>
      </w:pPr>
      <w:r>
        <w:rPr>
          <w:rFonts w:ascii="宋体" w:hAnsi="宋体" w:eastAsia="宋体" w:cs="宋体"/>
          <w:sz w:val="32"/>
          <w:szCs w:val="32"/>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rPr>
      </w:pPr>
      <w:r>
        <w:rPr>
          <w:rFonts w:asciiTheme="minorEastAsia" w:hAnsiTheme="minorEastAsia" w:eastAsiaTheme="minorEastAsia" w:cstheme="minorEastAsia"/>
          <w:color w:val="auto"/>
          <w:sz w:val="24"/>
          <w:szCs w:val="24"/>
          <w:highlight w:val="none"/>
          <w:lang w:eastAsia="zh-CN"/>
        </w:rPr>
        <w:br w:type="page"/>
      </w:r>
    </w:p>
    <w:p w14:paraId="318C7247">
      <w:pPr>
        <w:pStyle w:val="3"/>
        <w:numPr>
          <w:ilvl w:val="0"/>
          <w:numId w:val="20"/>
        </w:numPr>
        <w:bidi w:val="0"/>
        <w:spacing w:line="240" w:lineRule="auto"/>
        <w:jc w:val="center"/>
        <w:rPr>
          <w:rFonts w:hint="eastAsia"/>
        </w:rPr>
      </w:pPr>
      <w:bookmarkStart w:id="101" w:name="_Toc17192"/>
      <w:r>
        <w:rPr>
          <w:rFonts w:hint="eastAsia"/>
        </w:rPr>
        <w:t>附件</w:t>
      </w:r>
      <w:bookmarkEnd w:id="101"/>
    </w:p>
    <w:p w14:paraId="0BF7330F">
      <w:pPr>
        <w:pStyle w:val="3"/>
        <w:numPr>
          <w:ilvl w:val="0"/>
          <w:numId w:val="0"/>
        </w:numPr>
        <w:bidi w:val="0"/>
        <w:spacing w:line="240" w:lineRule="auto"/>
        <w:jc w:val="both"/>
        <w:rPr>
          <w:rFonts w:hint="eastAsia" w:ascii="宋体" w:hAnsi="宋体" w:cs="宋体"/>
          <w:b/>
          <w:bCs/>
          <w:color w:val="auto"/>
          <w:sz w:val="28"/>
          <w:szCs w:val="28"/>
        </w:rPr>
      </w:pPr>
      <w:bookmarkStart w:id="102" w:name="_Toc14160"/>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w:t>
      </w:r>
      <w:bookmarkEnd w:id="102"/>
    </w:p>
    <w:p w14:paraId="77468AB9">
      <w:pPr>
        <w:widowControl/>
        <w:autoSpaceDE w:val="0"/>
        <w:spacing w:line="240" w:lineRule="auto"/>
        <w:jc w:val="center"/>
        <w:rPr>
          <w:rFonts w:hint="eastAsia" w:ascii="宋体" w:hAnsi="宋体"/>
          <w:b/>
          <w:bCs/>
          <w:color w:val="000000"/>
          <w:sz w:val="36"/>
          <w:szCs w:val="36"/>
          <w:highlight w:val="white"/>
        </w:rPr>
      </w:pPr>
    </w:p>
    <w:p w14:paraId="0FC9E92C">
      <w:pPr>
        <w:widowControl/>
        <w:autoSpaceDE w:val="0"/>
        <w:spacing w:line="240" w:lineRule="auto"/>
        <w:jc w:val="center"/>
        <w:rPr>
          <w:rFonts w:hint="eastAsia" w:ascii="宋体" w:hAnsi="宋体"/>
          <w:b/>
          <w:bCs/>
          <w:color w:val="000000"/>
          <w:sz w:val="36"/>
          <w:szCs w:val="36"/>
          <w:highlight w:val="white"/>
        </w:rPr>
      </w:pPr>
      <w:r>
        <w:rPr>
          <w:rFonts w:hint="eastAsia" w:ascii="宋体" w:hAnsi="宋体"/>
          <w:b/>
          <w:bCs/>
          <w:color w:val="000000"/>
          <w:sz w:val="36"/>
          <w:szCs w:val="36"/>
          <w:highlight w:val="white"/>
        </w:rPr>
        <w:t>中小企业声明函（货物）</w:t>
      </w:r>
    </w:p>
    <w:p w14:paraId="3E9B866C">
      <w:pPr>
        <w:pStyle w:val="104"/>
      </w:pPr>
    </w:p>
    <w:p w14:paraId="69AFB40B">
      <w:pPr>
        <w:pStyle w:val="17"/>
        <w:snapToGrid w:val="0"/>
        <w:spacing w:line="360" w:lineRule="auto"/>
        <w:ind w:firstLine="480" w:firstLineChars="200"/>
        <w:rPr>
          <w:rFonts w:hAnsi="宋体"/>
          <w:sz w:val="24"/>
          <w:szCs w:val="24"/>
        </w:rPr>
      </w:pPr>
      <w:r>
        <w:rPr>
          <w:rFonts w:hint="eastAsia" w:hAnsi="宋体"/>
          <w:color w:val="000000"/>
          <w:sz w:val="24"/>
          <w:szCs w:val="24"/>
          <w:highlight w:val="white"/>
        </w:rPr>
        <w:t>本公司（联合体）郑重声明，根据《政府采购促进中小企业发展管理办法》（财库﹝2020﹞46 号）的规定，本公司（联合体）参加</w:t>
      </w:r>
      <w:r>
        <w:rPr>
          <w:rFonts w:hint="eastAsia" w:hAnsi="宋体"/>
          <w:i/>
          <w:iCs/>
          <w:color w:val="000000"/>
          <w:sz w:val="24"/>
          <w:szCs w:val="24"/>
          <w:highlight w:val="white"/>
          <w:u w:val="single"/>
        </w:rPr>
        <w:t>（单位名称）</w:t>
      </w:r>
      <w:r>
        <w:rPr>
          <w:rFonts w:hint="eastAsia" w:hAnsi="宋体"/>
          <w:color w:val="000000"/>
          <w:sz w:val="24"/>
          <w:szCs w:val="24"/>
          <w:highlight w:val="white"/>
        </w:rPr>
        <w:t>的</w:t>
      </w:r>
      <w:r>
        <w:rPr>
          <w:rFonts w:hint="eastAsia" w:hAnsi="宋体"/>
          <w:i/>
          <w:iCs/>
          <w:color w:val="000000"/>
          <w:sz w:val="24"/>
          <w:szCs w:val="24"/>
          <w:highlight w:val="white"/>
          <w:u w:val="single"/>
        </w:rPr>
        <w:t>（项目名称）</w:t>
      </w:r>
      <w:r>
        <w:rPr>
          <w:rFonts w:hint="eastAsia" w:hAnsi="宋体"/>
          <w:color w:val="000000"/>
          <w:sz w:val="24"/>
          <w:szCs w:val="24"/>
          <w:highlight w:val="white"/>
        </w:rPr>
        <w:t>采购活动，提供的货物全部由符合政策要求的中小企业制造。相关企业（含联合体中的中小企业、签订分包意向协议的中小企业）的具体情况如下：</w:t>
      </w:r>
    </w:p>
    <w:p w14:paraId="05FA8D14">
      <w:pPr>
        <w:pStyle w:val="17"/>
        <w:snapToGrid w:val="0"/>
        <w:spacing w:line="360" w:lineRule="auto"/>
        <w:ind w:firstLine="480" w:firstLineChars="200"/>
        <w:rPr>
          <w:rFonts w:hAnsi="宋体"/>
          <w:sz w:val="24"/>
          <w:szCs w:val="24"/>
        </w:rPr>
      </w:pPr>
      <w:r>
        <w:rPr>
          <w:rFonts w:hint="eastAsia" w:hAnsi="宋体"/>
          <w:color w:val="000000"/>
          <w:sz w:val="24"/>
          <w:szCs w:val="24"/>
          <w:highlight w:val="white"/>
        </w:rPr>
        <w:t xml:space="preserve">1. </w:t>
      </w:r>
      <w:r>
        <w:rPr>
          <w:rFonts w:hint="eastAsia" w:hAnsi="宋体"/>
          <w:i/>
          <w:iCs/>
          <w:color w:val="000000"/>
          <w:sz w:val="24"/>
          <w:szCs w:val="24"/>
          <w:highlight w:val="white"/>
          <w:u w:val="single"/>
        </w:rPr>
        <w:t xml:space="preserve">（标的名称） </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7838A365">
      <w:pPr>
        <w:pStyle w:val="17"/>
        <w:snapToGrid w:val="0"/>
        <w:spacing w:line="360" w:lineRule="auto"/>
        <w:ind w:firstLine="480" w:firstLineChars="200"/>
        <w:rPr>
          <w:rFonts w:hAnsi="宋体"/>
          <w:sz w:val="24"/>
          <w:szCs w:val="24"/>
        </w:rPr>
      </w:pPr>
      <w:r>
        <w:rPr>
          <w:rFonts w:hint="eastAsia" w:hAnsi="宋体"/>
          <w:color w:val="000000"/>
          <w:sz w:val="24"/>
          <w:szCs w:val="24"/>
          <w:highlight w:val="white"/>
        </w:rPr>
        <w:t xml:space="preserve">2. </w:t>
      </w:r>
      <w:r>
        <w:rPr>
          <w:rFonts w:hint="eastAsia" w:hAnsi="宋体"/>
          <w:i/>
          <w:iCs/>
          <w:color w:val="000000"/>
          <w:sz w:val="24"/>
          <w:szCs w:val="24"/>
          <w:highlight w:val="white"/>
          <w:u w:val="single"/>
        </w:rPr>
        <w:t>（标的名称）</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5E52DD8E">
      <w:pPr>
        <w:pStyle w:val="17"/>
        <w:snapToGrid w:val="0"/>
        <w:spacing w:line="360" w:lineRule="auto"/>
        <w:ind w:firstLine="480" w:firstLineChars="200"/>
        <w:rPr>
          <w:rFonts w:hAnsi="宋体"/>
          <w:sz w:val="24"/>
          <w:szCs w:val="24"/>
        </w:rPr>
      </w:pPr>
      <w:r>
        <w:rPr>
          <w:rFonts w:hint="eastAsia" w:hAnsi="宋体"/>
          <w:color w:val="000000"/>
          <w:sz w:val="24"/>
          <w:szCs w:val="24"/>
          <w:highlight w:val="white"/>
        </w:rPr>
        <w:t>……</w:t>
      </w:r>
    </w:p>
    <w:p w14:paraId="5543D5DF">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rPr>
      </w:pPr>
      <w:r>
        <w:rPr>
          <w:rFonts w:hint="eastAsia" w:ascii="宋体" w:hAnsi="宋体"/>
          <w:color w:val="000000"/>
          <w:kern w:val="0"/>
          <w:sz w:val="24"/>
          <w:highlight w:val="whit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white"/>
        </w:rPr>
      </w:pPr>
    </w:p>
    <w:p w14:paraId="7EAD8A68">
      <w:pPr>
        <w:widowControl/>
        <w:autoSpaceDE w:val="0"/>
        <w:spacing w:after="0" w:line="360" w:lineRule="auto"/>
        <w:ind w:firstLine="4560" w:firstLineChars="1900"/>
        <w:jc w:val="left"/>
        <w:rPr>
          <w:rFonts w:ascii="宋体" w:hAnsi="宋体"/>
        </w:rPr>
      </w:pPr>
      <w:r>
        <w:rPr>
          <w:rFonts w:hint="eastAsia" w:ascii="宋体" w:hAnsi="宋体"/>
          <w:color w:val="000000"/>
          <w:kern w:val="0"/>
          <w:sz w:val="24"/>
          <w:highlight w:val="white"/>
        </w:rPr>
        <w:t xml:space="preserve">企业名称（电子签章）： </w:t>
      </w:r>
    </w:p>
    <w:p w14:paraId="30F0E0A8">
      <w:pPr>
        <w:widowControl/>
        <w:autoSpaceDE w:val="0"/>
        <w:spacing w:after="0" w:line="360" w:lineRule="auto"/>
        <w:ind w:firstLine="4560" w:firstLineChars="1900"/>
        <w:jc w:val="left"/>
        <w:rPr>
          <w:rFonts w:ascii="宋体" w:hAnsi="宋体"/>
          <w:kern w:val="0"/>
        </w:rPr>
      </w:pPr>
      <w:r>
        <w:rPr>
          <w:rFonts w:hint="eastAsia" w:ascii="宋体" w:hAnsi="宋体"/>
          <w:color w:val="000000"/>
          <w:kern w:val="0"/>
          <w:sz w:val="24"/>
          <w:highlight w:val="white"/>
        </w:rPr>
        <w:t>日 期：</w:t>
      </w:r>
    </w:p>
    <w:p w14:paraId="5A3536D5">
      <w:pPr>
        <w:widowControl/>
        <w:autoSpaceDE w:val="0"/>
        <w:ind w:firstLine="3120" w:firstLineChars="1300"/>
        <w:rPr>
          <w:rFonts w:ascii="宋体" w:hAnsi="宋体"/>
        </w:rPr>
      </w:pPr>
      <w:r>
        <w:rPr>
          <w:rFonts w:hint="eastAsia" w:ascii="宋体" w:hAnsi="宋体"/>
          <w:color w:val="000000"/>
          <w:kern w:val="0"/>
          <w:sz w:val="24"/>
          <w:highlight w:val="white"/>
        </w:rPr>
        <w:t xml:space="preserve"> </w:t>
      </w:r>
    </w:p>
    <w:p w14:paraId="75DE30AB">
      <w:pPr>
        <w:widowControl/>
        <w:autoSpaceDE w:val="0"/>
        <w:rPr>
          <w:szCs w:val="21"/>
        </w:rPr>
      </w:pPr>
      <w:r>
        <w:rPr>
          <w:rFonts w:hint="eastAsia" w:ascii="仿宋" w:hAnsi="仿宋" w:eastAsia="仿宋"/>
          <w:color w:val="000000"/>
          <w:kern w:val="0"/>
          <w:sz w:val="31"/>
          <w:szCs w:val="31"/>
          <w:highlight w:val="white"/>
          <w:u w:val="single"/>
        </w:rPr>
        <w:t xml:space="preserve">                    </w:t>
      </w:r>
      <w:r>
        <w:rPr>
          <w:rFonts w:hint="eastAsia" w:ascii="仿宋" w:hAnsi="仿宋" w:eastAsia="仿宋"/>
          <w:color w:val="000000"/>
          <w:kern w:val="0"/>
          <w:sz w:val="31"/>
          <w:szCs w:val="31"/>
          <w:highlight w:val="white"/>
        </w:rPr>
        <w:t xml:space="preserve"> </w:t>
      </w:r>
    </w:p>
    <w:p w14:paraId="0327206A">
      <w:pPr>
        <w:widowControl/>
        <w:autoSpaceDE w:val="0"/>
        <w:jc w:val="left"/>
      </w:pPr>
      <w:r>
        <w:rPr>
          <w:color w:val="000000"/>
          <w:kern w:val="0"/>
          <w:sz w:val="11"/>
          <w:szCs w:val="11"/>
          <w:highlight w:val="white"/>
        </w:rPr>
        <w:t xml:space="preserve">1 </w:t>
      </w:r>
      <w:r>
        <w:rPr>
          <w:rFonts w:hint="eastAsia" w:ascii="宋体" w:hAnsi="宋体"/>
          <w:color w:val="000000"/>
          <w:kern w:val="0"/>
          <w:sz w:val="18"/>
          <w:szCs w:val="18"/>
          <w:highlight w:val="whit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679952D9">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4E735F00">
      <w:pPr>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br w:type="page"/>
      </w:r>
    </w:p>
    <w:p w14:paraId="010D6ADF">
      <w:pPr>
        <w:pStyle w:val="105"/>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二</w:t>
      </w:r>
      <w:r>
        <w:rPr>
          <w:rFonts w:hint="eastAsia" w:ascii="宋体" w:hAnsi="宋体" w:cs="宋体"/>
          <w:b/>
          <w:color w:val="auto"/>
          <w:kern w:val="2"/>
          <w:sz w:val="28"/>
          <w:szCs w:val="28"/>
          <w:lang w:val="zh-CN"/>
        </w:rPr>
        <w:t>：</w:t>
      </w:r>
    </w:p>
    <w:p w14:paraId="5C357283">
      <w:pPr>
        <w:pStyle w:val="3"/>
        <w:jc w:val="center"/>
        <w:rPr>
          <w:rFonts w:hint="eastAsia" w:ascii="宋体" w:hAnsi="宋体" w:cs="宋体"/>
          <w:b w:val="0"/>
          <w:color w:val="auto"/>
          <w:sz w:val="28"/>
          <w:szCs w:val="28"/>
        </w:rPr>
      </w:pPr>
      <w:bookmarkStart w:id="103" w:name="_Toc55569576"/>
      <w:bookmarkStart w:id="104" w:name="_Toc11759"/>
      <w:bookmarkStart w:id="105" w:name="_Toc26887382"/>
      <w:r>
        <w:rPr>
          <w:rFonts w:hint="eastAsia" w:ascii="宋体" w:hAnsi="宋体" w:cs="宋体"/>
          <w:color w:val="auto"/>
          <w:sz w:val="28"/>
          <w:szCs w:val="28"/>
        </w:rPr>
        <w:t>残疾人福利性单位声明函（格式）</w:t>
      </w:r>
      <w:bookmarkEnd w:id="103"/>
      <w:bookmarkEnd w:id="104"/>
      <w:bookmarkEnd w:id="105"/>
    </w:p>
    <w:p w14:paraId="3F61485F">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rPr>
      </w:pPr>
    </w:p>
    <w:p w14:paraId="1EBB72E5">
      <w:pPr>
        <w:spacing w:line="588" w:lineRule="exact"/>
        <w:ind w:firstLine="504" w:firstLineChars="200"/>
        <w:rPr>
          <w:rFonts w:hint="eastAsia" w:ascii="宋体" w:hAnsi="宋体" w:cs="宋体"/>
          <w:color w:val="auto"/>
          <w:spacing w:val="6"/>
          <w:sz w:val="24"/>
        </w:rPr>
      </w:pPr>
    </w:p>
    <w:p w14:paraId="3D2B8F19">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2F181D93">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日  期：</w:t>
      </w:r>
    </w:p>
    <w:p w14:paraId="405F00A3">
      <w:pPr>
        <w:pStyle w:val="105"/>
        <w:rPr>
          <w:rFonts w:hint="eastAsia" w:ascii="宋体" w:hAnsi="宋体" w:cs="宋体"/>
          <w:b/>
          <w:bCs/>
          <w:color w:val="auto"/>
          <w:sz w:val="24"/>
          <w:szCs w:val="24"/>
          <w:lang w:val="zh-CN"/>
        </w:rPr>
      </w:pPr>
    </w:p>
    <w:p w14:paraId="1CB48E1D">
      <w:pPr>
        <w:pStyle w:val="105"/>
        <w:rPr>
          <w:rFonts w:hint="eastAsia" w:ascii="宋体" w:hAnsi="宋体" w:cs="宋体"/>
          <w:b/>
          <w:bCs/>
          <w:color w:val="auto"/>
          <w:sz w:val="24"/>
          <w:szCs w:val="24"/>
          <w:lang w:val="zh-CN"/>
        </w:rPr>
      </w:pPr>
    </w:p>
    <w:p w14:paraId="33503D14">
      <w:pPr>
        <w:spacing w:before="240" w:beforeLines="100" w:line="510" w:lineRule="exact"/>
        <w:rPr>
          <w:rFonts w:ascii="宋体" w:hAnsi="宋体" w:cs="宋体"/>
          <w:bCs/>
          <w:sz w:val="24"/>
          <w:szCs w:val="24"/>
        </w:rPr>
      </w:pPr>
    </w:p>
    <w:p w14:paraId="63701F67">
      <w:pPr>
        <w:rPr>
          <w:rFonts w:ascii="宋体" w:hAnsi="宋体" w:cs="宋体"/>
        </w:rPr>
      </w:pPr>
    </w:p>
    <w:p w14:paraId="7169C1A8">
      <w:pPr>
        <w:rPr>
          <w:rFonts w:ascii="宋体" w:hAnsi="宋体" w:cs="宋体"/>
        </w:rPr>
      </w:pPr>
    </w:p>
    <w:p w14:paraId="7E2CA7C2">
      <w:pPr>
        <w:rPr>
          <w:rFonts w:ascii="宋体" w:hAnsi="宋体" w:cs="宋体"/>
        </w:rPr>
      </w:pPr>
    </w:p>
    <w:p w14:paraId="2F6DC87C">
      <w:pPr>
        <w:rPr>
          <w:rFonts w:ascii="宋体" w:hAnsi="宋体" w:cs="宋体"/>
        </w:rPr>
      </w:pPr>
    </w:p>
    <w:p w14:paraId="05895400">
      <w:pPr>
        <w:rPr>
          <w:rFonts w:ascii="宋体" w:hAnsi="宋体" w:cs="宋体"/>
        </w:rPr>
      </w:pPr>
    </w:p>
    <w:p w14:paraId="252F9BD3">
      <w:pPr>
        <w:rPr>
          <w:rFonts w:ascii="宋体" w:hAnsi="宋体" w:cs="宋体"/>
        </w:rPr>
      </w:pPr>
    </w:p>
    <w:p w14:paraId="5E6CC480">
      <w:pPr>
        <w:rPr>
          <w:rFonts w:ascii="宋体" w:hAnsi="宋体" w:cs="宋体"/>
        </w:rPr>
      </w:pPr>
    </w:p>
    <w:p w14:paraId="54832DC5">
      <w:pPr>
        <w:rPr>
          <w:rFonts w:ascii="宋体" w:hAnsi="宋体" w:cs="宋体"/>
        </w:rPr>
      </w:pPr>
      <w:r>
        <w:rPr>
          <w:rFonts w:ascii="宋体" w:hAnsi="宋体" w:cs="宋体"/>
        </w:rPr>
        <w:br w:type="page"/>
      </w:r>
    </w:p>
    <w:p w14:paraId="0230AC86">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w:t>
      </w:r>
    </w:p>
    <w:p w14:paraId="0DAA2DBD">
      <w:pPr>
        <w:jc w:val="cente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rPr>
      </w:pPr>
    </w:p>
    <w:p w14:paraId="2E12997F">
      <w:pPr>
        <w:widowControl/>
        <w:shd w:val="clear" w:color="auto" w:fill="FFFFFF"/>
        <w:spacing w:after="150"/>
        <w:rPr>
          <w:rFonts w:ascii="宋体" w:hAnsi="宋体" w:cs="宋体"/>
          <w:b/>
          <w:bCs/>
          <w:szCs w:val="21"/>
        </w:rPr>
      </w:pPr>
    </w:p>
    <w:p w14:paraId="3C77C639">
      <w:pPr>
        <w:rPr>
          <w:rFonts w:hint="eastAsia" w:ascii="宋体" w:hAnsi="宋体" w:cs="宋体"/>
          <w:b/>
          <w:bCs/>
          <w:szCs w:val="21"/>
        </w:rPr>
      </w:pPr>
      <w:r>
        <w:rPr>
          <w:rFonts w:hint="eastAsia" w:ascii="宋体" w:hAnsi="宋体" w:cs="宋体"/>
          <w:b/>
          <w:bCs/>
          <w:szCs w:val="21"/>
        </w:rPr>
        <w:br w:type="page"/>
      </w:r>
    </w:p>
    <w:p w14:paraId="16391F8D">
      <w:pPr>
        <w:pStyle w:val="105"/>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四</w:t>
      </w:r>
      <w:r>
        <w:rPr>
          <w:rFonts w:hint="eastAsia" w:ascii="宋体" w:hAnsi="宋体" w:cs="宋体"/>
          <w:b/>
          <w:color w:val="auto"/>
          <w:kern w:val="2"/>
          <w:sz w:val="28"/>
          <w:szCs w:val="28"/>
          <w:lang w:val="zh-CN"/>
        </w:rPr>
        <w:t>：</w:t>
      </w:r>
    </w:p>
    <w:p w14:paraId="520179F3">
      <w:pPr>
        <w:pStyle w:val="31"/>
        <w:keepNext w:val="0"/>
        <w:keepLines w:val="0"/>
        <w:widowControl/>
        <w:suppressLineNumbers w:val="0"/>
        <w:spacing w:line="432" w:lineRule="auto"/>
        <w:jc w:val="center"/>
        <w:rPr>
          <w:rStyle w:val="38"/>
          <w:rFonts w:hint="eastAsia" w:ascii="宋体" w:hAnsi="宋体" w:eastAsia="宋体" w:cs="宋体"/>
          <w:color w:val="auto"/>
          <w:sz w:val="36"/>
          <w:szCs w:val="36"/>
          <w:u w:val="none"/>
          <w:lang w:eastAsia="zh-CN"/>
        </w:rPr>
      </w:pPr>
      <w:r>
        <w:rPr>
          <w:rStyle w:val="38"/>
          <w:rFonts w:hint="eastAsia" w:ascii="宋体" w:hAnsi="宋体" w:eastAsia="宋体" w:cs="宋体"/>
          <w:color w:val="auto"/>
          <w:sz w:val="36"/>
          <w:szCs w:val="36"/>
          <w:u w:val="none"/>
        </w:rPr>
        <w:t>关于印发中小企业划型标准规定的通知</w:t>
      </w:r>
    </w:p>
    <w:p w14:paraId="108087EB">
      <w:pPr>
        <w:pStyle w:val="31"/>
        <w:keepNext w:val="0"/>
        <w:keepLines w:val="0"/>
        <w:widowControl/>
        <w:suppressLineNumbers w:val="0"/>
        <w:spacing w:line="432" w:lineRule="auto"/>
        <w:jc w:val="center"/>
        <w:rPr>
          <w:color w:val="auto"/>
        </w:rPr>
      </w:pPr>
      <w:r>
        <w:rPr>
          <w:rFonts w:ascii="楷体_GB2312" w:hAnsi="宋体" w:eastAsia="楷体_GB2312" w:cs="楷体_GB2312"/>
          <w:color w:val="auto"/>
          <w:sz w:val="24"/>
          <w:szCs w:val="24"/>
          <w:u w:val="none"/>
        </w:rPr>
        <w:t>工信部联企业〔2011〕300号</w:t>
      </w:r>
    </w:p>
    <w:p w14:paraId="5FCA431B">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各省、自治区、直辖市人民政府，国务院各部委、各直属机构及有关单位：</w:t>
      </w:r>
    </w:p>
    <w:p w14:paraId="2B4CBD1D">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31"/>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36708CE8">
      <w:pPr>
        <w:pStyle w:val="31"/>
        <w:keepNext w:val="0"/>
        <w:keepLines w:val="0"/>
        <w:widowControl/>
        <w:suppressLineNumbers w:val="0"/>
        <w:spacing w:line="432" w:lineRule="auto"/>
        <w:rPr>
          <w:rFonts w:hint="eastAsia" w:ascii="宋体" w:hAnsi="宋体" w:eastAsia="宋体" w:cs="宋体"/>
          <w:color w:val="auto"/>
          <w:sz w:val="24"/>
          <w:szCs w:val="24"/>
          <w:u w:val="none"/>
        </w:rPr>
      </w:pPr>
    </w:p>
    <w:p w14:paraId="52020993">
      <w:pPr>
        <w:pStyle w:val="31"/>
        <w:keepNext w:val="0"/>
        <w:keepLines w:val="0"/>
        <w:widowControl/>
        <w:suppressLineNumbers w:val="0"/>
        <w:spacing w:line="432" w:lineRule="auto"/>
        <w:rPr>
          <w:rFonts w:hint="eastAsia" w:ascii="宋体" w:hAnsi="宋体" w:eastAsia="宋体" w:cs="宋体"/>
          <w:color w:val="auto"/>
          <w:sz w:val="24"/>
          <w:szCs w:val="24"/>
          <w:u w:val="none"/>
        </w:rPr>
      </w:pPr>
    </w:p>
    <w:p w14:paraId="301EBB42">
      <w:pPr>
        <w:pStyle w:val="31"/>
        <w:keepNext w:val="0"/>
        <w:keepLines w:val="0"/>
        <w:widowControl/>
        <w:suppressLineNumbers w:val="0"/>
        <w:spacing w:line="432" w:lineRule="auto"/>
        <w:rPr>
          <w:rFonts w:hint="eastAsia" w:ascii="宋体" w:hAnsi="宋体" w:eastAsia="宋体" w:cs="宋体"/>
          <w:color w:val="auto"/>
          <w:sz w:val="24"/>
          <w:szCs w:val="24"/>
          <w:u w:val="none"/>
        </w:rPr>
      </w:pPr>
    </w:p>
    <w:p w14:paraId="0C12CC30">
      <w:pPr>
        <w:pStyle w:val="31"/>
        <w:keepNext w:val="0"/>
        <w:keepLines w:val="0"/>
        <w:widowControl/>
        <w:suppressLineNumbers w:val="0"/>
        <w:spacing w:line="432" w:lineRule="auto"/>
        <w:rPr>
          <w:rFonts w:hint="eastAsia" w:ascii="宋体" w:hAnsi="宋体" w:eastAsia="宋体" w:cs="宋体"/>
          <w:color w:val="auto"/>
          <w:sz w:val="24"/>
          <w:szCs w:val="24"/>
          <w:u w:val="none"/>
        </w:rPr>
      </w:pPr>
    </w:p>
    <w:p w14:paraId="527A707F">
      <w:pPr>
        <w:pStyle w:val="31"/>
        <w:keepNext w:val="0"/>
        <w:keepLines w:val="0"/>
        <w:widowControl/>
        <w:suppressLineNumbers w:val="0"/>
        <w:spacing w:line="432" w:lineRule="auto"/>
        <w:rPr>
          <w:rFonts w:hint="eastAsia" w:ascii="宋体" w:hAnsi="宋体" w:eastAsia="宋体" w:cs="宋体"/>
          <w:color w:val="auto"/>
          <w:sz w:val="24"/>
          <w:szCs w:val="24"/>
          <w:u w:val="none"/>
        </w:rPr>
      </w:pPr>
    </w:p>
    <w:p w14:paraId="7ABCCAA7">
      <w:pPr>
        <w:pStyle w:val="31"/>
        <w:keepNext w:val="0"/>
        <w:keepLines w:val="0"/>
        <w:widowControl/>
        <w:suppressLineNumbers w:val="0"/>
        <w:spacing w:line="432" w:lineRule="auto"/>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xml:space="preserve"> 工业和信息化部　国家统计局</w:t>
      </w:r>
    </w:p>
    <w:p w14:paraId="1F1F4F0D">
      <w:pPr>
        <w:pStyle w:val="31"/>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国家发展和改革委员会　财政部</w:t>
      </w:r>
    </w:p>
    <w:p w14:paraId="1B5B56E6">
      <w:pPr>
        <w:pStyle w:val="31"/>
        <w:keepNext w:val="0"/>
        <w:keepLines w:val="0"/>
        <w:widowControl/>
        <w:suppressLineNumbers w:val="0"/>
        <w:spacing w:line="432" w:lineRule="auto"/>
        <w:ind w:firstLine="5280" w:firstLineChars="2200"/>
        <w:jc w:val="right"/>
        <w:rPr>
          <w:color w:val="auto"/>
        </w:rPr>
      </w:pPr>
      <w:r>
        <w:rPr>
          <w:rFonts w:hint="eastAsia" w:ascii="宋体" w:hAnsi="宋体" w:eastAsia="宋体" w:cs="宋体"/>
          <w:color w:val="auto"/>
          <w:sz w:val="24"/>
          <w:szCs w:val="24"/>
          <w:u w:val="none"/>
        </w:rPr>
        <w:t>　　　　　　　　　　　　　　　　　　　　　　　　二○一一年六月十八日</w:t>
      </w:r>
    </w:p>
    <w:p w14:paraId="2917319A">
      <w:pPr>
        <w:pStyle w:val="31"/>
        <w:keepNext w:val="0"/>
        <w:keepLines w:val="0"/>
        <w:widowControl/>
        <w:suppressLineNumbers w:val="0"/>
        <w:spacing w:line="432" w:lineRule="auto"/>
        <w:rPr>
          <w:color w:val="auto"/>
        </w:rPr>
      </w:pPr>
      <w:r>
        <w:rPr>
          <w:rFonts w:hint="eastAsia" w:ascii="宋体" w:hAnsi="宋体" w:eastAsia="宋体" w:cs="宋体"/>
          <w:color w:val="auto"/>
          <w:sz w:val="24"/>
          <w:szCs w:val="24"/>
          <w:u w:val="none"/>
        </w:rPr>
        <w:t> </w:t>
      </w:r>
    </w:p>
    <w:p w14:paraId="16C11276">
      <w:pPr>
        <w:widowControl/>
        <w:spacing w:line="330" w:lineRule="atLeast"/>
        <w:jc w:val="center"/>
        <w:rPr>
          <w:rFonts w:ascii="方正小标宋简体" w:hAnsi="宋体" w:eastAsia="方正小标宋简体" w:cs="宋体"/>
          <w:color w:val="auto"/>
          <w:kern w:val="0"/>
          <w:sz w:val="36"/>
          <w:szCs w:val="32"/>
        </w:rPr>
      </w:pPr>
      <w:r>
        <w:rPr>
          <w:rFonts w:hint="eastAsia" w:ascii="方正小标宋简体" w:hAnsi="宋体" w:eastAsia="方正小标宋简体" w:cs="宋体"/>
          <w:color w:val="auto"/>
          <w:kern w:val="0"/>
          <w:sz w:val="36"/>
          <w:szCs w:val="32"/>
        </w:rPr>
        <w:t>大中小微型企业划分标准</w:t>
      </w:r>
    </w:p>
    <w:tbl>
      <w:tblPr>
        <w:tblStyle w:val="3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1FCE1D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noWrap w:val="0"/>
            <w:vAlign w:val="center"/>
          </w:tcPr>
          <w:p w14:paraId="549F24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5AAF749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noWrap w:val="0"/>
            <w:vAlign w:val="center"/>
          </w:tcPr>
          <w:p w14:paraId="17CDB6C7">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99D4A1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154A240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D6C241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noWrap w:val="0"/>
            <w:vAlign w:val="center"/>
          </w:tcPr>
          <w:p w14:paraId="7B830A84">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829BEF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noWrap w:val="0"/>
            <w:vAlign w:val="center"/>
          </w:tcPr>
          <w:p w14:paraId="40136D87">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A28F46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noWrap w:val="0"/>
            <w:vAlign w:val="center"/>
          </w:tcPr>
          <w:p w14:paraId="38DB691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9A5B21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noWrap w:val="0"/>
            <w:vAlign w:val="center"/>
          </w:tcPr>
          <w:p w14:paraId="67B3030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8CB6FB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noWrap w:val="0"/>
            <w:vAlign w:val="center"/>
          </w:tcPr>
          <w:p w14:paraId="476A9FD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9599CC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noWrap w:val="0"/>
            <w:vAlign w:val="center"/>
          </w:tcPr>
          <w:p w14:paraId="4E4CB42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511B7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noWrap w:val="0"/>
            <w:vAlign w:val="center"/>
          </w:tcPr>
          <w:p w14:paraId="4E97757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320F06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4C07319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7F55F5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noWrap w:val="0"/>
            <w:vAlign w:val="center"/>
          </w:tcPr>
          <w:p w14:paraId="35471579">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5228464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noWrap w:val="0"/>
            <w:vAlign w:val="center"/>
          </w:tcPr>
          <w:p w14:paraId="1A7CA2AE">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F50D1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14:paraId="196E8C9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4E8E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042B28CD">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E1BD2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19B4FF02">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C9119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29F515D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A79DA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2B774F9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BBF02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62D7507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7CEB9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41ECD2E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848CF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7EABB4D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8EA9D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14:paraId="10B8E7D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6FDFAE">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5EE42B6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F5A549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noWrap w:val="0"/>
            <w:vAlign w:val="center"/>
          </w:tcPr>
          <w:p w14:paraId="286A20C9">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23718A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noWrap w:val="0"/>
            <w:vAlign w:val="center"/>
          </w:tcPr>
          <w:p w14:paraId="64AD489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8B3937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noWrap w:val="0"/>
            <w:vAlign w:val="center"/>
          </w:tcPr>
          <w:p w14:paraId="3A2B0626">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06F7353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noWrap w:val="0"/>
            <w:vAlign w:val="center"/>
          </w:tcPr>
          <w:p w14:paraId="59B5764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19BAE4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noWrap w:val="0"/>
            <w:vAlign w:val="center"/>
          </w:tcPr>
          <w:p w14:paraId="59BF81C4">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6FDE19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7B410AE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54D7A8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noWrap w:val="0"/>
            <w:vAlign w:val="center"/>
          </w:tcPr>
          <w:p w14:paraId="21E245D2">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0FC45E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5790E15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21CA352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noWrap w:val="0"/>
            <w:vAlign w:val="center"/>
          </w:tcPr>
          <w:p w14:paraId="2D8108B8">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2F9802B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noWrap w:val="0"/>
            <w:vAlign w:val="center"/>
          </w:tcPr>
          <w:p w14:paraId="5F4B0B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3506FC2">
      <w:pPr>
        <w:pStyle w:val="31"/>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5B32A2BB">
      <w:pPr>
        <w:pStyle w:val="31"/>
        <w:keepNext w:val="0"/>
        <w:keepLines w:val="0"/>
        <w:widowControl/>
        <w:suppressLineNumbers w:val="0"/>
        <w:spacing w:line="432" w:lineRule="auto"/>
        <w:jc w:val="center"/>
        <w:rPr>
          <w:rStyle w:val="38"/>
          <w:rFonts w:hint="eastAsia" w:ascii="宋体" w:hAnsi="宋体" w:eastAsia="宋体" w:cs="宋体"/>
          <w:color w:val="auto"/>
          <w:sz w:val="36"/>
          <w:szCs w:val="36"/>
          <w:u w:val="none"/>
        </w:rPr>
      </w:pPr>
    </w:p>
    <w:p w14:paraId="13A0F835">
      <w:pPr>
        <w:pStyle w:val="31"/>
        <w:keepNext w:val="0"/>
        <w:keepLines w:val="0"/>
        <w:widowControl/>
        <w:suppressLineNumbers w:val="0"/>
        <w:spacing w:line="432" w:lineRule="auto"/>
        <w:jc w:val="center"/>
        <w:rPr>
          <w:rStyle w:val="38"/>
          <w:rFonts w:hint="eastAsia" w:ascii="宋体" w:hAnsi="宋体" w:eastAsia="宋体" w:cs="宋体"/>
          <w:color w:val="auto"/>
          <w:sz w:val="36"/>
          <w:szCs w:val="36"/>
          <w:u w:val="none"/>
        </w:rPr>
      </w:pPr>
      <w:r>
        <w:rPr>
          <w:rStyle w:val="38"/>
          <w:rFonts w:hint="eastAsia" w:ascii="宋体" w:hAnsi="宋体" w:eastAsia="宋体" w:cs="宋体"/>
          <w:color w:val="auto"/>
          <w:sz w:val="36"/>
          <w:szCs w:val="36"/>
          <w:u w:val="none"/>
        </w:rPr>
        <w:t>中小企业划型标准规定</w:t>
      </w:r>
    </w:p>
    <w:p w14:paraId="146B04F8">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一、根据《中华人民共和国中小企业促进法》和《国务院关于进一步促进中小企业发展的若干意见》(国发〔2009〕36号)，制定本规定。</w:t>
      </w:r>
    </w:p>
    <w:p w14:paraId="05C067DF">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二、中小企业划分为中型、小型、微型三种类型，具体标准根据企业从业人员、营业收入、资产总额等指标，结合行业特点制定。</w:t>
      </w:r>
    </w:p>
    <w:p w14:paraId="7125246B">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四、各行业划型标准为：</w:t>
      </w:r>
    </w:p>
    <w:p w14:paraId="40A3F0D0">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（十六）其他未列明行业。从业人员300人以下的为中小微型企业。其中，从业人员100人及以上的为中型企业；从业人员10人及以上的为小型企业；从业人员10人以下的为微型企业。</w:t>
      </w:r>
    </w:p>
    <w:p w14:paraId="491E8A3E">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五、企业类型的划分以统计部门的统计数据为依据。</w:t>
      </w:r>
    </w:p>
    <w:p w14:paraId="227E584C">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六、本规定适用于在中华人民共和国境内依法设立的各类所有制和各种组织形式的企业。个体工商户和本规定以外的行业，参照本规定进行划型。</w:t>
      </w:r>
    </w:p>
    <w:p w14:paraId="4771D7C1">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八、本规定由工业和信息化部、国家统计局会同有关部门根据《国民经济行业分类》修订情况和企业发展变化情况适时修订。</w:t>
      </w:r>
    </w:p>
    <w:p w14:paraId="12248CE1">
      <w:pPr>
        <w:pStyle w:val="31"/>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九、本规定由工业和信息化部、国家统计局会同有关部门负责解释。</w:t>
      </w:r>
    </w:p>
    <w:p w14:paraId="3BEDE1F6">
      <w:pPr>
        <w:pStyle w:val="31"/>
        <w:keepNext w:val="0"/>
        <w:keepLines w:val="0"/>
        <w:widowControl/>
        <w:suppressLineNumbers w:val="0"/>
        <w:spacing w:line="432" w:lineRule="auto"/>
        <w:rPr>
          <w:rFonts w:cs="宋体"/>
          <w:b/>
          <w:sz w:val="30"/>
          <w:szCs w:val="30"/>
        </w:rPr>
      </w:pPr>
      <w:r>
        <w:rPr>
          <w:rFonts w:hint="eastAsia" w:ascii="宋体" w:hAnsi="宋体" w:eastAsia="宋体" w:cs="宋体"/>
          <w:color w:val="auto"/>
          <w:sz w:val="24"/>
          <w:szCs w:val="24"/>
          <w:u w:val="none"/>
        </w:rPr>
        <w:t>　　十、本规定自发布之日起执行，原国家经贸委、原国家计委、财政部和国家统计局2003年颁布的《中小企业标准暂行规定》同时废止。</w:t>
      </w:r>
    </w:p>
    <w:sectPr>
      <w:footerReference r:id="rId9" w:type="default"/>
      <w:pgSz w:w="11906" w:h="16838"/>
      <w:pgMar w:top="1134" w:right="992"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1C4709-808C-4A40-AAD3-A0983733807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C1F87E-7339-4F4B-B7D3-1E2954042950}"/>
  </w:font>
  <w:font w:name="Cambria">
    <w:panose1 w:val="02040503050406030204"/>
    <w:charset w:val="00"/>
    <w:family w:val="roman"/>
    <w:pitch w:val="default"/>
    <w:sig w:usb0="E00006FF" w:usb1="420024FF" w:usb2="02000000" w:usb3="00000000" w:csb0="2000019F" w:csb1="00000000"/>
    <w:embedRegular r:id="rId3" w:fontKey="{CDD3BDA7-BDF8-4037-B03E-A03A777BAA7C}"/>
  </w:font>
  <w:font w:name="仿宋_GB2312">
    <w:altName w:val="仿宋"/>
    <w:panose1 w:val="02010609030101010101"/>
    <w:charset w:val="86"/>
    <w:family w:val="modern"/>
    <w:pitch w:val="default"/>
    <w:sig w:usb0="00000000" w:usb1="00000000" w:usb2="00000010" w:usb3="00000000" w:csb0="00040000" w:csb1="00000000"/>
    <w:embedRegular r:id="rId4" w:fontKey="{8B33195B-F8A4-4C7E-B13F-5C406844D0A9}"/>
  </w:font>
  <w:font w:name="仿宋">
    <w:panose1 w:val="02010609060101010101"/>
    <w:charset w:val="86"/>
    <w:family w:val="auto"/>
    <w:pitch w:val="default"/>
    <w:sig w:usb0="800002BF" w:usb1="38CF7CFA" w:usb2="00000016" w:usb3="00000000" w:csb0="00040001" w:csb1="00000000"/>
    <w:embedRegular r:id="rId5" w:fontKey="{410267C4-323D-438B-8BF0-A4052AB5244D}"/>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embedRegular r:id="rId6" w:fontKey="{3D95D24A-FC03-4CAA-BC18-29FF71353C9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embedRegular r:id="rId7" w:fontKey="{A5B57898-3BF8-4822-AF6A-5988362CD4CF}"/>
  </w:font>
  <w:font w:name="方正小标宋简体">
    <w:panose1 w:val="02000000000000000000"/>
    <w:charset w:val="86"/>
    <w:family w:val="auto"/>
    <w:pitch w:val="default"/>
    <w:sig w:usb0="00000001" w:usb1="08000000" w:usb2="00000000" w:usb3="00000000" w:csb0="00040000" w:csb1="00000000"/>
    <w:embedRegular r:id="rId8" w:fontKey="{0C4D0DDB-764D-40DC-8199-B317E796C4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3C5C">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51C6">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860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A7860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rFonts w:ascii="宋体" w:hAnsi="宋体" w:cs="宋体"/>
        <w:sz w:val="20"/>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DpIK+RDwIAABAEAAAOAAAAAAAAAAEAIAAA&#10;ACABAABkcnMvZTJvRG9jLnhtbFBLBQYAAAAABgAGAFkBAAChBQAAAAA=&#10;">
              <v:fill on="f" focussize="0,0"/>
              <v:stroke on="f"/>
              <v:imagedata o:title=""/>
              <o:lock v:ext="edit" aspectratio="f"/>
              <v:textbox inset="0mm,0mm,0mm,0mm" style="mso-fit-shape-to-text:t;">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F3360">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3F3360">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133C"/>
    <w:multiLevelType w:val="singleLevel"/>
    <w:tmpl w:val="A28E133C"/>
    <w:lvl w:ilvl="0" w:tentative="0">
      <w:start w:val="7"/>
      <w:numFmt w:val="chineseCounting"/>
      <w:suff w:val="space"/>
      <w:lvlText w:val="第%1章"/>
      <w:lvlJc w:val="left"/>
      <w:rPr>
        <w:rFonts w:hint="eastAsia"/>
      </w:rPr>
    </w:lvl>
  </w:abstractNum>
  <w:abstractNum w:abstractNumId="1">
    <w:nsid w:val="B080FBCC"/>
    <w:multiLevelType w:val="singleLevel"/>
    <w:tmpl w:val="B080FBCC"/>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35F2D29"/>
    <w:multiLevelType w:val="singleLevel"/>
    <w:tmpl w:val="F35F2D29"/>
    <w:lvl w:ilvl="0" w:tentative="0">
      <w:start w:val="2"/>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
      <w:lvlJc w:val="left"/>
    </w:lvl>
  </w:abstractNum>
  <w:abstractNum w:abstractNumId="11">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4">
    <w:nsid w:val="5AD450A8"/>
    <w:multiLevelType w:val="singleLevel"/>
    <w:tmpl w:val="5AD450A8"/>
    <w:lvl w:ilvl="0" w:tentative="0">
      <w:start w:val="2"/>
      <w:numFmt w:val="decimal"/>
      <w:suff w:val="space"/>
      <w:lvlText w:val="%1."/>
      <w:lvlJc w:val="left"/>
    </w:lvl>
  </w:abstractNum>
  <w:abstractNum w:abstractNumId="15">
    <w:nsid w:val="5AD45148"/>
    <w:multiLevelType w:val="singleLevel"/>
    <w:tmpl w:val="5AD45148"/>
    <w:lvl w:ilvl="0" w:tentative="0">
      <w:start w:val="4"/>
      <w:numFmt w:val="decimal"/>
      <w:suff w:val="nothing"/>
      <w:lvlText w:val="%1．"/>
      <w:lvlJc w:val="left"/>
    </w:lvl>
  </w:abstractNum>
  <w:abstractNum w:abstractNumId="16">
    <w:nsid w:val="5B021BA0"/>
    <w:multiLevelType w:val="singleLevel"/>
    <w:tmpl w:val="5B021BA0"/>
    <w:lvl w:ilvl="0" w:tentative="0">
      <w:start w:val="2"/>
      <w:numFmt w:val="decimal"/>
      <w:suff w:val="nothing"/>
      <w:lvlText w:val="（%1）"/>
      <w:lvlJc w:val="left"/>
    </w:lvl>
  </w:abstractNum>
  <w:abstractNum w:abstractNumId="17">
    <w:nsid w:val="71A48FDE"/>
    <w:multiLevelType w:val="singleLevel"/>
    <w:tmpl w:val="71A48FDE"/>
    <w:lvl w:ilvl="0" w:tentative="0">
      <w:start w:val="1"/>
      <w:numFmt w:val="decimal"/>
      <w:suff w:val="nothing"/>
      <w:lvlText w:val="（%1）"/>
      <w:lvlJc w:val="left"/>
    </w:lvl>
  </w:abstractNum>
  <w:abstractNum w:abstractNumId="18">
    <w:nsid w:val="7429E059"/>
    <w:multiLevelType w:val="singleLevel"/>
    <w:tmpl w:val="7429E059"/>
    <w:lvl w:ilvl="0" w:tentative="0">
      <w:start w:val="1"/>
      <w:numFmt w:val="chineseCounting"/>
      <w:suff w:val="nothing"/>
      <w:lvlText w:val="%1、"/>
      <w:lvlJc w:val="left"/>
      <w:rPr>
        <w:rFonts w:hint="eastAsia"/>
      </w:rPr>
    </w:lvl>
  </w:abstractNum>
  <w:abstractNum w:abstractNumId="19">
    <w:nsid w:val="7A0F6431"/>
    <w:multiLevelType w:val="singleLevel"/>
    <w:tmpl w:val="7A0F6431"/>
    <w:lvl w:ilvl="0" w:tentative="0">
      <w:start w:val="1"/>
      <w:numFmt w:val="decimal"/>
      <w:suff w:val="space"/>
      <w:lvlText w:val="%1."/>
      <w:lvlJc w:val="left"/>
    </w:lvl>
  </w:abstractNum>
  <w:num w:numId="1">
    <w:abstractNumId w:val="13"/>
  </w:num>
  <w:num w:numId="2">
    <w:abstractNumId w:val="3"/>
  </w:num>
  <w:num w:numId="3">
    <w:abstractNumId w:val="17"/>
  </w:num>
  <w:num w:numId="4">
    <w:abstractNumId w:val="16"/>
  </w:num>
  <w:num w:numId="5">
    <w:abstractNumId w:val="8"/>
  </w:num>
  <w:num w:numId="6">
    <w:abstractNumId w:val="10"/>
  </w:num>
  <w:num w:numId="7">
    <w:abstractNumId w:val="19"/>
  </w:num>
  <w:num w:numId="8">
    <w:abstractNumId w:val="4"/>
  </w:num>
  <w:num w:numId="9">
    <w:abstractNumId w:val="9"/>
  </w:num>
  <w:num w:numId="10">
    <w:abstractNumId w:val="6"/>
  </w:num>
  <w:num w:numId="11">
    <w:abstractNumId w:val="5"/>
  </w:num>
  <w:num w:numId="12">
    <w:abstractNumId w:val="2"/>
  </w:num>
  <w:num w:numId="13">
    <w:abstractNumId w:val="7"/>
  </w:num>
  <w:num w:numId="14">
    <w:abstractNumId w:val="18"/>
  </w:num>
  <w:num w:numId="15">
    <w:abstractNumId w:val="1"/>
  </w:num>
  <w:num w:numId="16">
    <w:abstractNumId w:val="14"/>
  </w:num>
  <w:num w:numId="17">
    <w:abstractNumId w:val="15"/>
  </w:num>
  <w:num w:numId="18">
    <w:abstractNumId w:val="12"/>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MWVmYzRlNTQ4YzQ4ZjljNTVjNzcxZmU0NTM3OGU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219"/>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1695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36B3B"/>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43"/>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C7F3A"/>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30F"/>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07E"/>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6E88"/>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966"/>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89B"/>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5DB2"/>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511E"/>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0DA4"/>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15"/>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8CF"/>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167"/>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393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13FB9"/>
    <w:rsid w:val="0197393F"/>
    <w:rsid w:val="01A249C3"/>
    <w:rsid w:val="01B35E3B"/>
    <w:rsid w:val="01BF5783"/>
    <w:rsid w:val="01CD1057"/>
    <w:rsid w:val="01E449DA"/>
    <w:rsid w:val="01E46073"/>
    <w:rsid w:val="01F306CC"/>
    <w:rsid w:val="023D333D"/>
    <w:rsid w:val="028D5673"/>
    <w:rsid w:val="02BE1699"/>
    <w:rsid w:val="02C92423"/>
    <w:rsid w:val="02DA719F"/>
    <w:rsid w:val="02E20138"/>
    <w:rsid w:val="02F50D1E"/>
    <w:rsid w:val="02F53218"/>
    <w:rsid w:val="03211823"/>
    <w:rsid w:val="03347E88"/>
    <w:rsid w:val="033E4BBF"/>
    <w:rsid w:val="038A5ABF"/>
    <w:rsid w:val="039B16B6"/>
    <w:rsid w:val="039E05DA"/>
    <w:rsid w:val="03D5738D"/>
    <w:rsid w:val="03EA5256"/>
    <w:rsid w:val="03ED571C"/>
    <w:rsid w:val="03FC3375"/>
    <w:rsid w:val="04096F7B"/>
    <w:rsid w:val="0431318B"/>
    <w:rsid w:val="04322D1A"/>
    <w:rsid w:val="044F24C5"/>
    <w:rsid w:val="04762137"/>
    <w:rsid w:val="04C46E30"/>
    <w:rsid w:val="04E82D3F"/>
    <w:rsid w:val="04FE4606"/>
    <w:rsid w:val="055256A1"/>
    <w:rsid w:val="05A9269D"/>
    <w:rsid w:val="05C1471D"/>
    <w:rsid w:val="05DD1BF7"/>
    <w:rsid w:val="05F80AA9"/>
    <w:rsid w:val="0600615C"/>
    <w:rsid w:val="063B53E6"/>
    <w:rsid w:val="06533D3B"/>
    <w:rsid w:val="065D535C"/>
    <w:rsid w:val="06724784"/>
    <w:rsid w:val="06A905A2"/>
    <w:rsid w:val="06CC5B3F"/>
    <w:rsid w:val="06D03D80"/>
    <w:rsid w:val="06D46658"/>
    <w:rsid w:val="06FC0676"/>
    <w:rsid w:val="070739F0"/>
    <w:rsid w:val="07216614"/>
    <w:rsid w:val="07283BBC"/>
    <w:rsid w:val="07832BA1"/>
    <w:rsid w:val="07950B26"/>
    <w:rsid w:val="07A90360"/>
    <w:rsid w:val="07B33255"/>
    <w:rsid w:val="07F700E8"/>
    <w:rsid w:val="08064DBA"/>
    <w:rsid w:val="082F789B"/>
    <w:rsid w:val="08396ED3"/>
    <w:rsid w:val="089F7EAE"/>
    <w:rsid w:val="08A05850"/>
    <w:rsid w:val="08A420E1"/>
    <w:rsid w:val="08C120E0"/>
    <w:rsid w:val="090128EB"/>
    <w:rsid w:val="0939545A"/>
    <w:rsid w:val="0957582C"/>
    <w:rsid w:val="09A53221"/>
    <w:rsid w:val="09B65004"/>
    <w:rsid w:val="0A353253"/>
    <w:rsid w:val="0A363A1D"/>
    <w:rsid w:val="0A5E0FEF"/>
    <w:rsid w:val="0A654A44"/>
    <w:rsid w:val="0A924546"/>
    <w:rsid w:val="0AAA6709"/>
    <w:rsid w:val="0AC3352F"/>
    <w:rsid w:val="0AC73F32"/>
    <w:rsid w:val="0AD876A7"/>
    <w:rsid w:val="0AE377E2"/>
    <w:rsid w:val="0B1B2552"/>
    <w:rsid w:val="0B4A5116"/>
    <w:rsid w:val="0B5750F1"/>
    <w:rsid w:val="0B7B75D7"/>
    <w:rsid w:val="0B9610F4"/>
    <w:rsid w:val="0B995089"/>
    <w:rsid w:val="0BB43C70"/>
    <w:rsid w:val="0BB76C03"/>
    <w:rsid w:val="0BBD4590"/>
    <w:rsid w:val="0BD87233"/>
    <w:rsid w:val="0BE514A3"/>
    <w:rsid w:val="0C6E2553"/>
    <w:rsid w:val="0C85560D"/>
    <w:rsid w:val="0C887271"/>
    <w:rsid w:val="0C8B41A2"/>
    <w:rsid w:val="0C8D0F7C"/>
    <w:rsid w:val="0CBB2DDD"/>
    <w:rsid w:val="0CEA1C85"/>
    <w:rsid w:val="0D004C93"/>
    <w:rsid w:val="0D181FDD"/>
    <w:rsid w:val="0D2569D0"/>
    <w:rsid w:val="0D3C30EC"/>
    <w:rsid w:val="0D3D36A4"/>
    <w:rsid w:val="0D514AA1"/>
    <w:rsid w:val="0D6F1145"/>
    <w:rsid w:val="0D791A19"/>
    <w:rsid w:val="0D9D2076"/>
    <w:rsid w:val="0DAB060F"/>
    <w:rsid w:val="0E42412C"/>
    <w:rsid w:val="0E4447A8"/>
    <w:rsid w:val="0E56244E"/>
    <w:rsid w:val="0E5A6D3F"/>
    <w:rsid w:val="0E5E3E03"/>
    <w:rsid w:val="0E794CFD"/>
    <w:rsid w:val="0EB60381"/>
    <w:rsid w:val="0EC71FEA"/>
    <w:rsid w:val="0ECC1A8E"/>
    <w:rsid w:val="0EE41A9E"/>
    <w:rsid w:val="0F0832FF"/>
    <w:rsid w:val="0F4E618A"/>
    <w:rsid w:val="0F4F5A5E"/>
    <w:rsid w:val="0F505B34"/>
    <w:rsid w:val="0F800EB1"/>
    <w:rsid w:val="0FD71303"/>
    <w:rsid w:val="0FF9647C"/>
    <w:rsid w:val="1012617E"/>
    <w:rsid w:val="102155FB"/>
    <w:rsid w:val="103E71E0"/>
    <w:rsid w:val="10675755"/>
    <w:rsid w:val="109F048E"/>
    <w:rsid w:val="10B4026F"/>
    <w:rsid w:val="10C5403D"/>
    <w:rsid w:val="10EC5BD9"/>
    <w:rsid w:val="110660D2"/>
    <w:rsid w:val="117F2E0D"/>
    <w:rsid w:val="11BC012B"/>
    <w:rsid w:val="11D6041E"/>
    <w:rsid w:val="11E44B84"/>
    <w:rsid w:val="11F358DC"/>
    <w:rsid w:val="11FD7411"/>
    <w:rsid w:val="1220749E"/>
    <w:rsid w:val="12235F3C"/>
    <w:rsid w:val="1237314D"/>
    <w:rsid w:val="123F6455"/>
    <w:rsid w:val="128F7954"/>
    <w:rsid w:val="12B65EBF"/>
    <w:rsid w:val="12C44D3D"/>
    <w:rsid w:val="12D24AB6"/>
    <w:rsid w:val="133B4C77"/>
    <w:rsid w:val="13DD7ADC"/>
    <w:rsid w:val="14512AE0"/>
    <w:rsid w:val="145853B5"/>
    <w:rsid w:val="14F60EC4"/>
    <w:rsid w:val="14F90946"/>
    <w:rsid w:val="14FA4179"/>
    <w:rsid w:val="152A5522"/>
    <w:rsid w:val="153E5E53"/>
    <w:rsid w:val="157A70F8"/>
    <w:rsid w:val="157B78DE"/>
    <w:rsid w:val="157D0B2C"/>
    <w:rsid w:val="15C047FF"/>
    <w:rsid w:val="15EB4733"/>
    <w:rsid w:val="160550C9"/>
    <w:rsid w:val="16486296"/>
    <w:rsid w:val="16935F08"/>
    <w:rsid w:val="16C31734"/>
    <w:rsid w:val="173B6FF4"/>
    <w:rsid w:val="174C1201"/>
    <w:rsid w:val="17694AF7"/>
    <w:rsid w:val="17A7775F"/>
    <w:rsid w:val="17CA3567"/>
    <w:rsid w:val="17EE467F"/>
    <w:rsid w:val="182403C0"/>
    <w:rsid w:val="18285F02"/>
    <w:rsid w:val="182F6ADF"/>
    <w:rsid w:val="184566EB"/>
    <w:rsid w:val="188D1AD1"/>
    <w:rsid w:val="188E3A9B"/>
    <w:rsid w:val="18B21D51"/>
    <w:rsid w:val="19097B9D"/>
    <w:rsid w:val="191A70DD"/>
    <w:rsid w:val="1936109D"/>
    <w:rsid w:val="194C5989"/>
    <w:rsid w:val="197B7584"/>
    <w:rsid w:val="19932087"/>
    <w:rsid w:val="19EE47F1"/>
    <w:rsid w:val="1A725422"/>
    <w:rsid w:val="1A85424D"/>
    <w:rsid w:val="1B496BEE"/>
    <w:rsid w:val="1B6B1404"/>
    <w:rsid w:val="1B813CC4"/>
    <w:rsid w:val="1B9B2CA9"/>
    <w:rsid w:val="1BA749C4"/>
    <w:rsid w:val="1BB27C53"/>
    <w:rsid w:val="1BB66110"/>
    <w:rsid w:val="1BDD4A1B"/>
    <w:rsid w:val="1BEA0EFF"/>
    <w:rsid w:val="1CA64FD4"/>
    <w:rsid w:val="1CBF0500"/>
    <w:rsid w:val="1CFE11EF"/>
    <w:rsid w:val="1D1210FF"/>
    <w:rsid w:val="1D47643D"/>
    <w:rsid w:val="1DA8475E"/>
    <w:rsid w:val="1DD145C1"/>
    <w:rsid w:val="1DFE2624"/>
    <w:rsid w:val="1E0064D3"/>
    <w:rsid w:val="1E05605A"/>
    <w:rsid w:val="1E0E0A9A"/>
    <w:rsid w:val="1E171374"/>
    <w:rsid w:val="1E3B2150"/>
    <w:rsid w:val="1E4F2CD5"/>
    <w:rsid w:val="1E805BA0"/>
    <w:rsid w:val="1EB31B66"/>
    <w:rsid w:val="1EDD2072"/>
    <w:rsid w:val="1EE4155E"/>
    <w:rsid w:val="1F446A30"/>
    <w:rsid w:val="1F506A4C"/>
    <w:rsid w:val="1F647304"/>
    <w:rsid w:val="1F6D76F6"/>
    <w:rsid w:val="1FCB4A6E"/>
    <w:rsid w:val="1FCF6663"/>
    <w:rsid w:val="1FE13A05"/>
    <w:rsid w:val="1FF2404C"/>
    <w:rsid w:val="1FF50B01"/>
    <w:rsid w:val="200C6362"/>
    <w:rsid w:val="203062AB"/>
    <w:rsid w:val="203F1FE1"/>
    <w:rsid w:val="206019A4"/>
    <w:rsid w:val="2076109D"/>
    <w:rsid w:val="20816028"/>
    <w:rsid w:val="208E288A"/>
    <w:rsid w:val="20B10327"/>
    <w:rsid w:val="20B43BF1"/>
    <w:rsid w:val="20B80B22"/>
    <w:rsid w:val="210000FD"/>
    <w:rsid w:val="2105322D"/>
    <w:rsid w:val="2107263D"/>
    <w:rsid w:val="21374DD4"/>
    <w:rsid w:val="213B7244"/>
    <w:rsid w:val="214C5BC5"/>
    <w:rsid w:val="2165568F"/>
    <w:rsid w:val="218D2B42"/>
    <w:rsid w:val="21E93AF0"/>
    <w:rsid w:val="220612E3"/>
    <w:rsid w:val="22230DB0"/>
    <w:rsid w:val="222A508E"/>
    <w:rsid w:val="224F3B62"/>
    <w:rsid w:val="229438B4"/>
    <w:rsid w:val="22B742CD"/>
    <w:rsid w:val="22D52DDA"/>
    <w:rsid w:val="233024EF"/>
    <w:rsid w:val="239301B8"/>
    <w:rsid w:val="23D42CAA"/>
    <w:rsid w:val="246D6944"/>
    <w:rsid w:val="247D50F0"/>
    <w:rsid w:val="24922AB1"/>
    <w:rsid w:val="24FD1172"/>
    <w:rsid w:val="251827E2"/>
    <w:rsid w:val="2527378E"/>
    <w:rsid w:val="2530284B"/>
    <w:rsid w:val="25396B3D"/>
    <w:rsid w:val="255231DD"/>
    <w:rsid w:val="25556D82"/>
    <w:rsid w:val="2560751D"/>
    <w:rsid w:val="259D70B9"/>
    <w:rsid w:val="261F644A"/>
    <w:rsid w:val="2651725B"/>
    <w:rsid w:val="2667162B"/>
    <w:rsid w:val="26BB3CAD"/>
    <w:rsid w:val="26C115E8"/>
    <w:rsid w:val="271D3475"/>
    <w:rsid w:val="272C509E"/>
    <w:rsid w:val="27313F6F"/>
    <w:rsid w:val="276F4A98"/>
    <w:rsid w:val="27E770BC"/>
    <w:rsid w:val="289C18BC"/>
    <w:rsid w:val="28D472A8"/>
    <w:rsid w:val="28E05B40"/>
    <w:rsid w:val="28E84B02"/>
    <w:rsid w:val="29256F92"/>
    <w:rsid w:val="29415789"/>
    <w:rsid w:val="296E4DB7"/>
    <w:rsid w:val="297A3312"/>
    <w:rsid w:val="29BF7984"/>
    <w:rsid w:val="2A4E4E38"/>
    <w:rsid w:val="2A697EC4"/>
    <w:rsid w:val="2A780832"/>
    <w:rsid w:val="2A9F183F"/>
    <w:rsid w:val="2AC27643"/>
    <w:rsid w:val="2AC511FF"/>
    <w:rsid w:val="2B0D6AA1"/>
    <w:rsid w:val="2B127D43"/>
    <w:rsid w:val="2B137A26"/>
    <w:rsid w:val="2B3702A8"/>
    <w:rsid w:val="2B6E5792"/>
    <w:rsid w:val="2B9B099A"/>
    <w:rsid w:val="2BCD020C"/>
    <w:rsid w:val="2BE96C22"/>
    <w:rsid w:val="2BF5404C"/>
    <w:rsid w:val="2C1252C2"/>
    <w:rsid w:val="2C820DC9"/>
    <w:rsid w:val="2C9A0975"/>
    <w:rsid w:val="2CC0413F"/>
    <w:rsid w:val="2D055E1D"/>
    <w:rsid w:val="2D6055AE"/>
    <w:rsid w:val="2D910EBE"/>
    <w:rsid w:val="2D9B4590"/>
    <w:rsid w:val="2DA400CE"/>
    <w:rsid w:val="2DAC2698"/>
    <w:rsid w:val="2DB71FA7"/>
    <w:rsid w:val="2DD136C7"/>
    <w:rsid w:val="2E2A021A"/>
    <w:rsid w:val="2E5C32EB"/>
    <w:rsid w:val="2E7806D6"/>
    <w:rsid w:val="2E8A42F7"/>
    <w:rsid w:val="2EF00020"/>
    <w:rsid w:val="2F180AB4"/>
    <w:rsid w:val="2F334462"/>
    <w:rsid w:val="2F866390"/>
    <w:rsid w:val="2F94153F"/>
    <w:rsid w:val="2F9E5F1A"/>
    <w:rsid w:val="2FD12CC9"/>
    <w:rsid w:val="2FD41F86"/>
    <w:rsid w:val="3027709A"/>
    <w:rsid w:val="30294ADC"/>
    <w:rsid w:val="304C6A88"/>
    <w:rsid w:val="305D7F50"/>
    <w:rsid w:val="310E5321"/>
    <w:rsid w:val="312707E4"/>
    <w:rsid w:val="31602E24"/>
    <w:rsid w:val="31727460"/>
    <w:rsid w:val="317408E4"/>
    <w:rsid w:val="3182385E"/>
    <w:rsid w:val="31DA0886"/>
    <w:rsid w:val="31FA1774"/>
    <w:rsid w:val="31FE5396"/>
    <w:rsid w:val="324F79A0"/>
    <w:rsid w:val="32642CEC"/>
    <w:rsid w:val="32B33C46"/>
    <w:rsid w:val="32CD1AB7"/>
    <w:rsid w:val="32D54349"/>
    <w:rsid w:val="33020093"/>
    <w:rsid w:val="330714FD"/>
    <w:rsid w:val="33370B5F"/>
    <w:rsid w:val="333C0154"/>
    <w:rsid w:val="336F072D"/>
    <w:rsid w:val="337E0C62"/>
    <w:rsid w:val="33DE6A1F"/>
    <w:rsid w:val="33E84F34"/>
    <w:rsid w:val="33FC7E8C"/>
    <w:rsid w:val="342D2F02"/>
    <w:rsid w:val="34337579"/>
    <w:rsid w:val="34CE2DFE"/>
    <w:rsid w:val="34D92E2A"/>
    <w:rsid w:val="34F10498"/>
    <w:rsid w:val="3538296D"/>
    <w:rsid w:val="35441312"/>
    <w:rsid w:val="35B651B7"/>
    <w:rsid w:val="35EE0253"/>
    <w:rsid w:val="3601345F"/>
    <w:rsid w:val="360D204B"/>
    <w:rsid w:val="362D624A"/>
    <w:rsid w:val="36391D81"/>
    <w:rsid w:val="36681D9D"/>
    <w:rsid w:val="369571B1"/>
    <w:rsid w:val="36C45B89"/>
    <w:rsid w:val="36EF52AD"/>
    <w:rsid w:val="371B7E5C"/>
    <w:rsid w:val="37980295"/>
    <w:rsid w:val="37A333EE"/>
    <w:rsid w:val="37A418D8"/>
    <w:rsid w:val="37AB37BE"/>
    <w:rsid w:val="37F60FE9"/>
    <w:rsid w:val="37F83D4F"/>
    <w:rsid w:val="38262F51"/>
    <w:rsid w:val="383138F8"/>
    <w:rsid w:val="383F643E"/>
    <w:rsid w:val="386020D3"/>
    <w:rsid w:val="3865492E"/>
    <w:rsid w:val="386A0217"/>
    <w:rsid w:val="387064CE"/>
    <w:rsid w:val="39487705"/>
    <w:rsid w:val="394A1F2F"/>
    <w:rsid w:val="395D6E46"/>
    <w:rsid w:val="397B074E"/>
    <w:rsid w:val="39CC4CDD"/>
    <w:rsid w:val="3A4F4114"/>
    <w:rsid w:val="3A500759"/>
    <w:rsid w:val="3A5B5BB7"/>
    <w:rsid w:val="3A922B1F"/>
    <w:rsid w:val="3A9C5EC7"/>
    <w:rsid w:val="3AE113B1"/>
    <w:rsid w:val="3AEA78B6"/>
    <w:rsid w:val="3B0357CB"/>
    <w:rsid w:val="3B254100"/>
    <w:rsid w:val="3B901966"/>
    <w:rsid w:val="3BA42EB1"/>
    <w:rsid w:val="3BC938F0"/>
    <w:rsid w:val="3C183D6E"/>
    <w:rsid w:val="3CB308EA"/>
    <w:rsid w:val="3CBC31FE"/>
    <w:rsid w:val="3CE04016"/>
    <w:rsid w:val="3D22462E"/>
    <w:rsid w:val="3D347787"/>
    <w:rsid w:val="3D595B76"/>
    <w:rsid w:val="3D7E320E"/>
    <w:rsid w:val="3F3754B7"/>
    <w:rsid w:val="3F830C89"/>
    <w:rsid w:val="3F850EA5"/>
    <w:rsid w:val="3F93711E"/>
    <w:rsid w:val="3FA179AA"/>
    <w:rsid w:val="3FD733D9"/>
    <w:rsid w:val="3FD87871"/>
    <w:rsid w:val="401738F5"/>
    <w:rsid w:val="401E00C9"/>
    <w:rsid w:val="40436D96"/>
    <w:rsid w:val="404855C5"/>
    <w:rsid w:val="40592E84"/>
    <w:rsid w:val="406C47B6"/>
    <w:rsid w:val="407C4056"/>
    <w:rsid w:val="40A86BF9"/>
    <w:rsid w:val="40D951D2"/>
    <w:rsid w:val="40FA5268"/>
    <w:rsid w:val="412F65D1"/>
    <w:rsid w:val="418333A8"/>
    <w:rsid w:val="41923C46"/>
    <w:rsid w:val="41AA0ACA"/>
    <w:rsid w:val="41B62D5F"/>
    <w:rsid w:val="41C21F3C"/>
    <w:rsid w:val="41E04AE3"/>
    <w:rsid w:val="41F52311"/>
    <w:rsid w:val="41FE4420"/>
    <w:rsid w:val="420267DC"/>
    <w:rsid w:val="424C082D"/>
    <w:rsid w:val="4262727B"/>
    <w:rsid w:val="426B74AE"/>
    <w:rsid w:val="42A930FC"/>
    <w:rsid w:val="42BD6EF0"/>
    <w:rsid w:val="42D27F5D"/>
    <w:rsid w:val="42F56341"/>
    <w:rsid w:val="43041412"/>
    <w:rsid w:val="431F392D"/>
    <w:rsid w:val="43417B2B"/>
    <w:rsid w:val="43467BC5"/>
    <w:rsid w:val="437563DC"/>
    <w:rsid w:val="437B23A2"/>
    <w:rsid w:val="43BF2D12"/>
    <w:rsid w:val="43EC5115"/>
    <w:rsid w:val="444878C1"/>
    <w:rsid w:val="445B1741"/>
    <w:rsid w:val="445D5F4C"/>
    <w:rsid w:val="44763F08"/>
    <w:rsid w:val="44817E8C"/>
    <w:rsid w:val="44A105CA"/>
    <w:rsid w:val="44ED41C5"/>
    <w:rsid w:val="44F2662B"/>
    <w:rsid w:val="44FB3862"/>
    <w:rsid w:val="45101210"/>
    <w:rsid w:val="456A6B72"/>
    <w:rsid w:val="45877724"/>
    <w:rsid w:val="458A0EA3"/>
    <w:rsid w:val="46127187"/>
    <w:rsid w:val="465869CB"/>
    <w:rsid w:val="468F4EFD"/>
    <w:rsid w:val="46D7388F"/>
    <w:rsid w:val="47121221"/>
    <w:rsid w:val="471A1424"/>
    <w:rsid w:val="4772342A"/>
    <w:rsid w:val="484E277B"/>
    <w:rsid w:val="48511EB2"/>
    <w:rsid w:val="4866384A"/>
    <w:rsid w:val="487C5D3F"/>
    <w:rsid w:val="48A0098D"/>
    <w:rsid w:val="48B439FC"/>
    <w:rsid w:val="48D12A65"/>
    <w:rsid w:val="490270C2"/>
    <w:rsid w:val="494C5DE0"/>
    <w:rsid w:val="496B1CD2"/>
    <w:rsid w:val="49725FF6"/>
    <w:rsid w:val="499C3B40"/>
    <w:rsid w:val="499E6DEB"/>
    <w:rsid w:val="49B358F7"/>
    <w:rsid w:val="49BF6D61"/>
    <w:rsid w:val="49DE7B2F"/>
    <w:rsid w:val="4A1649E3"/>
    <w:rsid w:val="4A2701FF"/>
    <w:rsid w:val="4A531BC5"/>
    <w:rsid w:val="4A7E7653"/>
    <w:rsid w:val="4A813F5B"/>
    <w:rsid w:val="4AAB4206"/>
    <w:rsid w:val="4AE403BE"/>
    <w:rsid w:val="4B2B03A0"/>
    <w:rsid w:val="4BB7477B"/>
    <w:rsid w:val="4C5D5DD6"/>
    <w:rsid w:val="4CC04C8C"/>
    <w:rsid w:val="4CC13AA8"/>
    <w:rsid w:val="4CC74757"/>
    <w:rsid w:val="4CCE37BE"/>
    <w:rsid w:val="4CFE6137"/>
    <w:rsid w:val="4D005D50"/>
    <w:rsid w:val="4D160340"/>
    <w:rsid w:val="4D3A3383"/>
    <w:rsid w:val="4D4215BD"/>
    <w:rsid w:val="4D6871A7"/>
    <w:rsid w:val="4D81508F"/>
    <w:rsid w:val="4D9A561E"/>
    <w:rsid w:val="4DBD6A94"/>
    <w:rsid w:val="4DDC01B9"/>
    <w:rsid w:val="4E1A59EE"/>
    <w:rsid w:val="4E231FB4"/>
    <w:rsid w:val="4E277F6E"/>
    <w:rsid w:val="4E83005C"/>
    <w:rsid w:val="4EC74768"/>
    <w:rsid w:val="4EE871CB"/>
    <w:rsid w:val="4F136B0E"/>
    <w:rsid w:val="4F2F6737"/>
    <w:rsid w:val="4F345A3A"/>
    <w:rsid w:val="4F610FE6"/>
    <w:rsid w:val="4F6665FD"/>
    <w:rsid w:val="4F7F0B09"/>
    <w:rsid w:val="4F83137D"/>
    <w:rsid w:val="4F906609"/>
    <w:rsid w:val="4F9155F1"/>
    <w:rsid w:val="4F98252E"/>
    <w:rsid w:val="4FA9310C"/>
    <w:rsid w:val="4FBF3F5F"/>
    <w:rsid w:val="4FC82B6C"/>
    <w:rsid w:val="4FEE214E"/>
    <w:rsid w:val="505477A0"/>
    <w:rsid w:val="50603B72"/>
    <w:rsid w:val="5067715E"/>
    <w:rsid w:val="506B7C43"/>
    <w:rsid w:val="50987DB7"/>
    <w:rsid w:val="50B67110"/>
    <w:rsid w:val="50FA52A6"/>
    <w:rsid w:val="50FD52B5"/>
    <w:rsid w:val="50FF3F4A"/>
    <w:rsid w:val="510C51B5"/>
    <w:rsid w:val="51243167"/>
    <w:rsid w:val="51263104"/>
    <w:rsid w:val="51297BD8"/>
    <w:rsid w:val="51342574"/>
    <w:rsid w:val="51380E48"/>
    <w:rsid w:val="514C1822"/>
    <w:rsid w:val="51675356"/>
    <w:rsid w:val="5184518B"/>
    <w:rsid w:val="51B965FC"/>
    <w:rsid w:val="51D13AD5"/>
    <w:rsid w:val="51F53C68"/>
    <w:rsid w:val="52232583"/>
    <w:rsid w:val="525373F9"/>
    <w:rsid w:val="531D2457"/>
    <w:rsid w:val="538B2AB6"/>
    <w:rsid w:val="538F3C50"/>
    <w:rsid w:val="539C7FFE"/>
    <w:rsid w:val="53BF38EC"/>
    <w:rsid w:val="53C04396"/>
    <w:rsid w:val="53CF796F"/>
    <w:rsid w:val="540F2D98"/>
    <w:rsid w:val="54664F2D"/>
    <w:rsid w:val="549A713E"/>
    <w:rsid w:val="549D2738"/>
    <w:rsid w:val="54CD2C7A"/>
    <w:rsid w:val="54DA6115"/>
    <w:rsid w:val="5501496A"/>
    <w:rsid w:val="551E2E5D"/>
    <w:rsid w:val="55B32794"/>
    <w:rsid w:val="55FE3977"/>
    <w:rsid w:val="56147A2E"/>
    <w:rsid w:val="56544746"/>
    <w:rsid w:val="566030AC"/>
    <w:rsid w:val="569E48CE"/>
    <w:rsid w:val="56C579D5"/>
    <w:rsid w:val="57017A7F"/>
    <w:rsid w:val="571854E6"/>
    <w:rsid w:val="574134AB"/>
    <w:rsid w:val="57432F68"/>
    <w:rsid w:val="576631B4"/>
    <w:rsid w:val="57781C71"/>
    <w:rsid w:val="578C03FE"/>
    <w:rsid w:val="57E9601D"/>
    <w:rsid w:val="57FD73D2"/>
    <w:rsid w:val="58145D63"/>
    <w:rsid w:val="58276B45"/>
    <w:rsid w:val="585039A6"/>
    <w:rsid w:val="58507E4A"/>
    <w:rsid w:val="5881560A"/>
    <w:rsid w:val="58873140"/>
    <w:rsid w:val="589B5060"/>
    <w:rsid w:val="58D740C7"/>
    <w:rsid w:val="58F55856"/>
    <w:rsid w:val="59514400"/>
    <w:rsid w:val="5953256C"/>
    <w:rsid w:val="5955718D"/>
    <w:rsid w:val="59573159"/>
    <w:rsid w:val="598A6BBE"/>
    <w:rsid w:val="59AA358A"/>
    <w:rsid w:val="59B140E5"/>
    <w:rsid w:val="59BD32BD"/>
    <w:rsid w:val="59D514B4"/>
    <w:rsid w:val="59E86B9F"/>
    <w:rsid w:val="5A134EEC"/>
    <w:rsid w:val="5A644C07"/>
    <w:rsid w:val="5A9D6C4B"/>
    <w:rsid w:val="5AB55249"/>
    <w:rsid w:val="5AB910E6"/>
    <w:rsid w:val="5ABA15AB"/>
    <w:rsid w:val="5ABF3065"/>
    <w:rsid w:val="5ADA1C4D"/>
    <w:rsid w:val="5AEE56F8"/>
    <w:rsid w:val="5B0B0058"/>
    <w:rsid w:val="5B5205EC"/>
    <w:rsid w:val="5B631C42"/>
    <w:rsid w:val="5B6648C7"/>
    <w:rsid w:val="5B7007EA"/>
    <w:rsid w:val="5B7D1A85"/>
    <w:rsid w:val="5BE622C6"/>
    <w:rsid w:val="5C1C4FA9"/>
    <w:rsid w:val="5C245548"/>
    <w:rsid w:val="5C4B5C6D"/>
    <w:rsid w:val="5C567DFB"/>
    <w:rsid w:val="5C6A70FC"/>
    <w:rsid w:val="5C700ABB"/>
    <w:rsid w:val="5C8D60EF"/>
    <w:rsid w:val="5C9B540C"/>
    <w:rsid w:val="5CA964D7"/>
    <w:rsid w:val="5CD44FAE"/>
    <w:rsid w:val="5D457A78"/>
    <w:rsid w:val="5D5757D7"/>
    <w:rsid w:val="5DC757F8"/>
    <w:rsid w:val="5DFC6D3C"/>
    <w:rsid w:val="5E3209E8"/>
    <w:rsid w:val="5E655CD1"/>
    <w:rsid w:val="5E6A7F4A"/>
    <w:rsid w:val="5E7524E6"/>
    <w:rsid w:val="5EA05CA3"/>
    <w:rsid w:val="5EF62DCD"/>
    <w:rsid w:val="5F183E0C"/>
    <w:rsid w:val="5F2413D1"/>
    <w:rsid w:val="5F3306BE"/>
    <w:rsid w:val="5FF85DB8"/>
    <w:rsid w:val="600B28A8"/>
    <w:rsid w:val="60151849"/>
    <w:rsid w:val="603D3FA5"/>
    <w:rsid w:val="607355F5"/>
    <w:rsid w:val="607939D6"/>
    <w:rsid w:val="61295DD7"/>
    <w:rsid w:val="61406582"/>
    <w:rsid w:val="615F221E"/>
    <w:rsid w:val="616E707C"/>
    <w:rsid w:val="617701F5"/>
    <w:rsid w:val="617A6DAA"/>
    <w:rsid w:val="61B74A96"/>
    <w:rsid w:val="61C374EC"/>
    <w:rsid w:val="61F007AB"/>
    <w:rsid w:val="6203073F"/>
    <w:rsid w:val="620A2C3A"/>
    <w:rsid w:val="621813D1"/>
    <w:rsid w:val="62397BA1"/>
    <w:rsid w:val="624B0278"/>
    <w:rsid w:val="626470CE"/>
    <w:rsid w:val="626E0AFD"/>
    <w:rsid w:val="626E2A3F"/>
    <w:rsid w:val="62C425BA"/>
    <w:rsid w:val="637A1F7C"/>
    <w:rsid w:val="63A63849"/>
    <w:rsid w:val="63B1131B"/>
    <w:rsid w:val="63C94F54"/>
    <w:rsid w:val="640D6A68"/>
    <w:rsid w:val="64103515"/>
    <w:rsid w:val="64405216"/>
    <w:rsid w:val="64535AA4"/>
    <w:rsid w:val="64646DE3"/>
    <w:rsid w:val="64857BC7"/>
    <w:rsid w:val="64AA2690"/>
    <w:rsid w:val="64CA35B2"/>
    <w:rsid w:val="65167D25"/>
    <w:rsid w:val="65405C8E"/>
    <w:rsid w:val="655B482F"/>
    <w:rsid w:val="65B71508"/>
    <w:rsid w:val="664E34EF"/>
    <w:rsid w:val="66807B4C"/>
    <w:rsid w:val="66AC783F"/>
    <w:rsid w:val="66CB5338"/>
    <w:rsid w:val="66D60C56"/>
    <w:rsid w:val="66D932E1"/>
    <w:rsid w:val="66F75934"/>
    <w:rsid w:val="670C1B0F"/>
    <w:rsid w:val="67407CEE"/>
    <w:rsid w:val="676F196F"/>
    <w:rsid w:val="678A58F8"/>
    <w:rsid w:val="6791048F"/>
    <w:rsid w:val="67961AC6"/>
    <w:rsid w:val="67A45ABC"/>
    <w:rsid w:val="67B062A6"/>
    <w:rsid w:val="67B657F0"/>
    <w:rsid w:val="67D30150"/>
    <w:rsid w:val="67D51EB7"/>
    <w:rsid w:val="67DA14DE"/>
    <w:rsid w:val="67F87BB6"/>
    <w:rsid w:val="6825530A"/>
    <w:rsid w:val="68543FBA"/>
    <w:rsid w:val="687E3344"/>
    <w:rsid w:val="68987E30"/>
    <w:rsid w:val="68CD04C2"/>
    <w:rsid w:val="68D914C5"/>
    <w:rsid w:val="68EF3534"/>
    <w:rsid w:val="68F5405B"/>
    <w:rsid w:val="68FF583F"/>
    <w:rsid w:val="69275234"/>
    <w:rsid w:val="693102DF"/>
    <w:rsid w:val="693E5A9D"/>
    <w:rsid w:val="694751DB"/>
    <w:rsid w:val="69CF0DF4"/>
    <w:rsid w:val="69D660B2"/>
    <w:rsid w:val="69E712F3"/>
    <w:rsid w:val="69FF1774"/>
    <w:rsid w:val="6A0D5DD0"/>
    <w:rsid w:val="6A4B66C3"/>
    <w:rsid w:val="6A9616BA"/>
    <w:rsid w:val="6AC32C9A"/>
    <w:rsid w:val="6B1C3BBC"/>
    <w:rsid w:val="6B364C7D"/>
    <w:rsid w:val="6B4A0729"/>
    <w:rsid w:val="6B4F3718"/>
    <w:rsid w:val="6B6704AB"/>
    <w:rsid w:val="6B8F438D"/>
    <w:rsid w:val="6B906529"/>
    <w:rsid w:val="6B924DC4"/>
    <w:rsid w:val="6BAE03D4"/>
    <w:rsid w:val="6BC87B69"/>
    <w:rsid w:val="6BD75683"/>
    <w:rsid w:val="6BF76FC7"/>
    <w:rsid w:val="6C3867D3"/>
    <w:rsid w:val="6C931E67"/>
    <w:rsid w:val="6CD84F63"/>
    <w:rsid w:val="6CE8644B"/>
    <w:rsid w:val="6CFA6E24"/>
    <w:rsid w:val="6CFD7212"/>
    <w:rsid w:val="6D091DD7"/>
    <w:rsid w:val="6D3F4260"/>
    <w:rsid w:val="6D7101EF"/>
    <w:rsid w:val="6D8E61F1"/>
    <w:rsid w:val="6DA952AB"/>
    <w:rsid w:val="6DDD3ACB"/>
    <w:rsid w:val="6DDE7F68"/>
    <w:rsid w:val="6DEA07E1"/>
    <w:rsid w:val="6DEB66A3"/>
    <w:rsid w:val="6E170B30"/>
    <w:rsid w:val="6E3659C8"/>
    <w:rsid w:val="6E386F5E"/>
    <w:rsid w:val="6E433451"/>
    <w:rsid w:val="6E66437B"/>
    <w:rsid w:val="6E7D5654"/>
    <w:rsid w:val="6EA823C5"/>
    <w:rsid w:val="6EAB02FA"/>
    <w:rsid w:val="6EEE3E5F"/>
    <w:rsid w:val="6EEF1D13"/>
    <w:rsid w:val="6F04295F"/>
    <w:rsid w:val="6F0F60B4"/>
    <w:rsid w:val="6F6B3CB4"/>
    <w:rsid w:val="6F987BE5"/>
    <w:rsid w:val="6FBA5DBC"/>
    <w:rsid w:val="6FC06798"/>
    <w:rsid w:val="6FFE5B18"/>
    <w:rsid w:val="70114A8F"/>
    <w:rsid w:val="703C6B13"/>
    <w:rsid w:val="705F07D2"/>
    <w:rsid w:val="706601C1"/>
    <w:rsid w:val="7066225F"/>
    <w:rsid w:val="708A15C7"/>
    <w:rsid w:val="708C3591"/>
    <w:rsid w:val="70A82764"/>
    <w:rsid w:val="70DA1157"/>
    <w:rsid w:val="7135284F"/>
    <w:rsid w:val="71396686"/>
    <w:rsid w:val="71440DA3"/>
    <w:rsid w:val="71751EB5"/>
    <w:rsid w:val="717E112C"/>
    <w:rsid w:val="71A36DE5"/>
    <w:rsid w:val="71A4709A"/>
    <w:rsid w:val="71C048E0"/>
    <w:rsid w:val="71CB7E3C"/>
    <w:rsid w:val="720B45E8"/>
    <w:rsid w:val="7223471E"/>
    <w:rsid w:val="7224286D"/>
    <w:rsid w:val="72434598"/>
    <w:rsid w:val="724A22EE"/>
    <w:rsid w:val="72540756"/>
    <w:rsid w:val="72685348"/>
    <w:rsid w:val="72772DE8"/>
    <w:rsid w:val="72DE1046"/>
    <w:rsid w:val="736B2874"/>
    <w:rsid w:val="73886174"/>
    <w:rsid w:val="73965B3A"/>
    <w:rsid w:val="73F1711D"/>
    <w:rsid w:val="73F64F94"/>
    <w:rsid w:val="740A6CA7"/>
    <w:rsid w:val="74393C29"/>
    <w:rsid w:val="74566390"/>
    <w:rsid w:val="745C6968"/>
    <w:rsid w:val="74623ADD"/>
    <w:rsid w:val="74D347D7"/>
    <w:rsid w:val="74E24B72"/>
    <w:rsid w:val="750E26E5"/>
    <w:rsid w:val="752C64EA"/>
    <w:rsid w:val="75532F0F"/>
    <w:rsid w:val="75A23164"/>
    <w:rsid w:val="75B01AD0"/>
    <w:rsid w:val="75D204AB"/>
    <w:rsid w:val="75FC5D5F"/>
    <w:rsid w:val="760517E8"/>
    <w:rsid w:val="760610AB"/>
    <w:rsid w:val="761E2EDE"/>
    <w:rsid w:val="76241587"/>
    <w:rsid w:val="763643BF"/>
    <w:rsid w:val="763C1ED6"/>
    <w:rsid w:val="76446D4F"/>
    <w:rsid w:val="765D4CA4"/>
    <w:rsid w:val="7682191D"/>
    <w:rsid w:val="769D3D7B"/>
    <w:rsid w:val="76D35A76"/>
    <w:rsid w:val="76E41281"/>
    <w:rsid w:val="76E446A4"/>
    <w:rsid w:val="76FE3F87"/>
    <w:rsid w:val="77043E82"/>
    <w:rsid w:val="773A3D47"/>
    <w:rsid w:val="773F135E"/>
    <w:rsid w:val="775628E5"/>
    <w:rsid w:val="776E579F"/>
    <w:rsid w:val="777752DD"/>
    <w:rsid w:val="779D132A"/>
    <w:rsid w:val="77F90B4B"/>
    <w:rsid w:val="78144598"/>
    <w:rsid w:val="7881708F"/>
    <w:rsid w:val="78821DBA"/>
    <w:rsid w:val="78880AE2"/>
    <w:rsid w:val="78AC56A2"/>
    <w:rsid w:val="78B249E8"/>
    <w:rsid w:val="78C57641"/>
    <w:rsid w:val="78EF290F"/>
    <w:rsid w:val="78FB3062"/>
    <w:rsid w:val="78FB6342"/>
    <w:rsid w:val="796C5667"/>
    <w:rsid w:val="797B22D6"/>
    <w:rsid w:val="79F0693F"/>
    <w:rsid w:val="79FC3A25"/>
    <w:rsid w:val="7A1D5D70"/>
    <w:rsid w:val="7A29614B"/>
    <w:rsid w:val="7A3F0D30"/>
    <w:rsid w:val="7A560E98"/>
    <w:rsid w:val="7A6A66F1"/>
    <w:rsid w:val="7A942C8A"/>
    <w:rsid w:val="7A9D67A7"/>
    <w:rsid w:val="7AAE5B4C"/>
    <w:rsid w:val="7AC47723"/>
    <w:rsid w:val="7AE52177"/>
    <w:rsid w:val="7AEC7249"/>
    <w:rsid w:val="7B0B0A66"/>
    <w:rsid w:val="7B0C77A9"/>
    <w:rsid w:val="7B65510B"/>
    <w:rsid w:val="7B6624BF"/>
    <w:rsid w:val="7B8C75F4"/>
    <w:rsid w:val="7B902188"/>
    <w:rsid w:val="7B9A3006"/>
    <w:rsid w:val="7BA33ADE"/>
    <w:rsid w:val="7BC17BB6"/>
    <w:rsid w:val="7BD32074"/>
    <w:rsid w:val="7C040259"/>
    <w:rsid w:val="7C145D5A"/>
    <w:rsid w:val="7C3255A3"/>
    <w:rsid w:val="7C8716CA"/>
    <w:rsid w:val="7C9E7D0F"/>
    <w:rsid w:val="7CC6249B"/>
    <w:rsid w:val="7CCF4F32"/>
    <w:rsid w:val="7CD418BF"/>
    <w:rsid w:val="7D717D97"/>
    <w:rsid w:val="7D8201F6"/>
    <w:rsid w:val="7DB7720D"/>
    <w:rsid w:val="7DBB6EEC"/>
    <w:rsid w:val="7DDE7156"/>
    <w:rsid w:val="7E260644"/>
    <w:rsid w:val="7E2A58C2"/>
    <w:rsid w:val="7E75366D"/>
    <w:rsid w:val="7E8A5A20"/>
    <w:rsid w:val="7EC86C91"/>
    <w:rsid w:val="7ED95BF4"/>
    <w:rsid w:val="7EEA5541"/>
    <w:rsid w:val="7F1255AA"/>
    <w:rsid w:val="7F2E6600"/>
    <w:rsid w:val="7F313C82"/>
    <w:rsid w:val="7F4C2569"/>
    <w:rsid w:val="7F8731B0"/>
    <w:rsid w:val="7F875650"/>
    <w:rsid w:val="7F8D69DE"/>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0"/>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after="290" w:line="372" w:lineRule="auto"/>
      <w:outlineLvl w:val="4"/>
    </w:pPr>
    <w:rPr>
      <w:b/>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0"/>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2"/>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styleId="13">
    <w:name w:val="Date"/>
    <w:basedOn w:val="1"/>
    <w:next w:val="1"/>
    <w:link w:val="63"/>
    <w:qFormat/>
    <w:uiPriority w:val="0"/>
    <w:pPr>
      <w:ind w:left="100" w:leftChars="2500"/>
    </w:pPr>
  </w:style>
  <w:style w:type="paragraph" w:styleId="14">
    <w:name w:val="Body Text Indent"/>
    <w:basedOn w:val="1"/>
    <w:link w:val="61"/>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9"/>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Balloon Text"/>
    <w:basedOn w:val="1"/>
    <w:semiHidden/>
    <w:qFormat/>
    <w:uiPriority w:val="0"/>
    <w:rPr>
      <w:sz w:val="18"/>
      <w:szCs w:val="18"/>
    </w:rPr>
  </w:style>
  <w:style w:type="paragraph" w:styleId="20">
    <w:name w:val="footer"/>
    <w:basedOn w:val="1"/>
    <w:link w:val="64"/>
    <w:qFormat/>
    <w:uiPriority w:val="99"/>
    <w:pPr>
      <w:tabs>
        <w:tab w:val="center" w:pos="4153"/>
        <w:tab w:val="right" w:pos="8306"/>
      </w:tabs>
      <w:snapToGrid w:val="0"/>
      <w:jc w:val="left"/>
    </w:pPr>
    <w:rPr>
      <w:sz w:val="18"/>
      <w:szCs w:val="18"/>
    </w:rPr>
  </w:style>
  <w:style w:type="paragraph" w:styleId="21">
    <w:name w:val="envelope return"/>
    <w:basedOn w:val="1"/>
    <w:qFormat/>
    <w:uiPriority w:val="99"/>
    <w:pPr>
      <w:snapToGrid w:val="0"/>
    </w:pPr>
    <w:rPr>
      <w:rFonts w:ascii="Arial" w:hAnsi="Arial" w:cs="Arial"/>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0"/>
    <w:next w:val="10"/>
    <w:semiHidden/>
    <w:qFormat/>
    <w:uiPriority w:val="0"/>
    <w:rPr>
      <w:b/>
      <w:bCs/>
    </w:rPr>
  </w:style>
  <w:style w:type="paragraph" w:styleId="33">
    <w:name w:val="Body Text First Indent"/>
    <w:basedOn w:val="12"/>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列出段落1"/>
    <w:basedOn w:val="1"/>
    <w:qFormat/>
    <w:uiPriority w:val="0"/>
    <w:pPr>
      <w:ind w:firstLine="420" w:firstLineChars="200"/>
    </w:pPr>
    <w:rPr>
      <w:rFonts w:ascii="Calibri" w:hAnsi="Calibri"/>
      <w:szCs w:val="22"/>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character" w:customStyle="1" w:styleId="56">
    <w:name w:val="标题 1 字符"/>
    <w:link w:val="3"/>
    <w:qFormat/>
    <w:uiPriority w:val="0"/>
    <w:rPr>
      <w:b/>
      <w:bCs/>
      <w:kern w:val="44"/>
      <w:sz w:val="44"/>
      <w:szCs w:val="44"/>
    </w:rPr>
  </w:style>
  <w:style w:type="character" w:customStyle="1" w:styleId="57">
    <w:name w:val="标题 2 Char"/>
    <w:semiHidden/>
    <w:qFormat/>
    <w:uiPriority w:val="0"/>
    <w:rPr>
      <w:rFonts w:ascii="Cambria" w:hAnsi="Cambria" w:eastAsia="宋体" w:cs="Times New Roman"/>
      <w:b/>
      <w:bCs/>
      <w:kern w:val="2"/>
      <w:sz w:val="32"/>
      <w:szCs w:val="32"/>
    </w:rPr>
  </w:style>
  <w:style w:type="paragraph" w:customStyle="1" w:styleId="58">
    <w:name w:val="样式1"/>
    <w:basedOn w:val="1"/>
    <w:qFormat/>
    <w:uiPriority w:val="0"/>
    <w:rPr>
      <w:rFonts w:ascii="宋体" w:hAnsi="宋体"/>
      <w:szCs w:val="21"/>
    </w:rPr>
  </w:style>
  <w:style w:type="character" w:customStyle="1" w:styleId="59">
    <w:name w:val="纯文本 字符"/>
    <w:link w:val="17"/>
    <w:qFormat/>
    <w:uiPriority w:val="0"/>
    <w:rPr>
      <w:rFonts w:ascii="宋体" w:hAnsi="Courier New" w:eastAsia="宋体"/>
      <w:kern w:val="2"/>
      <w:sz w:val="21"/>
      <w:lang w:val="en-US" w:eastAsia="zh-CN" w:bidi="ar-SA"/>
    </w:rPr>
  </w:style>
  <w:style w:type="character" w:customStyle="1" w:styleId="60">
    <w:name w:val="正文缩进 字符"/>
    <w:link w:val="6"/>
    <w:qFormat/>
    <w:uiPriority w:val="0"/>
    <w:rPr>
      <w:kern w:val="2"/>
      <w:sz w:val="21"/>
    </w:rPr>
  </w:style>
  <w:style w:type="character" w:customStyle="1" w:styleId="61">
    <w:name w:val="正文文本缩进 字符"/>
    <w:link w:val="14"/>
    <w:qFormat/>
    <w:uiPriority w:val="0"/>
    <w:rPr>
      <w:kern w:val="2"/>
      <w:sz w:val="21"/>
      <w:szCs w:val="24"/>
    </w:rPr>
  </w:style>
  <w:style w:type="character" w:customStyle="1" w:styleId="62">
    <w:name w:val="批注文字 字符"/>
    <w:link w:val="10"/>
    <w:qFormat/>
    <w:uiPriority w:val="0"/>
    <w:rPr>
      <w:kern w:val="2"/>
      <w:sz w:val="21"/>
      <w:szCs w:val="24"/>
    </w:rPr>
  </w:style>
  <w:style w:type="character" w:customStyle="1" w:styleId="63">
    <w:name w:val="日期 字符"/>
    <w:link w:val="13"/>
    <w:qFormat/>
    <w:uiPriority w:val="0"/>
    <w:rPr>
      <w:kern w:val="2"/>
      <w:sz w:val="21"/>
      <w:szCs w:val="24"/>
    </w:rPr>
  </w:style>
  <w:style w:type="character" w:customStyle="1" w:styleId="64">
    <w:name w:val="页脚 字符"/>
    <w:link w:val="20"/>
    <w:qFormat/>
    <w:uiPriority w:val="99"/>
    <w:rPr>
      <w:kern w:val="2"/>
      <w:sz w:val="18"/>
      <w:szCs w:val="18"/>
    </w:rPr>
  </w:style>
  <w:style w:type="character" w:customStyle="1" w:styleId="65">
    <w:name w:val="HTML 预设格式 字符"/>
    <w:link w:val="30"/>
    <w:qFormat/>
    <w:uiPriority w:val="99"/>
    <w:rPr>
      <w:rFonts w:ascii="宋体" w:hAnsi="宋体" w:cs="宋体"/>
      <w:sz w:val="24"/>
      <w:szCs w:val="24"/>
    </w:rPr>
  </w:style>
  <w:style w:type="character" w:customStyle="1" w:styleId="66">
    <w:name w:val="标题 2 Char1"/>
    <w:qFormat/>
    <w:uiPriority w:val="0"/>
    <w:rPr>
      <w:rFonts w:ascii="Arial" w:hAnsi="Arial" w:eastAsia="黑体" w:cs="Times New Roman"/>
      <w:b/>
      <w:bCs/>
      <w:sz w:val="32"/>
      <w:szCs w:val="32"/>
    </w:rPr>
  </w:style>
  <w:style w:type="character" w:customStyle="1" w:styleId="67">
    <w:name w:val="无间距字符"/>
    <w:link w:val="68"/>
    <w:qFormat/>
    <w:uiPriority w:val="0"/>
    <w:rPr>
      <w:kern w:val="2"/>
      <w:sz w:val="21"/>
      <w:szCs w:val="32"/>
    </w:rPr>
  </w:style>
  <w:style w:type="paragraph" w:customStyle="1" w:styleId="68">
    <w:name w:val="无间距"/>
    <w:basedOn w:val="1"/>
    <w:link w:val="67"/>
    <w:qFormat/>
    <w:uiPriority w:val="0"/>
    <w:rPr>
      <w:szCs w:val="32"/>
    </w:rPr>
  </w:style>
  <w:style w:type="character" w:customStyle="1" w:styleId="69">
    <w:name w:val="纯文本 Char1"/>
    <w:qFormat/>
    <w:uiPriority w:val="0"/>
    <w:rPr>
      <w:rFonts w:ascii="宋体" w:hAnsi="Courier New" w:eastAsia="宋体"/>
      <w:kern w:val="2"/>
      <w:sz w:val="21"/>
      <w:lang w:val="en-US" w:eastAsia="zh-CN" w:bidi="ar-SA"/>
    </w:rPr>
  </w:style>
  <w:style w:type="character" w:customStyle="1" w:styleId="70">
    <w:name w:val="at_4"/>
    <w:basedOn w:val="37"/>
    <w:qFormat/>
    <w:uiPriority w:val="0"/>
  </w:style>
  <w:style w:type="character" w:customStyle="1" w:styleId="71">
    <w:name w:val="正文缩进 Char1"/>
    <w:qFormat/>
    <w:uiPriority w:val="0"/>
    <w:rPr>
      <w:rFonts w:eastAsia="宋体"/>
      <w:kern w:val="2"/>
      <w:sz w:val="21"/>
      <w:lang w:val="en-US" w:eastAsia="zh-CN" w:bidi="ar-SA"/>
    </w:rPr>
  </w:style>
  <w:style w:type="character" w:customStyle="1" w:styleId="72">
    <w:name w:val="HTML 预设格式 Char1"/>
    <w:qFormat/>
    <w:uiPriority w:val="0"/>
    <w:rPr>
      <w:rFonts w:ascii="Courier New" w:hAnsi="Courier New" w:cs="Courier New"/>
      <w:kern w:val="2"/>
    </w:rPr>
  </w:style>
  <w:style w:type="character" w:customStyle="1" w:styleId="73">
    <w:name w:val="Char Char10"/>
    <w:qFormat/>
    <w:uiPriority w:val="0"/>
    <w:rPr>
      <w:rFonts w:eastAsia="宋体"/>
      <w:kern w:val="2"/>
      <w:sz w:val="21"/>
      <w:szCs w:val="24"/>
      <w:lang w:val="en-US" w:eastAsia="zh-CN" w:bidi="ar-SA"/>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Char Char1"/>
    <w:qFormat/>
    <w:uiPriority w:val="0"/>
    <w:rPr>
      <w:rFonts w:ascii="宋体" w:hAnsi="Courier New" w:eastAsia="宋体"/>
      <w:kern w:val="2"/>
      <w:sz w:val="21"/>
      <w:lang w:val="en-US" w:eastAsia="zh-CN" w:bidi="ar-SA"/>
    </w:rPr>
  </w:style>
  <w:style w:type="paragraph" w:customStyle="1" w:styleId="76">
    <w:name w:val="Table Paragraph"/>
    <w:basedOn w:val="1"/>
    <w:qFormat/>
    <w:uiPriority w:val="1"/>
    <w:rPr>
      <w:rFonts w:ascii="Calibri" w:hAnsi="Calibri"/>
    </w:rPr>
  </w:style>
  <w:style w:type="paragraph" w:customStyle="1" w:styleId="77">
    <w:name w:val="纯文本1"/>
    <w:basedOn w:val="1"/>
    <w:qFormat/>
    <w:uiPriority w:val="0"/>
    <w:pPr>
      <w:adjustRightInd w:val="0"/>
      <w:textAlignment w:val="baseline"/>
    </w:pPr>
    <w:rPr>
      <w:rFonts w:ascii="宋体" w:hAnsi="Courier New" w:eastAsia="楷体_GB2312"/>
      <w:sz w:val="26"/>
      <w:szCs w:val="20"/>
    </w:rPr>
  </w:style>
  <w:style w:type="paragraph" w:customStyle="1" w:styleId="78">
    <w:name w:val="彩色列表 - 强调文字颜色 11"/>
    <w:basedOn w:val="1"/>
    <w:qFormat/>
    <w:uiPriority w:val="34"/>
    <w:pPr>
      <w:ind w:firstLine="420" w:firstLineChars="200"/>
    </w:pPr>
  </w:style>
  <w:style w:type="paragraph" w:customStyle="1" w:styleId="79">
    <w:name w:val="Char1 Char Char Char Char Char Char"/>
    <w:basedOn w:val="1"/>
    <w:qFormat/>
    <w:uiPriority w:val="0"/>
    <w:rPr>
      <w:rFonts w:ascii="Tahoma" w:hAnsi="Tahoma"/>
      <w:sz w:val="24"/>
      <w:szCs w:val="20"/>
    </w:rPr>
  </w:style>
  <w:style w:type="paragraph" w:customStyle="1" w:styleId="80">
    <w:name w:val="_Style 5"/>
    <w:qFormat/>
    <w:uiPriority w:val="1"/>
    <w:rPr>
      <w:rFonts w:ascii="Times New Roman" w:hAnsi="Times New Roman" w:eastAsia="宋体" w:cs="Times New Roman"/>
      <w:sz w:val="22"/>
      <w:szCs w:val="22"/>
      <w:lang w:val="en-US" w:eastAsia="zh-CN" w:bidi="ar-SA"/>
    </w:rPr>
  </w:style>
  <w:style w:type="paragraph" w:customStyle="1" w:styleId="81">
    <w:name w:val="BodyText"/>
    <w:basedOn w:val="1"/>
    <w:qFormat/>
    <w:uiPriority w:val="0"/>
    <w:pPr>
      <w:spacing w:after="120"/>
      <w:textAlignment w:val="baseline"/>
    </w:pPr>
  </w:style>
  <w:style w:type="paragraph" w:customStyle="1" w:styleId="82">
    <w:name w:val="列表段落1"/>
    <w:basedOn w:val="1"/>
    <w:qFormat/>
    <w:uiPriority w:val="34"/>
    <w:pPr>
      <w:ind w:firstLine="420" w:firstLineChars="200"/>
    </w:pPr>
  </w:style>
  <w:style w:type="paragraph" w:customStyle="1" w:styleId="8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0">
    <w:name w:val="标题 2 字符"/>
    <w:link w:val="4"/>
    <w:qFormat/>
    <w:uiPriority w:val="0"/>
    <w:rPr>
      <w:rFonts w:ascii="Arial" w:hAnsi="Arial" w:eastAsia="黑体" w:cs="Times New Roman"/>
      <w:b/>
      <w:bCs/>
      <w:sz w:val="32"/>
      <w:szCs w:val="32"/>
    </w:rPr>
  </w:style>
  <w:style w:type="paragraph" w:customStyle="1" w:styleId="101">
    <w:name w:val="样式2"/>
    <w:basedOn w:val="1"/>
    <w:qFormat/>
    <w:uiPriority w:val="0"/>
    <w:rPr>
      <w:rFonts w:ascii="仿宋_GB2312" w:eastAsia="仿宋_GB2312"/>
      <w:sz w:val="32"/>
      <w:szCs w:val="20"/>
    </w:rPr>
  </w:style>
  <w:style w:type="paragraph" w:styleId="10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null3"/>
    <w:qFormat/>
    <w:uiPriority w:val="0"/>
    <w:rPr>
      <w:rFonts w:hint="eastAsia" w:ascii="Calibri" w:hAnsi="Calibri" w:eastAsia="宋体" w:cs="Times New Roman"/>
      <w:lang w:val="en-US" w:eastAsia="zh-Hans"/>
    </w:rPr>
  </w:style>
  <w:style w:type="paragraph" w:customStyle="1" w:styleId="104">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10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06">
    <w:name w:val="Table Text"/>
    <w:basedOn w:val="1"/>
    <w:semiHidden/>
    <w:qFormat/>
    <w:uiPriority w:val="0"/>
    <w:rPr>
      <w:rFonts w:ascii="宋体" w:hAnsi="宋体" w:eastAsia="宋体" w:cs="宋体"/>
      <w:sz w:val="24"/>
      <w:szCs w:val="24"/>
      <w:lang w:val="en-US" w:eastAsia="en-US" w:bidi="ar-SA"/>
    </w:rPr>
  </w:style>
  <w:style w:type="paragraph" w:customStyle="1" w:styleId="107">
    <w:name w:val="Char2 Char Char Char"/>
    <w:basedOn w:val="1"/>
    <w:qFormat/>
    <w:uiPriority w:val="0"/>
    <w:pPr>
      <w:spacing w:after="160" w:line="240" w:lineRule="exact"/>
      <w:jc w:val="left"/>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Pages>
  <Words>41166</Words>
  <Characters>42992</Characters>
  <Lines>351</Lines>
  <Paragraphs>98</Paragraphs>
  <TotalTime>26</TotalTime>
  <ScaleCrop>false</ScaleCrop>
  <LinksUpToDate>false</LinksUpToDate>
  <CharactersWithSpaces>43264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人生</cp:lastModifiedBy>
  <cp:lastPrinted>2025-05-23T01:47:00Z</cp:lastPrinted>
  <dcterms:modified xsi:type="dcterms:W3CDTF">2025-07-17T08:09:34Z</dcterms:modified>
  <dc:title>医疗设备采购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3D2DDD5C08B74134A9CE93FB5B3246AE_13</vt:lpwstr>
  </property>
  <property fmtid="{D5CDD505-2E9C-101B-9397-08002B2CF9AE}" pid="4" name="KSOTemplateDocerSaveRecord">
    <vt:lpwstr>eyJoZGlkIjoiNGM2YTczNjVjYTBhNjNjMTkwYWFmYWVlNGUwNmI1MTciLCJ1c2VySWQiOiIzNzk1NDcwMjUifQ==</vt:lpwstr>
  </property>
</Properties>
</file>