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76BFE1">
      <w:pPr>
        <w:adjustRightInd w:val="0"/>
        <w:snapToGrid w:val="0"/>
        <w:jc w:val="left"/>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114300" distR="114300">
            <wp:extent cx="977900" cy="795020"/>
            <wp:effectExtent l="0" t="0" r="1270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77900" cy="795020"/>
                    </a:xfrm>
                    <a:prstGeom prst="rect">
                      <a:avLst/>
                    </a:prstGeom>
                    <a:noFill/>
                    <a:ln>
                      <a:noFill/>
                    </a:ln>
                  </pic:spPr>
                </pic:pic>
              </a:graphicData>
            </a:graphic>
          </wp:inline>
        </w:drawing>
      </w:r>
      <w:r>
        <w:rPr>
          <w:rFonts w:hint="eastAsia" w:ascii="仿宋" w:hAnsi="仿宋" w:eastAsia="仿宋" w:cs="仿宋"/>
          <w:color w:val="auto"/>
          <w:highlight w:val="none"/>
        </w:rPr>
        <w:t xml:space="preserve"> </w:t>
      </w:r>
    </w:p>
    <w:p w14:paraId="6BB3AD86">
      <w:pPr>
        <w:adjustRightInd w:val="0"/>
        <w:snapToGrid w:val="0"/>
        <w:spacing w:line="480" w:lineRule="exact"/>
        <w:jc w:val="center"/>
        <w:rPr>
          <w:rFonts w:hint="eastAsia" w:ascii="仿宋" w:hAnsi="仿宋" w:eastAsia="仿宋" w:cs="仿宋"/>
          <w:bCs/>
          <w:color w:val="auto"/>
          <w:sz w:val="48"/>
          <w:szCs w:val="48"/>
          <w:highlight w:val="none"/>
          <w:lang w:eastAsia="zh-CN"/>
        </w:rPr>
      </w:pPr>
    </w:p>
    <w:p w14:paraId="546E72E6">
      <w:pPr>
        <w:adjustRightInd w:val="0"/>
        <w:snapToGrid w:val="0"/>
        <w:spacing w:line="480" w:lineRule="exact"/>
        <w:jc w:val="center"/>
        <w:rPr>
          <w:rFonts w:hint="eastAsia" w:ascii="仿宋" w:hAnsi="仿宋" w:eastAsia="仿宋" w:cs="仿宋"/>
          <w:b/>
          <w:bCs/>
          <w:color w:val="auto"/>
          <w:highlight w:val="none"/>
          <w:lang w:eastAsia="zh-CN"/>
        </w:rPr>
      </w:pPr>
      <w:r>
        <w:rPr>
          <w:rFonts w:hint="eastAsia" w:ascii="仿宋" w:hAnsi="仿宋" w:eastAsia="仿宋" w:cs="仿宋"/>
          <w:bCs/>
          <w:color w:val="auto"/>
          <w:sz w:val="48"/>
          <w:szCs w:val="48"/>
          <w:highlight w:val="none"/>
          <w:lang w:eastAsia="zh-CN"/>
        </w:rPr>
        <w:t>单一来源协商文件</w:t>
      </w:r>
    </w:p>
    <w:p w14:paraId="01634515">
      <w:pPr>
        <w:ind w:left="1574" w:right="-191" w:rightChars="-91" w:hanging="1574" w:hangingChars="492"/>
        <w:rPr>
          <w:rFonts w:hint="eastAsia" w:ascii="仿宋" w:hAnsi="仿宋" w:eastAsia="仿宋" w:cs="仿宋"/>
          <w:bCs/>
          <w:color w:val="auto"/>
          <w:kern w:val="0"/>
          <w:sz w:val="32"/>
          <w:szCs w:val="32"/>
          <w:highlight w:val="none"/>
        </w:rPr>
      </w:pPr>
    </w:p>
    <w:p w14:paraId="51C94A9B">
      <w:pPr>
        <w:pStyle w:val="3"/>
        <w:rPr>
          <w:rFonts w:hint="eastAsia" w:ascii="仿宋" w:hAnsi="仿宋" w:eastAsia="仿宋" w:cs="仿宋"/>
          <w:color w:val="auto"/>
          <w:highlight w:val="none"/>
        </w:rPr>
      </w:pPr>
    </w:p>
    <w:p w14:paraId="0B2D020E">
      <w:pPr>
        <w:ind w:left="1574" w:right="-191" w:rightChars="-91" w:hanging="1574" w:hangingChars="492"/>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kern w:val="0"/>
          <w:sz w:val="32"/>
          <w:szCs w:val="32"/>
          <w:highlight w:val="none"/>
          <w:lang w:eastAsia="zh-CN"/>
        </w:rPr>
        <w:t>2025年市疾病预防控制中心（市卫生监督所）购买单一来源进口试剂</w:t>
      </w:r>
    </w:p>
    <w:p w14:paraId="7AB3D36A">
      <w:pPr>
        <w:adjustRightInd w:val="0"/>
        <w:snapToGrid w:val="0"/>
        <w:spacing w:line="480" w:lineRule="exact"/>
        <w:ind w:left="2560" w:hanging="2560" w:hangingChars="800"/>
        <w:rPr>
          <w:rFonts w:hint="eastAsia" w:ascii="仿宋" w:hAnsi="仿宋" w:eastAsia="仿宋" w:cs="仿宋"/>
          <w:bCs/>
          <w:color w:val="auto"/>
          <w:kern w:val="0"/>
          <w:sz w:val="32"/>
          <w:szCs w:val="32"/>
          <w:highlight w:val="none"/>
          <w:lang w:eastAsia="zh-CN"/>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w w:val="95"/>
          <w:kern w:val="0"/>
          <w:sz w:val="32"/>
          <w:szCs w:val="32"/>
          <w:highlight w:val="none"/>
          <w:lang w:eastAsia="zh-CN"/>
        </w:rPr>
        <w:t>乌鲁木齐市疾病预防控制中心(乌鲁木齐市卫生监督所)</w:t>
      </w:r>
    </w:p>
    <w:p w14:paraId="1401655F">
      <w:pPr>
        <w:tabs>
          <w:tab w:val="left" w:pos="3765"/>
        </w:tabs>
        <w:adjustRightInd w:val="0"/>
        <w:snapToGrid w:val="0"/>
        <w:spacing w:line="480" w:lineRule="exact"/>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ab/>
      </w:r>
    </w:p>
    <w:p w14:paraId="00CAC1B0">
      <w:pPr>
        <w:adjustRightInd w:val="0"/>
        <w:snapToGrid w:val="0"/>
        <w:spacing w:line="276" w:lineRule="auto"/>
        <w:rPr>
          <w:rFonts w:hint="eastAsia" w:ascii="仿宋" w:hAnsi="仿宋" w:eastAsia="仿宋" w:cs="仿宋"/>
          <w:bCs/>
          <w:color w:val="auto"/>
          <w:sz w:val="32"/>
          <w:highlight w:val="none"/>
          <w:lang w:val="en-US" w:eastAsia="zh-CN"/>
        </w:rPr>
      </w:pPr>
      <w:r>
        <w:rPr>
          <w:rFonts w:hint="eastAsia" w:ascii="仿宋" w:hAnsi="仿宋" w:eastAsia="仿宋" w:cs="仿宋"/>
          <w:bCs/>
          <w:color w:val="auto"/>
          <w:sz w:val="32"/>
          <w:highlight w:val="none"/>
        </w:rPr>
        <w:t>联 系 人：</w:t>
      </w:r>
      <w:r>
        <w:rPr>
          <w:rFonts w:hint="eastAsia" w:ascii="仿宋" w:hAnsi="仿宋" w:eastAsia="仿宋" w:cs="仿宋"/>
          <w:bCs/>
          <w:color w:val="auto"/>
          <w:sz w:val="32"/>
          <w:highlight w:val="none"/>
          <w:lang w:val="en-US" w:eastAsia="zh-CN"/>
        </w:rPr>
        <w:t>孙悦</w:t>
      </w:r>
    </w:p>
    <w:p w14:paraId="624E5763">
      <w:pPr>
        <w:adjustRightInd w:val="0"/>
        <w:snapToGrid w:val="0"/>
        <w:spacing w:line="276" w:lineRule="auto"/>
        <w:jc w:val="center"/>
        <w:rPr>
          <w:rFonts w:hint="eastAsia" w:ascii="仿宋" w:hAnsi="仿宋" w:eastAsia="仿宋" w:cs="仿宋"/>
          <w:bCs/>
          <w:color w:val="auto"/>
          <w:sz w:val="32"/>
          <w:highlight w:val="none"/>
        </w:rPr>
      </w:pPr>
    </w:p>
    <w:p w14:paraId="0703A379">
      <w:pPr>
        <w:adjustRightInd w:val="0"/>
        <w:snapToGrid w:val="0"/>
        <w:spacing w:line="276" w:lineRule="auto"/>
        <w:jc w:val="left"/>
        <w:rPr>
          <w:rFonts w:hint="default" w:ascii="仿宋" w:hAnsi="仿宋" w:eastAsia="仿宋" w:cs="仿宋"/>
          <w:bCs/>
          <w:color w:val="auto"/>
          <w:sz w:val="32"/>
          <w:highlight w:val="none"/>
          <w:lang w:val="en-US" w:eastAsia="zh-CN"/>
        </w:rPr>
      </w:pPr>
      <w:r>
        <w:rPr>
          <w:rFonts w:hint="eastAsia" w:ascii="仿宋" w:hAnsi="仿宋" w:eastAsia="仿宋" w:cs="仿宋"/>
          <w:bCs/>
          <w:color w:val="auto"/>
          <w:sz w:val="32"/>
          <w:highlight w:val="none"/>
        </w:rPr>
        <w:t>电    话：</w:t>
      </w:r>
      <w:r>
        <w:rPr>
          <w:rFonts w:hint="eastAsia" w:ascii="仿宋" w:hAnsi="仿宋" w:eastAsia="仿宋" w:cs="仿宋"/>
          <w:bCs/>
          <w:color w:val="auto"/>
          <w:sz w:val="32"/>
          <w:highlight w:val="none"/>
          <w:lang w:val="en-US" w:eastAsia="zh-CN"/>
        </w:rPr>
        <w:t>18699182821</w:t>
      </w:r>
    </w:p>
    <w:p w14:paraId="3F3942C9">
      <w:pPr>
        <w:adjustRightInd w:val="0"/>
        <w:snapToGrid w:val="0"/>
        <w:spacing w:line="480" w:lineRule="exact"/>
        <w:rPr>
          <w:rFonts w:hint="eastAsia" w:ascii="仿宋" w:hAnsi="仿宋" w:eastAsia="仿宋" w:cs="仿宋"/>
          <w:bCs/>
          <w:color w:val="auto"/>
          <w:sz w:val="32"/>
          <w:szCs w:val="32"/>
          <w:highlight w:val="none"/>
        </w:rPr>
      </w:pPr>
    </w:p>
    <w:p w14:paraId="0B9A34CE">
      <w:pPr>
        <w:adjustRightInd w:val="0"/>
        <w:snapToGrid w:val="0"/>
        <w:spacing w:line="480" w:lineRule="exact"/>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29F527DB">
      <w:pPr>
        <w:adjustRightInd w:val="0"/>
        <w:snapToGrid w:val="0"/>
        <w:spacing w:line="480" w:lineRule="exact"/>
        <w:jc w:val="center"/>
        <w:rPr>
          <w:rFonts w:hint="eastAsia" w:ascii="仿宋" w:hAnsi="仿宋" w:eastAsia="仿宋" w:cs="仿宋"/>
          <w:bCs/>
          <w:color w:val="auto"/>
          <w:sz w:val="32"/>
          <w:szCs w:val="32"/>
          <w:highlight w:val="none"/>
        </w:rPr>
      </w:pPr>
    </w:p>
    <w:p w14:paraId="14FB4992">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59BCC2D6">
      <w:pPr>
        <w:adjustRightInd w:val="0"/>
        <w:snapToGrid w:val="0"/>
        <w:spacing w:line="480" w:lineRule="exact"/>
        <w:jc w:val="both"/>
        <w:rPr>
          <w:rFonts w:hint="eastAsia" w:ascii="仿宋" w:hAnsi="仿宋" w:eastAsia="仿宋" w:cs="仿宋"/>
          <w:bCs/>
          <w:color w:val="auto"/>
          <w:sz w:val="32"/>
          <w:szCs w:val="32"/>
          <w:highlight w:val="none"/>
        </w:rPr>
      </w:pPr>
    </w:p>
    <w:p w14:paraId="5EE292D8">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 系 人：</w:t>
      </w:r>
      <w:r>
        <w:rPr>
          <w:rFonts w:hint="eastAsia" w:ascii="仿宋" w:hAnsi="仿宋" w:eastAsia="仿宋" w:cs="仿宋"/>
          <w:bCs/>
          <w:color w:val="auto"/>
          <w:sz w:val="32"/>
          <w:szCs w:val="32"/>
          <w:highlight w:val="none"/>
          <w:lang w:val="en-US" w:eastAsia="zh-CN"/>
        </w:rPr>
        <w:t>杨 凯</w:t>
      </w:r>
    </w:p>
    <w:p w14:paraId="5A605BDD">
      <w:pPr>
        <w:adjustRightInd w:val="0"/>
        <w:snapToGrid w:val="0"/>
        <w:spacing w:line="480" w:lineRule="exact"/>
        <w:jc w:val="center"/>
        <w:rPr>
          <w:rFonts w:hint="eastAsia" w:ascii="仿宋" w:hAnsi="仿宋" w:eastAsia="仿宋" w:cs="仿宋"/>
          <w:bCs/>
          <w:color w:val="auto"/>
          <w:sz w:val="32"/>
          <w:szCs w:val="32"/>
          <w:highlight w:val="none"/>
        </w:rPr>
      </w:pPr>
    </w:p>
    <w:p w14:paraId="7BE835CE">
      <w:pPr>
        <w:adjustRightInd w:val="0"/>
        <w:snapToGrid w:val="0"/>
        <w:spacing w:line="480" w:lineRule="exact"/>
        <w:rPr>
          <w:rFonts w:hint="default" w:ascii="仿宋" w:hAnsi="仿宋" w:eastAsia="仿宋" w:cs="仿宋"/>
          <w:bCs/>
          <w:color w:val="auto"/>
          <w:sz w:val="32"/>
          <w:szCs w:val="32"/>
          <w:highlight w:val="none"/>
          <w:lang w:val="en-US"/>
        </w:rPr>
      </w:pPr>
      <w:r>
        <w:rPr>
          <w:rFonts w:hint="eastAsia" w:ascii="仿宋" w:hAnsi="仿宋" w:eastAsia="仿宋" w:cs="仿宋"/>
          <w:bCs/>
          <w:color w:val="auto"/>
          <w:kern w:val="0"/>
          <w:sz w:val="32"/>
          <w:szCs w:val="32"/>
          <w:highlight w:val="none"/>
        </w:rPr>
        <w:t>电    话</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13201210619</w:t>
      </w:r>
    </w:p>
    <w:p w14:paraId="00F1C556">
      <w:pPr>
        <w:adjustRightInd w:val="0"/>
        <w:snapToGrid w:val="0"/>
        <w:spacing w:line="480" w:lineRule="exact"/>
        <w:jc w:val="center"/>
        <w:rPr>
          <w:rFonts w:hint="eastAsia" w:ascii="仿宋" w:hAnsi="仿宋" w:eastAsia="仿宋" w:cs="仿宋"/>
          <w:bCs/>
          <w:color w:val="auto"/>
          <w:sz w:val="32"/>
          <w:szCs w:val="32"/>
          <w:highlight w:val="none"/>
        </w:rPr>
      </w:pPr>
    </w:p>
    <w:p w14:paraId="1993EC27">
      <w:pPr>
        <w:adjustRightInd w:val="0"/>
        <w:snapToGrid w:val="0"/>
        <w:spacing w:line="48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址：乌鲁木齐市新兴街20号凤凰科技大厦五楼</w:t>
      </w:r>
    </w:p>
    <w:p w14:paraId="78B3B6F1">
      <w:pPr>
        <w:widowControl/>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25FA4988">
      <w:pPr>
        <w:spacing w:line="360" w:lineRule="auto"/>
        <w:jc w:val="center"/>
        <w:rPr>
          <w:rFonts w:hint="eastAsia" w:ascii="仿宋" w:hAnsi="仿宋" w:eastAsia="仿宋" w:cs="仿宋"/>
          <w:b/>
          <w:bCs/>
          <w:color w:val="auto"/>
          <w:sz w:val="28"/>
          <w:szCs w:val="28"/>
          <w:highlight w:val="none"/>
        </w:rPr>
      </w:pPr>
    </w:p>
    <w:p w14:paraId="4C7E4A0F">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  录</w:t>
      </w:r>
    </w:p>
    <w:p w14:paraId="2E9B930D">
      <w:pPr>
        <w:pStyle w:val="25"/>
        <w:tabs>
          <w:tab w:val="right" w:leader="dot" w:pos="9753"/>
        </w:tabs>
        <w:spacing w:line="360" w:lineRule="auto"/>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"1-3"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_Toc25739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第一章 供应商须知</w:t>
      </w:r>
      <w:r>
        <w:rPr>
          <w:color w:val="auto"/>
          <w:highlight w:val="none"/>
        </w:rPr>
        <w:tab/>
      </w:r>
      <w:r>
        <w:rPr>
          <w:color w:val="auto"/>
          <w:highlight w:val="none"/>
        </w:rPr>
        <w:fldChar w:fldCharType="begin"/>
      </w:r>
      <w:r>
        <w:rPr>
          <w:color w:val="auto"/>
          <w:highlight w:val="none"/>
        </w:rPr>
        <w:instrText xml:space="preserve"> PAGEREF _Toc25739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0DA84386">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_Toc17474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highlight w:val="none"/>
        </w:rPr>
        <w:fldChar w:fldCharType="end"/>
      </w:r>
    </w:p>
    <w:p w14:paraId="56F3720B">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_Toc3110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一、说明</w:t>
      </w:r>
      <w:r>
        <w:rPr>
          <w:color w:val="auto"/>
          <w:highlight w:val="none"/>
        </w:rPr>
        <w:tab/>
      </w:r>
      <w:r>
        <w:rPr>
          <w:color w:val="auto"/>
          <w:highlight w:val="none"/>
        </w:rPr>
        <w:fldChar w:fldCharType="begin"/>
      </w:r>
      <w:r>
        <w:rPr>
          <w:color w:val="auto"/>
          <w:highlight w:val="none"/>
        </w:rPr>
        <w:instrText xml:space="preserve"> PAGEREF _Toc3110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highlight w:val="none"/>
        </w:rPr>
        <w:fldChar w:fldCharType="end"/>
      </w:r>
    </w:p>
    <w:p w14:paraId="1173AD54">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_Toc27468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单一来源协商文件</w:t>
      </w:r>
      <w:r>
        <w:rPr>
          <w:color w:val="auto"/>
          <w:highlight w:val="none"/>
        </w:rPr>
        <w:tab/>
      </w:r>
      <w:r>
        <w:rPr>
          <w:color w:val="auto"/>
          <w:highlight w:val="none"/>
        </w:rPr>
        <w:fldChar w:fldCharType="begin"/>
      </w:r>
      <w:r>
        <w:rPr>
          <w:color w:val="auto"/>
          <w:highlight w:val="none"/>
        </w:rPr>
        <w:instrText xml:space="preserve"> PAGEREF _Toc27468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highlight w:val="none"/>
        </w:rPr>
        <w:fldChar w:fldCharType="end"/>
      </w:r>
    </w:p>
    <w:p w14:paraId="05AA75EC">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_Toc9624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三、响应文件的编写</w:t>
      </w:r>
      <w:r>
        <w:rPr>
          <w:color w:val="auto"/>
          <w:highlight w:val="none"/>
        </w:rPr>
        <w:tab/>
      </w:r>
      <w:r>
        <w:rPr>
          <w:color w:val="auto"/>
          <w:highlight w:val="none"/>
        </w:rPr>
        <w:fldChar w:fldCharType="begin"/>
      </w:r>
      <w:r>
        <w:rPr>
          <w:color w:val="auto"/>
          <w:highlight w:val="none"/>
        </w:rPr>
        <w:instrText xml:space="preserve"> PAGEREF _Toc9624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highlight w:val="none"/>
        </w:rPr>
        <w:fldChar w:fldCharType="end"/>
      </w:r>
    </w:p>
    <w:p w14:paraId="1EBC2E7B">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_Toc15086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四、响应文件的提交</w:t>
      </w:r>
      <w:r>
        <w:rPr>
          <w:color w:val="auto"/>
          <w:highlight w:val="none"/>
        </w:rPr>
        <w:tab/>
      </w:r>
      <w:r>
        <w:rPr>
          <w:color w:val="auto"/>
          <w:highlight w:val="none"/>
        </w:rPr>
        <w:fldChar w:fldCharType="begin"/>
      </w:r>
      <w:r>
        <w:rPr>
          <w:color w:val="auto"/>
          <w:highlight w:val="none"/>
        </w:rPr>
        <w:instrText xml:space="preserve"> PAGEREF _Toc15086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0B0FFDF5">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协商程序</w:t>
      </w:r>
      <w:r>
        <w:rPr>
          <w:color w:val="auto"/>
          <w:highlight w:val="none"/>
        </w:rPr>
        <w:tab/>
      </w:r>
      <w:r>
        <w:rPr>
          <w:color w:val="auto"/>
          <w:highlight w:val="none"/>
        </w:rPr>
        <w:fldChar w:fldCharType="begin"/>
      </w:r>
      <w:r>
        <w:rPr>
          <w:color w:val="auto"/>
          <w:highlight w:val="none"/>
        </w:rPr>
        <w:instrText xml:space="preserve"> PAGEREF _Toc3050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301B05F4">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_Toc3312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六、成交与签订合同</w:t>
      </w:r>
      <w:r>
        <w:rPr>
          <w:color w:val="auto"/>
          <w:highlight w:val="none"/>
        </w:rPr>
        <w:tab/>
      </w:r>
      <w:r>
        <w:rPr>
          <w:color w:val="auto"/>
          <w:highlight w:val="none"/>
        </w:rPr>
        <w:fldChar w:fldCharType="begin"/>
      </w:r>
      <w:r>
        <w:rPr>
          <w:color w:val="auto"/>
          <w:highlight w:val="none"/>
        </w:rPr>
        <w:instrText xml:space="preserve"> PAGEREF _Toc3312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color w:val="auto"/>
          <w:highlight w:val="none"/>
        </w:rPr>
        <w:fldChar w:fldCharType="end"/>
      </w:r>
    </w:p>
    <w:p w14:paraId="69580155">
      <w:pPr>
        <w:pStyle w:val="25"/>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_Toc31011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第二章 评审办法</w:t>
      </w:r>
      <w:r>
        <w:rPr>
          <w:color w:val="auto"/>
          <w:highlight w:val="none"/>
        </w:rPr>
        <w:tab/>
      </w:r>
      <w:r>
        <w:rPr>
          <w:color w:val="auto"/>
          <w:highlight w:val="none"/>
        </w:rPr>
        <w:fldChar w:fldCharType="begin"/>
      </w:r>
      <w:r>
        <w:rPr>
          <w:color w:val="auto"/>
          <w:highlight w:val="none"/>
        </w:rPr>
        <w:instrText xml:space="preserve"> PAGEREF _Toc31011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highlight w:val="none"/>
        </w:rPr>
        <w:fldChar w:fldCharType="end"/>
      </w:r>
    </w:p>
    <w:p w14:paraId="56C36055">
      <w:pPr>
        <w:pStyle w:val="25"/>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_Toc17707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 xml:space="preserve">第三章 </w:t>
      </w:r>
      <w:r>
        <w:rPr>
          <w:rFonts w:hint="eastAsia" w:ascii="仿宋" w:hAnsi="仿宋" w:eastAsia="仿宋" w:cs="仿宋"/>
          <w:bCs/>
          <w:color w:val="auto"/>
          <w:szCs w:val="24"/>
          <w:highlight w:val="none"/>
          <w:lang w:eastAsia="zh-CN"/>
        </w:rPr>
        <w:t>技术标准和要求</w:t>
      </w:r>
      <w:r>
        <w:rPr>
          <w:color w:val="auto"/>
          <w:highlight w:val="none"/>
        </w:rPr>
        <w:tab/>
      </w:r>
      <w:r>
        <w:rPr>
          <w:color w:val="auto"/>
          <w:highlight w:val="none"/>
        </w:rPr>
        <w:fldChar w:fldCharType="begin"/>
      </w:r>
      <w:r>
        <w:rPr>
          <w:color w:val="auto"/>
          <w:highlight w:val="none"/>
        </w:rPr>
        <w:instrText xml:space="preserve"> PAGEREF _Toc17707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highlight w:val="none"/>
        </w:rPr>
        <w:fldChar w:fldCharType="end"/>
      </w:r>
    </w:p>
    <w:p w14:paraId="1C3AA568">
      <w:pPr>
        <w:pStyle w:val="25"/>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_Toc21470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 xml:space="preserve">第四章 </w:t>
      </w:r>
      <w:r>
        <w:rPr>
          <w:rFonts w:hint="eastAsia" w:ascii="仿宋" w:hAnsi="仿宋" w:eastAsia="仿宋" w:cs="仿宋"/>
          <w:bCs/>
          <w:color w:val="auto"/>
          <w:szCs w:val="28"/>
          <w:highlight w:val="none"/>
          <w:lang w:eastAsia="zh-CN"/>
        </w:rPr>
        <w:t>合同文本</w:t>
      </w:r>
      <w:r>
        <w:rPr>
          <w:color w:val="auto"/>
          <w:highlight w:val="none"/>
        </w:rPr>
        <w:tab/>
      </w:r>
      <w:r>
        <w:rPr>
          <w:color w:val="auto"/>
          <w:highlight w:val="none"/>
        </w:rPr>
        <w:fldChar w:fldCharType="begin"/>
      </w:r>
      <w:r>
        <w:rPr>
          <w:color w:val="auto"/>
          <w:highlight w:val="none"/>
        </w:rPr>
        <w:instrText xml:space="preserve"> PAGEREF _Toc21470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highlight w:val="none"/>
        </w:rPr>
        <w:fldChar w:fldCharType="end"/>
      </w:r>
    </w:p>
    <w:p w14:paraId="6AA754D9">
      <w:pPr>
        <w:pStyle w:val="25"/>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_Toc8531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8"/>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_Toc8531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highlight w:val="none"/>
        </w:rPr>
        <w:fldChar w:fldCharType="end"/>
      </w:r>
    </w:p>
    <w:p w14:paraId="2CC5B95F">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_Toc5757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一、</w:t>
      </w:r>
      <w:r>
        <w:rPr>
          <w:rFonts w:hint="eastAsia" w:ascii="仿宋" w:hAnsi="仿宋" w:eastAsia="仿宋" w:cs="仿宋"/>
          <w:color w:val="auto"/>
          <w:highlight w:val="none"/>
          <w:lang w:eastAsia="zh-CN"/>
        </w:rPr>
        <w:t>开标一览表</w:t>
      </w:r>
      <w:r>
        <w:rPr>
          <w:color w:val="auto"/>
          <w:highlight w:val="none"/>
        </w:rPr>
        <w:tab/>
      </w:r>
      <w:bookmarkStart w:id="117" w:name="_GoBack"/>
      <w:bookmarkEnd w:id="117"/>
      <w:r>
        <w:rPr>
          <w:color w:val="auto"/>
          <w:highlight w:val="none"/>
        </w:rPr>
        <w:fldChar w:fldCharType="begin"/>
      </w:r>
      <w:r>
        <w:rPr>
          <w:color w:val="auto"/>
          <w:highlight w:val="none"/>
        </w:rPr>
        <w:instrText xml:space="preserve"> PAGEREF _Toc5757 \h </w:instrText>
      </w:r>
      <w:r>
        <w:rPr>
          <w:color w:val="auto"/>
          <w:highlight w:val="none"/>
        </w:rPr>
        <w:fldChar w:fldCharType="separate"/>
      </w:r>
      <w:r>
        <w:rPr>
          <w:color w:val="auto"/>
          <w:highlight w:val="none"/>
        </w:rPr>
        <w:t>18</w:t>
      </w:r>
      <w:r>
        <w:rPr>
          <w:color w:val="auto"/>
          <w:highlight w:val="none"/>
        </w:rPr>
        <w:fldChar w:fldCharType="end"/>
      </w:r>
      <w:r>
        <w:rPr>
          <w:rFonts w:hint="eastAsia" w:ascii="仿宋" w:hAnsi="仿宋" w:eastAsia="仿宋" w:cs="仿宋"/>
          <w:color w:val="auto"/>
          <w:highlight w:val="none"/>
        </w:rPr>
        <w:fldChar w:fldCharType="end"/>
      </w:r>
    </w:p>
    <w:p w14:paraId="18398D32">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_Toc32722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协商价格明细表</w:t>
      </w:r>
      <w:r>
        <w:rPr>
          <w:color w:val="auto"/>
          <w:highlight w:val="none"/>
        </w:rPr>
        <w:tab/>
      </w:r>
      <w:r>
        <w:rPr>
          <w:color w:val="auto"/>
          <w:highlight w:val="none"/>
        </w:rPr>
        <w:fldChar w:fldCharType="begin"/>
      </w:r>
      <w:r>
        <w:rPr>
          <w:color w:val="auto"/>
          <w:highlight w:val="none"/>
        </w:rPr>
        <w:instrText xml:space="preserve"> PAGEREF _Toc32722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highlight w:val="none"/>
        </w:rPr>
        <w:fldChar w:fldCharType="end"/>
      </w:r>
    </w:p>
    <w:p w14:paraId="09A022FB">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_Toc1288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三、商务条款偏离表</w:t>
      </w:r>
      <w:r>
        <w:rPr>
          <w:color w:val="auto"/>
          <w:highlight w:val="none"/>
        </w:rPr>
        <w:tab/>
      </w:r>
      <w:r>
        <w:rPr>
          <w:color w:val="auto"/>
          <w:highlight w:val="none"/>
        </w:rPr>
        <w:fldChar w:fldCharType="begin"/>
      </w:r>
      <w:r>
        <w:rPr>
          <w:color w:val="auto"/>
          <w:highlight w:val="none"/>
        </w:rPr>
        <w:instrText xml:space="preserve"> PAGEREF _Toc1288 \h </w:instrText>
      </w:r>
      <w:r>
        <w:rPr>
          <w:color w:val="auto"/>
          <w:highlight w:val="none"/>
        </w:rPr>
        <w:fldChar w:fldCharType="separate"/>
      </w:r>
      <w:r>
        <w:rPr>
          <w:color w:val="auto"/>
          <w:highlight w:val="none"/>
        </w:rPr>
        <w:t>20</w:t>
      </w:r>
      <w:r>
        <w:rPr>
          <w:color w:val="auto"/>
          <w:highlight w:val="none"/>
        </w:rPr>
        <w:fldChar w:fldCharType="end"/>
      </w:r>
      <w:r>
        <w:rPr>
          <w:rFonts w:hint="eastAsia" w:ascii="仿宋" w:hAnsi="仿宋" w:eastAsia="仿宋" w:cs="仿宋"/>
          <w:color w:val="auto"/>
          <w:highlight w:val="none"/>
        </w:rPr>
        <w:fldChar w:fldCharType="end"/>
      </w:r>
    </w:p>
    <w:p w14:paraId="1A173B62">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_Toc7859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四、技术条款偏离表</w:t>
      </w:r>
      <w:r>
        <w:rPr>
          <w:color w:val="auto"/>
          <w:highlight w:val="none"/>
        </w:rPr>
        <w:tab/>
      </w:r>
      <w:r>
        <w:rPr>
          <w:color w:val="auto"/>
          <w:highlight w:val="none"/>
        </w:rPr>
        <w:fldChar w:fldCharType="begin"/>
      </w:r>
      <w:r>
        <w:rPr>
          <w:color w:val="auto"/>
          <w:highlight w:val="none"/>
        </w:rPr>
        <w:instrText xml:space="preserve"> PAGEREF _Toc7859 \h </w:instrText>
      </w:r>
      <w:r>
        <w:rPr>
          <w:color w:val="auto"/>
          <w:highlight w:val="none"/>
        </w:rPr>
        <w:fldChar w:fldCharType="separate"/>
      </w:r>
      <w:r>
        <w:rPr>
          <w:color w:val="auto"/>
          <w:highlight w:val="none"/>
        </w:rPr>
        <w:t>21</w:t>
      </w:r>
      <w:r>
        <w:rPr>
          <w:color w:val="auto"/>
          <w:highlight w:val="none"/>
        </w:rPr>
        <w:fldChar w:fldCharType="end"/>
      </w:r>
      <w:r>
        <w:rPr>
          <w:rFonts w:hint="eastAsia" w:ascii="仿宋" w:hAnsi="仿宋" w:eastAsia="仿宋" w:cs="仿宋"/>
          <w:color w:val="auto"/>
          <w:highlight w:val="none"/>
        </w:rPr>
        <w:fldChar w:fldCharType="end"/>
      </w:r>
    </w:p>
    <w:p w14:paraId="306CAE16">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_Toc20221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五、法定代表人身份证明书</w:t>
      </w:r>
      <w:r>
        <w:rPr>
          <w:color w:val="auto"/>
          <w:highlight w:val="none"/>
        </w:rPr>
        <w:tab/>
      </w:r>
      <w:r>
        <w:rPr>
          <w:color w:val="auto"/>
          <w:highlight w:val="none"/>
        </w:rPr>
        <w:fldChar w:fldCharType="begin"/>
      </w:r>
      <w:r>
        <w:rPr>
          <w:color w:val="auto"/>
          <w:highlight w:val="none"/>
        </w:rPr>
        <w:instrText xml:space="preserve"> PAGEREF _Toc20221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highlight w:val="none"/>
        </w:rPr>
        <w:fldChar w:fldCharType="end"/>
      </w:r>
    </w:p>
    <w:p w14:paraId="57EB0E89">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_Toc6831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六、法定代表人授权委托书</w:t>
      </w:r>
      <w:r>
        <w:rPr>
          <w:color w:val="auto"/>
          <w:highlight w:val="none"/>
        </w:rPr>
        <w:tab/>
      </w:r>
      <w:r>
        <w:rPr>
          <w:color w:val="auto"/>
          <w:highlight w:val="none"/>
        </w:rPr>
        <w:fldChar w:fldCharType="begin"/>
      </w:r>
      <w:r>
        <w:rPr>
          <w:color w:val="auto"/>
          <w:highlight w:val="none"/>
        </w:rPr>
        <w:instrText xml:space="preserve"> PAGEREF _Toc6831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highlight w:val="none"/>
        </w:rPr>
        <w:fldChar w:fldCharType="end"/>
      </w:r>
    </w:p>
    <w:p w14:paraId="51B28EEC">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_Toc25750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七</w:t>
      </w:r>
      <w:r>
        <w:rPr>
          <w:rFonts w:hint="eastAsia" w:ascii="仿宋" w:hAnsi="仿宋" w:eastAsia="仿宋" w:cs="仿宋"/>
          <w:color w:val="auto"/>
          <w:szCs w:val="24"/>
          <w:highlight w:val="none"/>
        </w:rPr>
        <w:t>、</w:t>
      </w:r>
      <w:r>
        <w:rPr>
          <w:rFonts w:hint="eastAsia" w:ascii="仿宋" w:hAnsi="仿宋" w:eastAsia="仿宋" w:cs="仿宋"/>
          <w:bCs/>
          <w:color w:val="auto"/>
          <w:szCs w:val="24"/>
          <w:highlight w:val="none"/>
        </w:rPr>
        <w:t>供应商资格条件证明材料</w:t>
      </w:r>
      <w:r>
        <w:rPr>
          <w:color w:val="auto"/>
          <w:highlight w:val="none"/>
        </w:rPr>
        <w:tab/>
      </w:r>
      <w:r>
        <w:rPr>
          <w:color w:val="auto"/>
          <w:highlight w:val="none"/>
        </w:rPr>
        <w:fldChar w:fldCharType="begin"/>
      </w:r>
      <w:r>
        <w:rPr>
          <w:color w:val="auto"/>
          <w:highlight w:val="none"/>
        </w:rPr>
        <w:instrText xml:space="preserve"> PAGEREF _Toc25750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highlight w:val="none"/>
        </w:rPr>
        <w:fldChar w:fldCharType="end"/>
      </w:r>
    </w:p>
    <w:p w14:paraId="56A4ADC3">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_Toc793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八</w:t>
      </w:r>
      <w:r>
        <w:rPr>
          <w:rFonts w:hint="eastAsia" w:ascii="仿宋" w:hAnsi="仿宋" w:eastAsia="仿宋" w:cs="仿宋"/>
          <w:color w:val="auto"/>
          <w:szCs w:val="24"/>
          <w:highlight w:val="none"/>
        </w:rPr>
        <w:t>、供应商近年类似项目情况表</w:t>
      </w:r>
      <w:r>
        <w:rPr>
          <w:color w:val="auto"/>
          <w:highlight w:val="none"/>
        </w:rPr>
        <w:tab/>
      </w:r>
      <w:r>
        <w:rPr>
          <w:color w:val="auto"/>
          <w:highlight w:val="none"/>
        </w:rPr>
        <w:fldChar w:fldCharType="begin"/>
      </w:r>
      <w:r>
        <w:rPr>
          <w:color w:val="auto"/>
          <w:highlight w:val="none"/>
        </w:rPr>
        <w:instrText xml:space="preserve"> PAGEREF _Toc793 \h </w:instrText>
      </w:r>
      <w:r>
        <w:rPr>
          <w:color w:val="auto"/>
          <w:highlight w:val="none"/>
        </w:rPr>
        <w:fldChar w:fldCharType="separate"/>
      </w:r>
      <w:r>
        <w:rPr>
          <w:color w:val="auto"/>
          <w:highlight w:val="none"/>
        </w:rPr>
        <w:t>32</w:t>
      </w:r>
      <w:r>
        <w:rPr>
          <w:color w:val="auto"/>
          <w:highlight w:val="none"/>
        </w:rPr>
        <w:fldChar w:fldCharType="end"/>
      </w:r>
      <w:r>
        <w:rPr>
          <w:rFonts w:hint="eastAsia" w:ascii="仿宋" w:hAnsi="仿宋" w:eastAsia="仿宋" w:cs="仿宋"/>
          <w:color w:val="auto"/>
          <w:highlight w:val="none"/>
        </w:rPr>
        <w:fldChar w:fldCharType="end"/>
      </w:r>
    </w:p>
    <w:p w14:paraId="565AF961">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_Toc28755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、售后服务承诺书</w:t>
      </w:r>
      <w:r>
        <w:rPr>
          <w:color w:val="auto"/>
          <w:highlight w:val="none"/>
        </w:rPr>
        <w:tab/>
      </w:r>
      <w:r>
        <w:rPr>
          <w:color w:val="auto"/>
          <w:highlight w:val="none"/>
        </w:rPr>
        <w:fldChar w:fldCharType="begin"/>
      </w:r>
      <w:r>
        <w:rPr>
          <w:color w:val="auto"/>
          <w:highlight w:val="none"/>
        </w:rPr>
        <w:instrText xml:space="preserve"> PAGEREF _Toc28755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highlight w:val="none"/>
        </w:rPr>
        <w:fldChar w:fldCharType="end"/>
      </w:r>
    </w:p>
    <w:p w14:paraId="3CE456C0">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_Toc13379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十、技术方案</w:t>
      </w:r>
      <w:r>
        <w:rPr>
          <w:color w:val="auto"/>
          <w:highlight w:val="none"/>
        </w:rPr>
        <w:tab/>
      </w:r>
      <w:r>
        <w:rPr>
          <w:color w:val="auto"/>
          <w:highlight w:val="none"/>
        </w:rPr>
        <w:fldChar w:fldCharType="begin"/>
      </w:r>
      <w:r>
        <w:rPr>
          <w:color w:val="auto"/>
          <w:highlight w:val="none"/>
        </w:rPr>
        <w:instrText xml:space="preserve"> PAGEREF _Toc13379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color w:val="auto"/>
          <w:highlight w:val="none"/>
        </w:rPr>
        <w:fldChar w:fldCharType="end"/>
      </w:r>
    </w:p>
    <w:p w14:paraId="093BD8DE">
      <w:pPr>
        <w:pStyle w:val="27"/>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_Toc9097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十</w:t>
      </w: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、其它需要提交的资料</w:t>
      </w:r>
      <w:r>
        <w:rPr>
          <w:color w:val="auto"/>
          <w:highlight w:val="none"/>
        </w:rPr>
        <w:tab/>
      </w:r>
      <w:r>
        <w:rPr>
          <w:color w:val="auto"/>
          <w:highlight w:val="none"/>
        </w:rPr>
        <w:fldChar w:fldCharType="begin"/>
      </w:r>
      <w:r>
        <w:rPr>
          <w:color w:val="auto"/>
          <w:highlight w:val="none"/>
        </w:rPr>
        <w:instrText xml:space="preserve"> PAGEREF _Toc9097 \h </w:instrText>
      </w:r>
      <w:r>
        <w:rPr>
          <w:color w:val="auto"/>
          <w:highlight w:val="none"/>
        </w:rPr>
        <w:fldChar w:fldCharType="separate"/>
      </w:r>
      <w:r>
        <w:rPr>
          <w:color w:val="auto"/>
          <w:highlight w:val="none"/>
        </w:rPr>
        <w:t>34</w:t>
      </w:r>
      <w:r>
        <w:rPr>
          <w:color w:val="auto"/>
          <w:highlight w:val="none"/>
        </w:rPr>
        <w:fldChar w:fldCharType="end"/>
      </w:r>
      <w:r>
        <w:rPr>
          <w:rFonts w:hint="eastAsia" w:ascii="仿宋" w:hAnsi="仿宋" w:eastAsia="仿宋" w:cs="仿宋"/>
          <w:color w:val="auto"/>
          <w:highlight w:val="none"/>
        </w:rPr>
        <w:fldChar w:fldCharType="end"/>
      </w:r>
    </w:p>
    <w:p w14:paraId="136B8F0D">
      <w:pPr>
        <w:pStyle w:val="25"/>
        <w:tabs>
          <w:tab w:val="right" w:leader="dot" w:pos="9753"/>
        </w:tabs>
        <w:spacing w:line="360" w:lineRule="auto"/>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_Toc19115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_Toc19115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highlight w:val="none"/>
        </w:rPr>
        <w:fldChar w:fldCharType="end"/>
      </w:r>
    </w:p>
    <w:p w14:paraId="388E378B">
      <w:pPr>
        <w:spacing w:line="360" w:lineRule="auto"/>
        <w:ind w:firstLine="105" w:firstLineChars="50"/>
        <w:rPr>
          <w:rFonts w:hint="eastAsia" w:ascii="仿宋" w:hAnsi="仿宋" w:eastAsia="仿宋" w:cs="仿宋"/>
          <w:color w:val="auto"/>
          <w:szCs w:val="21"/>
          <w:highlight w:val="none"/>
        </w:rPr>
      </w:pPr>
      <w:r>
        <w:rPr>
          <w:rFonts w:hint="eastAsia" w:ascii="仿宋" w:hAnsi="仿宋" w:eastAsia="仿宋" w:cs="仿宋"/>
          <w:color w:val="auto"/>
          <w:highlight w:val="none"/>
        </w:rPr>
        <w:fldChar w:fldCharType="end"/>
      </w:r>
    </w:p>
    <w:p w14:paraId="74161369">
      <w:pPr>
        <w:spacing w:line="360" w:lineRule="auto"/>
        <w:rPr>
          <w:rFonts w:hint="eastAsia" w:ascii="仿宋" w:hAnsi="仿宋" w:eastAsia="仿宋" w:cs="仿宋"/>
          <w:color w:val="auto"/>
          <w:sz w:val="24"/>
          <w:highlight w:val="none"/>
        </w:rPr>
      </w:pPr>
    </w:p>
    <w:p w14:paraId="46ECAA3C">
      <w:pPr>
        <w:spacing w:line="360" w:lineRule="auto"/>
        <w:ind w:firstLine="120" w:firstLineChars="50"/>
        <w:rPr>
          <w:rFonts w:hint="eastAsia" w:ascii="仿宋" w:hAnsi="仿宋" w:eastAsia="仿宋" w:cs="仿宋"/>
          <w:color w:val="auto"/>
          <w:sz w:val="24"/>
          <w:highlight w:val="none"/>
        </w:rPr>
      </w:pPr>
    </w:p>
    <w:p w14:paraId="11361FC2">
      <w:pPr>
        <w:pStyle w:val="51"/>
        <w:spacing w:line="240" w:lineRule="atLeast"/>
        <w:jc w:val="center"/>
        <w:outlineLvl w:val="0"/>
        <w:rPr>
          <w:rFonts w:hint="eastAsia" w:ascii="仿宋" w:hAnsi="仿宋" w:eastAsia="仿宋" w:cs="仿宋"/>
          <w:b/>
          <w:color w:val="auto"/>
          <w:sz w:val="28"/>
          <w:highlight w:val="none"/>
        </w:rPr>
        <w:sectPr>
          <w:footerReference r:id="rId3" w:type="default"/>
          <w:footerReference r:id="rId4" w:type="even"/>
          <w:pgSz w:w="11907" w:h="16840"/>
          <w:pgMar w:top="1361" w:right="1077" w:bottom="1361" w:left="1077" w:header="680" w:footer="680" w:gutter="0"/>
          <w:pgNumType w:start="0"/>
          <w:cols w:space="720" w:num="1"/>
          <w:titlePg/>
          <w:docGrid w:type="lines" w:linePitch="312" w:charSpace="0"/>
        </w:sectPr>
      </w:pPr>
    </w:p>
    <w:p w14:paraId="1E5F02B5">
      <w:pPr>
        <w:pStyle w:val="51"/>
        <w:spacing w:line="240" w:lineRule="atLeast"/>
        <w:jc w:val="center"/>
        <w:outlineLvl w:val="0"/>
        <w:rPr>
          <w:rFonts w:hint="eastAsia" w:ascii="仿宋" w:hAnsi="仿宋" w:eastAsia="仿宋" w:cs="仿宋"/>
          <w:b/>
          <w:color w:val="auto"/>
          <w:sz w:val="28"/>
          <w:highlight w:val="none"/>
        </w:rPr>
      </w:pPr>
      <w:bookmarkStart w:id="0" w:name="_Toc25739"/>
      <w:r>
        <w:rPr>
          <w:rFonts w:hint="eastAsia" w:ascii="仿宋" w:hAnsi="仿宋" w:eastAsia="仿宋" w:cs="仿宋"/>
          <w:b/>
          <w:color w:val="auto"/>
          <w:sz w:val="28"/>
          <w:highlight w:val="none"/>
        </w:rPr>
        <w:t>第一章 供应商须知</w:t>
      </w:r>
      <w:bookmarkEnd w:id="0"/>
    </w:p>
    <w:p w14:paraId="625FC20C">
      <w:pPr>
        <w:spacing w:line="360" w:lineRule="exact"/>
        <w:jc w:val="center"/>
        <w:outlineLvl w:val="1"/>
        <w:rPr>
          <w:rFonts w:hint="eastAsia" w:ascii="仿宋" w:hAnsi="仿宋" w:eastAsia="仿宋" w:cs="仿宋"/>
          <w:b/>
          <w:color w:val="auto"/>
          <w:sz w:val="24"/>
          <w:szCs w:val="28"/>
          <w:highlight w:val="none"/>
        </w:rPr>
      </w:pPr>
      <w:bookmarkStart w:id="1" w:name="_Toc17474"/>
      <w:r>
        <w:rPr>
          <w:rFonts w:hint="eastAsia" w:ascii="仿宋" w:hAnsi="仿宋" w:eastAsia="仿宋" w:cs="仿宋"/>
          <w:b/>
          <w:color w:val="auto"/>
          <w:sz w:val="24"/>
          <w:szCs w:val="28"/>
          <w:highlight w:val="none"/>
        </w:rPr>
        <w:t>供应商须知前附表</w:t>
      </w:r>
      <w:bookmarkEnd w:id="1"/>
    </w:p>
    <w:tbl>
      <w:tblPr>
        <w:tblStyle w:val="32"/>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7"/>
        <w:gridCol w:w="1410"/>
        <w:gridCol w:w="7580"/>
      </w:tblGrid>
      <w:tr w14:paraId="3C35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97" w:type="dxa"/>
            <w:vAlign w:val="center"/>
          </w:tcPr>
          <w:p w14:paraId="5E3D1AFD">
            <w:pPr>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990" w:type="dxa"/>
            <w:gridSpan w:val="2"/>
          </w:tcPr>
          <w:p w14:paraId="2AC19854">
            <w:pPr>
              <w:spacing w:line="360" w:lineRule="auto"/>
              <w:jc w:val="center"/>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327B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C3BCEB4">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6D69D8E1">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580" w:type="dxa"/>
            <w:vAlign w:val="center"/>
          </w:tcPr>
          <w:p w14:paraId="12F971EA">
            <w:pPr>
              <w:keepNext/>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eastAsia="zh-CN"/>
              </w:rPr>
              <w:t>2025年市疾病预防控制中心（市卫生监督所）购买单一来源进口试剂</w:t>
            </w:r>
          </w:p>
        </w:tc>
      </w:tr>
      <w:tr w14:paraId="3F42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4" w:hRule="atLeast"/>
          <w:jc w:val="center"/>
        </w:trPr>
        <w:tc>
          <w:tcPr>
            <w:tcW w:w="597" w:type="dxa"/>
            <w:vMerge w:val="continue"/>
            <w:vAlign w:val="center"/>
          </w:tcPr>
          <w:p w14:paraId="751C3D60">
            <w:pPr>
              <w:spacing w:line="360" w:lineRule="auto"/>
              <w:jc w:val="center"/>
              <w:rPr>
                <w:rFonts w:hint="eastAsia" w:ascii="仿宋" w:hAnsi="仿宋" w:eastAsia="仿宋" w:cs="仿宋"/>
                <w:color w:val="auto"/>
                <w:kern w:val="0"/>
                <w:szCs w:val="21"/>
                <w:highlight w:val="none"/>
              </w:rPr>
            </w:pPr>
          </w:p>
        </w:tc>
        <w:tc>
          <w:tcPr>
            <w:tcW w:w="1410" w:type="dxa"/>
            <w:vAlign w:val="center"/>
          </w:tcPr>
          <w:p w14:paraId="65B62D29">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580" w:type="dxa"/>
            <w:vAlign w:val="center"/>
          </w:tcPr>
          <w:p w14:paraId="2DD4F6EF">
            <w:pPr>
              <w:keepNext/>
              <w:widowControl/>
              <w:spacing w:line="360" w:lineRule="auto"/>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XSJ20250618-1</w:t>
            </w:r>
          </w:p>
        </w:tc>
      </w:tr>
      <w:tr w14:paraId="5D77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2A1F2CF">
            <w:pPr>
              <w:spacing w:line="360" w:lineRule="auto"/>
              <w:jc w:val="center"/>
              <w:rPr>
                <w:rFonts w:hint="eastAsia" w:ascii="仿宋" w:hAnsi="仿宋" w:eastAsia="仿宋" w:cs="仿宋"/>
                <w:color w:val="auto"/>
                <w:kern w:val="0"/>
                <w:szCs w:val="21"/>
                <w:highlight w:val="none"/>
              </w:rPr>
            </w:pPr>
          </w:p>
        </w:tc>
        <w:tc>
          <w:tcPr>
            <w:tcW w:w="1410" w:type="dxa"/>
            <w:vAlign w:val="center"/>
          </w:tcPr>
          <w:p w14:paraId="2E158C84">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580" w:type="dxa"/>
            <w:vAlign w:val="center"/>
          </w:tcPr>
          <w:p w14:paraId="4D18A97A">
            <w:pPr>
              <w:keepNext/>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eastAsia="zh-CN"/>
              </w:rPr>
              <w:t>乌鲁木齐市疾病预防控制中心(乌鲁木齐市卫生监督所)</w:t>
            </w:r>
          </w:p>
        </w:tc>
      </w:tr>
      <w:tr w14:paraId="5136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11101D2">
            <w:pPr>
              <w:spacing w:line="360" w:lineRule="auto"/>
              <w:jc w:val="center"/>
              <w:rPr>
                <w:rFonts w:hint="eastAsia" w:ascii="仿宋" w:hAnsi="仿宋" w:eastAsia="仿宋" w:cs="仿宋"/>
                <w:color w:val="auto"/>
                <w:kern w:val="0"/>
                <w:szCs w:val="21"/>
                <w:highlight w:val="none"/>
              </w:rPr>
            </w:pPr>
          </w:p>
        </w:tc>
        <w:tc>
          <w:tcPr>
            <w:tcW w:w="1410" w:type="dxa"/>
            <w:vAlign w:val="center"/>
          </w:tcPr>
          <w:p w14:paraId="060A2477">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580" w:type="dxa"/>
            <w:vAlign w:val="center"/>
          </w:tcPr>
          <w:p w14:paraId="7F06FCD8">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7936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51D4CA">
            <w:pPr>
              <w:spacing w:line="360" w:lineRule="auto"/>
              <w:jc w:val="center"/>
              <w:rPr>
                <w:rFonts w:hint="eastAsia" w:ascii="仿宋" w:hAnsi="仿宋" w:eastAsia="仿宋" w:cs="仿宋"/>
                <w:color w:val="auto"/>
                <w:kern w:val="0"/>
                <w:szCs w:val="21"/>
                <w:highlight w:val="none"/>
              </w:rPr>
            </w:pPr>
          </w:p>
        </w:tc>
        <w:tc>
          <w:tcPr>
            <w:tcW w:w="1410" w:type="dxa"/>
            <w:vAlign w:val="center"/>
          </w:tcPr>
          <w:p w14:paraId="1DC4FDD6">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580" w:type="dxa"/>
            <w:vAlign w:val="center"/>
          </w:tcPr>
          <w:p w14:paraId="2CD9B8D8">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乌鲁木齐</w:t>
            </w:r>
            <w:r>
              <w:rPr>
                <w:rFonts w:hint="eastAsia" w:ascii="仿宋" w:hAnsi="仿宋" w:eastAsia="仿宋" w:cs="仿宋"/>
                <w:color w:val="auto"/>
                <w:kern w:val="0"/>
                <w:szCs w:val="21"/>
                <w:highlight w:val="none"/>
              </w:rPr>
              <w:t>市</w:t>
            </w:r>
          </w:p>
        </w:tc>
      </w:tr>
      <w:tr w14:paraId="086B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077829">
            <w:pPr>
              <w:spacing w:line="360" w:lineRule="auto"/>
              <w:jc w:val="center"/>
              <w:rPr>
                <w:rFonts w:hint="eastAsia" w:ascii="仿宋" w:hAnsi="仿宋" w:eastAsia="仿宋" w:cs="仿宋"/>
                <w:color w:val="auto"/>
                <w:kern w:val="0"/>
                <w:szCs w:val="21"/>
                <w:highlight w:val="none"/>
              </w:rPr>
            </w:pPr>
          </w:p>
        </w:tc>
        <w:tc>
          <w:tcPr>
            <w:tcW w:w="1410" w:type="dxa"/>
            <w:vAlign w:val="center"/>
          </w:tcPr>
          <w:p w14:paraId="282D1B95">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580" w:type="dxa"/>
            <w:vAlign w:val="center"/>
          </w:tcPr>
          <w:p w14:paraId="1C329119">
            <w:pPr>
              <w:keepNext/>
              <w:widowControl/>
              <w:spacing w:line="360" w:lineRule="auto"/>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财政资金</w:t>
            </w:r>
          </w:p>
        </w:tc>
      </w:tr>
      <w:tr w14:paraId="73F9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B659A0">
            <w:pPr>
              <w:spacing w:line="360" w:lineRule="auto"/>
              <w:jc w:val="center"/>
              <w:rPr>
                <w:rFonts w:hint="eastAsia" w:ascii="仿宋" w:hAnsi="仿宋" w:eastAsia="仿宋" w:cs="仿宋"/>
                <w:color w:val="auto"/>
                <w:kern w:val="0"/>
                <w:szCs w:val="21"/>
                <w:highlight w:val="none"/>
              </w:rPr>
            </w:pPr>
          </w:p>
        </w:tc>
        <w:tc>
          <w:tcPr>
            <w:tcW w:w="1410" w:type="dxa"/>
            <w:vAlign w:val="center"/>
          </w:tcPr>
          <w:p w14:paraId="7172162C">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采购</w:t>
            </w:r>
            <w:r>
              <w:rPr>
                <w:rFonts w:hint="eastAsia" w:ascii="仿宋" w:hAnsi="仿宋" w:eastAsia="仿宋" w:cs="仿宋"/>
                <w:color w:val="auto"/>
                <w:kern w:val="0"/>
                <w:szCs w:val="21"/>
                <w:highlight w:val="none"/>
              </w:rPr>
              <w:t>预算金额</w:t>
            </w:r>
          </w:p>
        </w:tc>
        <w:tc>
          <w:tcPr>
            <w:tcW w:w="7580" w:type="dxa"/>
            <w:vAlign w:val="center"/>
          </w:tcPr>
          <w:p w14:paraId="54E55011">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0.7</w:t>
            </w:r>
            <w:r>
              <w:rPr>
                <w:rFonts w:hint="eastAsia" w:ascii="仿宋" w:hAnsi="仿宋" w:eastAsia="仿宋" w:cs="仿宋"/>
                <w:color w:val="auto"/>
                <w:kern w:val="0"/>
                <w:szCs w:val="21"/>
                <w:highlight w:val="none"/>
              </w:rPr>
              <w:t>万元</w:t>
            </w:r>
          </w:p>
        </w:tc>
      </w:tr>
      <w:tr w14:paraId="012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F31C4DE">
            <w:pPr>
              <w:spacing w:line="360" w:lineRule="auto"/>
              <w:jc w:val="center"/>
              <w:rPr>
                <w:rFonts w:hint="eastAsia" w:ascii="仿宋" w:hAnsi="仿宋" w:eastAsia="仿宋" w:cs="仿宋"/>
                <w:color w:val="auto"/>
                <w:kern w:val="0"/>
                <w:szCs w:val="21"/>
                <w:highlight w:val="none"/>
              </w:rPr>
            </w:pPr>
          </w:p>
        </w:tc>
        <w:tc>
          <w:tcPr>
            <w:tcW w:w="1410" w:type="dxa"/>
            <w:vAlign w:val="center"/>
          </w:tcPr>
          <w:p w14:paraId="05AD21CC">
            <w:pPr>
              <w:keepNext/>
              <w:widowControl/>
              <w:spacing w:line="360" w:lineRule="auto"/>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供货周期</w:t>
            </w:r>
          </w:p>
        </w:tc>
        <w:tc>
          <w:tcPr>
            <w:tcW w:w="7580" w:type="dxa"/>
            <w:vAlign w:val="center"/>
          </w:tcPr>
          <w:p w14:paraId="77617D83">
            <w:pPr>
              <w:spacing w:line="360" w:lineRule="auto"/>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以合同签订为准。</w:t>
            </w:r>
          </w:p>
        </w:tc>
      </w:tr>
      <w:tr w14:paraId="1970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AF98F13">
            <w:pPr>
              <w:spacing w:line="360" w:lineRule="auto"/>
              <w:jc w:val="center"/>
              <w:rPr>
                <w:rFonts w:hint="eastAsia" w:ascii="仿宋" w:hAnsi="仿宋" w:eastAsia="仿宋" w:cs="仿宋"/>
                <w:color w:val="auto"/>
                <w:kern w:val="0"/>
                <w:szCs w:val="21"/>
                <w:highlight w:val="none"/>
              </w:rPr>
            </w:pPr>
          </w:p>
        </w:tc>
        <w:tc>
          <w:tcPr>
            <w:tcW w:w="1410" w:type="dxa"/>
            <w:vAlign w:val="center"/>
          </w:tcPr>
          <w:p w14:paraId="3CED887D">
            <w:pPr>
              <w:keepNext/>
              <w:widowControl/>
              <w:spacing w:line="360" w:lineRule="auto"/>
              <w:jc w:val="distribute"/>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质保期</w:t>
            </w:r>
          </w:p>
        </w:tc>
        <w:tc>
          <w:tcPr>
            <w:tcW w:w="7580" w:type="dxa"/>
            <w:vAlign w:val="center"/>
          </w:tcPr>
          <w:p w14:paraId="390C067D">
            <w:pPr>
              <w:spacing w:line="360" w:lineRule="auto"/>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1年</w:t>
            </w:r>
          </w:p>
        </w:tc>
      </w:tr>
      <w:tr w14:paraId="535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923AE60">
            <w:pPr>
              <w:spacing w:line="360" w:lineRule="auto"/>
              <w:jc w:val="center"/>
              <w:rPr>
                <w:rFonts w:hint="eastAsia" w:ascii="仿宋" w:hAnsi="仿宋" w:eastAsia="仿宋" w:cs="仿宋"/>
                <w:color w:val="auto"/>
                <w:kern w:val="0"/>
                <w:szCs w:val="21"/>
                <w:highlight w:val="none"/>
              </w:rPr>
            </w:pPr>
          </w:p>
        </w:tc>
        <w:tc>
          <w:tcPr>
            <w:tcW w:w="1410" w:type="dxa"/>
            <w:vAlign w:val="center"/>
          </w:tcPr>
          <w:p w14:paraId="008EE27E">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580" w:type="dxa"/>
            <w:vAlign w:val="center"/>
          </w:tcPr>
          <w:p w14:paraId="433ACAE8">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2025年市疾病预防控制中心（市卫生监督所）购买单一来源进口试剂</w:t>
            </w:r>
            <w:r>
              <w:rPr>
                <w:rFonts w:hint="eastAsia" w:ascii="仿宋" w:hAnsi="仿宋" w:eastAsia="仿宋" w:cs="仿宋"/>
                <w:color w:val="auto"/>
                <w:kern w:val="0"/>
                <w:szCs w:val="21"/>
                <w:highlight w:val="none"/>
              </w:rPr>
              <w:t>范围内的所有工作内容，关于采购范围的详细说明见</w:t>
            </w:r>
            <w:r>
              <w:rPr>
                <w:rFonts w:hint="eastAsia" w:ascii="仿宋" w:hAnsi="仿宋" w:eastAsia="仿宋" w:cs="仿宋"/>
                <w:color w:val="auto"/>
                <w:kern w:val="0"/>
                <w:szCs w:val="21"/>
                <w:highlight w:val="none"/>
                <w:lang w:eastAsia="zh-CN"/>
              </w:rPr>
              <w:t>单一来源协商文件</w:t>
            </w:r>
            <w:r>
              <w:rPr>
                <w:rFonts w:hint="eastAsia" w:ascii="仿宋" w:hAnsi="仿宋" w:eastAsia="仿宋" w:cs="仿宋"/>
                <w:color w:val="auto"/>
                <w:kern w:val="0"/>
                <w:szCs w:val="21"/>
                <w:highlight w:val="none"/>
              </w:rPr>
              <w:t>第三章“</w:t>
            </w:r>
            <w:r>
              <w:rPr>
                <w:rFonts w:hint="eastAsia" w:ascii="仿宋" w:hAnsi="仿宋" w:eastAsia="仿宋" w:cs="仿宋"/>
                <w:color w:val="auto"/>
                <w:kern w:val="0"/>
                <w:szCs w:val="21"/>
                <w:highlight w:val="none"/>
                <w:lang w:eastAsia="zh-CN"/>
              </w:rPr>
              <w:t>技术标准和要求</w:t>
            </w:r>
            <w:r>
              <w:rPr>
                <w:rFonts w:hint="eastAsia" w:ascii="仿宋" w:hAnsi="仿宋" w:eastAsia="仿宋" w:cs="仿宋"/>
                <w:color w:val="auto"/>
                <w:kern w:val="0"/>
                <w:szCs w:val="21"/>
                <w:highlight w:val="none"/>
              </w:rPr>
              <w:t>”。</w:t>
            </w:r>
          </w:p>
        </w:tc>
      </w:tr>
      <w:tr w14:paraId="0797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5BA47C6">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0C05AAFB">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580" w:type="dxa"/>
            <w:vAlign w:val="center"/>
          </w:tcPr>
          <w:p w14:paraId="2619B215">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单一来源</w:t>
            </w:r>
          </w:p>
        </w:tc>
      </w:tr>
      <w:tr w14:paraId="6033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D1FE8E7">
            <w:pPr>
              <w:spacing w:line="360" w:lineRule="auto"/>
              <w:jc w:val="center"/>
              <w:rPr>
                <w:rFonts w:hint="eastAsia" w:ascii="仿宋" w:hAnsi="仿宋" w:eastAsia="仿宋" w:cs="仿宋"/>
                <w:color w:val="auto"/>
                <w:kern w:val="0"/>
                <w:szCs w:val="21"/>
                <w:highlight w:val="none"/>
              </w:rPr>
            </w:pPr>
          </w:p>
        </w:tc>
        <w:tc>
          <w:tcPr>
            <w:tcW w:w="1410" w:type="dxa"/>
            <w:vAlign w:val="center"/>
          </w:tcPr>
          <w:p w14:paraId="7372C338">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580" w:type="dxa"/>
            <w:vAlign w:val="center"/>
          </w:tcPr>
          <w:p w14:paraId="7C88CF21">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5E22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24F10E31">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2D44D6E0">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资格条件</w:t>
            </w:r>
          </w:p>
        </w:tc>
        <w:tc>
          <w:tcPr>
            <w:tcW w:w="7580" w:type="dxa"/>
            <w:vAlign w:val="center"/>
          </w:tcPr>
          <w:p w14:paraId="1F51739F">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1、满足《中华人民共和国政府采购法》第二十二条规定。</w:t>
            </w:r>
          </w:p>
          <w:p w14:paraId="669231B0">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w:t>
            </w:r>
            <w:r>
              <w:rPr>
                <w:rFonts w:hint="eastAsia" w:ascii="仿宋" w:hAnsi="仿宋" w:eastAsia="仿宋" w:cs="仿宋"/>
                <w:color w:val="auto"/>
                <w:kern w:val="0"/>
                <w:szCs w:val="21"/>
                <w:highlight w:val="none"/>
                <w:lang w:eastAsia="zh-CN"/>
              </w:rPr>
              <w:t>本次协商活动</w:t>
            </w:r>
            <w:r>
              <w:rPr>
                <w:rFonts w:hint="eastAsia" w:ascii="仿宋" w:hAnsi="仿宋" w:eastAsia="仿宋" w:cs="仿宋"/>
                <w:color w:val="auto"/>
                <w:kern w:val="0"/>
                <w:szCs w:val="21"/>
                <w:highlight w:val="none"/>
              </w:rPr>
              <w:t>。</w:t>
            </w:r>
          </w:p>
          <w:p w14:paraId="3FD2D6A2">
            <w:pPr>
              <w:pStyle w:val="3"/>
              <w:spacing w:line="360" w:lineRule="auto"/>
              <w:rPr>
                <w:rFonts w:hint="eastAsia" w:eastAsia="仿宋"/>
                <w:color w:val="auto"/>
                <w:highlight w:val="none"/>
                <w:lang w:val="en-US" w:eastAsia="zh-CN"/>
              </w:rPr>
            </w:pPr>
            <w:r>
              <w:rPr>
                <w:rFonts w:hint="eastAsia" w:ascii="仿宋" w:hAnsi="仿宋" w:eastAsia="仿宋" w:cs="仿宋"/>
                <w:color w:val="auto"/>
                <w:kern w:val="0"/>
                <w:sz w:val="21"/>
                <w:szCs w:val="21"/>
                <w:highlight w:val="none"/>
                <w:shd w:val="clear"/>
                <w:lang w:val="en-US" w:eastAsia="zh-CN" w:bidi="ar-SA"/>
              </w:rPr>
              <w:t>3、供应商所投产品属于第二类医疗器械的，需提供供应商有效的行政主管部门颁发的医疗器械经营备案凭证（或医疗器械生产许可证或医疗器械经营许可证或其他医疗器械生产经营许可证明文件）；所投产品属于第三类医疗器械的，需提供供应商有效的行政主管部门颁发的医疗器械生产许可证（或医疗器械经营许可证或其他医疗器械生产经营许可证明文件）。</w:t>
            </w:r>
          </w:p>
        </w:tc>
      </w:tr>
      <w:tr w14:paraId="665B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E9EA2A4">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w:t>
            </w:r>
          </w:p>
        </w:tc>
        <w:tc>
          <w:tcPr>
            <w:tcW w:w="1410" w:type="dxa"/>
            <w:vAlign w:val="center"/>
          </w:tcPr>
          <w:p w14:paraId="472DCDB4">
            <w:pPr>
              <w:keepNext/>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不得存在的情形</w:t>
            </w:r>
          </w:p>
        </w:tc>
        <w:tc>
          <w:tcPr>
            <w:tcW w:w="7580" w:type="dxa"/>
            <w:vAlign w:val="center"/>
          </w:tcPr>
          <w:p w14:paraId="1FB1386C">
            <w:pPr>
              <w:widowControl/>
              <w:spacing w:line="360"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5730B49F">
            <w:pPr>
              <w:widowControl/>
              <w:spacing w:line="360"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，不得参加同一合同项下的政府采购活动。</w:t>
            </w:r>
          </w:p>
          <w:p w14:paraId="273BC6BC">
            <w:pPr>
              <w:widowControl/>
              <w:spacing w:line="360"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，不得再参加该采购项目的其他采购活动。</w:t>
            </w:r>
          </w:p>
          <w:p w14:paraId="0E700C7A">
            <w:pPr>
              <w:keepNext/>
              <w:widowControl/>
              <w:spacing w:line="360"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w:t>
            </w:r>
            <w:r>
              <w:rPr>
                <w:rFonts w:hint="eastAsia" w:ascii="仿宋" w:hAnsi="仿宋" w:eastAsia="仿宋" w:cs="仿宋"/>
                <w:color w:val="auto"/>
                <w:kern w:val="0"/>
                <w:szCs w:val="21"/>
                <w:highlight w:val="none"/>
                <w:shd w:val="clear" w:color="auto" w:fill="FFFFFF" w:themeFill="background1"/>
                <w:lang w:eastAsia="zh-CN"/>
              </w:rPr>
              <w:t>供应商</w:t>
            </w:r>
            <w:r>
              <w:rPr>
                <w:rFonts w:hint="eastAsia" w:ascii="仿宋" w:hAnsi="仿宋" w:eastAsia="仿宋" w:cs="仿宋"/>
                <w:color w:val="auto"/>
                <w:kern w:val="0"/>
                <w:szCs w:val="21"/>
                <w:highlight w:val="none"/>
                <w:shd w:val="clear" w:color="auto" w:fill="FFFFFF" w:themeFill="background1"/>
              </w:rPr>
              <w:t>处于被责令停业、财产被接管、冻结和破产状态，以及投标资格被取消或者被暂停且在暂停期内。</w:t>
            </w:r>
          </w:p>
          <w:p w14:paraId="1C0C2C43">
            <w:pPr>
              <w:keepNext/>
              <w:widowControl/>
              <w:spacing w:line="360" w:lineRule="auto"/>
              <w:ind w:firstLine="420" w:firstLineChars="200"/>
              <w:jc w:val="left"/>
              <w:rPr>
                <w:rFonts w:hint="eastAsia" w:ascii="仿宋" w:hAnsi="仿宋" w:eastAsia="仿宋" w:cs="仿宋"/>
                <w:color w:val="auto"/>
                <w:kern w:val="0"/>
                <w:sz w:val="21"/>
                <w:szCs w:val="21"/>
                <w:highlight w:val="none"/>
                <w:shd w:val="clear"/>
                <w:lang w:val="en-US" w:eastAsia="zh-CN" w:bidi="ar-SA"/>
              </w:rPr>
            </w:pPr>
            <w:r>
              <w:rPr>
                <w:rFonts w:hint="eastAsia" w:ascii="仿宋" w:hAnsi="仿宋" w:eastAsia="仿宋" w:cs="仿宋"/>
                <w:color w:val="auto"/>
                <w:kern w:val="0"/>
                <w:szCs w:val="21"/>
                <w:highlight w:val="none"/>
                <w:shd w:val="clear" w:color="auto" w:fill="FFFFFF" w:themeFill="background1"/>
              </w:rPr>
              <w:t>5、法律规定的其它情形。</w:t>
            </w:r>
          </w:p>
        </w:tc>
      </w:tr>
      <w:tr w14:paraId="2F86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15DC8D4A">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5</w:t>
            </w:r>
          </w:p>
        </w:tc>
        <w:tc>
          <w:tcPr>
            <w:tcW w:w="1410" w:type="dxa"/>
            <w:vAlign w:val="center"/>
          </w:tcPr>
          <w:p w14:paraId="64568F2E">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文件费</w:t>
            </w:r>
          </w:p>
        </w:tc>
        <w:tc>
          <w:tcPr>
            <w:tcW w:w="7580" w:type="dxa"/>
            <w:vAlign w:val="center"/>
          </w:tcPr>
          <w:p w14:paraId="5D176621">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7DF5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1E7D0D3">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6</w:t>
            </w:r>
          </w:p>
        </w:tc>
        <w:tc>
          <w:tcPr>
            <w:tcW w:w="1410" w:type="dxa"/>
            <w:vAlign w:val="center"/>
          </w:tcPr>
          <w:p w14:paraId="67C27284">
            <w:pPr>
              <w:keepNext/>
              <w:widowControl/>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shd w:val="clear" w:color="auto" w:fill="FFFFFF" w:themeFill="background1"/>
                <w:lang w:eastAsia="zh-CN"/>
              </w:rPr>
              <w:t>协商保证金</w:t>
            </w:r>
          </w:p>
        </w:tc>
        <w:tc>
          <w:tcPr>
            <w:tcW w:w="7580" w:type="dxa"/>
            <w:vAlign w:val="center"/>
          </w:tcPr>
          <w:p w14:paraId="7211EB5E">
            <w:pPr>
              <w:numPr>
                <w:ilvl w:val="0"/>
                <w:numId w:val="2"/>
              </w:num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协商保证金</w:t>
            </w:r>
            <w:r>
              <w:rPr>
                <w:rFonts w:hint="eastAsia" w:ascii="仿宋" w:hAnsi="仿宋" w:eastAsia="仿宋" w:cs="仿宋"/>
                <w:color w:val="auto"/>
                <w:kern w:val="0"/>
                <w:szCs w:val="21"/>
                <w:highlight w:val="none"/>
              </w:rPr>
              <w:t>以支票、汇票、本票或者金融机构、担保机构出具的保函等非现金形式提交至采购代理机构。</w:t>
            </w:r>
          </w:p>
          <w:p w14:paraId="6B116193">
            <w:pPr>
              <w:numPr>
                <w:ilvl w:val="0"/>
                <w:numId w:val="2"/>
              </w:num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金额：</w:t>
            </w:r>
            <w:r>
              <w:rPr>
                <w:rFonts w:hint="eastAsia" w:ascii="仿宋" w:hAnsi="仿宋" w:eastAsia="仿宋" w:cs="仿宋"/>
                <w:color w:val="auto"/>
                <w:kern w:val="0"/>
                <w:szCs w:val="21"/>
                <w:highlight w:val="none"/>
                <w:u w:val="single"/>
                <w:lang w:val="en-US" w:eastAsia="zh-CN"/>
              </w:rPr>
              <w:t>/</w:t>
            </w:r>
          </w:p>
          <w:p w14:paraId="30A8463A">
            <w:pPr>
              <w:numPr>
                <w:ilvl w:val="0"/>
                <w:numId w:val="2"/>
              </w:num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账户信息</w:t>
            </w:r>
          </w:p>
          <w:p w14:paraId="3C206754">
            <w:pPr>
              <w:spacing w:line="360" w:lineRule="auto"/>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采购代理机构名称：新疆新世纪招标有限公司</w:t>
            </w:r>
          </w:p>
          <w:p w14:paraId="470BD756">
            <w:pPr>
              <w:spacing w:line="360" w:lineRule="auto"/>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纳税人识别号：91650100726988855F</w:t>
            </w:r>
          </w:p>
          <w:p w14:paraId="6E267255">
            <w:pPr>
              <w:spacing w:line="360" w:lineRule="auto"/>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开户行：中国农业银行乌鲁木齐新民西街支行</w:t>
            </w:r>
          </w:p>
          <w:p w14:paraId="01C7CB06">
            <w:pPr>
              <w:spacing w:line="360" w:lineRule="auto"/>
              <w:ind w:firstLine="210" w:firstLineChars="100"/>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rPr>
              <w:t>账号：30014701040000595</w:t>
            </w:r>
          </w:p>
        </w:tc>
      </w:tr>
      <w:tr w14:paraId="7D41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774CC2C">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7</w:t>
            </w:r>
          </w:p>
        </w:tc>
        <w:tc>
          <w:tcPr>
            <w:tcW w:w="1410" w:type="dxa"/>
            <w:vAlign w:val="center"/>
          </w:tcPr>
          <w:p w14:paraId="0F28D987">
            <w:pPr>
              <w:keepNext/>
              <w:widowControl/>
              <w:spacing w:line="360" w:lineRule="auto"/>
              <w:jc w:val="center"/>
              <w:rPr>
                <w:rFonts w:hint="eastAsia" w:ascii="仿宋" w:hAnsi="仿宋" w:eastAsia="仿宋" w:cs="仿宋"/>
                <w:color w:val="auto"/>
                <w:kern w:val="0"/>
                <w:szCs w:val="21"/>
                <w:highlight w:val="none"/>
                <w:shd w:val="clear" w:color="auto" w:fill="FFFFFF" w:themeFill="background1"/>
                <w:lang w:eastAsia="zh-CN"/>
              </w:rPr>
            </w:pPr>
            <w:r>
              <w:rPr>
                <w:rFonts w:hint="eastAsia" w:ascii="仿宋" w:hAnsi="仿宋" w:eastAsia="仿宋" w:cs="仿宋"/>
                <w:color w:val="auto"/>
                <w:kern w:val="0"/>
                <w:szCs w:val="21"/>
                <w:highlight w:val="none"/>
                <w:lang w:eastAsia="zh-CN"/>
              </w:rPr>
              <w:t>采购答疑</w:t>
            </w:r>
          </w:p>
        </w:tc>
        <w:tc>
          <w:tcPr>
            <w:tcW w:w="7580" w:type="dxa"/>
            <w:vAlign w:val="center"/>
          </w:tcPr>
          <w:p w14:paraId="60CDB27B">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对单一来源协商文件提出质疑的，应当在获取</w:t>
            </w:r>
            <w:r>
              <w:rPr>
                <w:rFonts w:hint="eastAsia" w:ascii="仿宋" w:hAnsi="仿宋" w:eastAsia="仿宋" w:cs="仿宋"/>
                <w:color w:val="auto"/>
                <w:szCs w:val="21"/>
                <w:highlight w:val="none"/>
                <w:lang w:eastAsia="zh-CN"/>
              </w:rPr>
              <w:t>单一来源协商文件</w:t>
            </w:r>
            <w:r>
              <w:rPr>
                <w:rFonts w:hint="eastAsia" w:ascii="仿宋" w:hAnsi="仿宋" w:eastAsia="仿宋" w:cs="仿宋"/>
                <w:color w:val="auto"/>
                <w:szCs w:val="21"/>
                <w:highlight w:val="none"/>
              </w:rPr>
              <w:t>或者</w:t>
            </w:r>
            <w:r>
              <w:rPr>
                <w:rFonts w:hint="eastAsia" w:ascii="仿宋" w:hAnsi="仿宋" w:eastAsia="仿宋" w:cs="仿宋"/>
                <w:color w:val="auto"/>
                <w:szCs w:val="21"/>
                <w:highlight w:val="none"/>
                <w:lang w:eastAsia="zh-CN"/>
              </w:rPr>
              <w:t>单一来源协商文件</w:t>
            </w:r>
            <w:r>
              <w:rPr>
                <w:rFonts w:hint="eastAsia" w:ascii="仿宋" w:hAnsi="仿宋" w:eastAsia="仿宋" w:cs="仿宋"/>
                <w:color w:val="auto"/>
                <w:szCs w:val="21"/>
                <w:highlight w:val="none"/>
              </w:rPr>
              <w:t>公告期限届满之日起7个工作日内一次性以书面形式（按照财政部制定的质疑函范本编写）提出并递交至采购代理机构。</w:t>
            </w:r>
          </w:p>
          <w:p w14:paraId="032AB906">
            <w:pPr>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质疑接收人：</w:t>
            </w:r>
            <w:r>
              <w:rPr>
                <w:rFonts w:hint="eastAsia" w:ascii="仿宋" w:hAnsi="仿宋" w:eastAsia="仿宋" w:cs="仿宋"/>
                <w:color w:val="auto"/>
                <w:szCs w:val="21"/>
                <w:highlight w:val="none"/>
                <w:lang w:val="en-US" w:eastAsia="zh-CN"/>
              </w:rPr>
              <w:t>杨凯</w:t>
            </w:r>
            <w:r>
              <w:rPr>
                <w:rFonts w:hint="eastAsia" w:ascii="仿宋" w:hAnsi="仿宋" w:eastAsia="仿宋" w:cs="仿宋"/>
                <w:color w:val="auto"/>
                <w:szCs w:val="21"/>
                <w:highlight w:val="none"/>
              </w:rPr>
              <w:t>；联系方式：0991-4661782。</w:t>
            </w:r>
          </w:p>
          <w:p w14:paraId="4B6DCE29">
            <w:pPr>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注：1、</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kern w:val="0"/>
                <w:szCs w:val="21"/>
                <w:highlight w:val="none"/>
              </w:rPr>
              <w:t>必须在法定质疑期内一次性提出针对同一采购程序环节的质疑；</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投诉的事项不得超出已质疑事项的范围。2、</w:t>
            </w:r>
            <w:r>
              <w:rPr>
                <w:rFonts w:hint="eastAsia" w:ascii="仿宋" w:hAnsi="仿宋" w:eastAsia="仿宋" w:cs="仿宋"/>
                <w:color w:val="auto"/>
                <w:kern w:val="0"/>
                <w:szCs w:val="21"/>
                <w:highlight w:val="none"/>
                <w:lang w:eastAsia="zh-CN"/>
              </w:rPr>
              <w:t>供应商</w:t>
            </w:r>
            <w:r>
              <w:rPr>
                <w:rFonts w:hint="eastAsia" w:ascii="仿宋" w:hAnsi="仿宋" w:eastAsia="仿宋" w:cs="仿宋"/>
                <w:color w:val="auto"/>
                <w:szCs w:val="21"/>
                <w:highlight w:val="none"/>
              </w:rPr>
              <w:t>在国家法律规定的时间内未提出书面疑问，视为对</w:t>
            </w:r>
            <w:r>
              <w:rPr>
                <w:rFonts w:hint="eastAsia" w:ascii="仿宋" w:hAnsi="仿宋" w:eastAsia="仿宋" w:cs="仿宋"/>
                <w:color w:val="auto"/>
                <w:szCs w:val="21"/>
                <w:highlight w:val="none"/>
                <w:lang w:eastAsia="zh-CN"/>
              </w:rPr>
              <w:t>单一来源协商文件</w:t>
            </w:r>
            <w:r>
              <w:rPr>
                <w:rFonts w:hint="eastAsia" w:ascii="仿宋" w:hAnsi="仿宋" w:eastAsia="仿宋" w:cs="仿宋"/>
                <w:color w:val="auto"/>
                <w:szCs w:val="21"/>
                <w:highlight w:val="none"/>
              </w:rPr>
              <w:t>的技术参数、资格条件、评审方法、合同文本等所有内容无异议。</w:t>
            </w:r>
          </w:p>
        </w:tc>
      </w:tr>
      <w:tr w14:paraId="68F8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5E2017F">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8</w:t>
            </w:r>
          </w:p>
        </w:tc>
        <w:tc>
          <w:tcPr>
            <w:tcW w:w="1410" w:type="dxa"/>
            <w:vAlign w:val="center"/>
          </w:tcPr>
          <w:p w14:paraId="7F137430">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响应文件</w:t>
            </w:r>
          </w:p>
        </w:tc>
        <w:tc>
          <w:tcPr>
            <w:tcW w:w="7580" w:type="dxa"/>
            <w:vAlign w:val="center"/>
          </w:tcPr>
          <w:p w14:paraId="205FDA73">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0D6781F">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2B6DAB2A">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3、加密的电子响应文件应在响应文件递交截止时间前通过政采云平台上传完成。逾期上传或者未上传指定地点的响应文件，不予受理。</w:t>
            </w:r>
          </w:p>
          <w:p w14:paraId="3568056D">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10BD8671">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64E0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57D8D69">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9</w:t>
            </w:r>
          </w:p>
        </w:tc>
        <w:tc>
          <w:tcPr>
            <w:tcW w:w="1410" w:type="dxa"/>
            <w:vAlign w:val="center"/>
          </w:tcPr>
          <w:p w14:paraId="4680E053">
            <w:pPr>
              <w:keepNext/>
              <w:widowControl/>
              <w:spacing w:line="360" w:lineRule="auto"/>
              <w:jc w:val="distribut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文件递交</w:t>
            </w:r>
          </w:p>
        </w:tc>
        <w:tc>
          <w:tcPr>
            <w:tcW w:w="7580" w:type="dxa"/>
            <w:vAlign w:val="center"/>
          </w:tcPr>
          <w:p w14:paraId="1698825F">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06</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26</w:t>
            </w:r>
            <w:r>
              <w:rPr>
                <w:rFonts w:hint="eastAsia" w:ascii="仿宋" w:hAnsi="仿宋" w:eastAsia="仿宋" w:cs="仿宋"/>
                <w:color w:val="auto"/>
                <w:szCs w:val="21"/>
                <w:highlight w:val="none"/>
                <w:u w:val="single"/>
              </w:rPr>
              <w:t>日1</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u w:val="single"/>
              </w:rPr>
              <w:t>:00（北京时间）</w:t>
            </w:r>
          </w:p>
          <w:p w14:paraId="25C5B51F">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w:t>
            </w:r>
            <w:r>
              <w:rPr>
                <w:rFonts w:hint="eastAsia" w:ascii="仿宋" w:hAnsi="仿宋" w:eastAsia="仿宋" w:cs="仿宋"/>
                <w:color w:val="auto"/>
                <w:kern w:val="0"/>
                <w:szCs w:val="21"/>
                <w:highlight w:val="none"/>
                <w:u w:val="single"/>
              </w:rPr>
              <w:t>政采云平台（https://www.zcygov.cn/）</w:t>
            </w:r>
          </w:p>
        </w:tc>
      </w:tr>
      <w:tr w14:paraId="412C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67CFF25">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10</w:t>
            </w:r>
          </w:p>
        </w:tc>
        <w:tc>
          <w:tcPr>
            <w:tcW w:w="1410" w:type="dxa"/>
            <w:vAlign w:val="center"/>
          </w:tcPr>
          <w:p w14:paraId="622C3531">
            <w:pPr>
              <w:keepNext/>
              <w:widowControl/>
              <w:spacing w:line="360" w:lineRule="auto"/>
              <w:jc w:val="distribute"/>
              <w:rPr>
                <w:rFonts w:hint="eastAsia" w:ascii="仿宋" w:hAnsi="仿宋" w:eastAsia="仿宋" w:cs="仿宋"/>
                <w:color w:val="auto"/>
                <w:kern w:val="0"/>
                <w:szCs w:val="21"/>
                <w:highlight w:val="none"/>
                <w:lang w:eastAsia="zh-CN"/>
              </w:rPr>
            </w:pPr>
            <w:r>
              <w:rPr>
                <w:rFonts w:hint="eastAsia" w:ascii="仿宋" w:hAnsi="仿宋" w:eastAsia="仿宋" w:cs="仿宋"/>
                <w:color w:val="auto"/>
                <w:szCs w:val="21"/>
                <w:highlight w:val="none"/>
                <w:lang w:val="en-US" w:eastAsia="zh-CN"/>
              </w:rPr>
              <w:t>协商</w:t>
            </w:r>
          </w:p>
        </w:tc>
        <w:tc>
          <w:tcPr>
            <w:tcW w:w="7580" w:type="dxa"/>
            <w:vAlign w:val="center"/>
          </w:tcPr>
          <w:p w14:paraId="4F3A177B">
            <w:pPr>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06</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26</w:t>
            </w:r>
            <w:r>
              <w:rPr>
                <w:rFonts w:hint="eastAsia" w:ascii="仿宋" w:hAnsi="仿宋" w:eastAsia="仿宋" w:cs="仿宋"/>
                <w:color w:val="auto"/>
                <w:szCs w:val="21"/>
                <w:highlight w:val="none"/>
                <w:u w:val="single"/>
              </w:rPr>
              <w:t>日1</w:t>
            </w:r>
            <w:r>
              <w:rPr>
                <w:rFonts w:hint="eastAsia" w:ascii="仿宋" w:hAnsi="仿宋" w:eastAsia="仿宋" w:cs="仿宋"/>
                <w:color w:val="auto"/>
                <w:szCs w:val="21"/>
                <w:highlight w:val="none"/>
                <w:u w:val="single"/>
                <w:lang w:val="en-US" w:eastAsia="zh-CN"/>
              </w:rPr>
              <w:t>6</w:t>
            </w:r>
            <w:r>
              <w:rPr>
                <w:rFonts w:hint="eastAsia" w:ascii="仿宋" w:hAnsi="仿宋" w:eastAsia="仿宋" w:cs="仿宋"/>
                <w:color w:val="auto"/>
                <w:szCs w:val="21"/>
                <w:highlight w:val="none"/>
                <w:u w:val="single"/>
              </w:rPr>
              <w:t>:00（北京时间）</w:t>
            </w:r>
          </w:p>
          <w:p w14:paraId="13BEF730">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w:t>
            </w:r>
            <w:r>
              <w:rPr>
                <w:rFonts w:hint="eastAsia" w:ascii="仿宋" w:hAnsi="仿宋" w:eastAsia="仿宋" w:cs="仿宋"/>
                <w:color w:val="auto"/>
                <w:kern w:val="0"/>
                <w:szCs w:val="21"/>
                <w:highlight w:val="none"/>
                <w:u w:val="single"/>
              </w:rPr>
              <w:t>政采云平台（https://www.zcygov.cn/）</w:t>
            </w:r>
          </w:p>
        </w:tc>
      </w:tr>
      <w:tr w14:paraId="7FA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C61059E">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11</w:t>
            </w:r>
          </w:p>
        </w:tc>
        <w:tc>
          <w:tcPr>
            <w:tcW w:w="1410" w:type="dxa"/>
            <w:vAlign w:val="center"/>
          </w:tcPr>
          <w:p w14:paraId="2118D2CB">
            <w:pPr>
              <w:keepNext/>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响应有效期</w:t>
            </w:r>
          </w:p>
        </w:tc>
        <w:tc>
          <w:tcPr>
            <w:tcW w:w="7580" w:type="dxa"/>
            <w:vAlign w:val="center"/>
          </w:tcPr>
          <w:p w14:paraId="484D4708">
            <w:pPr>
              <w:keepNext/>
              <w:widowControl/>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自响应截止之日90日历日</w:t>
            </w:r>
          </w:p>
        </w:tc>
      </w:tr>
      <w:tr w14:paraId="7FCA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1F7FD226">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12</w:t>
            </w:r>
          </w:p>
        </w:tc>
        <w:tc>
          <w:tcPr>
            <w:tcW w:w="1410" w:type="dxa"/>
            <w:vAlign w:val="center"/>
          </w:tcPr>
          <w:p w14:paraId="6C0F1F79">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单一来源协商公告发布媒体</w:t>
            </w:r>
          </w:p>
        </w:tc>
        <w:tc>
          <w:tcPr>
            <w:tcW w:w="7580" w:type="dxa"/>
            <w:vAlign w:val="center"/>
          </w:tcPr>
          <w:p w14:paraId="59B690F4">
            <w:pPr>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新疆政府采购网(http://www.ccgp-xinjiang.gov.cn)</w:t>
            </w:r>
          </w:p>
        </w:tc>
      </w:tr>
      <w:tr w14:paraId="65E1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2DA8498">
            <w:pPr>
              <w:spacing w:line="36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13</w:t>
            </w:r>
          </w:p>
        </w:tc>
        <w:tc>
          <w:tcPr>
            <w:tcW w:w="1410" w:type="dxa"/>
            <w:vAlign w:val="center"/>
          </w:tcPr>
          <w:p w14:paraId="1E36F410">
            <w:pPr>
              <w:keepNext/>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580" w:type="dxa"/>
            <w:vAlign w:val="center"/>
          </w:tcPr>
          <w:p w14:paraId="7AE4CC4D">
            <w:pPr>
              <w:keepNext/>
              <w:widowControl/>
              <w:numPr>
                <w:ilvl w:val="0"/>
                <w:numId w:val="0"/>
              </w:numPr>
              <w:spacing w:line="360" w:lineRule="auto"/>
              <w:ind w:firstLine="422" w:firstLineChars="200"/>
              <w:jc w:val="left"/>
              <w:rPr>
                <w:rFonts w:hint="default"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本项目不专门面向中小企业采购。</w:t>
            </w:r>
          </w:p>
          <w:p w14:paraId="6769E188">
            <w:pPr>
              <w:keepNext/>
              <w:widowControl/>
              <w:numPr>
                <w:ilvl w:val="0"/>
                <w:numId w:val="0"/>
              </w:numPr>
              <w:spacing w:line="360" w:lineRule="auto"/>
              <w:ind w:firstLine="420" w:firstLineChars="200"/>
              <w:jc w:val="left"/>
              <w:rPr>
                <w:rFonts w:ascii="仿宋" w:hAnsi="仿宋" w:eastAsia="仿宋" w:cs="仿宋"/>
                <w:color w:val="auto"/>
                <w:kern w:val="0"/>
                <w:szCs w:val="21"/>
                <w:highlight w:val="none"/>
              </w:rPr>
            </w:pPr>
            <w:r>
              <w:rPr>
                <w:rFonts w:ascii="仿宋" w:hAnsi="仿宋" w:eastAsia="仿宋" w:cs="仿宋"/>
                <w:color w:val="auto"/>
                <w:kern w:val="0"/>
                <w:sz w:val="21"/>
                <w:szCs w:val="21"/>
                <w:highlight w:val="none"/>
                <w:lang w:val="en-US" w:eastAsia="zh-CN" w:bidi="ar-SA"/>
              </w:rPr>
              <w:t>1、</w:t>
            </w:r>
            <w:r>
              <w:rPr>
                <w:rFonts w:hint="eastAsia" w:ascii="仿宋" w:hAnsi="仿宋" w:eastAsia="仿宋" w:cs="仿宋"/>
                <w:color w:val="auto"/>
                <w:kern w:val="0"/>
                <w:szCs w:val="21"/>
                <w:highlight w:val="none"/>
              </w:rPr>
              <w:t>中小企业，是指在中华人民共和国境内依法设立，依据国务院批准的中小企业划分标准确定的中型企业、小型企业和微型企业。符合中小企业划分标准的个体工商户，在政府采购活动中视同中小企业；残疾人福利性单位和监狱企业视同小型、微型企业。</w:t>
            </w:r>
          </w:p>
          <w:p w14:paraId="3504D365">
            <w:pPr>
              <w:keepNext/>
              <w:widowControl/>
              <w:spacing w:line="360"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2、本项目中小企业扶持政策：①、符合促进中小企业(监狱企业、残疾人福利性单位)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14:paraId="4D7FC517">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3、根据“关于印发中小企业划</w:t>
            </w:r>
            <w:r>
              <w:rPr>
                <w:rFonts w:hint="eastAsia" w:ascii="仿宋" w:hAnsi="仿宋" w:eastAsia="仿宋" w:cs="仿宋"/>
                <w:color w:val="auto"/>
                <w:kern w:val="0"/>
                <w:szCs w:val="21"/>
                <w:highlight w:val="none"/>
              </w:rPr>
              <w:t>型标准规定的通知(工信部联企业〔2011〕300号)”等有关规定，本项目标的所属行业为</w:t>
            </w:r>
            <w:r>
              <w:rPr>
                <w:rFonts w:hint="eastAsia" w:ascii="仿宋" w:hAnsi="仿宋" w:eastAsia="仿宋" w:cs="仿宋"/>
                <w:b/>
                <w:bCs/>
                <w:color w:val="auto"/>
                <w:kern w:val="0"/>
                <w:szCs w:val="21"/>
                <w:highlight w:val="none"/>
              </w:rPr>
              <w:t>工业</w:t>
            </w:r>
            <w:r>
              <w:rPr>
                <w:rFonts w:hint="eastAsia" w:ascii="仿宋" w:hAnsi="仿宋" w:eastAsia="仿宋" w:cs="仿宋"/>
                <w:color w:val="auto"/>
                <w:kern w:val="0"/>
                <w:szCs w:val="21"/>
                <w:highlight w:val="none"/>
              </w:rPr>
              <w:t>。</w:t>
            </w:r>
          </w:p>
        </w:tc>
      </w:tr>
      <w:tr w14:paraId="27B1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107165FC">
            <w:pPr>
              <w:spacing w:line="360" w:lineRule="auto"/>
              <w:jc w:val="center"/>
              <w:rPr>
                <w:rFonts w:hint="default"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14</w:t>
            </w:r>
          </w:p>
        </w:tc>
        <w:tc>
          <w:tcPr>
            <w:tcW w:w="1410" w:type="dxa"/>
            <w:vAlign w:val="center"/>
          </w:tcPr>
          <w:p w14:paraId="111EA726">
            <w:pPr>
              <w:keepNext/>
              <w:widowControl/>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支付方式</w:t>
            </w:r>
          </w:p>
        </w:tc>
        <w:tc>
          <w:tcPr>
            <w:tcW w:w="7580" w:type="dxa"/>
            <w:vAlign w:val="center"/>
          </w:tcPr>
          <w:p w14:paraId="58C22FCF">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1、付款币种</w:t>
            </w:r>
          </w:p>
          <w:p w14:paraId="7E419F60">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本次</w:t>
            </w:r>
            <w:r>
              <w:rPr>
                <w:rFonts w:hint="eastAsia" w:ascii="仿宋" w:hAnsi="仿宋" w:eastAsia="仿宋" w:cs="仿宋"/>
                <w:color w:val="auto"/>
                <w:kern w:val="0"/>
                <w:szCs w:val="21"/>
                <w:highlight w:val="none"/>
                <w:lang w:val="en-US" w:eastAsia="zh-CN"/>
              </w:rPr>
              <w:t>采购</w:t>
            </w:r>
            <w:r>
              <w:rPr>
                <w:rFonts w:hint="eastAsia" w:ascii="仿宋" w:hAnsi="仿宋" w:eastAsia="仿宋" w:cs="仿宋"/>
                <w:color w:val="auto"/>
                <w:kern w:val="0"/>
                <w:szCs w:val="21"/>
                <w:highlight w:val="none"/>
              </w:rPr>
              <w:t>项目资金均以人民币支付。</w:t>
            </w:r>
          </w:p>
          <w:p w14:paraId="220E55C0">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2、付款方式：</w:t>
            </w:r>
          </w:p>
          <w:p w14:paraId="5B4EF303">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合同签订后支付至合同价款的95%，剩余合同价款的5%质保期满后一次性支付</w:t>
            </w:r>
            <w:r>
              <w:rPr>
                <w:rFonts w:hint="eastAsia" w:ascii="仿宋" w:hAnsi="仿宋" w:eastAsia="仿宋" w:cs="仿宋"/>
                <w:color w:val="auto"/>
                <w:kern w:val="0"/>
                <w:szCs w:val="21"/>
                <w:highlight w:val="none"/>
              </w:rPr>
              <w:t>。</w:t>
            </w:r>
          </w:p>
          <w:p w14:paraId="4E5EAAE6">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3、乙方须向甲方出具合法有效完整的完税发票及凭证资料进行支付结算。</w:t>
            </w:r>
          </w:p>
          <w:p w14:paraId="583B5C31">
            <w:pPr>
              <w:keepNext/>
              <w:widowControl/>
              <w:spacing w:line="360" w:lineRule="auto"/>
              <w:ind w:firstLine="422" w:firstLineChars="200"/>
              <w:jc w:val="left"/>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rPr>
              <w:t>备注：最终付款方式以和甲方单位签订合同为准。</w:t>
            </w:r>
          </w:p>
        </w:tc>
      </w:tr>
      <w:tr w14:paraId="23A5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8" w:hRule="atLeast"/>
          <w:jc w:val="center"/>
        </w:trPr>
        <w:tc>
          <w:tcPr>
            <w:tcW w:w="597" w:type="dxa"/>
            <w:vAlign w:val="center"/>
          </w:tcPr>
          <w:p w14:paraId="2167F9B4">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w:t>
            </w:r>
          </w:p>
        </w:tc>
        <w:tc>
          <w:tcPr>
            <w:tcW w:w="1410" w:type="dxa"/>
            <w:vAlign w:val="center"/>
          </w:tcPr>
          <w:p w14:paraId="27226165">
            <w:pPr>
              <w:keepNext/>
              <w:widowControl/>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580" w:type="dxa"/>
            <w:vAlign w:val="center"/>
          </w:tcPr>
          <w:p w14:paraId="693E4AAF">
            <w:pPr>
              <w:keepNext/>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本表内容如与后文内容不一致处，以本表为准。</w:t>
            </w:r>
          </w:p>
          <w:p w14:paraId="78A3898E">
            <w:pPr>
              <w:keepNext/>
              <w:widowControl/>
              <w:spacing w:line="360" w:lineRule="auto"/>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2、单一来源协商文件采购需求未明确标注采购进口产品的，拒绝进口产品参加。</w:t>
            </w:r>
          </w:p>
        </w:tc>
      </w:tr>
    </w:tbl>
    <w:p w14:paraId="78BF9AD1">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E1C8E24">
      <w:pPr>
        <w:spacing w:line="440" w:lineRule="exact"/>
        <w:ind w:firstLine="482" w:firstLineChars="200"/>
        <w:jc w:val="center"/>
        <w:outlineLvl w:val="1"/>
        <w:rPr>
          <w:rFonts w:hint="eastAsia" w:ascii="仿宋" w:hAnsi="仿宋" w:eastAsia="仿宋" w:cs="仿宋"/>
          <w:b/>
          <w:color w:val="auto"/>
          <w:sz w:val="24"/>
          <w:highlight w:val="none"/>
        </w:rPr>
      </w:pPr>
      <w:bookmarkStart w:id="2" w:name="_Toc3110"/>
      <w:r>
        <w:rPr>
          <w:rFonts w:hint="eastAsia" w:ascii="仿宋" w:hAnsi="仿宋" w:eastAsia="仿宋" w:cs="仿宋"/>
          <w:b/>
          <w:color w:val="auto"/>
          <w:sz w:val="24"/>
          <w:highlight w:val="none"/>
        </w:rPr>
        <w:t>一、说明</w:t>
      </w:r>
      <w:bookmarkEnd w:id="2"/>
    </w:p>
    <w:p w14:paraId="3A63FC31">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3E3E5F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1.1本</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仅适用于供应商须知前附表中所叙述项目的采购。</w:t>
      </w:r>
    </w:p>
    <w:p w14:paraId="51CE6E59">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定义</w:t>
      </w:r>
    </w:p>
    <w:p w14:paraId="1E030F8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“采购人”系指本次采购项目的</w:t>
      </w:r>
      <w:r>
        <w:rPr>
          <w:rFonts w:hint="eastAsia" w:ascii="仿宋" w:hAnsi="仿宋" w:eastAsia="仿宋" w:cs="仿宋"/>
          <w:color w:val="auto"/>
          <w:sz w:val="24"/>
          <w:highlight w:val="none"/>
          <w:u w:val="single"/>
          <w:lang w:eastAsia="zh-CN"/>
        </w:rPr>
        <w:t>乌鲁木齐市疾病预防控制中心(乌鲁木齐市卫生监督所)</w:t>
      </w:r>
      <w:r>
        <w:rPr>
          <w:rFonts w:hint="eastAsia" w:ascii="仿宋" w:hAnsi="仿宋" w:eastAsia="仿宋" w:cs="仿宋"/>
          <w:color w:val="auto"/>
          <w:sz w:val="24"/>
          <w:highlight w:val="none"/>
        </w:rPr>
        <w:t>。</w:t>
      </w:r>
    </w:p>
    <w:p w14:paraId="368C7B4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“采购代理机构”系指本次采购项目活动组织方。</w:t>
      </w:r>
    </w:p>
    <w:p w14:paraId="559DD24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“供应商”系指拟承担本次采购项目工作任务的</w:t>
      </w:r>
      <w:r>
        <w:rPr>
          <w:rFonts w:hint="eastAsia" w:ascii="仿宋" w:hAnsi="仿宋" w:eastAsia="仿宋" w:cs="仿宋"/>
          <w:color w:val="auto"/>
          <w:sz w:val="24"/>
          <w:highlight w:val="none"/>
          <w:lang w:val="en-US" w:eastAsia="zh-CN"/>
        </w:rPr>
        <w:t>单位</w:t>
      </w:r>
      <w:r>
        <w:rPr>
          <w:rFonts w:hint="eastAsia" w:ascii="仿宋" w:hAnsi="仿宋" w:eastAsia="仿宋" w:cs="仿宋"/>
          <w:color w:val="auto"/>
          <w:sz w:val="24"/>
          <w:highlight w:val="none"/>
        </w:rPr>
        <w:t>。</w:t>
      </w:r>
    </w:p>
    <w:p w14:paraId="44806448">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合格的供应商</w:t>
      </w:r>
    </w:p>
    <w:p w14:paraId="79AF705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3.1符合供应商须知前附表第3项号规定。</w:t>
      </w:r>
    </w:p>
    <w:p w14:paraId="18872CA1">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费用</w:t>
      </w:r>
    </w:p>
    <w:p w14:paraId="47ABF72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供应商自行承担其参加</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所涉及的一切费用。</w:t>
      </w:r>
    </w:p>
    <w:p w14:paraId="6FF4000D">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供应商须注意的其他事项</w:t>
      </w:r>
    </w:p>
    <w:p w14:paraId="23E693AF">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bCs/>
          <w:color w:val="auto"/>
          <w:sz w:val="24"/>
          <w:highlight w:val="none"/>
        </w:rPr>
        <w:t>本项目已于202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23</w:t>
      </w:r>
      <w:r>
        <w:rPr>
          <w:rFonts w:hint="eastAsia" w:ascii="仿宋" w:hAnsi="仿宋" w:eastAsia="仿宋" w:cs="仿宋"/>
          <w:bCs/>
          <w:color w:val="auto"/>
          <w:sz w:val="24"/>
          <w:highlight w:val="none"/>
        </w:rPr>
        <w:t>日召开了拟采用单一来源论证会，经专家论证本项目符合单一来源采购的要求；并于202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05</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29</w:t>
      </w:r>
      <w:r>
        <w:rPr>
          <w:rFonts w:hint="eastAsia" w:ascii="仿宋" w:hAnsi="仿宋" w:eastAsia="仿宋" w:cs="仿宋"/>
          <w:bCs/>
          <w:color w:val="auto"/>
          <w:sz w:val="24"/>
          <w:highlight w:val="none"/>
        </w:rPr>
        <w:t>日发布了本项目拟采用单一来源采购方式公示（公示期5个工作日），待公示期满后发出本项目</w:t>
      </w:r>
      <w:r>
        <w:rPr>
          <w:rFonts w:hint="eastAsia" w:ascii="仿宋" w:hAnsi="仿宋" w:eastAsia="仿宋" w:cs="仿宋"/>
          <w:bCs/>
          <w:color w:val="auto"/>
          <w:sz w:val="24"/>
          <w:highlight w:val="none"/>
          <w:lang w:eastAsia="zh-CN"/>
        </w:rPr>
        <w:t>单一来源协商文件</w:t>
      </w:r>
      <w:r>
        <w:rPr>
          <w:rFonts w:hint="eastAsia" w:ascii="仿宋" w:hAnsi="仿宋" w:eastAsia="仿宋" w:cs="仿宋"/>
          <w:bCs/>
          <w:color w:val="auto"/>
          <w:sz w:val="24"/>
          <w:highlight w:val="none"/>
        </w:rPr>
        <w:t>。</w:t>
      </w:r>
    </w:p>
    <w:p w14:paraId="62A008C2">
      <w:pPr>
        <w:spacing w:line="440" w:lineRule="exact"/>
        <w:ind w:firstLine="482" w:firstLineChars="200"/>
        <w:jc w:val="center"/>
        <w:outlineLvl w:val="1"/>
        <w:rPr>
          <w:rFonts w:hint="eastAsia" w:ascii="仿宋" w:hAnsi="仿宋" w:eastAsia="仿宋" w:cs="仿宋"/>
          <w:b/>
          <w:color w:val="auto"/>
          <w:sz w:val="24"/>
          <w:highlight w:val="none"/>
          <w:lang w:eastAsia="zh-CN"/>
        </w:rPr>
      </w:pPr>
      <w:bookmarkStart w:id="3" w:name="_Toc27468"/>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单一来源协商文件</w:t>
      </w:r>
      <w:bookmarkEnd w:id="3"/>
    </w:p>
    <w:p w14:paraId="4F50F0D9">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5. </w:t>
      </w:r>
      <w:r>
        <w:rPr>
          <w:rFonts w:hint="eastAsia" w:ascii="仿宋" w:hAnsi="仿宋" w:eastAsia="仿宋" w:cs="仿宋"/>
          <w:b/>
          <w:color w:val="auto"/>
          <w:sz w:val="24"/>
          <w:highlight w:val="none"/>
          <w:lang w:eastAsia="zh-CN"/>
        </w:rPr>
        <w:t>单一来源协商文件</w:t>
      </w:r>
      <w:r>
        <w:rPr>
          <w:rFonts w:hint="eastAsia" w:ascii="仿宋" w:hAnsi="仿宋" w:eastAsia="仿宋" w:cs="仿宋"/>
          <w:b/>
          <w:color w:val="auto"/>
          <w:sz w:val="24"/>
          <w:highlight w:val="none"/>
        </w:rPr>
        <w:t>的组成</w:t>
      </w:r>
    </w:p>
    <w:p w14:paraId="6EA8F435">
      <w:pPr>
        <w:pStyle w:val="6"/>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用以阐明所需产品及</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程序和合同主要条款。</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由下述部分组成：</w:t>
      </w:r>
    </w:p>
    <w:p w14:paraId="71346D94">
      <w:pPr>
        <w:pStyle w:val="6"/>
        <w:numPr>
          <w:ilvl w:val="0"/>
          <w:numId w:val="3"/>
        </w:num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供应商须知</w:t>
      </w:r>
    </w:p>
    <w:p w14:paraId="23D5AF6D">
      <w:pPr>
        <w:pStyle w:val="6"/>
        <w:numPr>
          <w:ilvl w:val="0"/>
          <w:numId w:val="3"/>
        </w:num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评审办法</w:t>
      </w:r>
    </w:p>
    <w:p w14:paraId="3127ED60">
      <w:pPr>
        <w:pStyle w:val="6"/>
        <w:numPr>
          <w:ilvl w:val="0"/>
          <w:numId w:val="3"/>
        </w:num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技术标准和要求</w:t>
      </w:r>
    </w:p>
    <w:p w14:paraId="032A4677">
      <w:pPr>
        <w:pStyle w:val="6"/>
        <w:numPr>
          <w:ilvl w:val="0"/>
          <w:numId w:val="3"/>
        </w:num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val="en-US" w:eastAsia="zh-CN"/>
        </w:rPr>
        <w:t>文本</w:t>
      </w:r>
    </w:p>
    <w:p w14:paraId="5E199E16">
      <w:pPr>
        <w:pStyle w:val="6"/>
        <w:numPr>
          <w:ilvl w:val="0"/>
          <w:numId w:val="3"/>
        </w:num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响应文件格式</w:t>
      </w:r>
    </w:p>
    <w:p w14:paraId="25CD7C27">
      <w:pPr>
        <w:pStyle w:val="6"/>
        <w:numPr>
          <w:ilvl w:val="0"/>
          <w:numId w:val="3"/>
        </w:numPr>
        <w:snapToGrid w:val="0"/>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补充条款</w:t>
      </w:r>
    </w:p>
    <w:p w14:paraId="73AE18A1">
      <w:pPr>
        <w:spacing w:line="440" w:lineRule="exact"/>
        <w:jc w:val="center"/>
        <w:outlineLvl w:val="1"/>
        <w:rPr>
          <w:rFonts w:hint="eastAsia" w:ascii="仿宋" w:hAnsi="仿宋" w:eastAsia="仿宋" w:cs="仿宋"/>
          <w:b/>
          <w:color w:val="auto"/>
          <w:sz w:val="24"/>
          <w:highlight w:val="none"/>
        </w:rPr>
      </w:pPr>
      <w:bookmarkStart w:id="4" w:name="_Toc9624"/>
      <w:r>
        <w:rPr>
          <w:rFonts w:hint="eastAsia" w:ascii="仿宋" w:hAnsi="仿宋" w:eastAsia="仿宋" w:cs="仿宋"/>
          <w:b/>
          <w:color w:val="auto"/>
          <w:sz w:val="24"/>
          <w:highlight w:val="none"/>
        </w:rPr>
        <w:t>三、响应文件的编写</w:t>
      </w:r>
      <w:bookmarkEnd w:id="4"/>
    </w:p>
    <w:p w14:paraId="407E6C0E">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要求</w:t>
      </w:r>
    </w:p>
    <w:p w14:paraId="53A4BCD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6.1供应商应仔细阅读本项目</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的所有内容，按照文件的要求提交响应文件。响应文件应对</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的要求作出实质性响应，并保证所提供的全部资料的真实性，否则其报价将被拒绝。</w:t>
      </w:r>
    </w:p>
    <w:p w14:paraId="6749513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6.2采购人及采购代理机构不接受有任何可选择性的报价。</w:t>
      </w:r>
    </w:p>
    <w:p w14:paraId="4BA8441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响应文件语言</w:t>
      </w:r>
    </w:p>
    <w:p w14:paraId="105A48D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7.1响应文件应用中文书写。响应文件中所附或所引用的原件不是中文时，应附中文译本。各种计量单位及符号应采用国际上统一使用的公制计量单位和符号。</w:t>
      </w:r>
    </w:p>
    <w:p w14:paraId="37A41F8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 响应文件的组成</w:t>
      </w:r>
    </w:p>
    <w:p w14:paraId="621A9A6B">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开标一览表</w:t>
      </w:r>
    </w:p>
    <w:p w14:paraId="23A18F24">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协商价格明细表</w:t>
      </w:r>
    </w:p>
    <w:p w14:paraId="5E51D9A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（3）、商务条款偏离表</w:t>
      </w:r>
    </w:p>
    <w:p w14:paraId="738CF41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（4）、技术条款偏离表</w:t>
      </w:r>
    </w:p>
    <w:p w14:paraId="41C3DEF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（5）、法定代表人身份证明书</w:t>
      </w:r>
      <w:r>
        <w:rPr>
          <w:rFonts w:hint="eastAsia" w:ascii="仿宋" w:hAnsi="仿宋" w:eastAsia="仿宋" w:cs="仿宋"/>
          <w:color w:val="auto"/>
          <w:sz w:val="24"/>
          <w:highlight w:val="none"/>
        </w:rPr>
        <w:tab/>
      </w:r>
    </w:p>
    <w:p w14:paraId="421BD89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（6）、法定代表人授权委托书</w:t>
      </w:r>
      <w:r>
        <w:rPr>
          <w:rFonts w:hint="eastAsia" w:ascii="仿宋" w:hAnsi="仿宋" w:eastAsia="仿宋" w:cs="仿宋"/>
          <w:color w:val="auto"/>
          <w:sz w:val="24"/>
          <w:highlight w:val="none"/>
        </w:rPr>
        <w:tab/>
      </w:r>
    </w:p>
    <w:p w14:paraId="4327B55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（7）、供应商资格条件证明材料</w:t>
      </w:r>
    </w:p>
    <w:p w14:paraId="4756EE8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供应商近年类似项目情况表</w:t>
      </w:r>
      <w:r>
        <w:rPr>
          <w:rFonts w:hint="eastAsia" w:ascii="仿宋" w:hAnsi="仿宋" w:eastAsia="仿宋" w:cs="仿宋"/>
          <w:color w:val="auto"/>
          <w:sz w:val="24"/>
          <w:highlight w:val="none"/>
        </w:rPr>
        <w:tab/>
      </w:r>
    </w:p>
    <w:p w14:paraId="4582157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（9）、售后服务承诺书</w:t>
      </w:r>
    </w:p>
    <w:p w14:paraId="3120265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en-US" w:eastAsia="zh-CN"/>
        </w:rPr>
        <w:t>技术方案</w:t>
      </w:r>
      <w:r>
        <w:rPr>
          <w:rFonts w:hint="eastAsia" w:ascii="仿宋" w:hAnsi="仿宋" w:eastAsia="仿宋" w:cs="仿宋"/>
          <w:color w:val="auto"/>
          <w:sz w:val="24"/>
          <w:highlight w:val="none"/>
        </w:rPr>
        <w:tab/>
      </w:r>
    </w:p>
    <w:p w14:paraId="69F283F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（11）、其他需要提交的资料</w:t>
      </w:r>
      <w:r>
        <w:rPr>
          <w:rFonts w:hint="eastAsia" w:ascii="仿宋" w:hAnsi="仿宋" w:eastAsia="仿宋" w:cs="仿宋"/>
          <w:color w:val="auto"/>
          <w:sz w:val="24"/>
          <w:highlight w:val="none"/>
        </w:rPr>
        <w:tab/>
      </w:r>
    </w:p>
    <w:p w14:paraId="7A30C885">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 xml:space="preserve">9. </w:t>
      </w:r>
      <w:r>
        <w:rPr>
          <w:rFonts w:hint="eastAsia" w:ascii="仿宋" w:hAnsi="仿宋" w:eastAsia="仿宋" w:cs="仿宋"/>
          <w:b/>
          <w:color w:val="auto"/>
          <w:sz w:val="24"/>
          <w:highlight w:val="none"/>
          <w:lang w:eastAsia="zh-CN"/>
        </w:rPr>
        <w:t>协商有效期</w:t>
      </w:r>
    </w:p>
    <w:p w14:paraId="2AEEBA8B">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9.1响应文件从</w:t>
      </w:r>
      <w:r>
        <w:rPr>
          <w:rFonts w:hint="eastAsia" w:ascii="仿宋" w:hAnsi="仿宋" w:eastAsia="仿宋" w:cs="仿宋"/>
          <w:bCs/>
          <w:color w:val="auto"/>
          <w:sz w:val="24"/>
          <w:highlight w:val="none"/>
        </w:rPr>
        <w:t>供应商须知前附表</w:t>
      </w:r>
      <w:r>
        <w:rPr>
          <w:rFonts w:hint="eastAsia" w:ascii="仿宋" w:hAnsi="仿宋" w:eastAsia="仿宋" w:cs="仿宋"/>
          <w:color w:val="auto"/>
          <w:sz w:val="24"/>
          <w:highlight w:val="none"/>
        </w:rPr>
        <w:t>第4项所规定的</w:t>
      </w:r>
      <w:r>
        <w:rPr>
          <w:rFonts w:hint="eastAsia" w:ascii="仿宋" w:hAnsi="仿宋" w:eastAsia="仿宋" w:cs="仿宋"/>
          <w:color w:val="auto"/>
          <w:sz w:val="24"/>
          <w:highlight w:val="none"/>
          <w:lang w:eastAsia="zh-CN"/>
        </w:rPr>
        <w:t>协商截止期</w:t>
      </w:r>
      <w:r>
        <w:rPr>
          <w:rFonts w:hint="eastAsia" w:ascii="仿宋" w:hAnsi="仿宋" w:eastAsia="仿宋" w:cs="仿宋"/>
          <w:color w:val="auto"/>
          <w:sz w:val="24"/>
          <w:highlight w:val="none"/>
        </w:rPr>
        <w:t>之后开始生效，在</w:t>
      </w:r>
      <w:r>
        <w:rPr>
          <w:rFonts w:hint="eastAsia" w:ascii="仿宋" w:hAnsi="仿宋" w:eastAsia="仿宋" w:cs="仿宋"/>
          <w:bCs/>
          <w:color w:val="auto"/>
          <w:sz w:val="24"/>
          <w:highlight w:val="none"/>
        </w:rPr>
        <w:t>供应商须知前附表</w:t>
      </w:r>
      <w:r>
        <w:rPr>
          <w:rFonts w:hint="eastAsia" w:ascii="仿宋" w:hAnsi="仿宋" w:eastAsia="仿宋" w:cs="仿宋"/>
          <w:color w:val="auto"/>
          <w:sz w:val="24"/>
          <w:highlight w:val="none"/>
        </w:rPr>
        <w:t>所规定的期限内保持有效。有效期不足将导致其响应文件被拒绝。</w:t>
      </w:r>
    </w:p>
    <w:p w14:paraId="4DB05F0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9.2特殊情况下采购代理机构可于</w:t>
      </w:r>
      <w:r>
        <w:rPr>
          <w:rFonts w:hint="eastAsia" w:ascii="仿宋" w:hAnsi="仿宋" w:eastAsia="仿宋" w:cs="仿宋"/>
          <w:color w:val="auto"/>
          <w:sz w:val="24"/>
          <w:highlight w:val="none"/>
          <w:lang w:eastAsia="zh-CN"/>
        </w:rPr>
        <w:t>协商有效期</w:t>
      </w:r>
      <w:r>
        <w:rPr>
          <w:rFonts w:hint="eastAsia" w:ascii="仿宋" w:hAnsi="仿宋" w:eastAsia="仿宋" w:cs="仿宋"/>
          <w:color w:val="auto"/>
          <w:sz w:val="24"/>
          <w:highlight w:val="none"/>
        </w:rPr>
        <w:t>满之前书面要求供应商同意延长有效期，供应商应在采购代理机构规定的期限内以书面形式予以答复。供应商答复不明确或者逾期未答复的，均视为拒绝上述要求。对于接受该要求的供应商，既不要求也不允许其修改响应文件。</w:t>
      </w:r>
    </w:p>
    <w:p w14:paraId="2BF6BB1A">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 响应文件的格式</w:t>
      </w:r>
    </w:p>
    <w:p w14:paraId="6D441C35">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10.1响应文件应按第五章“响应文件格式”进行编写，如有必要，可以增加附页，作为响应文件的组成部分。</w:t>
      </w:r>
    </w:p>
    <w:p w14:paraId="702BC7D8">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10.2响应文件应当对</w:t>
      </w:r>
      <w:r>
        <w:rPr>
          <w:rFonts w:hint="eastAsia" w:ascii="仿宋" w:hAnsi="仿宋" w:eastAsia="仿宋" w:cs="仿宋"/>
          <w:color w:val="auto"/>
          <w:kern w:val="0"/>
          <w:sz w:val="24"/>
          <w:highlight w:val="none"/>
          <w:lang w:eastAsia="zh-CN"/>
        </w:rPr>
        <w:t>单一来源协商文件</w:t>
      </w:r>
      <w:r>
        <w:rPr>
          <w:rFonts w:hint="eastAsia" w:ascii="仿宋" w:hAnsi="仿宋" w:eastAsia="仿宋" w:cs="仿宋"/>
          <w:color w:val="auto"/>
          <w:kern w:val="0"/>
          <w:sz w:val="24"/>
          <w:highlight w:val="none"/>
        </w:rPr>
        <w:t>有关采购范围、技术与服务要求等实质性内容做出响应。</w:t>
      </w:r>
    </w:p>
    <w:p w14:paraId="294BBCFB">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10.3电子响应文件使用政采云平台响应文件制作工具以及</w:t>
      </w:r>
      <w:r>
        <w:rPr>
          <w:rFonts w:hint="eastAsia" w:ascii="仿宋" w:hAnsi="仿宋" w:eastAsia="仿宋" w:cs="仿宋"/>
          <w:color w:val="auto"/>
          <w:kern w:val="0"/>
          <w:sz w:val="24"/>
          <w:highlight w:val="none"/>
          <w:lang w:eastAsia="zh-CN"/>
        </w:rPr>
        <w:t>单一来源协商文件</w:t>
      </w:r>
      <w:r>
        <w:rPr>
          <w:rFonts w:hint="eastAsia" w:ascii="仿宋" w:hAnsi="仿宋" w:eastAsia="仿宋" w:cs="仿宋"/>
          <w:color w:val="auto"/>
          <w:kern w:val="0"/>
          <w:sz w:val="24"/>
          <w:highlight w:val="none"/>
        </w:rPr>
        <w:t>要求进行制作编制。响应文件制作时，按照</w:t>
      </w:r>
      <w:r>
        <w:rPr>
          <w:rFonts w:hint="eastAsia" w:ascii="仿宋" w:hAnsi="仿宋" w:eastAsia="仿宋" w:cs="仿宋"/>
          <w:color w:val="auto"/>
          <w:kern w:val="0"/>
          <w:sz w:val="24"/>
          <w:highlight w:val="none"/>
          <w:lang w:eastAsia="zh-CN"/>
        </w:rPr>
        <w:t>单一来源协商文件</w:t>
      </w:r>
      <w:r>
        <w:rPr>
          <w:rFonts w:hint="eastAsia" w:ascii="仿宋" w:hAnsi="仿宋" w:eastAsia="仿宋" w:cs="仿宋"/>
          <w:color w:val="auto"/>
          <w:kern w:val="0"/>
          <w:sz w:val="24"/>
          <w:highlight w:val="none"/>
        </w:rPr>
        <w:t>中明确的响应文件目录和格式进行编制，保证目录清晰、内容完整。</w:t>
      </w:r>
    </w:p>
    <w:p w14:paraId="38466B12">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10.</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电子招</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具有法律效力，与其他形式的招</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在内容和格式上等同，若响应文件与</w:t>
      </w:r>
      <w:r>
        <w:rPr>
          <w:rFonts w:hint="eastAsia" w:ascii="仿宋" w:hAnsi="仿宋" w:eastAsia="仿宋" w:cs="仿宋"/>
          <w:color w:val="auto"/>
          <w:kern w:val="0"/>
          <w:sz w:val="24"/>
          <w:highlight w:val="none"/>
          <w:lang w:eastAsia="zh-CN"/>
        </w:rPr>
        <w:t>单一来源协商文件</w:t>
      </w:r>
      <w:r>
        <w:rPr>
          <w:rFonts w:hint="eastAsia" w:ascii="仿宋" w:hAnsi="仿宋" w:eastAsia="仿宋" w:cs="仿宋"/>
          <w:color w:val="auto"/>
          <w:kern w:val="0"/>
          <w:sz w:val="24"/>
          <w:highlight w:val="none"/>
        </w:rPr>
        <w:t>要求不一致，其内容影响中标结果时，责任由供应商自行承担。供应商递交的电子响应文件因供应商自身原因而导致无法导入电子辅助评标系统，该响应文件视为无效响应文件，将导致其投标被拒绝</w:t>
      </w:r>
      <w:r>
        <w:rPr>
          <w:rFonts w:hint="eastAsia" w:ascii="仿宋" w:hAnsi="仿宋" w:eastAsia="仿宋" w:cs="仿宋"/>
          <w:color w:val="auto"/>
          <w:sz w:val="24"/>
          <w:highlight w:val="none"/>
        </w:rPr>
        <w:t>。</w:t>
      </w:r>
    </w:p>
    <w:p w14:paraId="4581E9B7">
      <w:pPr>
        <w:spacing w:line="440" w:lineRule="exact"/>
        <w:ind w:firstLine="482" w:firstLineChars="200"/>
        <w:jc w:val="center"/>
        <w:outlineLvl w:val="1"/>
        <w:rPr>
          <w:rFonts w:hint="eastAsia" w:ascii="仿宋" w:hAnsi="仿宋" w:eastAsia="仿宋" w:cs="仿宋"/>
          <w:b/>
          <w:color w:val="auto"/>
          <w:sz w:val="24"/>
          <w:highlight w:val="none"/>
        </w:rPr>
      </w:pPr>
      <w:bookmarkStart w:id="5" w:name="_Toc15086"/>
      <w:r>
        <w:rPr>
          <w:rFonts w:hint="eastAsia" w:ascii="仿宋" w:hAnsi="仿宋" w:eastAsia="仿宋" w:cs="仿宋"/>
          <w:b/>
          <w:color w:val="auto"/>
          <w:sz w:val="24"/>
          <w:highlight w:val="none"/>
        </w:rPr>
        <w:t>四、响应文件的提交</w:t>
      </w:r>
      <w:bookmarkEnd w:id="5"/>
    </w:p>
    <w:p w14:paraId="7D05FB19">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11.响应文件的递交</w:t>
      </w:r>
    </w:p>
    <w:p w14:paraId="249B8E2E">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bookmarkStart w:id="6" w:name="_Hlk22461104"/>
      <w:bookmarkStart w:id="7" w:name="_Hlk18820304"/>
      <w:bookmarkStart w:id="8" w:name="_Hlk57105547"/>
      <w:bookmarkStart w:id="9" w:name="_Hlk23651228"/>
      <w:bookmarkStart w:id="10" w:name="_Hlk23746208"/>
      <w:bookmarkStart w:id="11" w:name="_Hlk23651229"/>
      <w:bookmarkStart w:id="12" w:name="_Hlk22461103"/>
      <w:bookmarkStart w:id="13" w:name="_Hlk22461105"/>
      <w:bookmarkStart w:id="14" w:name="_Hlk23746210"/>
      <w:bookmarkStart w:id="15" w:name="_Hlk57105548"/>
      <w:bookmarkStart w:id="16" w:name="_Hlk57105549"/>
      <w:bookmarkStart w:id="17" w:name="_Hlk23651230"/>
      <w:bookmarkStart w:id="18" w:name="_Hlk23746209"/>
      <w:bookmarkStart w:id="19" w:name="_Hlk18820306"/>
      <w:bookmarkStart w:id="20" w:name="_Hlk18820305"/>
      <w:r>
        <w:rPr>
          <w:rFonts w:hint="eastAsia" w:ascii="仿宋" w:hAnsi="仿宋" w:eastAsia="仿宋" w:cs="仿宋"/>
          <w:color w:val="auto"/>
          <w:kern w:val="0"/>
          <w:sz w:val="24"/>
          <w:highlight w:val="none"/>
        </w:rPr>
        <w:t>11.1</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仿宋" w:hAnsi="仿宋" w:eastAsia="仿宋" w:cs="仿宋"/>
          <w:color w:val="auto"/>
          <w:kern w:val="0"/>
          <w:sz w:val="24"/>
          <w:highlight w:val="none"/>
        </w:rPr>
        <w:t>加密的电子响应文件应在响应文件递交截止时间前通过政采云平台上传完成。逾期上传或者未上传指定地点的响应文件，采购人不予受理。</w:t>
      </w:r>
    </w:p>
    <w:p w14:paraId="0D28CE78">
      <w:pPr>
        <w:widowControl/>
        <w:shd w:val="clear" w:color="auto" w:fill="FFFFFF"/>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sz w:val="24"/>
          <w:highlight w:val="none"/>
        </w:rPr>
        <w:t>供应商在</w:t>
      </w:r>
      <w:r>
        <w:rPr>
          <w:rFonts w:hint="eastAsia" w:ascii="仿宋" w:hAnsi="仿宋" w:eastAsia="仿宋" w:cs="仿宋"/>
          <w:color w:val="auto"/>
          <w:sz w:val="24"/>
          <w:highlight w:val="none"/>
          <w:u w:val="single"/>
          <w:lang w:val="en-US" w:eastAsia="zh-CN"/>
        </w:rPr>
        <w:t>供应商</w:t>
      </w:r>
      <w:r>
        <w:rPr>
          <w:rFonts w:hint="eastAsia" w:ascii="仿宋" w:hAnsi="仿宋" w:eastAsia="仿宋" w:cs="仿宋"/>
          <w:color w:val="auto"/>
          <w:sz w:val="24"/>
          <w:highlight w:val="none"/>
          <w:u w:val="single"/>
        </w:rPr>
        <w:t>须知前附表中</w:t>
      </w:r>
      <w:r>
        <w:rPr>
          <w:rFonts w:hint="eastAsia" w:ascii="仿宋" w:hAnsi="仿宋" w:eastAsia="仿宋" w:cs="仿宋"/>
          <w:color w:val="auto"/>
          <w:sz w:val="24"/>
          <w:highlight w:val="none"/>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48635E93">
      <w:pPr>
        <w:spacing w:line="440" w:lineRule="exact"/>
        <w:ind w:firstLine="482" w:firstLineChars="200"/>
        <w:jc w:val="center"/>
        <w:outlineLvl w:val="1"/>
        <w:rPr>
          <w:rFonts w:hint="eastAsia" w:ascii="仿宋" w:hAnsi="仿宋" w:eastAsia="仿宋" w:cs="仿宋"/>
          <w:b/>
          <w:color w:val="auto"/>
          <w:sz w:val="24"/>
          <w:highlight w:val="none"/>
          <w:lang w:eastAsia="zh-CN"/>
        </w:rPr>
      </w:pPr>
      <w:bookmarkStart w:id="21" w:name="_Toc3050"/>
      <w:r>
        <w:rPr>
          <w:rFonts w:hint="eastAsia" w:ascii="仿宋" w:hAnsi="仿宋" w:eastAsia="仿宋" w:cs="仿宋"/>
          <w:b/>
          <w:color w:val="auto"/>
          <w:sz w:val="24"/>
          <w:highlight w:val="none"/>
        </w:rPr>
        <w:t>五、</w:t>
      </w:r>
      <w:r>
        <w:rPr>
          <w:rFonts w:hint="eastAsia" w:ascii="仿宋" w:hAnsi="仿宋" w:eastAsia="仿宋" w:cs="仿宋"/>
          <w:b/>
          <w:color w:val="auto"/>
          <w:sz w:val="24"/>
          <w:highlight w:val="none"/>
          <w:lang w:eastAsia="zh-CN"/>
        </w:rPr>
        <w:t>协商程序</w:t>
      </w:r>
      <w:bookmarkEnd w:id="21"/>
    </w:p>
    <w:p w14:paraId="1845E7B8">
      <w:pPr>
        <w:pStyle w:val="19"/>
        <w:spacing w:line="440" w:lineRule="exact"/>
        <w:ind w:firstLine="482" w:firstLineChars="200"/>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 xml:space="preserve">12  </w:t>
      </w:r>
      <w:r>
        <w:rPr>
          <w:rFonts w:hint="eastAsia" w:ascii="仿宋" w:hAnsi="仿宋" w:eastAsia="仿宋" w:cs="仿宋"/>
          <w:b/>
          <w:color w:val="auto"/>
          <w:sz w:val="24"/>
          <w:szCs w:val="24"/>
          <w:highlight w:val="none"/>
          <w:lang w:val="en-US" w:eastAsia="zh-CN"/>
        </w:rPr>
        <w:t>协商</w:t>
      </w:r>
    </w:p>
    <w:p w14:paraId="0DD0AA5E">
      <w:pPr>
        <w:pStyle w:val="19"/>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highlight w:val="none"/>
        </w:rPr>
        <w:t>采购代理机构根据</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服务的特点依法组建</w:t>
      </w:r>
      <w:r>
        <w:rPr>
          <w:rFonts w:hint="eastAsia" w:ascii="仿宋" w:hAnsi="仿宋" w:eastAsia="仿宋" w:cs="仿宋"/>
          <w:color w:val="auto"/>
          <w:sz w:val="24"/>
          <w:highlight w:val="none"/>
          <w:lang w:eastAsia="zh-CN"/>
        </w:rPr>
        <w:t>协商小组</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由采购人代表和评审专家共3人以上单数组成，其中评审专家人数不得少于</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成员总数的2/3。</w:t>
      </w:r>
    </w:p>
    <w:p w14:paraId="3140FA0C">
      <w:pPr>
        <w:pStyle w:val="19"/>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12.2协商程序</w:t>
      </w:r>
    </w:p>
    <w:p w14:paraId="63D45170">
      <w:pPr>
        <w:pStyle w:val="19"/>
        <w:numPr>
          <w:ilvl w:val="0"/>
          <w:numId w:val="4"/>
        </w:num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p w14:paraId="5448776A">
      <w:pPr>
        <w:pStyle w:val="19"/>
        <w:numPr>
          <w:ilvl w:val="0"/>
          <w:numId w:val="4"/>
        </w:numPr>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完备性及符合性审查</w:t>
      </w:r>
    </w:p>
    <w:p w14:paraId="5F5B2EA3">
      <w:pPr>
        <w:pStyle w:val="19"/>
        <w:numPr>
          <w:ilvl w:val="0"/>
          <w:numId w:val="4"/>
        </w:num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第二轮报价</w:t>
      </w:r>
    </w:p>
    <w:p w14:paraId="4547CB70">
      <w:pPr>
        <w:pStyle w:val="19"/>
        <w:numPr>
          <w:ilvl w:val="0"/>
          <w:numId w:val="4"/>
        </w:numPr>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详细评审</w:t>
      </w:r>
    </w:p>
    <w:p w14:paraId="796BF591">
      <w:pPr>
        <w:pStyle w:val="19"/>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12.3</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过程中若发现供应商所提供资料为虚假资料，该供应商的响应文件按无效处理。</w:t>
      </w:r>
    </w:p>
    <w:p w14:paraId="3EC57236">
      <w:pPr>
        <w:spacing w:line="440" w:lineRule="exact"/>
        <w:ind w:firstLine="482" w:firstLineChars="200"/>
        <w:jc w:val="center"/>
        <w:outlineLvl w:val="1"/>
        <w:rPr>
          <w:rFonts w:hint="eastAsia" w:ascii="仿宋" w:hAnsi="仿宋" w:eastAsia="仿宋" w:cs="仿宋"/>
          <w:b/>
          <w:color w:val="auto"/>
          <w:sz w:val="24"/>
          <w:highlight w:val="none"/>
        </w:rPr>
      </w:pPr>
      <w:bookmarkStart w:id="22" w:name="_Toc3312"/>
      <w:r>
        <w:rPr>
          <w:rFonts w:hint="eastAsia" w:ascii="仿宋" w:hAnsi="仿宋" w:eastAsia="仿宋" w:cs="仿宋"/>
          <w:b/>
          <w:color w:val="auto"/>
          <w:sz w:val="24"/>
          <w:highlight w:val="none"/>
        </w:rPr>
        <w:t>六、成交与签订合同</w:t>
      </w:r>
      <w:bookmarkEnd w:id="22"/>
    </w:p>
    <w:p w14:paraId="3BAF5EF8">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成交准则</w:t>
      </w:r>
    </w:p>
    <w:p w14:paraId="092FE1E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13.1供应商的响应文件应符合</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eastAsia="zh-CN"/>
        </w:rPr>
        <w:t>协商小组</w:t>
      </w:r>
      <w:r>
        <w:rPr>
          <w:rFonts w:hint="eastAsia" w:ascii="仿宋" w:hAnsi="仿宋" w:eastAsia="仿宋" w:cs="仿宋"/>
          <w:color w:val="auto"/>
          <w:sz w:val="24"/>
          <w:highlight w:val="none"/>
        </w:rPr>
        <w:t>将依据报价、服务水平、业绩、信誉等进行综合分析，根据采购需求和供应商进行</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，基础上确定最终合同价。</w:t>
      </w:r>
    </w:p>
    <w:p w14:paraId="289491F1">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成交通知</w:t>
      </w:r>
    </w:p>
    <w:p w14:paraId="601B88D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结束后，</w:t>
      </w:r>
      <w:r>
        <w:rPr>
          <w:rFonts w:hint="eastAsia" w:ascii="仿宋" w:hAnsi="仿宋" w:eastAsia="仿宋" w:cs="仿宋"/>
          <w:color w:val="auto"/>
          <w:sz w:val="24"/>
          <w:highlight w:val="none"/>
          <w:lang w:val="en-US" w:eastAsia="zh-CN"/>
        </w:rPr>
        <w:t>协商</w:t>
      </w:r>
      <w:r>
        <w:rPr>
          <w:rFonts w:hint="eastAsia" w:ascii="仿宋" w:hAnsi="仿宋" w:eastAsia="仿宋" w:cs="仿宋"/>
          <w:color w:val="auto"/>
          <w:sz w:val="24"/>
          <w:highlight w:val="none"/>
        </w:rPr>
        <w:t>结果经采购人确认后，采购代理机构方对成交结果进行公示，</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向成交供应商发出成交通知书。成交通知书对采购人和成交供应商具有同等法律效力。成交通知书发出后，采购人改变成交结果，或者成交供应商放弃成交，应按相关法律、规章、规范性文件的要求承担相应的法律责任。</w:t>
      </w:r>
    </w:p>
    <w:p w14:paraId="49FC84A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《成交通知书》将作为签订合同的依据。《合同》签订后，《成交通知书》成为《合同》的一部分。</w:t>
      </w:r>
    </w:p>
    <w:p w14:paraId="5B7CF29A">
      <w:pPr>
        <w:pStyle w:val="51"/>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bCs/>
          <w:color w:val="auto"/>
          <w:highlight w:val="none"/>
        </w:rPr>
        <w:t>15</w:t>
      </w:r>
      <w:r>
        <w:rPr>
          <w:rFonts w:hint="eastAsia" w:ascii="仿宋" w:hAnsi="仿宋" w:eastAsia="仿宋" w:cs="仿宋"/>
          <w:b/>
          <w:color w:val="auto"/>
          <w:highlight w:val="none"/>
        </w:rPr>
        <w:t xml:space="preserve"> 签订合同</w:t>
      </w:r>
    </w:p>
    <w:p w14:paraId="33CB7B2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15.1采购人、成交供应商在《成交通知书》发出之日起</w:t>
      </w:r>
      <w:r>
        <w:rPr>
          <w:rFonts w:hint="eastAsia" w:ascii="仿宋" w:hAnsi="仿宋" w:eastAsia="仿宋" w:cs="仿宋"/>
          <w:color w:val="auto"/>
          <w:kern w:val="0"/>
          <w:sz w:val="24"/>
          <w:highlight w:val="none"/>
        </w:rPr>
        <w:t>30日</w:t>
      </w:r>
      <w:r>
        <w:rPr>
          <w:rFonts w:hint="eastAsia" w:ascii="仿宋" w:hAnsi="仿宋" w:eastAsia="仿宋" w:cs="仿宋"/>
          <w:color w:val="auto"/>
          <w:sz w:val="24"/>
          <w:highlight w:val="none"/>
        </w:rPr>
        <w:t>内，根据</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确定的事项和成交供应商响应文件签订合同。双方所签订的合同不得对</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和成交供应商响应文件作实质性修改。逾期未签订合同，按照有关法律规定承担相应的法律责任；采购人逾期不与成交供应商签订合同的，按采购的有关规定处理。</w:t>
      </w:r>
    </w:p>
    <w:p w14:paraId="22DE8C8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的修改文件、成交供应商的响应文件、补充或修改的文件及澄清或承诺文件等，均为双方签订《合同》的组成部分，并与《合同》一并作为本</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sz w:val="24"/>
          <w:highlight w:val="none"/>
        </w:rPr>
        <w:t>所列采购项目的互补性法律文件，与《合同》具有同等法律效力。</w:t>
      </w:r>
    </w:p>
    <w:p w14:paraId="3B067E2E">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78B07B79">
      <w:pPr>
        <w:spacing w:line="440" w:lineRule="exact"/>
        <w:jc w:val="center"/>
        <w:outlineLvl w:val="0"/>
        <w:rPr>
          <w:rFonts w:hint="eastAsia" w:ascii="仿宋" w:hAnsi="仿宋" w:eastAsia="仿宋" w:cs="仿宋"/>
          <w:b/>
          <w:color w:val="auto"/>
          <w:sz w:val="24"/>
          <w:highlight w:val="none"/>
        </w:rPr>
      </w:pPr>
      <w:bookmarkStart w:id="23" w:name="_Toc31011"/>
      <w:bookmarkStart w:id="24" w:name="_Toc25473"/>
      <w:r>
        <w:rPr>
          <w:rFonts w:hint="eastAsia" w:ascii="仿宋" w:hAnsi="仿宋" w:eastAsia="仿宋" w:cs="仿宋"/>
          <w:b/>
          <w:color w:val="auto"/>
          <w:sz w:val="24"/>
          <w:highlight w:val="none"/>
        </w:rPr>
        <w:t>第二章 评审办法</w:t>
      </w:r>
      <w:bookmarkEnd w:id="23"/>
      <w:bookmarkEnd w:id="24"/>
    </w:p>
    <w:p w14:paraId="1E957407">
      <w:pPr>
        <w:widowControl/>
        <w:shd w:val="clear" w:color="auto" w:fill="FFFFFF"/>
        <w:snapToGrid w:val="0"/>
        <w:spacing w:line="360" w:lineRule="auto"/>
        <w:ind w:firstLine="482" w:firstLineChars="200"/>
        <w:rPr>
          <w:rFonts w:hint="eastAsia" w:ascii="仿宋" w:hAnsi="仿宋" w:eastAsia="仿宋" w:cs="仿宋"/>
          <w:b/>
          <w:color w:val="auto"/>
          <w:kern w:val="0"/>
          <w:sz w:val="24"/>
          <w:highlight w:val="none"/>
        </w:rPr>
      </w:pPr>
      <w:bookmarkStart w:id="25" w:name="_BookMark_1"/>
      <w:bookmarkEnd w:id="25"/>
      <w:bookmarkStart w:id="26" w:name="_Toc2236"/>
    </w:p>
    <w:p w14:paraId="3B19C13E">
      <w:pPr>
        <w:widowControl/>
        <w:shd w:val="clear" w:color="auto" w:fill="FFFFFF"/>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1.《资格审查标准》</w:t>
      </w:r>
    </w:p>
    <w:tbl>
      <w:tblPr>
        <w:tblStyle w:val="31"/>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1"/>
        <w:gridCol w:w="3716"/>
        <w:gridCol w:w="4950"/>
      </w:tblGrid>
      <w:tr w14:paraId="40C1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41" w:type="dxa"/>
            <w:vAlign w:val="center"/>
          </w:tcPr>
          <w:p w14:paraId="55D52E29">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序号</w:t>
            </w:r>
          </w:p>
        </w:tc>
        <w:tc>
          <w:tcPr>
            <w:tcW w:w="3716" w:type="dxa"/>
            <w:vAlign w:val="center"/>
          </w:tcPr>
          <w:p w14:paraId="295147DD">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审查要求</w:t>
            </w:r>
          </w:p>
        </w:tc>
        <w:tc>
          <w:tcPr>
            <w:tcW w:w="4950" w:type="dxa"/>
            <w:vAlign w:val="center"/>
          </w:tcPr>
          <w:p w14:paraId="43375A27">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要求说明</w:t>
            </w:r>
          </w:p>
        </w:tc>
      </w:tr>
      <w:tr w14:paraId="45B1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41" w:type="dxa"/>
            <w:vAlign w:val="center"/>
          </w:tcPr>
          <w:p w14:paraId="2599914B">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3716" w:type="dxa"/>
            <w:vAlign w:val="center"/>
          </w:tcPr>
          <w:p w14:paraId="472BE192">
            <w:pPr>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满足《中华人民共和国政府采购法》第二十二条规定。</w:t>
            </w:r>
          </w:p>
        </w:tc>
        <w:tc>
          <w:tcPr>
            <w:tcW w:w="4950" w:type="dxa"/>
            <w:vAlign w:val="center"/>
          </w:tcPr>
          <w:p w14:paraId="5F713ABA">
            <w:pPr>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提供下列材料</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详见单一来源协商文件第五章响应文件格式中“七、供应商资格条件证明材料”要求</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highlight w:val="none"/>
              </w:rPr>
              <w:t>：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69C3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41" w:type="dxa"/>
            <w:vAlign w:val="center"/>
          </w:tcPr>
          <w:p w14:paraId="2A007838">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3716" w:type="dxa"/>
            <w:vAlign w:val="center"/>
          </w:tcPr>
          <w:p w14:paraId="50654272">
            <w:pPr>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w:t>
            </w:r>
            <w:r>
              <w:rPr>
                <w:rFonts w:hint="eastAsia" w:ascii="仿宋" w:hAnsi="仿宋" w:eastAsia="仿宋" w:cs="仿宋"/>
                <w:color w:val="auto"/>
                <w:kern w:val="0"/>
                <w:highlight w:val="none"/>
                <w:lang w:val="en-US" w:eastAsia="zh-CN"/>
              </w:rPr>
              <w:t>协商</w:t>
            </w:r>
            <w:r>
              <w:rPr>
                <w:rFonts w:hint="eastAsia" w:ascii="仿宋" w:hAnsi="仿宋" w:eastAsia="仿宋" w:cs="仿宋"/>
                <w:color w:val="auto"/>
                <w:kern w:val="0"/>
                <w:highlight w:val="none"/>
              </w:rPr>
              <w:t>活动。</w:t>
            </w:r>
          </w:p>
        </w:tc>
        <w:tc>
          <w:tcPr>
            <w:tcW w:w="4950" w:type="dxa"/>
            <w:vAlign w:val="center"/>
          </w:tcPr>
          <w:p w14:paraId="75AA34F4">
            <w:pPr>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以采购人或者采购代理机构查询记录为准。</w:t>
            </w:r>
          </w:p>
        </w:tc>
      </w:tr>
      <w:tr w14:paraId="62F3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441" w:type="dxa"/>
            <w:vAlign w:val="center"/>
          </w:tcPr>
          <w:p w14:paraId="6C81DAA9">
            <w:pPr>
              <w:widowControl/>
              <w:shd w:val="clear" w:color="auto" w:fill="FFFFFF"/>
              <w:snapToGrid w:val="0"/>
              <w:spacing w:line="360" w:lineRule="auto"/>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3</w:t>
            </w:r>
          </w:p>
        </w:tc>
        <w:tc>
          <w:tcPr>
            <w:tcW w:w="3716" w:type="dxa"/>
            <w:vAlign w:val="center"/>
          </w:tcPr>
          <w:p w14:paraId="12ED511D">
            <w:pPr>
              <w:spacing w:line="360" w:lineRule="auto"/>
              <w:jc w:val="lef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shd w:val="clear"/>
                <w:lang w:val="en-US" w:eastAsia="zh-CN" w:bidi="ar-SA"/>
              </w:rPr>
              <w:t>供应商所投产品属于第二类医疗器械的，需提供供应商有效的行政主管部门颁发的医疗器械经营备案凭证（或医疗器械生产许可证或医疗器械经营许可证或其他医疗器械生产经营许可证明文件）；所投产品属于第三类医疗器械的，需提供供应商有效的行政主管部门颁发的医疗器械生产许可证（或医疗器械经营许可证或其他医疗器械生产经营许可证明文件）。</w:t>
            </w:r>
          </w:p>
        </w:tc>
        <w:tc>
          <w:tcPr>
            <w:tcW w:w="4950" w:type="dxa"/>
            <w:vAlign w:val="center"/>
          </w:tcPr>
          <w:p w14:paraId="69545019">
            <w:pPr>
              <w:spacing w:line="360" w:lineRule="auto"/>
              <w:jc w:val="left"/>
              <w:rPr>
                <w:rFonts w:hint="eastAsia"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 w:val="21"/>
                <w:szCs w:val="21"/>
                <w:highlight w:val="none"/>
                <w:shd w:val="clear"/>
                <w:lang w:val="en-US" w:eastAsia="zh-CN" w:bidi="ar-SA"/>
              </w:rPr>
              <w:t>所投产品属于第二类医疗器械的，需提供供应商有效的行政主管部门颁发的医疗器械经营备案凭证（或医疗器械生产许可证或医疗器械经营许可证或其他医疗器械生产经营许可证明文件）；所投产品属于第三类医疗器械的，需提供供应商有效的行政主管部门颁发的医疗器械生产许可证（或医疗器械经营许可证或其他医疗器械生产经营许可证明文件）。</w:t>
            </w:r>
          </w:p>
        </w:tc>
      </w:tr>
      <w:tr w14:paraId="48EC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107" w:type="dxa"/>
            <w:gridSpan w:val="3"/>
            <w:vAlign w:val="center"/>
          </w:tcPr>
          <w:p w14:paraId="4314063E">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w w:val="95"/>
                <w:kern w:val="0"/>
                <w:sz w:val="21"/>
                <w:highlight w:val="none"/>
              </w:rPr>
              <w:t>备注： 如果资格评审中有一项不满足审查标准的，采购人将认定该供应商不通过资格审查，</w:t>
            </w:r>
            <w:r>
              <w:rPr>
                <w:rFonts w:hint="eastAsia" w:ascii="仿宋" w:hAnsi="仿宋" w:eastAsia="仿宋" w:cs="仿宋"/>
                <w:color w:val="auto"/>
                <w:w w:val="95"/>
                <w:kern w:val="0"/>
                <w:sz w:val="21"/>
                <w:highlight w:val="none"/>
                <w:lang w:eastAsia="zh-CN"/>
              </w:rPr>
              <w:t>响应文件</w:t>
            </w:r>
            <w:r>
              <w:rPr>
                <w:rFonts w:hint="eastAsia" w:ascii="仿宋" w:hAnsi="仿宋" w:eastAsia="仿宋" w:cs="仿宋"/>
                <w:color w:val="auto"/>
                <w:w w:val="95"/>
                <w:kern w:val="0"/>
                <w:sz w:val="21"/>
                <w:highlight w:val="none"/>
              </w:rPr>
              <w:t>将被拒绝评审。并且不允许供应商通过修改或撤销其不符合要求的差异或保留，使之成为具有响应性的投标。</w:t>
            </w:r>
          </w:p>
        </w:tc>
      </w:tr>
    </w:tbl>
    <w:p w14:paraId="394C8FAE">
      <w:pPr>
        <w:widowControl/>
        <w:shd w:val="clear" w:color="auto" w:fill="FFFFFF"/>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2.《完备性及符合性审查标准》</w:t>
      </w:r>
    </w:p>
    <w:tbl>
      <w:tblPr>
        <w:tblStyle w:val="31"/>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7186"/>
        <w:gridCol w:w="1320"/>
      </w:tblGrid>
      <w:tr w14:paraId="6122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1604843F">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序号</w:t>
            </w:r>
          </w:p>
        </w:tc>
        <w:tc>
          <w:tcPr>
            <w:tcW w:w="7186" w:type="dxa"/>
            <w:vAlign w:val="center"/>
          </w:tcPr>
          <w:p w14:paraId="2B704966">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审查要求</w:t>
            </w:r>
          </w:p>
        </w:tc>
        <w:tc>
          <w:tcPr>
            <w:tcW w:w="1320" w:type="dxa"/>
            <w:vAlign w:val="center"/>
          </w:tcPr>
          <w:p w14:paraId="258B48BC">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要求说明</w:t>
            </w:r>
          </w:p>
        </w:tc>
      </w:tr>
      <w:tr w14:paraId="3E44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3D5B34E0">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1</w:t>
            </w:r>
          </w:p>
        </w:tc>
        <w:tc>
          <w:tcPr>
            <w:tcW w:w="7186" w:type="dxa"/>
            <w:vAlign w:val="center"/>
          </w:tcPr>
          <w:p w14:paraId="062EDABE">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响应文件必须按照</w:t>
            </w:r>
            <w:r>
              <w:rPr>
                <w:rFonts w:hint="eastAsia" w:ascii="仿宋" w:hAnsi="仿宋" w:eastAsia="仿宋" w:cs="仿宋"/>
                <w:color w:val="auto"/>
                <w:kern w:val="0"/>
                <w:highlight w:val="none"/>
                <w:lang w:eastAsia="zh-CN"/>
              </w:rPr>
              <w:t>单一来源协商文件</w:t>
            </w:r>
            <w:r>
              <w:rPr>
                <w:rFonts w:hint="eastAsia" w:ascii="仿宋" w:hAnsi="仿宋" w:eastAsia="仿宋" w:cs="仿宋"/>
                <w:color w:val="auto"/>
                <w:kern w:val="0"/>
                <w:highlight w:val="none"/>
              </w:rPr>
              <w:t>规定要求加盖供应商电子印章、法定代表人电子印章。</w:t>
            </w:r>
          </w:p>
        </w:tc>
        <w:tc>
          <w:tcPr>
            <w:tcW w:w="1320" w:type="dxa"/>
            <w:vAlign w:val="center"/>
          </w:tcPr>
          <w:p w14:paraId="5F398AF8">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r>
      <w:tr w14:paraId="1CBA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27DD9F73">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2</w:t>
            </w:r>
          </w:p>
        </w:tc>
        <w:tc>
          <w:tcPr>
            <w:tcW w:w="7186" w:type="dxa"/>
            <w:vAlign w:val="center"/>
          </w:tcPr>
          <w:p w14:paraId="7EC14F84">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eastAsia="zh-CN"/>
              </w:rPr>
              <w:t>协商价格明细表</w:t>
            </w:r>
            <w:r>
              <w:rPr>
                <w:rFonts w:hint="eastAsia" w:ascii="仿宋" w:hAnsi="仿宋" w:eastAsia="仿宋" w:cs="仿宋"/>
                <w:color w:val="auto"/>
                <w:kern w:val="0"/>
                <w:highlight w:val="none"/>
              </w:rPr>
              <w:t>必须完整填写。</w:t>
            </w:r>
          </w:p>
        </w:tc>
        <w:tc>
          <w:tcPr>
            <w:tcW w:w="1320" w:type="dxa"/>
            <w:vAlign w:val="center"/>
          </w:tcPr>
          <w:p w14:paraId="550C9569">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r>
      <w:tr w14:paraId="5298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621" w:type="dxa"/>
            <w:vAlign w:val="center"/>
          </w:tcPr>
          <w:p w14:paraId="18BBC330">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3</w:t>
            </w:r>
          </w:p>
        </w:tc>
        <w:tc>
          <w:tcPr>
            <w:tcW w:w="7186" w:type="dxa"/>
            <w:vAlign w:val="center"/>
          </w:tcPr>
          <w:p w14:paraId="2F6B7355">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eastAsia="zh-CN"/>
              </w:rPr>
              <w:t>协商价格</w:t>
            </w:r>
            <w:r>
              <w:rPr>
                <w:rFonts w:hint="eastAsia" w:ascii="仿宋" w:hAnsi="仿宋" w:eastAsia="仿宋" w:cs="仿宋"/>
                <w:color w:val="auto"/>
                <w:kern w:val="0"/>
                <w:highlight w:val="none"/>
              </w:rPr>
              <w:t>不得超过供应商须知前附表中的采购预算金额。</w:t>
            </w:r>
          </w:p>
        </w:tc>
        <w:tc>
          <w:tcPr>
            <w:tcW w:w="1320" w:type="dxa"/>
            <w:vAlign w:val="center"/>
          </w:tcPr>
          <w:p w14:paraId="6BE8C5EB">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r>
      <w:tr w14:paraId="1D71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4AA127B2">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4</w:t>
            </w:r>
          </w:p>
        </w:tc>
        <w:tc>
          <w:tcPr>
            <w:tcW w:w="7186" w:type="dxa"/>
            <w:vAlign w:val="center"/>
          </w:tcPr>
          <w:p w14:paraId="4F100B12">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lang w:eastAsia="zh-CN"/>
              </w:rPr>
              <w:t>供货周期</w:t>
            </w:r>
            <w:r>
              <w:rPr>
                <w:rFonts w:hint="eastAsia" w:ascii="仿宋" w:hAnsi="仿宋" w:eastAsia="仿宋" w:cs="仿宋"/>
                <w:color w:val="auto"/>
                <w:kern w:val="0"/>
                <w:highlight w:val="none"/>
                <w:lang w:val="en-US" w:eastAsia="zh-CN"/>
              </w:rPr>
              <w:t>和质保期</w:t>
            </w:r>
            <w:r>
              <w:rPr>
                <w:rFonts w:hint="eastAsia" w:ascii="仿宋" w:hAnsi="仿宋" w:eastAsia="仿宋" w:cs="仿宋"/>
                <w:color w:val="auto"/>
                <w:kern w:val="0"/>
                <w:highlight w:val="none"/>
              </w:rPr>
              <w:t>必须满足</w:t>
            </w:r>
            <w:r>
              <w:rPr>
                <w:rFonts w:hint="eastAsia" w:ascii="仿宋" w:hAnsi="仿宋" w:eastAsia="仿宋" w:cs="仿宋"/>
                <w:color w:val="auto"/>
                <w:kern w:val="0"/>
                <w:highlight w:val="none"/>
                <w:lang w:eastAsia="zh-CN"/>
              </w:rPr>
              <w:t>单一来源协商文件</w:t>
            </w:r>
            <w:r>
              <w:rPr>
                <w:rFonts w:hint="eastAsia" w:ascii="仿宋" w:hAnsi="仿宋" w:eastAsia="仿宋" w:cs="仿宋"/>
                <w:color w:val="auto"/>
                <w:kern w:val="0"/>
                <w:highlight w:val="none"/>
              </w:rPr>
              <w:t>要求。</w:t>
            </w:r>
          </w:p>
        </w:tc>
        <w:tc>
          <w:tcPr>
            <w:tcW w:w="1320" w:type="dxa"/>
            <w:tcMar>
              <w:top w:w="0" w:type="dxa"/>
              <w:left w:w="28" w:type="dxa"/>
              <w:bottom w:w="0" w:type="dxa"/>
              <w:right w:w="28" w:type="dxa"/>
            </w:tcMar>
            <w:vAlign w:val="center"/>
          </w:tcPr>
          <w:p w14:paraId="64545992">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r>
      <w:tr w14:paraId="1FE8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21" w:type="dxa"/>
            <w:tcMar>
              <w:top w:w="0" w:type="dxa"/>
              <w:left w:w="28" w:type="dxa"/>
              <w:bottom w:w="0" w:type="dxa"/>
              <w:right w:w="28" w:type="dxa"/>
            </w:tcMar>
            <w:vAlign w:val="center"/>
          </w:tcPr>
          <w:p w14:paraId="1CB3C522">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5</w:t>
            </w:r>
          </w:p>
        </w:tc>
        <w:tc>
          <w:tcPr>
            <w:tcW w:w="7186" w:type="dxa"/>
            <w:vAlign w:val="center"/>
          </w:tcPr>
          <w:p w14:paraId="14CBF1D9">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响应文件符合</w:t>
            </w:r>
            <w:r>
              <w:rPr>
                <w:rFonts w:hint="eastAsia" w:ascii="仿宋" w:hAnsi="仿宋" w:eastAsia="仿宋" w:cs="仿宋"/>
                <w:color w:val="auto"/>
                <w:kern w:val="0"/>
                <w:highlight w:val="none"/>
                <w:lang w:eastAsia="zh-CN"/>
              </w:rPr>
              <w:t>单一来源协商文件</w:t>
            </w:r>
            <w:r>
              <w:rPr>
                <w:rFonts w:hint="eastAsia" w:ascii="仿宋" w:hAnsi="仿宋" w:eastAsia="仿宋" w:cs="仿宋"/>
                <w:color w:val="auto"/>
                <w:kern w:val="0"/>
                <w:highlight w:val="none"/>
              </w:rPr>
              <w:t>全部实质性要求。</w:t>
            </w:r>
          </w:p>
        </w:tc>
        <w:tc>
          <w:tcPr>
            <w:tcW w:w="1320" w:type="dxa"/>
            <w:tcMar>
              <w:top w:w="0" w:type="dxa"/>
              <w:left w:w="28" w:type="dxa"/>
              <w:bottom w:w="0" w:type="dxa"/>
              <w:right w:w="28" w:type="dxa"/>
            </w:tcMar>
            <w:vAlign w:val="center"/>
          </w:tcPr>
          <w:p w14:paraId="1A0ED578">
            <w:pPr>
              <w:widowControl/>
              <w:shd w:val="clear" w:color="auto" w:fill="FFFFFF"/>
              <w:snapToGrid w:val="0"/>
              <w:spacing w:line="360" w:lineRule="auto"/>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p>
        </w:tc>
      </w:tr>
      <w:tr w14:paraId="7921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127" w:type="dxa"/>
            <w:gridSpan w:val="3"/>
            <w:vAlign w:val="center"/>
          </w:tcPr>
          <w:p w14:paraId="0A6B55FE">
            <w:pPr>
              <w:widowControl/>
              <w:shd w:val="clear" w:color="auto" w:fill="FFFFFF"/>
              <w:snapToGrid w:val="0"/>
              <w:spacing w:line="360" w:lineRule="auto"/>
              <w:jc w:val="left"/>
              <w:rPr>
                <w:rFonts w:hint="eastAsia" w:ascii="仿宋" w:hAnsi="仿宋" w:eastAsia="仿宋" w:cs="仿宋"/>
                <w:color w:val="auto"/>
                <w:kern w:val="0"/>
                <w:highlight w:val="none"/>
              </w:rPr>
            </w:pPr>
            <w:r>
              <w:rPr>
                <w:rFonts w:hint="eastAsia" w:ascii="仿宋" w:hAnsi="仿宋" w:eastAsia="仿宋" w:cs="仿宋"/>
                <w:color w:val="auto"/>
                <w:kern w:val="0"/>
                <w:highlight w:val="none"/>
              </w:rPr>
              <w:t>备注：完备性及符合性审查中有一项不满足评审标准的，</w:t>
            </w:r>
            <w:r>
              <w:rPr>
                <w:rFonts w:hint="eastAsia" w:ascii="仿宋" w:hAnsi="仿宋" w:eastAsia="仿宋" w:cs="仿宋"/>
                <w:color w:val="auto"/>
                <w:kern w:val="0"/>
                <w:highlight w:val="none"/>
                <w:lang w:eastAsia="zh-CN"/>
              </w:rPr>
              <w:t>协商小组</w:t>
            </w:r>
            <w:r>
              <w:rPr>
                <w:rFonts w:hint="eastAsia" w:ascii="仿宋" w:hAnsi="仿宋" w:eastAsia="仿宋" w:cs="仿宋"/>
                <w:color w:val="auto"/>
                <w:kern w:val="0"/>
                <w:highlight w:val="none"/>
              </w:rPr>
              <w:t>将认定该供应商不通过完备性及符合性审查，不得进入下一阶段评审。并且不允许供应商通过修改或撤销其不符合要求的差异或保留，使之成为具有响应性的投标。</w:t>
            </w:r>
          </w:p>
        </w:tc>
      </w:tr>
    </w:tbl>
    <w:p w14:paraId="6D5AF959">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p>
    <w:p w14:paraId="796DEAAE">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3.第二轮报价</w:t>
      </w:r>
    </w:p>
    <w:p w14:paraId="43E332F4">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3.1、由供应商对本企业情况及本次响应情况进行简要介绍，</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与其进行</w:t>
      </w:r>
      <w:r>
        <w:rPr>
          <w:rFonts w:hint="eastAsia" w:ascii="仿宋" w:hAnsi="仿宋" w:eastAsia="仿宋" w:cs="仿宋"/>
          <w:color w:val="auto"/>
          <w:kern w:val="0"/>
          <w:sz w:val="24"/>
          <w:highlight w:val="none"/>
          <w:lang w:val="en-US" w:eastAsia="zh-CN"/>
        </w:rPr>
        <w:t>协商</w:t>
      </w:r>
      <w:r>
        <w:rPr>
          <w:rFonts w:hint="eastAsia" w:ascii="仿宋" w:hAnsi="仿宋" w:eastAsia="仿宋" w:cs="仿宋"/>
          <w:color w:val="auto"/>
          <w:kern w:val="0"/>
          <w:sz w:val="24"/>
          <w:highlight w:val="none"/>
        </w:rPr>
        <w:t>，对响应文件中的漏项、错误等问题进行统一补充和修正并告知供应商，在此基础上进行第二轮报价。</w:t>
      </w:r>
    </w:p>
    <w:p w14:paraId="1646A6B3">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3.2、供应商进行各第二轮报价，作为最终</w:t>
      </w:r>
      <w:r>
        <w:rPr>
          <w:rFonts w:hint="eastAsia" w:ascii="仿宋" w:hAnsi="仿宋" w:eastAsia="仿宋" w:cs="仿宋"/>
          <w:color w:val="auto"/>
          <w:kern w:val="0"/>
          <w:sz w:val="24"/>
          <w:highlight w:val="none"/>
          <w:lang w:val="en-US" w:eastAsia="zh-CN"/>
        </w:rPr>
        <w:t>协商</w:t>
      </w:r>
      <w:r>
        <w:rPr>
          <w:rFonts w:hint="eastAsia" w:ascii="仿宋" w:hAnsi="仿宋" w:eastAsia="仿宋" w:cs="仿宋"/>
          <w:color w:val="auto"/>
          <w:kern w:val="0"/>
          <w:sz w:val="24"/>
          <w:highlight w:val="none"/>
        </w:rPr>
        <w:t>报价的依据。</w:t>
      </w:r>
    </w:p>
    <w:p w14:paraId="0DC353D4">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p>
    <w:p w14:paraId="72D74870">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4.详细评审</w:t>
      </w:r>
    </w:p>
    <w:p w14:paraId="3D6855F2">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 澄清、说明和补正</w:t>
      </w:r>
    </w:p>
    <w:p w14:paraId="1FD32EBC">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在不改变供应商响应文件实质性内容的前提下，</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应当对响应文件进行基础性数据分析和整理，从而发现并提取其中可能存在的对采购范围理解的偏差、技术响应偏离、</w:t>
      </w:r>
      <w:r>
        <w:rPr>
          <w:rFonts w:hint="eastAsia" w:ascii="仿宋" w:hAnsi="仿宋" w:eastAsia="仿宋" w:cs="仿宋"/>
          <w:color w:val="auto"/>
          <w:kern w:val="0"/>
          <w:sz w:val="24"/>
          <w:highlight w:val="none"/>
          <w:lang w:eastAsia="zh-CN"/>
        </w:rPr>
        <w:t>协商价格</w:t>
      </w:r>
      <w:r>
        <w:rPr>
          <w:rFonts w:hint="eastAsia" w:ascii="仿宋" w:hAnsi="仿宋" w:eastAsia="仿宋" w:cs="仿宋"/>
          <w:color w:val="auto"/>
          <w:kern w:val="0"/>
          <w:sz w:val="24"/>
          <w:highlight w:val="none"/>
        </w:rPr>
        <w:t>的算术性错误、错漏项、</w:t>
      </w:r>
      <w:r>
        <w:rPr>
          <w:rFonts w:hint="eastAsia" w:ascii="仿宋" w:hAnsi="仿宋" w:eastAsia="仿宋" w:cs="仿宋"/>
          <w:color w:val="auto"/>
          <w:kern w:val="0"/>
          <w:sz w:val="24"/>
          <w:highlight w:val="none"/>
          <w:lang w:eastAsia="zh-CN"/>
        </w:rPr>
        <w:t>协商价格</w:t>
      </w:r>
      <w:r>
        <w:rPr>
          <w:rFonts w:hint="eastAsia" w:ascii="仿宋" w:hAnsi="仿宋" w:eastAsia="仿宋" w:cs="仿宋"/>
          <w:color w:val="auto"/>
          <w:kern w:val="0"/>
          <w:sz w:val="24"/>
          <w:highlight w:val="none"/>
        </w:rPr>
        <w:t>构成不合理、不平衡报价等存在明显异常的问题。</w:t>
      </w:r>
    </w:p>
    <w:p w14:paraId="50D6023E">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针对需要供应商对所提交响应文件中不明确的内容进行书面澄清、说明或补正。澄清通知不得向供应商提出带有暗示性或诱导性问题。供应商接到</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发出的书面澄清通知后，应按</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的要求提供澄清资料，并在规定的时间递交到指定地点。</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不接受供应商主动提出的澄清、说明或补正。</w:t>
      </w:r>
    </w:p>
    <w:p w14:paraId="5A061D33">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对供应商提交的澄清、说明或补正有疑问的，可以要求供应商进一步澄清、说明或补正，直至满足</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的要求。</w:t>
      </w:r>
    </w:p>
    <w:p w14:paraId="4B282E7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4.1.4</w:t>
      </w:r>
      <w:r>
        <w:rPr>
          <w:rFonts w:hint="eastAsia" w:ascii="仿宋" w:hAnsi="仿宋" w:eastAsia="仿宋" w:cs="仿宋"/>
          <w:color w:val="auto"/>
          <w:kern w:val="0"/>
          <w:sz w:val="24"/>
          <w:szCs w:val="24"/>
          <w:highlight w:val="none"/>
        </w:rPr>
        <w:t xml:space="preserve"> 算术错误修正：</w:t>
      </w:r>
      <w:r>
        <w:rPr>
          <w:rFonts w:hint="eastAsia" w:ascii="仿宋" w:hAnsi="仿宋" w:eastAsia="仿宋" w:cs="仿宋"/>
          <w:color w:val="auto"/>
          <w:kern w:val="0"/>
          <w:sz w:val="24"/>
          <w:szCs w:val="24"/>
          <w:highlight w:val="none"/>
          <w:lang w:eastAsia="zh-CN"/>
        </w:rPr>
        <w:t>协商价格</w:t>
      </w:r>
      <w:r>
        <w:rPr>
          <w:rFonts w:hint="eastAsia" w:ascii="仿宋" w:hAnsi="仿宋" w:eastAsia="仿宋" w:cs="仿宋"/>
          <w:color w:val="auto"/>
          <w:kern w:val="0"/>
          <w:sz w:val="24"/>
          <w:szCs w:val="24"/>
          <w:highlight w:val="none"/>
        </w:rPr>
        <w:t>有算术错误或前后不一致的，</w:t>
      </w:r>
      <w:r>
        <w:rPr>
          <w:rFonts w:hint="eastAsia" w:ascii="仿宋" w:hAnsi="仿宋" w:eastAsia="仿宋" w:cs="仿宋"/>
          <w:color w:val="auto"/>
          <w:kern w:val="0"/>
          <w:sz w:val="24"/>
          <w:szCs w:val="24"/>
          <w:highlight w:val="none"/>
          <w:lang w:eastAsia="zh-CN"/>
        </w:rPr>
        <w:t>协商小组</w:t>
      </w:r>
      <w:r>
        <w:rPr>
          <w:rFonts w:hint="eastAsia" w:ascii="仿宋" w:hAnsi="仿宋" w:eastAsia="仿宋" w:cs="仿宋"/>
          <w:color w:val="auto"/>
          <w:kern w:val="0"/>
          <w:sz w:val="24"/>
          <w:szCs w:val="24"/>
          <w:highlight w:val="none"/>
        </w:rPr>
        <w:t>按以下原则对</w:t>
      </w:r>
      <w:r>
        <w:rPr>
          <w:rFonts w:hint="eastAsia" w:ascii="仿宋" w:hAnsi="仿宋" w:eastAsia="仿宋" w:cs="仿宋"/>
          <w:color w:val="auto"/>
          <w:kern w:val="0"/>
          <w:sz w:val="24"/>
          <w:szCs w:val="24"/>
          <w:highlight w:val="none"/>
          <w:lang w:eastAsia="zh-CN"/>
        </w:rPr>
        <w:t>协商价格</w:t>
      </w:r>
      <w:r>
        <w:rPr>
          <w:rFonts w:hint="eastAsia" w:ascii="仿宋" w:hAnsi="仿宋" w:eastAsia="仿宋" w:cs="仿宋"/>
          <w:color w:val="auto"/>
          <w:kern w:val="0"/>
          <w:sz w:val="24"/>
          <w:szCs w:val="24"/>
          <w:highlight w:val="none"/>
        </w:rPr>
        <w:t>进行修正：</w:t>
      </w:r>
    </w:p>
    <w:p w14:paraId="3E4ABC60">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电子交易平台中报价与</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相应内容不一致的，以</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为准；</w:t>
      </w:r>
    </w:p>
    <w:p w14:paraId="0E654EC2">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中相应内容不一致的，以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为准；</w:t>
      </w:r>
    </w:p>
    <w:p w14:paraId="3C78C8E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400E89B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）单价金额小数点或者百分比有明显错位的，以</w:t>
      </w:r>
      <w:r>
        <w:rPr>
          <w:rFonts w:hint="eastAsia" w:ascii="仿宋" w:hAnsi="仿宋" w:eastAsia="仿宋" w:cs="仿宋"/>
          <w:color w:val="auto"/>
          <w:kern w:val="0"/>
          <w:sz w:val="24"/>
          <w:szCs w:val="24"/>
          <w:highlight w:val="none"/>
          <w:lang w:eastAsia="zh-CN"/>
        </w:rPr>
        <w:t>开标一览表</w:t>
      </w:r>
      <w:r>
        <w:rPr>
          <w:rFonts w:hint="eastAsia" w:ascii="仿宋" w:hAnsi="仿宋" w:eastAsia="仿宋" w:cs="仿宋"/>
          <w:color w:val="auto"/>
          <w:kern w:val="0"/>
          <w:sz w:val="24"/>
          <w:szCs w:val="24"/>
          <w:highlight w:val="none"/>
        </w:rPr>
        <w:t>的总价为准，并修改单价；</w:t>
      </w:r>
    </w:p>
    <w:p w14:paraId="497639E5">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）总价金额与按单价汇总金额不一致的，以单价金额计算结果为准。</w:t>
      </w:r>
    </w:p>
    <w:p w14:paraId="74F7A577">
      <w:pPr>
        <w:widowControl/>
        <w:shd w:val="clear" w:color="auto" w:fill="FFFFFF"/>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确认后产生约束力，</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不确认或不接受的，其投标无效。</w:t>
      </w:r>
    </w:p>
    <w:p w14:paraId="47A924A6">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p>
    <w:p w14:paraId="33CBF7F1">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 推荐成交候选人及提交评审报告</w:t>
      </w:r>
    </w:p>
    <w:p w14:paraId="57E7C696">
      <w:pPr>
        <w:widowControl/>
        <w:shd w:val="clear" w:color="auto" w:fill="FFFFFF"/>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5.1</w:t>
      </w:r>
      <w:r>
        <w:rPr>
          <w:rFonts w:hint="eastAsia" w:ascii="仿宋" w:hAnsi="仿宋" w:eastAsia="仿宋" w:cs="仿宋"/>
          <w:color w:val="auto"/>
          <w:kern w:val="0"/>
          <w:sz w:val="24"/>
          <w:highlight w:val="none"/>
          <w:lang w:eastAsia="zh-CN"/>
        </w:rPr>
        <w:t>协商小组</w:t>
      </w:r>
      <w:r>
        <w:rPr>
          <w:rFonts w:hint="eastAsia" w:ascii="仿宋" w:hAnsi="仿宋" w:eastAsia="仿宋" w:cs="仿宋"/>
          <w:color w:val="auto"/>
          <w:kern w:val="0"/>
          <w:sz w:val="24"/>
          <w:highlight w:val="none"/>
        </w:rPr>
        <w:t>推荐成交候选人，排序第一的供应商将被确定为成交候选人。</w:t>
      </w:r>
    </w:p>
    <w:bookmarkEnd w:id="26"/>
    <w:p w14:paraId="5142573D">
      <w:pPr>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br w:type="page"/>
      </w:r>
    </w:p>
    <w:p w14:paraId="66F8ED66">
      <w:pPr>
        <w:pStyle w:val="53"/>
        <w:spacing w:line="440" w:lineRule="atLeast"/>
        <w:jc w:val="center"/>
        <w:outlineLvl w:val="0"/>
        <w:rPr>
          <w:rFonts w:hint="eastAsia" w:ascii="仿宋" w:hAnsi="仿宋" w:eastAsia="仿宋" w:cs="仿宋"/>
          <w:b/>
          <w:bCs/>
          <w:color w:val="auto"/>
          <w:sz w:val="24"/>
          <w:szCs w:val="24"/>
          <w:highlight w:val="none"/>
          <w:lang w:eastAsia="zh-CN"/>
        </w:rPr>
      </w:pPr>
      <w:bookmarkStart w:id="27" w:name="_Toc17707"/>
      <w:r>
        <w:rPr>
          <w:rFonts w:hint="eastAsia" w:ascii="仿宋" w:hAnsi="仿宋" w:eastAsia="仿宋" w:cs="仿宋"/>
          <w:b/>
          <w:bCs/>
          <w:color w:val="auto"/>
          <w:sz w:val="28"/>
          <w:szCs w:val="24"/>
          <w:highlight w:val="none"/>
        </w:rPr>
        <w:t xml:space="preserve">第三章 </w:t>
      </w:r>
      <w:r>
        <w:rPr>
          <w:rFonts w:hint="eastAsia" w:ascii="仿宋" w:hAnsi="仿宋" w:eastAsia="仿宋" w:cs="仿宋"/>
          <w:b/>
          <w:bCs/>
          <w:color w:val="auto"/>
          <w:sz w:val="28"/>
          <w:szCs w:val="24"/>
          <w:highlight w:val="none"/>
          <w:lang w:eastAsia="zh-CN"/>
        </w:rPr>
        <w:t>技术标准和要求</w:t>
      </w:r>
      <w:bookmarkEnd w:id="27"/>
    </w:p>
    <w:tbl>
      <w:tblPr>
        <w:tblStyle w:val="31"/>
        <w:tblpPr w:leftFromText="180" w:rightFromText="180" w:vertAnchor="text" w:horzAnchor="page" w:tblpX="1545" w:tblpY="299"/>
        <w:tblOverlap w:val="never"/>
        <w:tblW w:w="9732" w:type="dxa"/>
        <w:tblInd w:w="0" w:type="dxa"/>
        <w:tblLayout w:type="fixed"/>
        <w:tblCellMar>
          <w:top w:w="0" w:type="dxa"/>
          <w:left w:w="108" w:type="dxa"/>
          <w:bottom w:w="0" w:type="dxa"/>
          <w:right w:w="108" w:type="dxa"/>
        </w:tblCellMar>
      </w:tblPr>
      <w:tblGrid>
        <w:gridCol w:w="520"/>
        <w:gridCol w:w="1175"/>
        <w:gridCol w:w="5139"/>
        <w:gridCol w:w="788"/>
        <w:gridCol w:w="787"/>
        <w:gridCol w:w="1323"/>
      </w:tblGrid>
      <w:tr w14:paraId="234A3BFE">
        <w:tblPrEx>
          <w:tblCellMar>
            <w:top w:w="0" w:type="dxa"/>
            <w:left w:w="108" w:type="dxa"/>
            <w:bottom w:w="0" w:type="dxa"/>
            <w:right w:w="108" w:type="dxa"/>
          </w:tblCellMar>
        </w:tblPrEx>
        <w:trPr>
          <w:trHeight w:val="358" w:hRule="atLeast"/>
        </w:trPr>
        <w:tc>
          <w:tcPr>
            <w:tcW w:w="52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AD835D0">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75" w:type="dxa"/>
            <w:tcBorders>
              <w:top w:val="single" w:color="auto" w:sz="4" w:space="0"/>
              <w:left w:val="nil"/>
              <w:bottom w:val="single" w:color="auto" w:sz="4" w:space="0"/>
              <w:right w:val="single" w:color="auto" w:sz="4" w:space="0"/>
            </w:tcBorders>
            <w:noWrap/>
            <w:tcMar>
              <w:left w:w="0" w:type="dxa"/>
              <w:right w:w="0" w:type="dxa"/>
            </w:tcMar>
            <w:vAlign w:val="center"/>
          </w:tcPr>
          <w:p w14:paraId="7BB283C3">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标的名称</w:t>
            </w:r>
          </w:p>
        </w:tc>
        <w:tc>
          <w:tcPr>
            <w:tcW w:w="513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0C36652">
            <w:pPr>
              <w:spacing w:line="360" w:lineRule="auto"/>
              <w:jc w:val="center"/>
              <w:rPr>
                <w:rFonts w:hint="default" w:eastAsia="仿宋"/>
                <w:color w:val="auto"/>
                <w:highlight w:val="none"/>
                <w:lang w:val="en-US" w:eastAsia="zh-CN"/>
              </w:rPr>
            </w:pPr>
            <w:r>
              <w:rPr>
                <w:rFonts w:hint="eastAsia" w:ascii="仿宋" w:hAnsi="仿宋" w:eastAsia="仿宋" w:cs="仿宋"/>
                <w:color w:val="auto"/>
                <w:sz w:val="21"/>
                <w:szCs w:val="21"/>
                <w:highlight w:val="none"/>
              </w:rPr>
              <w:t>主要参数</w:t>
            </w:r>
          </w:p>
        </w:tc>
        <w:tc>
          <w:tcPr>
            <w:tcW w:w="788"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97377A9">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78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67730481">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406BF0E9">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进口/国产</w:t>
            </w:r>
          </w:p>
        </w:tc>
      </w:tr>
      <w:tr w14:paraId="6E91FFD5">
        <w:tblPrEx>
          <w:tblCellMar>
            <w:top w:w="0" w:type="dxa"/>
            <w:left w:w="108" w:type="dxa"/>
            <w:bottom w:w="0" w:type="dxa"/>
            <w:right w:w="108" w:type="dxa"/>
          </w:tblCellMar>
        </w:tblPrEx>
        <w:trPr>
          <w:trHeight w:val="1021" w:hRule="atLeast"/>
        </w:trPr>
        <w:tc>
          <w:tcPr>
            <w:tcW w:w="52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2E3EC4D8">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75" w:type="dxa"/>
            <w:tcBorders>
              <w:top w:val="single" w:color="auto" w:sz="4" w:space="0"/>
              <w:left w:val="nil"/>
              <w:bottom w:val="single" w:color="auto" w:sz="4" w:space="0"/>
              <w:right w:val="single" w:color="auto" w:sz="4" w:space="0"/>
            </w:tcBorders>
            <w:noWrap/>
            <w:tcMar>
              <w:left w:w="0" w:type="dxa"/>
              <w:right w:w="0" w:type="dxa"/>
            </w:tcMar>
            <w:vAlign w:val="center"/>
          </w:tcPr>
          <w:p w14:paraId="3C427442">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人类免疫缺陷病毒p24抗原及抗体检测试剂盒(胶体硒法)</w:t>
            </w:r>
          </w:p>
          <w:p w14:paraId="3B7E042F">
            <w:pPr>
              <w:spacing w:line="360" w:lineRule="auto"/>
              <w:jc w:val="center"/>
              <w:rPr>
                <w:rFonts w:hint="eastAsia" w:ascii="仿宋" w:hAnsi="仿宋" w:eastAsia="仿宋" w:cs="仿宋"/>
                <w:color w:val="auto"/>
                <w:sz w:val="21"/>
                <w:szCs w:val="21"/>
                <w:highlight w:val="none"/>
              </w:rPr>
            </w:pPr>
          </w:p>
        </w:tc>
        <w:tc>
          <w:tcPr>
            <w:tcW w:w="513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1118F6D">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100人份/盒</w:t>
            </w:r>
          </w:p>
        </w:tc>
        <w:tc>
          <w:tcPr>
            <w:tcW w:w="788"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14:paraId="0310DF16">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w:t>
            </w:r>
          </w:p>
        </w:tc>
        <w:tc>
          <w:tcPr>
            <w:tcW w:w="78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32CF7D2">
            <w:pPr>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200</w:t>
            </w:r>
          </w:p>
        </w:tc>
        <w:tc>
          <w:tcPr>
            <w:tcW w:w="132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14:paraId="18151289">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进口</w:t>
            </w:r>
          </w:p>
        </w:tc>
      </w:tr>
    </w:tbl>
    <w:p w14:paraId="076E08D7">
      <w:pPr>
        <w:jc w:val="left"/>
        <w:rPr>
          <w:rFonts w:hint="eastAsia" w:ascii="仿宋" w:hAnsi="仿宋" w:eastAsia="仿宋" w:cs="仿宋"/>
          <w:color w:val="auto"/>
          <w:highlight w:val="none"/>
        </w:rPr>
      </w:pPr>
    </w:p>
    <w:p w14:paraId="7E73C62B">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sz w:val="21"/>
          <w:szCs w:val="21"/>
          <w:highlight w:val="none"/>
        </w:rPr>
        <w:t>说明：</w:t>
      </w:r>
      <w:r>
        <w:rPr>
          <w:rFonts w:hint="eastAsia" w:ascii="仿宋" w:hAnsi="仿宋" w:eastAsia="仿宋" w:cs="仿宋"/>
          <w:bCs/>
          <w:color w:val="auto"/>
          <w:sz w:val="21"/>
          <w:szCs w:val="21"/>
          <w:highlight w:val="none"/>
          <w:lang w:eastAsia="zh-CN"/>
        </w:rPr>
        <w:t>供应商</w:t>
      </w:r>
      <w:r>
        <w:rPr>
          <w:rFonts w:hint="eastAsia" w:ascii="仿宋" w:hAnsi="仿宋" w:eastAsia="仿宋" w:cs="仿宋"/>
          <w:bCs/>
          <w:color w:val="auto"/>
          <w:sz w:val="21"/>
          <w:szCs w:val="21"/>
          <w:highlight w:val="none"/>
        </w:rPr>
        <w:t>应注意采购人在技术规格中指出的参数、工艺、材料和设备等内容仅起说明作用，无任何倾向性或限制性</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任何品牌的产品均可依法参加本项目的采购活动。</w:t>
      </w:r>
      <w:r>
        <w:rPr>
          <w:rFonts w:hint="eastAsia" w:ascii="仿宋" w:hAnsi="仿宋" w:eastAsia="仿宋" w:cs="仿宋"/>
          <w:bCs/>
          <w:color w:val="auto"/>
          <w:sz w:val="21"/>
          <w:szCs w:val="21"/>
          <w:highlight w:val="none"/>
          <w:lang w:val="en-US" w:eastAsia="zh-CN"/>
        </w:rPr>
        <w:t>上述产品在安装调试中所需辅材费用包含在供应商投标产品的报价中，不再单独计取。</w:t>
      </w:r>
    </w:p>
    <w:p w14:paraId="2AB72DDF">
      <w:pPr>
        <w:pStyle w:val="6"/>
        <w:snapToGrid w:val="0"/>
        <w:spacing w:line="420" w:lineRule="atLeast"/>
        <w:ind w:left="-2" w:leftChars="-1" w:firstLine="0" w:firstLineChars="0"/>
        <w:jc w:val="center"/>
        <w:outlineLvl w:val="0"/>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br w:type="page"/>
      </w:r>
      <w:bookmarkStart w:id="28" w:name="_Toc21750"/>
      <w:bookmarkStart w:id="29" w:name="_Toc321896167"/>
      <w:bookmarkStart w:id="30" w:name="_Toc21470"/>
      <w:r>
        <w:rPr>
          <w:rFonts w:hint="eastAsia" w:ascii="仿宋" w:hAnsi="仿宋" w:eastAsia="仿宋" w:cs="仿宋"/>
          <w:b/>
          <w:bCs/>
          <w:color w:val="auto"/>
          <w:sz w:val="28"/>
          <w:szCs w:val="28"/>
          <w:highlight w:val="none"/>
        </w:rPr>
        <w:t xml:space="preserve">第四章 </w:t>
      </w:r>
      <w:bookmarkEnd w:id="28"/>
      <w:bookmarkEnd w:id="29"/>
      <w:r>
        <w:rPr>
          <w:rFonts w:hint="eastAsia" w:ascii="仿宋" w:hAnsi="仿宋" w:eastAsia="仿宋" w:cs="仿宋"/>
          <w:b/>
          <w:bCs/>
          <w:color w:val="auto"/>
          <w:sz w:val="28"/>
          <w:szCs w:val="28"/>
          <w:highlight w:val="none"/>
          <w:lang w:eastAsia="zh-CN"/>
        </w:rPr>
        <w:t>合同文本</w:t>
      </w:r>
      <w:bookmarkEnd w:id="30"/>
    </w:p>
    <w:p w14:paraId="014BEE03">
      <w:pPr>
        <w:snapToGrid w:val="0"/>
        <w:spacing w:line="30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0A561FF5">
      <w:pPr>
        <w:spacing w:line="360" w:lineRule="auto"/>
        <w:jc w:val="center"/>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采购</w:t>
      </w:r>
      <w:r>
        <w:rPr>
          <w:rFonts w:hint="eastAsia" w:ascii="仿宋" w:hAnsi="仿宋" w:eastAsia="仿宋" w:cs="仿宋"/>
          <w:b/>
          <w:bCs w:val="0"/>
          <w:color w:val="auto"/>
          <w:sz w:val="28"/>
          <w:szCs w:val="28"/>
          <w:highlight w:val="none"/>
        </w:rPr>
        <w:t>合同</w:t>
      </w:r>
    </w:p>
    <w:p w14:paraId="567F43B9">
      <w:pPr>
        <w:pStyle w:val="29"/>
        <w:widowControl/>
        <w:spacing w:after="120" w:line="360" w:lineRule="auto"/>
        <w:ind w:firstLine="2520"/>
        <w:jc w:val="righ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合同编号：</w:t>
      </w:r>
    </w:p>
    <w:tbl>
      <w:tblPr>
        <w:tblStyle w:val="32"/>
        <w:tblW w:w="10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4"/>
        <w:gridCol w:w="5133"/>
      </w:tblGrid>
      <w:tr w14:paraId="3C23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4" w:type="dxa"/>
          </w:tcPr>
          <w:p w14:paraId="5F897A92">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甲方：</w:t>
            </w:r>
          </w:p>
        </w:tc>
        <w:tc>
          <w:tcPr>
            <w:tcW w:w="5133" w:type="dxa"/>
          </w:tcPr>
          <w:p w14:paraId="7CE67E03">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地址</w:t>
            </w:r>
            <w:r>
              <w:rPr>
                <w:rFonts w:hint="eastAsia" w:ascii="仿宋" w:hAnsi="仿宋" w:eastAsia="仿宋" w:cs="仿宋"/>
                <w:color w:val="auto"/>
                <w:sz w:val="24"/>
                <w:szCs w:val="24"/>
                <w:highlight w:val="none"/>
              </w:rPr>
              <w:t>：</w:t>
            </w:r>
          </w:p>
        </w:tc>
      </w:tr>
      <w:tr w14:paraId="3045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4" w:type="dxa"/>
          </w:tcPr>
          <w:p w14:paraId="0744EBC5">
            <w:pPr>
              <w:spacing w:line="360" w:lineRule="auto"/>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联系人：</w:t>
            </w:r>
          </w:p>
        </w:tc>
        <w:tc>
          <w:tcPr>
            <w:tcW w:w="5133" w:type="dxa"/>
          </w:tcPr>
          <w:p w14:paraId="545BAC09">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电话：</w:t>
            </w:r>
          </w:p>
        </w:tc>
      </w:tr>
    </w:tbl>
    <w:p w14:paraId="19CB46F3">
      <w:pPr>
        <w:spacing w:line="360" w:lineRule="auto"/>
        <w:jc w:val="righ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176530</wp:posOffset>
                </wp:positionV>
                <wp:extent cx="6678930" cy="0"/>
                <wp:effectExtent l="0" t="12700" r="7620" b="15875"/>
                <wp:wrapNone/>
                <wp:docPr id="2" name="直接连接符 2"/>
                <wp:cNvGraphicFramePr/>
                <a:graphic xmlns:a="http://schemas.openxmlformats.org/drawingml/2006/main">
                  <a:graphicData uri="http://schemas.microsoft.com/office/word/2010/wordprocessingShape">
                    <wps:wsp>
                      <wps:cNvCnPr/>
                      <wps:spPr>
                        <a:xfrm>
                          <a:off x="1148080" y="3526155"/>
                          <a:ext cx="667893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95pt;margin-top:13.9pt;height:0pt;width:525.9pt;z-index:251659264;mso-width-relative:page;mso-height-relative:page;" filled="f" stroked="t" coordsize="21600,21600" o:gfxdata="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t77F1gAA&#10;AAoBAAAPAAAAAAAAAAEAIAAAACIAAABkcnMvZG93bnJldi54bWxQSwECFAAUAAAACACHTuJAHHMG&#10;NOcBAACnAwAADgAAAAAAAAABACAAAAAlAQAAZHJzL2Uyb0RvYy54bWxQSwUGAAAAAAYABgBZAQAA&#10;fgUAAAAA&#10;">
                <v:fill on="f" focussize="0,0"/>
                <v:stroke weight="2pt" color="#000000 [3213]" joinstyle="round"/>
                <v:imagedata o:title=""/>
                <o:lock v:ext="edit" aspectratio="f"/>
              </v:line>
            </w:pict>
          </mc:Fallback>
        </mc:AlternateContent>
      </w:r>
    </w:p>
    <w:tbl>
      <w:tblPr>
        <w:tblStyle w:val="32"/>
        <w:tblW w:w="10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71"/>
        <w:gridCol w:w="5168"/>
      </w:tblGrid>
      <w:tr w14:paraId="40AF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371" w:type="dxa"/>
          </w:tcPr>
          <w:p w14:paraId="0A89E7D7">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w:t>
            </w:r>
          </w:p>
        </w:tc>
        <w:tc>
          <w:tcPr>
            <w:tcW w:w="5168" w:type="dxa"/>
          </w:tcPr>
          <w:p w14:paraId="17D66529">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地址</w:t>
            </w:r>
            <w:r>
              <w:rPr>
                <w:rFonts w:hint="eastAsia" w:ascii="仿宋" w:hAnsi="仿宋" w:eastAsia="仿宋" w:cs="仿宋"/>
                <w:color w:val="auto"/>
                <w:sz w:val="24"/>
                <w:szCs w:val="24"/>
                <w:highlight w:val="none"/>
              </w:rPr>
              <w:t>：</w:t>
            </w:r>
          </w:p>
        </w:tc>
      </w:tr>
      <w:tr w14:paraId="6482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371" w:type="dxa"/>
          </w:tcPr>
          <w:p w14:paraId="0329BB8D">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联系人及邮箱：</w:t>
            </w:r>
          </w:p>
        </w:tc>
        <w:tc>
          <w:tcPr>
            <w:tcW w:w="5168" w:type="dxa"/>
          </w:tcPr>
          <w:p w14:paraId="0FFBC7C0">
            <w:pPr>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电话：</w:t>
            </w:r>
          </w:p>
        </w:tc>
      </w:tr>
    </w:tbl>
    <w:p w14:paraId="28DCC8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根据《中华人民共和国民法典》及其他相关法律法规的规定，甲、乙双方在平等、自愿的基础上，就乙方为最终用户或其设备提供维修或其他服务达成如下共识：</w:t>
      </w:r>
    </w:p>
    <w:p w14:paraId="7626ED8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1.服务价格</w:t>
      </w:r>
    </w:p>
    <w:p w14:paraId="343AECD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1.1服务价格详情如下表：</w:t>
      </w:r>
    </w:p>
    <w:tbl>
      <w:tblPr>
        <w:tblStyle w:val="32"/>
        <w:tblW w:w="10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463"/>
        <w:gridCol w:w="2125"/>
        <w:gridCol w:w="1462"/>
        <w:gridCol w:w="2293"/>
      </w:tblGrid>
      <w:tr w14:paraId="5F74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vAlign w:val="center"/>
          </w:tcPr>
          <w:p w14:paraId="58B0ADF1">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63" w:type="dxa"/>
            <w:vAlign w:val="center"/>
          </w:tcPr>
          <w:p w14:paraId="285E6832">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设备型号及序列号</w:t>
            </w:r>
          </w:p>
        </w:tc>
        <w:tc>
          <w:tcPr>
            <w:tcW w:w="2125" w:type="dxa"/>
            <w:vAlign w:val="center"/>
          </w:tcPr>
          <w:p w14:paraId="53B5AD36">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服务项目/备件名称</w:t>
            </w:r>
          </w:p>
        </w:tc>
        <w:tc>
          <w:tcPr>
            <w:tcW w:w="1462" w:type="dxa"/>
            <w:vAlign w:val="center"/>
          </w:tcPr>
          <w:p w14:paraId="4197C0A1">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293" w:type="dxa"/>
            <w:vAlign w:val="center"/>
          </w:tcPr>
          <w:p w14:paraId="37F4E880">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含税报价</w:t>
            </w:r>
          </w:p>
        </w:tc>
      </w:tr>
      <w:tr w14:paraId="3838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13" w:type="dxa"/>
          </w:tcPr>
          <w:p w14:paraId="29CF664E">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p>
        </w:tc>
        <w:tc>
          <w:tcPr>
            <w:tcW w:w="3463" w:type="dxa"/>
          </w:tcPr>
          <w:p w14:paraId="3D439ACA">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p>
        </w:tc>
        <w:tc>
          <w:tcPr>
            <w:tcW w:w="2125" w:type="dxa"/>
          </w:tcPr>
          <w:p w14:paraId="04D3DAB7">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p>
        </w:tc>
        <w:tc>
          <w:tcPr>
            <w:tcW w:w="1462" w:type="dxa"/>
          </w:tcPr>
          <w:p w14:paraId="3DF38AA7">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p>
        </w:tc>
        <w:tc>
          <w:tcPr>
            <w:tcW w:w="2293" w:type="dxa"/>
          </w:tcPr>
          <w:p w14:paraId="1986FF17">
            <w:pPr>
              <w:pStyle w:val="29"/>
              <w:keepNext w:val="0"/>
              <w:keepLines w:val="0"/>
              <w:pageBreakBefore w:val="0"/>
              <w:widowControl/>
              <w:kinsoku/>
              <w:wordWrap/>
              <w:overflowPunct/>
              <w:topLinePunct w:val="0"/>
              <w:autoSpaceDE/>
              <w:autoSpaceDN/>
              <w:bidi w:val="0"/>
              <w:adjustRightInd/>
              <w:snapToGrid/>
              <w:spacing w:after="156" w:line="360" w:lineRule="auto"/>
              <w:ind w:firstLine="480" w:firstLineChars="200"/>
              <w:jc w:val="left"/>
              <w:textAlignment w:val="auto"/>
              <w:rPr>
                <w:rFonts w:hint="eastAsia" w:ascii="仿宋" w:hAnsi="仿宋" w:eastAsia="仿宋" w:cs="仿宋"/>
                <w:color w:val="auto"/>
                <w:sz w:val="24"/>
                <w:szCs w:val="24"/>
                <w:highlight w:val="none"/>
              </w:rPr>
            </w:pPr>
          </w:p>
        </w:tc>
      </w:tr>
      <w:tr w14:paraId="20F3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6" w:type="dxa"/>
            <w:gridSpan w:val="5"/>
          </w:tcPr>
          <w:p w14:paraId="2C11FCE7">
            <w:pPr>
              <w:pStyle w:val="29"/>
              <w:keepNext w:val="0"/>
              <w:keepLines w:val="0"/>
              <w:pageBreakBefore w:val="0"/>
              <w:widowControl/>
              <w:kinsoku/>
              <w:wordWrap/>
              <w:overflowPunct/>
              <w:topLinePunct w:val="0"/>
              <w:autoSpaceDE/>
              <w:autoSpaceDN/>
              <w:bidi w:val="0"/>
              <w:adjustRightInd/>
              <w:snapToGrid/>
              <w:spacing w:after="156"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合同总价（含税）：</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元（大写:</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w:t>
            </w:r>
          </w:p>
        </w:tc>
      </w:tr>
    </w:tbl>
    <w:p w14:paraId="1B32E46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2.服务内容及条件</w:t>
      </w:r>
    </w:p>
    <w:p w14:paraId="2DBF94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2.1第1.1条列表中所提供的服务时间为周一至周五8:30到18:00期间（不含周末及节假日），若甲方需要乙方在前述时间范围之外提供服务，乙方将酌情收取相应的费用，具体按如下标准执行：</w:t>
      </w:r>
    </w:p>
    <w:p w14:paraId="38059E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1）工作日或周末加班，加收上述维修人工服务价格的30%；</w:t>
      </w:r>
    </w:p>
    <w:p w14:paraId="14440B7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2）法定节假日(以国务院办公厅发布的节假日安排为准)加班，加收上述维修服务人工价格的50%。</w:t>
      </w:r>
    </w:p>
    <w:p w14:paraId="61922C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2.2甲方应当向乙方提供所有必要的文件、信息和维修条件以便乙方提供本合同约定的服务。</w:t>
      </w:r>
    </w:p>
    <w:p w14:paraId="4E823E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2.3乙方为本合同下维修服务提供如下保修责任：</w:t>
      </w:r>
    </w:p>
    <w:p w14:paraId="24ED9E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）质保期：球管质保</w:t>
      </w:r>
      <w:r>
        <w:rPr>
          <w:rFonts w:hint="eastAsia" w:ascii="仿宋" w:hAnsi="仿宋" w:eastAsia="仿宋" w:cs="仿宋"/>
          <w:color w:val="auto"/>
          <w:sz w:val="24"/>
          <w:szCs w:val="24"/>
          <w:highlight w:val="none"/>
          <w:lang w:val="en-US" w:eastAsia="zh-CN"/>
        </w:rPr>
        <w:t>12个月</w:t>
      </w:r>
      <w:r>
        <w:rPr>
          <w:rFonts w:hint="eastAsia" w:ascii="仿宋" w:hAnsi="仿宋" w:eastAsia="仿宋" w:cs="仿宋"/>
          <w:color w:val="auto"/>
          <w:sz w:val="24"/>
          <w:szCs w:val="24"/>
          <w:highlight w:val="none"/>
        </w:rPr>
        <w:t>，不限扫描次数；</w:t>
      </w:r>
    </w:p>
    <w:p w14:paraId="76B653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）因人为故意或不按使用要求使用或其他非产品或备件质量原因导致的故障或不能正常使用的，乙方不承担保修责任。</w:t>
      </w:r>
    </w:p>
    <w:p w14:paraId="79C2495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2.4乙方保证其更换的备件在更换时设计和工艺无缺陷，且符合原厂性能指标要求；如有不符</w:t>
      </w:r>
      <w:r>
        <w:rPr>
          <w:rFonts w:hint="eastAsia" w:ascii="仿宋" w:hAnsi="仿宋" w:eastAsia="仿宋" w:cs="仿宋"/>
          <w:color w:val="auto"/>
          <w:kern w:val="0"/>
          <w:sz w:val="24"/>
          <w:szCs w:val="24"/>
          <w:highlight w:val="none"/>
          <w:lang w:val="en-US" w:eastAsia="zh-CN" w:bidi="ar-SA"/>
        </w:rPr>
        <w:t>，乙方应负责更换。</w:t>
      </w:r>
    </w:p>
    <w:p w14:paraId="3860EA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2.5若乙方提供服务中涉及培训服务，培训的具体内容及时间由甲乙双方另行协商确定并作为本合同附件，培训的地点在最终用户现场。</w:t>
      </w:r>
    </w:p>
    <w:p w14:paraId="520487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3.备件返还</w:t>
      </w:r>
    </w:p>
    <w:p w14:paraId="604EC21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如果涉及到备件的更换服务（耗材除外），更换后的旧备件和维修中更换下来的零配件均属于乙方所有，甲方</w:t>
      </w:r>
      <w:r>
        <w:rPr>
          <w:rFonts w:hint="eastAsia" w:ascii="仿宋" w:hAnsi="仿宋" w:eastAsia="仿宋" w:cs="仿宋"/>
          <w:color w:val="auto"/>
          <w:kern w:val="0"/>
          <w:sz w:val="24"/>
          <w:szCs w:val="24"/>
          <w:highlight w:val="none"/>
          <w:lang w:val="en-US" w:eastAsia="zh-CN" w:bidi="ar-SA"/>
        </w:rPr>
        <w:t>应确保乙方能在备件更换后3日内取回。否则，甲方应额外向乙方支付新备件价格的50%作为补偿。</w:t>
      </w:r>
    </w:p>
    <w:p w14:paraId="51A414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4.支付方式</w:t>
      </w:r>
    </w:p>
    <w:p w14:paraId="070495F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4.1付款方式：签订合同30日内甲方收到乙方开具的税务发票后支付合同总额的95%；质保期过后7日内，甲方需</w:t>
      </w:r>
      <w:r>
        <w:rPr>
          <w:rFonts w:hint="eastAsia" w:ascii="仿宋" w:hAnsi="仿宋" w:eastAsia="仿宋" w:cs="仿宋"/>
          <w:color w:val="auto"/>
          <w:kern w:val="0"/>
          <w:sz w:val="24"/>
          <w:szCs w:val="24"/>
          <w:highlight w:val="none"/>
          <w:lang w:val="en-US" w:eastAsia="zh-CN" w:bidi="ar-SA"/>
        </w:rPr>
        <w:t>再支付合同总额的5%给乙方，汇至乙方如下指定账户：</w:t>
      </w:r>
    </w:p>
    <w:p w14:paraId="64AE6F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收款单位：</w:t>
      </w:r>
    </w:p>
    <w:p w14:paraId="1AE877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开户行：</w:t>
      </w:r>
    </w:p>
    <w:p w14:paraId="1A49094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账号：</w:t>
      </w:r>
    </w:p>
    <w:p w14:paraId="5CA592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甲方开票信息：</w:t>
      </w:r>
    </w:p>
    <w:p w14:paraId="512E45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公司名称：</w:t>
      </w:r>
    </w:p>
    <w:p w14:paraId="57AD59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税号：</w:t>
      </w:r>
    </w:p>
    <w:p w14:paraId="0BC28C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4.2甲方应严格按照甲乙双方约定向乙方及时足额支付本合同总价，如甲方未及时足额支付相关费用或提供服务条件的，则乙方有权暂停/终止服务，甲方或最终用户的任何损失由甲方自行承担；同时，甲方应向乙方支付逾期付款违约金，每逾期一日应向乙方支付逾期付款金额的0.4‰的违约金。</w:t>
      </w:r>
    </w:p>
    <w:p w14:paraId="1EEC7E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5.其他</w:t>
      </w:r>
    </w:p>
    <w:p w14:paraId="6253D96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5.1 在本合同下及与本合同履行相关的任何情形下，乙方对甲方及第三方承担的全部损害赔偿责任或者其他责任，不应超过本合同项下甲方已向乙方支付的服务费。</w:t>
      </w:r>
    </w:p>
    <w:p w14:paraId="52436A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5.2 除双方另有规定外，甲方不得披露、反向工程、反向组装、重建任何乙方的保密信息或向任何第三方提供乙方的保密信息。</w:t>
      </w:r>
    </w:p>
    <w:p w14:paraId="044B4E7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5.3 本合同及与本合同相关的一切事项适用中华人民共和国法律。在履行本合同中出现的争议，双方应友好协商解决。若协商无法解决，双方同意将争议提交原告方住所地人民法院以诉讼方式解决。</w:t>
      </w:r>
    </w:p>
    <w:p w14:paraId="22B85AA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5.4 本合同一式陆份，甲方执伍份，乙方执壹份，自双方盖章之日起生效。</w:t>
      </w:r>
    </w:p>
    <w:tbl>
      <w:tblPr>
        <w:tblStyle w:val="31"/>
        <w:tblpPr w:leftFromText="180" w:rightFromText="180" w:vertAnchor="text" w:horzAnchor="page" w:tblpX="1031" w:tblpY="693"/>
        <w:tblOverlap w:val="never"/>
        <w:tblW w:w="9675" w:type="dxa"/>
        <w:tblInd w:w="0" w:type="dxa"/>
        <w:tblLayout w:type="fixed"/>
        <w:tblCellMar>
          <w:top w:w="15" w:type="dxa"/>
          <w:left w:w="15" w:type="dxa"/>
          <w:bottom w:w="15" w:type="dxa"/>
          <w:right w:w="15" w:type="dxa"/>
        </w:tblCellMar>
      </w:tblPr>
      <w:tblGrid>
        <w:gridCol w:w="1935"/>
        <w:gridCol w:w="3202"/>
        <w:gridCol w:w="1799"/>
        <w:gridCol w:w="2739"/>
      </w:tblGrid>
      <w:tr w14:paraId="3FD632AF">
        <w:tblPrEx>
          <w:tblCellMar>
            <w:top w:w="15" w:type="dxa"/>
            <w:left w:w="15" w:type="dxa"/>
            <w:bottom w:w="15" w:type="dxa"/>
            <w:right w:w="15" w:type="dxa"/>
          </w:tblCellMar>
        </w:tblPrEx>
        <w:trPr>
          <w:trHeight w:val="540" w:hRule="atLeast"/>
        </w:trPr>
        <w:tc>
          <w:tcPr>
            <w:tcW w:w="1935" w:type="dxa"/>
            <w:tcBorders>
              <w:top w:val="nil"/>
              <w:left w:val="nil"/>
              <w:bottom w:val="nil"/>
              <w:right w:val="nil"/>
            </w:tcBorders>
            <w:shd w:val="clear" w:color="auto" w:fill="auto"/>
            <w:tcMar>
              <w:top w:w="0" w:type="dxa"/>
              <w:left w:w="144" w:type="dxa"/>
              <w:bottom w:w="0" w:type="dxa"/>
              <w:right w:w="144" w:type="dxa"/>
            </w:tcMar>
          </w:tcPr>
          <w:p w14:paraId="0AE6FAA8">
            <w:pPr>
              <w:pStyle w:val="29"/>
              <w:widowControl/>
              <w:spacing w:after="156"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甲方（盖章）：</w:t>
            </w:r>
          </w:p>
        </w:tc>
        <w:tc>
          <w:tcPr>
            <w:tcW w:w="3202" w:type="dxa"/>
            <w:tcBorders>
              <w:top w:val="nil"/>
              <w:left w:val="nil"/>
              <w:bottom w:val="nil"/>
              <w:right w:val="nil"/>
            </w:tcBorders>
            <w:shd w:val="clear" w:color="auto" w:fill="auto"/>
            <w:tcMar>
              <w:top w:w="0" w:type="dxa"/>
              <w:left w:w="144" w:type="dxa"/>
              <w:bottom w:w="0" w:type="dxa"/>
              <w:right w:w="144" w:type="dxa"/>
            </w:tcMar>
          </w:tcPr>
          <w:p w14:paraId="64AFB278">
            <w:pPr>
              <w:pStyle w:val="29"/>
              <w:widowControl/>
              <w:spacing w:after="156" w:line="360" w:lineRule="auto"/>
              <w:jc w:val="left"/>
              <w:rPr>
                <w:rFonts w:hint="eastAsia" w:ascii="仿宋" w:hAnsi="仿宋" w:eastAsia="仿宋" w:cs="仿宋"/>
                <w:color w:val="auto"/>
                <w:sz w:val="24"/>
                <w:szCs w:val="24"/>
                <w:highlight w:val="none"/>
              </w:rPr>
            </w:pPr>
          </w:p>
        </w:tc>
        <w:tc>
          <w:tcPr>
            <w:tcW w:w="1799" w:type="dxa"/>
            <w:tcBorders>
              <w:top w:val="nil"/>
              <w:left w:val="nil"/>
              <w:bottom w:val="nil"/>
              <w:right w:val="nil"/>
            </w:tcBorders>
            <w:shd w:val="clear" w:color="auto" w:fill="auto"/>
            <w:tcMar>
              <w:top w:w="0" w:type="dxa"/>
              <w:left w:w="144" w:type="dxa"/>
              <w:bottom w:w="0" w:type="dxa"/>
              <w:right w:w="144" w:type="dxa"/>
            </w:tcMar>
          </w:tcPr>
          <w:p w14:paraId="73400935">
            <w:pPr>
              <w:pStyle w:val="29"/>
              <w:widowControl/>
              <w:spacing w:after="156"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乙方（盖章）：</w:t>
            </w:r>
          </w:p>
        </w:tc>
        <w:tc>
          <w:tcPr>
            <w:tcW w:w="2739" w:type="dxa"/>
            <w:tcBorders>
              <w:top w:val="nil"/>
              <w:left w:val="nil"/>
              <w:bottom w:val="nil"/>
              <w:right w:val="nil"/>
            </w:tcBorders>
            <w:shd w:val="clear" w:color="auto" w:fill="auto"/>
            <w:tcMar>
              <w:top w:w="0" w:type="dxa"/>
              <w:left w:w="144" w:type="dxa"/>
              <w:bottom w:w="0" w:type="dxa"/>
              <w:right w:w="144" w:type="dxa"/>
            </w:tcMar>
          </w:tcPr>
          <w:p w14:paraId="2DEC6CE1">
            <w:pPr>
              <w:pStyle w:val="29"/>
              <w:widowControl/>
              <w:spacing w:after="156" w:line="360" w:lineRule="auto"/>
              <w:jc w:val="left"/>
              <w:rPr>
                <w:rFonts w:hint="eastAsia" w:ascii="仿宋" w:hAnsi="仿宋" w:eastAsia="仿宋" w:cs="仿宋"/>
                <w:color w:val="auto"/>
                <w:sz w:val="24"/>
                <w:szCs w:val="24"/>
                <w:highlight w:val="none"/>
              </w:rPr>
            </w:pPr>
          </w:p>
        </w:tc>
      </w:tr>
      <w:tr w14:paraId="0030449C">
        <w:tblPrEx>
          <w:tblCellMar>
            <w:top w:w="15" w:type="dxa"/>
            <w:left w:w="15" w:type="dxa"/>
            <w:bottom w:w="15" w:type="dxa"/>
            <w:right w:w="15" w:type="dxa"/>
          </w:tblCellMar>
        </w:tblPrEx>
        <w:trPr>
          <w:trHeight w:val="540" w:hRule="atLeast"/>
        </w:trPr>
        <w:tc>
          <w:tcPr>
            <w:tcW w:w="5137" w:type="dxa"/>
            <w:gridSpan w:val="2"/>
            <w:tcBorders>
              <w:top w:val="nil"/>
              <w:left w:val="nil"/>
              <w:bottom w:val="nil"/>
              <w:right w:val="nil"/>
            </w:tcBorders>
            <w:shd w:val="clear" w:color="auto" w:fill="auto"/>
            <w:tcMar>
              <w:top w:w="0" w:type="dxa"/>
              <w:left w:w="144" w:type="dxa"/>
              <w:bottom w:w="0" w:type="dxa"/>
              <w:right w:w="144" w:type="dxa"/>
            </w:tcMar>
          </w:tcPr>
          <w:p w14:paraId="776F059D">
            <w:pPr>
              <w:pStyle w:val="29"/>
              <w:widowControl/>
              <w:spacing w:after="156"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代表签字：</w:t>
            </w:r>
          </w:p>
        </w:tc>
        <w:tc>
          <w:tcPr>
            <w:tcW w:w="4538" w:type="dxa"/>
            <w:gridSpan w:val="2"/>
            <w:tcBorders>
              <w:top w:val="nil"/>
              <w:left w:val="nil"/>
              <w:bottom w:val="nil"/>
              <w:right w:val="nil"/>
            </w:tcBorders>
            <w:shd w:val="clear" w:color="auto" w:fill="auto"/>
            <w:tcMar>
              <w:top w:w="0" w:type="dxa"/>
              <w:left w:w="144" w:type="dxa"/>
              <w:bottom w:w="0" w:type="dxa"/>
              <w:right w:w="144" w:type="dxa"/>
            </w:tcMar>
          </w:tcPr>
          <w:p w14:paraId="001B3B81">
            <w:pPr>
              <w:pStyle w:val="29"/>
              <w:widowControl/>
              <w:spacing w:after="156"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代表签字：</w:t>
            </w:r>
          </w:p>
        </w:tc>
      </w:tr>
      <w:tr w14:paraId="05677B19">
        <w:tblPrEx>
          <w:tblCellMar>
            <w:top w:w="15" w:type="dxa"/>
            <w:left w:w="15" w:type="dxa"/>
            <w:bottom w:w="15" w:type="dxa"/>
            <w:right w:w="15" w:type="dxa"/>
          </w:tblCellMar>
        </w:tblPrEx>
        <w:trPr>
          <w:trHeight w:val="540" w:hRule="atLeast"/>
        </w:trPr>
        <w:tc>
          <w:tcPr>
            <w:tcW w:w="1935" w:type="dxa"/>
            <w:tcBorders>
              <w:top w:val="nil"/>
              <w:left w:val="nil"/>
              <w:bottom w:val="nil"/>
              <w:right w:val="nil"/>
            </w:tcBorders>
            <w:shd w:val="clear" w:color="auto" w:fill="auto"/>
            <w:tcMar>
              <w:top w:w="0" w:type="dxa"/>
              <w:left w:w="144" w:type="dxa"/>
              <w:bottom w:w="0" w:type="dxa"/>
              <w:right w:w="144" w:type="dxa"/>
            </w:tcMar>
          </w:tcPr>
          <w:p w14:paraId="70C7588D">
            <w:pPr>
              <w:pStyle w:val="29"/>
              <w:widowControl/>
              <w:spacing w:after="156"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签订日期：</w:t>
            </w:r>
          </w:p>
        </w:tc>
        <w:tc>
          <w:tcPr>
            <w:tcW w:w="3202" w:type="dxa"/>
            <w:tcBorders>
              <w:top w:val="nil"/>
              <w:left w:val="nil"/>
              <w:bottom w:val="nil"/>
              <w:right w:val="nil"/>
            </w:tcBorders>
            <w:shd w:val="clear" w:color="auto" w:fill="auto"/>
            <w:tcMar>
              <w:top w:w="0" w:type="dxa"/>
              <w:left w:w="144" w:type="dxa"/>
              <w:bottom w:w="0" w:type="dxa"/>
              <w:right w:w="144" w:type="dxa"/>
            </w:tcMar>
          </w:tcPr>
          <w:p w14:paraId="31E52E66">
            <w:pPr>
              <w:pStyle w:val="29"/>
              <w:widowControl/>
              <w:spacing w:after="156" w:line="360" w:lineRule="auto"/>
              <w:jc w:val="left"/>
              <w:rPr>
                <w:rFonts w:hint="eastAsia" w:ascii="仿宋" w:hAnsi="仿宋" w:eastAsia="仿宋" w:cs="仿宋"/>
                <w:color w:val="auto"/>
                <w:sz w:val="24"/>
                <w:szCs w:val="24"/>
                <w:highlight w:val="none"/>
              </w:rPr>
            </w:pPr>
          </w:p>
        </w:tc>
        <w:tc>
          <w:tcPr>
            <w:tcW w:w="1799" w:type="dxa"/>
            <w:tcBorders>
              <w:top w:val="nil"/>
              <w:left w:val="nil"/>
              <w:bottom w:val="nil"/>
              <w:right w:val="nil"/>
            </w:tcBorders>
            <w:shd w:val="clear" w:color="auto" w:fill="auto"/>
            <w:tcMar>
              <w:top w:w="0" w:type="dxa"/>
              <w:left w:w="144" w:type="dxa"/>
              <w:bottom w:w="0" w:type="dxa"/>
              <w:right w:w="144" w:type="dxa"/>
            </w:tcMar>
          </w:tcPr>
          <w:p w14:paraId="1F871A30">
            <w:pPr>
              <w:pStyle w:val="29"/>
              <w:widowControl/>
              <w:spacing w:after="156"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签订日期：</w:t>
            </w:r>
          </w:p>
        </w:tc>
        <w:tc>
          <w:tcPr>
            <w:tcW w:w="2739" w:type="dxa"/>
            <w:tcBorders>
              <w:top w:val="nil"/>
              <w:left w:val="nil"/>
              <w:bottom w:val="nil"/>
              <w:right w:val="nil"/>
            </w:tcBorders>
            <w:shd w:val="clear" w:color="auto" w:fill="auto"/>
            <w:tcMar>
              <w:top w:w="0" w:type="dxa"/>
              <w:left w:w="144" w:type="dxa"/>
              <w:bottom w:w="0" w:type="dxa"/>
              <w:right w:w="144" w:type="dxa"/>
            </w:tcMar>
          </w:tcPr>
          <w:p w14:paraId="2F1CA66E">
            <w:pPr>
              <w:pStyle w:val="29"/>
              <w:widowControl/>
              <w:spacing w:after="156" w:line="360" w:lineRule="auto"/>
              <w:jc w:val="left"/>
              <w:rPr>
                <w:rFonts w:hint="eastAsia" w:ascii="仿宋" w:hAnsi="仿宋" w:eastAsia="仿宋" w:cs="仿宋"/>
                <w:color w:val="auto"/>
                <w:sz w:val="24"/>
                <w:szCs w:val="24"/>
                <w:highlight w:val="none"/>
              </w:rPr>
            </w:pPr>
          </w:p>
        </w:tc>
      </w:tr>
    </w:tbl>
    <w:p w14:paraId="144B9FBD">
      <w:pPr>
        <w:pStyle w:val="29"/>
        <w:widowControl/>
        <w:spacing w:after="156" w:line="360" w:lineRule="auto"/>
        <w:jc w:val="center"/>
        <w:rPr>
          <w:rFonts w:hint="eastAsia" w:ascii="仿宋" w:hAnsi="仿宋" w:eastAsia="仿宋" w:cs="仿宋"/>
          <w:b/>
          <w:bCs/>
          <w:color w:val="auto"/>
          <w:sz w:val="24"/>
          <w:szCs w:val="24"/>
          <w:highlight w:val="none"/>
        </w:rPr>
      </w:pPr>
    </w:p>
    <w:p w14:paraId="4508FF82">
      <w:pPr>
        <w:pStyle w:val="29"/>
        <w:widowControl/>
        <w:spacing w:after="156"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（以下无正文）</w:t>
      </w:r>
    </w:p>
    <w:p w14:paraId="52F21438">
      <w:pPr>
        <w:rPr>
          <w:rFonts w:hint="eastAsia" w:ascii="仿宋" w:hAnsi="仿宋" w:eastAsia="仿宋" w:cs="仿宋"/>
          <w:color w:val="auto"/>
          <w:highlight w:val="none"/>
        </w:rPr>
      </w:pPr>
    </w:p>
    <w:p w14:paraId="1E0CD416">
      <w:pPr>
        <w:rPr>
          <w:rFonts w:hint="eastAsia" w:ascii="仿宋" w:hAnsi="仿宋" w:eastAsia="仿宋" w:cs="仿宋"/>
          <w:color w:val="auto"/>
          <w:highlight w:val="none"/>
        </w:rPr>
      </w:pPr>
    </w:p>
    <w:p w14:paraId="68A8C23D">
      <w:pPr>
        <w:rPr>
          <w:rFonts w:hint="eastAsia" w:ascii="仿宋" w:hAnsi="仿宋" w:eastAsia="仿宋" w:cs="仿宋"/>
          <w:color w:val="auto"/>
          <w:highlight w:val="none"/>
        </w:rPr>
      </w:pPr>
    </w:p>
    <w:p w14:paraId="65CC13FA">
      <w:pPr>
        <w:rPr>
          <w:rFonts w:hint="eastAsia" w:ascii="仿宋" w:hAnsi="仿宋" w:eastAsia="仿宋" w:cs="仿宋"/>
          <w:color w:val="auto"/>
          <w:highlight w:val="none"/>
        </w:rPr>
      </w:pPr>
    </w:p>
    <w:p w14:paraId="49CAD675">
      <w:pPr>
        <w:rPr>
          <w:rFonts w:hint="eastAsia" w:ascii="仿宋" w:hAnsi="仿宋" w:eastAsia="仿宋" w:cs="仿宋"/>
          <w:color w:val="auto"/>
          <w:highlight w:val="none"/>
        </w:rPr>
      </w:pPr>
    </w:p>
    <w:p w14:paraId="1FAB0C65">
      <w:pPr>
        <w:rPr>
          <w:rFonts w:hint="eastAsia" w:ascii="仿宋" w:hAnsi="仿宋" w:eastAsia="仿宋" w:cs="仿宋"/>
          <w:color w:val="auto"/>
          <w:highlight w:val="none"/>
        </w:rPr>
      </w:pPr>
    </w:p>
    <w:p w14:paraId="4EDAA73A">
      <w:pPr>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t>注：本合同文本供参考，具体内容以双方签订的为准。</w:t>
      </w:r>
      <w:r>
        <w:rPr>
          <w:rFonts w:hint="eastAsia" w:ascii="仿宋" w:hAnsi="仿宋" w:eastAsia="仿宋" w:cs="仿宋"/>
          <w:b/>
          <w:bCs/>
          <w:color w:val="auto"/>
          <w:sz w:val="28"/>
          <w:szCs w:val="28"/>
          <w:highlight w:val="none"/>
        </w:rPr>
        <w:br w:type="page"/>
      </w:r>
    </w:p>
    <w:p w14:paraId="7054E133">
      <w:pPr>
        <w:pStyle w:val="6"/>
        <w:snapToGrid w:val="0"/>
        <w:spacing w:line="420" w:lineRule="atLeast"/>
        <w:ind w:left="-2" w:leftChars="-1" w:firstLine="0" w:firstLineChars="0"/>
        <w:jc w:val="center"/>
        <w:outlineLvl w:val="0"/>
        <w:rPr>
          <w:rFonts w:hint="eastAsia" w:ascii="仿宋" w:hAnsi="仿宋" w:eastAsia="仿宋" w:cs="仿宋"/>
          <w:b/>
          <w:bCs/>
          <w:color w:val="auto"/>
          <w:sz w:val="28"/>
          <w:szCs w:val="28"/>
          <w:highlight w:val="none"/>
        </w:rPr>
      </w:pPr>
      <w:bookmarkStart w:id="31" w:name="_Toc8531"/>
      <w:r>
        <w:rPr>
          <w:rFonts w:hint="eastAsia" w:ascii="仿宋" w:hAnsi="仿宋" w:eastAsia="仿宋" w:cs="仿宋"/>
          <w:b/>
          <w:bCs/>
          <w:color w:val="auto"/>
          <w:sz w:val="28"/>
          <w:szCs w:val="28"/>
          <w:highlight w:val="none"/>
        </w:rPr>
        <w:t>第五章 响应文件格式</w:t>
      </w:r>
      <w:bookmarkEnd w:id="31"/>
    </w:p>
    <w:p w14:paraId="76EE0217">
      <w:pPr>
        <w:rPr>
          <w:rFonts w:hint="eastAsia" w:ascii="仿宋" w:hAnsi="仿宋" w:eastAsia="仿宋" w:cs="仿宋"/>
          <w:color w:val="auto"/>
          <w:sz w:val="24"/>
          <w:highlight w:val="none"/>
          <w:u w:val="single"/>
        </w:rPr>
      </w:pPr>
    </w:p>
    <w:p w14:paraId="134625BB">
      <w:pPr>
        <w:rPr>
          <w:rFonts w:hint="eastAsia" w:ascii="仿宋" w:hAnsi="仿宋" w:eastAsia="仿宋" w:cs="仿宋"/>
          <w:color w:val="auto"/>
          <w:sz w:val="24"/>
          <w:highlight w:val="none"/>
          <w:u w:val="single"/>
        </w:rPr>
      </w:pPr>
    </w:p>
    <w:p w14:paraId="5276C59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响应文件封面示例</w:t>
      </w:r>
    </w:p>
    <w:p w14:paraId="6F0239AC">
      <w:pPr>
        <w:spacing w:line="360" w:lineRule="auto"/>
        <w:ind w:right="315"/>
        <w:jc w:val="right"/>
        <w:rPr>
          <w:rFonts w:hint="eastAsia" w:ascii="仿宋" w:hAnsi="仿宋" w:eastAsia="仿宋" w:cs="仿宋"/>
          <w:b/>
          <w:color w:val="auto"/>
          <w:sz w:val="24"/>
          <w:highlight w:val="none"/>
          <w:bdr w:val="single" w:color="auto" w:sz="4" w:space="0"/>
        </w:rPr>
      </w:pPr>
      <w:r>
        <w:rPr>
          <w:rFonts w:hint="eastAsia" w:ascii="仿宋" w:hAnsi="仿宋" w:eastAsia="仿宋" w:cs="仿宋"/>
          <w:b/>
          <w:color w:val="auto"/>
          <w:sz w:val="24"/>
          <w:highlight w:val="none"/>
          <w:bdr w:val="single" w:color="auto" w:sz="4" w:space="0"/>
        </w:rPr>
        <w:t>正本</w:t>
      </w:r>
    </w:p>
    <w:p w14:paraId="371DD2E3">
      <w:pPr>
        <w:spacing w:line="360" w:lineRule="auto"/>
        <w:jc w:val="center"/>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（项目名称）</w:t>
      </w:r>
    </w:p>
    <w:p w14:paraId="36E225F5">
      <w:pPr>
        <w:spacing w:line="360" w:lineRule="auto"/>
        <w:jc w:val="center"/>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（项目编号）</w:t>
      </w:r>
    </w:p>
    <w:p w14:paraId="05B7BD2D">
      <w:pPr>
        <w:spacing w:line="360" w:lineRule="auto"/>
        <w:jc w:val="center"/>
        <w:rPr>
          <w:rFonts w:hint="eastAsia" w:ascii="仿宋" w:hAnsi="仿宋" w:eastAsia="仿宋" w:cs="仿宋"/>
          <w:b/>
          <w:bCs/>
          <w:color w:val="auto"/>
          <w:sz w:val="24"/>
          <w:highlight w:val="none"/>
        </w:rPr>
      </w:pPr>
    </w:p>
    <w:p w14:paraId="7F0684FE">
      <w:pPr>
        <w:spacing w:line="360" w:lineRule="auto"/>
        <w:jc w:val="center"/>
        <w:rPr>
          <w:rFonts w:hint="eastAsia" w:ascii="仿宋" w:hAnsi="仿宋" w:eastAsia="仿宋" w:cs="仿宋"/>
          <w:b/>
          <w:bCs/>
          <w:color w:val="auto"/>
          <w:sz w:val="24"/>
          <w:highlight w:val="none"/>
        </w:rPr>
      </w:pPr>
    </w:p>
    <w:p w14:paraId="1A66C93E">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w:t>
      </w:r>
    </w:p>
    <w:p w14:paraId="4B5CBF9E">
      <w:pPr>
        <w:spacing w:line="360" w:lineRule="auto"/>
        <w:rPr>
          <w:rFonts w:hint="eastAsia" w:ascii="仿宋" w:hAnsi="仿宋" w:eastAsia="仿宋" w:cs="仿宋"/>
          <w:color w:val="auto"/>
          <w:sz w:val="24"/>
          <w:highlight w:val="none"/>
        </w:rPr>
      </w:pPr>
    </w:p>
    <w:p w14:paraId="45B2E448">
      <w:pPr>
        <w:spacing w:line="360" w:lineRule="auto"/>
        <w:rPr>
          <w:rFonts w:hint="eastAsia" w:ascii="仿宋" w:hAnsi="仿宋" w:eastAsia="仿宋" w:cs="仿宋"/>
          <w:color w:val="auto"/>
          <w:sz w:val="24"/>
          <w:highlight w:val="none"/>
        </w:rPr>
      </w:pPr>
    </w:p>
    <w:p w14:paraId="00A902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供应商：（盖章）</w:t>
      </w:r>
    </w:p>
    <w:p w14:paraId="11A3E513">
      <w:pPr>
        <w:spacing w:line="360" w:lineRule="auto"/>
        <w:rPr>
          <w:rFonts w:hint="eastAsia" w:ascii="仿宋" w:hAnsi="仿宋" w:eastAsia="仿宋" w:cs="仿宋"/>
          <w:color w:val="auto"/>
          <w:sz w:val="24"/>
          <w:highlight w:val="none"/>
        </w:rPr>
      </w:pPr>
    </w:p>
    <w:p w14:paraId="609C498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kern w:val="0"/>
          <w:sz w:val="24"/>
          <w:highlight w:val="none"/>
        </w:rPr>
        <w:t>（盖章）</w:t>
      </w:r>
    </w:p>
    <w:p w14:paraId="19B83DB4">
      <w:pPr>
        <w:spacing w:line="360" w:lineRule="auto"/>
        <w:rPr>
          <w:rFonts w:hint="eastAsia" w:ascii="仿宋" w:hAnsi="仿宋" w:eastAsia="仿宋" w:cs="仿宋"/>
          <w:color w:val="auto"/>
          <w:sz w:val="24"/>
          <w:highlight w:val="none"/>
        </w:rPr>
      </w:pPr>
    </w:p>
    <w:p w14:paraId="52DD7B1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单位地址：</w:t>
      </w:r>
    </w:p>
    <w:p w14:paraId="588E8782">
      <w:pPr>
        <w:spacing w:line="360" w:lineRule="auto"/>
        <w:rPr>
          <w:rFonts w:hint="eastAsia" w:ascii="仿宋" w:hAnsi="仿宋" w:eastAsia="仿宋" w:cs="仿宋"/>
          <w:color w:val="auto"/>
          <w:sz w:val="24"/>
          <w:highlight w:val="none"/>
        </w:rPr>
      </w:pPr>
    </w:p>
    <w:p w14:paraId="67BF13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p w14:paraId="7397616A">
      <w:pPr>
        <w:spacing w:line="360" w:lineRule="auto"/>
        <w:rPr>
          <w:rFonts w:hint="eastAsia" w:ascii="仿宋" w:hAnsi="仿宋" w:eastAsia="仿宋" w:cs="仿宋"/>
          <w:color w:val="auto"/>
          <w:sz w:val="24"/>
          <w:highlight w:val="none"/>
        </w:rPr>
      </w:pPr>
    </w:p>
    <w:p w14:paraId="5F9911A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14:paraId="1462FE23">
      <w:pPr>
        <w:spacing w:line="360" w:lineRule="auto"/>
        <w:rPr>
          <w:rFonts w:hint="eastAsia" w:ascii="仿宋" w:hAnsi="仿宋" w:eastAsia="仿宋" w:cs="仿宋"/>
          <w:color w:val="auto"/>
          <w:sz w:val="24"/>
          <w:highlight w:val="none"/>
        </w:rPr>
      </w:pPr>
    </w:p>
    <w:p w14:paraId="72B41F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6EE9F2B">
      <w:pPr>
        <w:spacing w:line="360" w:lineRule="auto"/>
        <w:rPr>
          <w:rFonts w:hint="eastAsia" w:ascii="仿宋" w:hAnsi="仿宋" w:eastAsia="仿宋" w:cs="仿宋"/>
          <w:color w:val="auto"/>
          <w:sz w:val="24"/>
          <w:highlight w:val="none"/>
        </w:rPr>
      </w:pPr>
    </w:p>
    <w:p w14:paraId="1FF7B6F8">
      <w:pPr>
        <w:spacing w:line="360" w:lineRule="auto"/>
        <w:rPr>
          <w:rFonts w:hint="eastAsia" w:ascii="仿宋" w:hAnsi="仿宋" w:eastAsia="仿宋" w:cs="仿宋"/>
          <w:color w:val="auto"/>
          <w:sz w:val="24"/>
          <w:highlight w:val="none"/>
        </w:rPr>
      </w:pPr>
    </w:p>
    <w:p w14:paraId="54D84C1E">
      <w:pPr>
        <w:spacing w:line="360" w:lineRule="auto"/>
        <w:ind w:firstLine="2" w:firstLineChars="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4AC1CE4">
      <w:pPr>
        <w:spacing w:line="360" w:lineRule="auto"/>
        <w:ind w:firstLine="2" w:firstLineChars="1"/>
        <w:jc w:val="center"/>
        <w:rPr>
          <w:rFonts w:hint="eastAsia" w:ascii="仿宋" w:hAnsi="仿宋" w:eastAsia="仿宋" w:cs="仿宋"/>
          <w:color w:val="auto"/>
          <w:sz w:val="24"/>
          <w:highlight w:val="none"/>
        </w:rPr>
      </w:pPr>
    </w:p>
    <w:p w14:paraId="46BD72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32" w:name="_Toc38446469"/>
      <w:bookmarkStart w:id="33" w:name="_Toc38910521"/>
      <w:r>
        <w:rPr>
          <w:rFonts w:hint="eastAsia" w:ascii="仿宋" w:hAnsi="仿宋" w:eastAsia="仿宋" w:cs="仿宋"/>
          <w:color w:val="auto"/>
          <w:sz w:val="24"/>
          <w:highlight w:val="none"/>
        </w:rPr>
        <w:t>目录</w:t>
      </w:r>
      <w:bookmarkEnd w:id="32"/>
      <w:bookmarkEnd w:id="33"/>
    </w:p>
    <w:p w14:paraId="1875622D">
      <w:pPr>
        <w:spacing w:line="360" w:lineRule="auto"/>
        <w:rPr>
          <w:rFonts w:hint="eastAsia" w:ascii="仿宋" w:hAnsi="仿宋" w:eastAsia="仿宋" w:cs="仿宋"/>
          <w:bCs/>
          <w:color w:val="auto"/>
          <w:sz w:val="24"/>
          <w:highlight w:val="none"/>
        </w:rPr>
      </w:pPr>
    </w:p>
    <w:p w14:paraId="5A007696">
      <w:pP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一、</w:t>
      </w:r>
      <w:r>
        <w:rPr>
          <w:rFonts w:hint="eastAsia" w:ascii="仿宋" w:hAnsi="仿宋" w:eastAsia="仿宋" w:cs="仿宋"/>
          <w:bCs/>
          <w:color w:val="auto"/>
          <w:sz w:val="24"/>
          <w:highlight w:val="none"/>
          <w:lang w:eastAsia="zh-CN"/>
        </w:rPr>
        <w:t>开标一览表</w:t>
      </w:r>
    </w:p>
    <w:p w14:paraId="7FF33DD1">
      <w:pP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二、</w:t>
      </w:r>
      <w:r>
        <w:rPr>
          <w:rFonts w:hint="eastAsia" w:ascii="仿宋" w:hAnsi="仿宋" w:eastAsia="仿宋" w:cs="仿宋"/>
          <w:bCs/>
          <w:color w:val="auto"/>
          <w:sz w:val="24"/>
          <w:highlight w:val="none"/>
          <w:lang w:eastAsia="zh-CN"/>
        </w:rPr>
        <w:t>协商价格明细表</w:t>
      </w:r>
    </w:p>
    <w:p w14:paraId="11EB6D7C">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三、商务条款偏离表</w:t>
      </w:r>
    </w:p>
    <w:p w14:paraId="4FE10F3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四、技术条款偏离表</w:t>
      </w:r>
    </w:p>
    <w:p w14:paraId="29218B17">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五、法定代表人身份证明书</w:t>
      </w:r>
      <w:r>
        <w:rPr>
          <w:rFonts w:hint="eastAsia" w:ascii="仿宋" w:hAnsi="仿宋" w:eastAsia="仿宋" w:cs="仿宋"/>
          <w:bCs/>
          <w:color w:val="auto"/>
          <w:sz w:val="24"/>
          <w:highlight w:val="none"/>
        </w:rPr>
        <w:tab/>
      </w:r>
    </w:p>
    <w:p w14:paraId="5458F2C2">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六、法定代表人授权委托书</w:t>
      </w:r>
      <w:r>
        <w:rPr>
          <w:rFonts w:hint="eastAsia" w:ascii="仿宋" w:hAnsi="仿宋" w:eastAsia="仿宋" w:cs="仿宋"/>
          <w:bCs/>
          <w:color w:val="auto"/>
          <w:sz w:val="24"/>
          <w:highlight w:val="none"/>
        </w:rPr>
        <w:tab/>
      </w:r>
    </w:p>
    <w:p w14:paraId="384B899A">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七、供应商基本情况表</w:t>
      </w:r>
      <w:r>
        <w:rPr>
          <w:rFonts w:hint="eastAsia" w:ascii="仿宋" w:hAnsi="仿宋" w:eastAsia="仿宋" w:cs="仿宋"/>
          <w:bCs/>
          <w:color w:val="auto"/>
          <w:sz w:val="24"/>
          <w:highlight w:val="none"/>
        </w:rPr>
        <w:tab/>
      </w:r>
    </w:p>
    <w:p w14:paraId="612C2FBE">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八、供应商资格条件证明材料</w:t>
      </w:r>
      <w:r>
        <w:rPr>
          <w:rFonts w:hint="eastAsia" w:ascii="仿宋" w:hAnsi="仿宋" w:eastAsia="仿宋" w:cs="仿宋"/>
          <w:bCs/>
          <w:color w:val="auto"/>
          <w:sz w:val="24"/>
          <w:highlight w:val="none"/>
        </w:rPr>
        <w:tab/>
      </w:r>
    </w:p>
    <w:p w14:paraId="4118FCA3">
      <w:pPr>
        <w:spacing w:line="360" w:lineRule="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九、</w:t>
      </w:r>
      <w:r>
        <w:rPr>
          <w:rFonts w:hint="eastAsia" w:ascii="仿宋" w:hAnsi="仿宋" w:eastAsia="仿宋" w:cs="仿宋"/>
          <w:bCs/>
          <w:color w:val="auto"/>
          <w:sz w:val="24"/>
          <w:highlight w:val="none"/>
          <w:lang w:eastAsia="zh-CN"/>
        </w:rPr>
        <w:t>供应商近年类似项目情况表</w:t>
      </w:r>
    </w:p>
    <w:p w14:paraId="1E007200">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十、项目负责人简历表</w:t>
      </w:r>
      <w:r>
        <w:rPr>
          <w:rFonts w:hint="eastAsia" w:ascii="仿宋" w:hAnsi="仿宋" w:eastAsia="仿宋" w:cs="仿宋"/>
          <w:bCs/>
          <w:color w:val="auto"/>
          <w:sz w:val="24"/>
          <w:highlight w:val="none"/>
        </w:rPr>
        <w:tab/>
      </w:r>
    </w:p>
    <w:p w14:paraId="53B27CE4">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十一、拟派本项目服务人员情况表</w:t>
      </w:r>
    </w:p>
    <w:p w14:paraId="40C3EE88">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十二、服务方案</w:t>
      </w:r>
    </w:p>
    <w:p w14:paraId="797B4F28">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十三、其他需要提交的资料</w:t>
      </w:r>
      <w:r>
        <w:rPr>
          <w:rFonts w:hint="eastAsia" w:ascii="仿宋" w:hAnsi="仿宋" w:eastAsia="仿宋" w:cs="仿宋"/>
          <w:bCs/>
          <w:color w:val="auto"/>
          <w:sz w:val="24"/>
          <w:highlight w:val="none"/>
        </w:rPr>
        <w:tab/>
      </w:r>
    </w:p>
    <w:p w14:paraId="65C668A1">
      <w:pPr>
        <w:spacing w:line="360" w:lineRule="auto"/>
        <w:rPr>
          <w:rFonts w:hint="eastAsia" w:ascii="仿宋" w:hAnsi="仿宋" w:eastAsia="仿宋" w:cs="仿宋"/>
          <w:bCs/>
          <w:color w:val="auto"/>
          <w:sz w:val="24"/>
          <w:highlight w:val="none"/>
        </w:rPr>
      </w:pPr>
    </w:p>
    <w:p w14:paraId="64AB3757">
      <w:p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注：为了便于查找，请按上述顺序编制</w:t>
      </w:r>
      <w:r>
        <w:rPr>
          <w:rFonts w:hint="eastAsia" w:ascii="仿宋" w:hAnsi="仿宋" w:eastAsia="仿宋" w:cs="仿宋"/>
          <w:color w:val="auto"/>
          <w:sz w:val="24"/>
          <w:highlight w:val="none"/>
        </w:rPr>
        <w:t>响应文件</w:t>
      </w:r>
      <w:r>
        <w:rPr>
          <w:rFonts w:hint="eastAsia" w:ascii="仿宋" w:hAnsi="仿宋" w:eastAsia="仿宋" w:cs="仿宋"/>
          <w:bCs/>
          <w:color w:val="auto"/>
          <w:sz w:val="24"/>
          <w:highlight w:val="none"/>
        </w:rPr>
        <w:t>内容，并在目录中标明每项内容的起始页码。</w:t>
      </w:r>
    </w:p>
    <w:p w14:paraId="7FC9E902">
      <w:pPr>
        <w:tabs>
          <w:tab w:val="center" w:pos="4832"/>
          <w:tab w:val="left" w:pos="7140"/>
        </w:tabs>
        <w:spacing w:line="360" w:lineRule="auto"/>
        <w:jc w:val="center"/>
        <w:outlineLvl w:val="1"/>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br w:type="page"/>
      </w:r>
      <w:bookmarkStart w:id="34" w:name="_Toc38446470"/>
      <w:bookmarkStart w:id="35" w:name="_Toc533503181"/>
      <w:bookmarkStart w:id="36" w:name="_Toc142664970"/>
      <w:bookmarkStart w:id="37" w:name="_Toc507586166"/>
      <w:bookmarkStart w:id="38" w:name="_Toc5757"/>
      <w:r>
        <w:rPr>
          <w:rFonts w:hint="eastAsia" w:ascii="仿宋" w:hAnsi="仿宋" w:eastAsia="仿宋" w:cs="仿宋"/>
          <w:b/>
          <w:color w:val="auto"/>
          <w:sz w:val="24"/>
          <w:highlight w:val="none"/>
        </w:rPr>
        <w:t>一、</w:t>
      </w:r>
      <w:bookmarkEnd w:id="34"/>
      <w:bookmarkEnd w:id="35"/>
      <w:bookmarkEnd w:id="36"/>
      <w:bookmarkEnd w:id="37"/>
      <w:r>
        <w:rPr>
          <w:rFonts w:hint="eastAsia" w:ascii="仿宋" w:hAnsi="仿宋" w:eastAsia="仿宋" w:cs="仿宋"/>
          <w:b/>
          <w:color w:val="auto"/>
          <w:sz w:val="24"/>
          <w:highlight w:val="none"/>
          <w:lang w:eastAsia="zh-CN"/>
        </w:rPr>
        <w:t>开标一览表</w:t>
      </w:r>
      <w:bookmarkEnd w:id="38"/>
    </w:p>
    <w:p w14:paraId="0342EBDE">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08E13C7B">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（采购人名称）</w:t>
      </w:r>
    </w:p>
    <w:p w14:paraId="2079D402">
      <w:pPr>
        <w:widowControl/>
        <w:shd w:val="clear" w:color="auto" w:fill="FFFFFF"/>
        <w:snapToGri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根据已收到的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kern w:val="0"/>
          <w:sz w:val="24"/>
          <w:highlight w:val="none"/>
        </w:rPr>
        <w:t>，遵照《中华人民共和国政府采购法》等有关法律法规的规定，经考察现场和充分研究贵方的</w:t>
      </w:r>
      <w:r>
        <w:rPr>
          <w:rFonts w:hint="eastAsia" w:ascii="仿宋" w:hAnsi="仿宋" w:eastAsia="仿宋" w:cs="仿宋"/>
          <w:color w:val="auto"/>
          <w:sz w:val="24"/>
          <w:highlight w:val="none"/>
          <w:lang w:eastAsia="zh-CN"/>
        </w:rPr>
        <w:t>单一来源协商文件</w:t>
      </w:r>
      <w:r>
        <w:rPr>
          <w:rFonts w:hint="eastAsia" w:ascii="仿宋" w:hAnsi="仿宋" w:eastAsia="仿宋" w:cs="仿宋"/>
          <w:color w:val="auto"/>
          <w:kern w:val="0"/>
          <w:sz w:val="24"/>
          <w:highlight w:val="none"/>
        </w:rPr>
        <w:t>的全部内容后，我方郑重承诺如下：</w:t>
      </w:r>
    </w:p>
    <w:p w14:paraId="218905CB">
      <w:pPr>
        <w:widowControl/>
        <w:shd w:val="clear" w:color="auto" w:fill="FFFFFF"/>
        <w:snapToGrid w:val="0"/>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w:t>
      </w:r>
      <w:r>
        <w:rPr>
          <w:rFonts w:hint="eastAsia" w:ascii="仿宋" w:hAnsi="仿宋" w:eastAsia="仿宋" w:cs="仿宋"/>
          <w:color w:val="auto"/>
          <w:kern w:val="0"/>
          <w:sz w:val="24"/>
          <w:highlight w:val="none"/>
          <w:lang w:eastAsia="zh-CN"/>
        </w:rPr>
        <w:t>协商价格</w:t>
      </w:r>
      <w:r>
        <w:rPr>
          <w:rFonts w:hint="eastAsia" w:ascii="仿宋" w:hAnsi="仿宋" w:eastAsia="仿宋" w:cs="仿宋"/>
          <w:color w:val="auto"/>
          <w:kern w:val="0"/>
          <w:sz w:val="24"/>
          <w:highlight w:val="none"/>
        </w:rPr>
        <w:t>为人民币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供货周期</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内供货、安装、调试。</w:t>
      </w:r>
    </w:p>
    <w:p w14:paraId="33EDD402">
      <w:pPr>
        <w:widowControl/>
        <w:shd w:val="clear" w:color="auto" w:fill="FFFFFF"/>
        <w:snapToGrid w:val="0"/>
        <w:spacing w:line="384" w:lineRule="auto"/>
        <w:ind w:firstLine="42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我方在此承诺，所递交的响应文件及有关资料内容完整、真实和准确，且不存在供应商须知前附表规定的供应商不得存在的任何一种情形。</w:t>
      </w:r>
    </w:p>
    <w:p w14:paraId="5A6E6326">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如果我方中标，我方将按规定履行合同责任义务。保证在合同约定的供货周期内供货，并确保我方提供货物的品种、规格、质量和数量以及相关服务满足</w:t>
      </w:r>
      <w:r>
        <w:rPr>
          <w:rFonts w:hint="eastAsia" w:ascii="仿宋" w:hAnsi="仿宋" w:eastAsia="仿宋" w:cs="仿宋"/>
          <w:color w:val="auto"/>
          <w:kern w:val="0"/>
          <w:sz w:val="24"/>
          <w:szCs w:val="24"/>
          <w:highlight w:val="none"/>
          <w:lang w:eastAsia="zh-CN"/>
        </w:rPr>
        <w:t>单一来源协商文件</w:t>
      </w:r>
      <w:r>
        <w:rPr>
          <w:rFonts w:hint="eastAsia" w:ascii="仿宋" w:hAnsi="仿宋" w:eastAsia="仿宋" w:cs="仿宋"/>
          <w:color w:val="auto"/>
          <w:kern w:val="0"/>
          <w:sz w:val="24"/>
          <w:szCs w:val="24"/>
          <w:highlight w:val="none"/>
        </w:rPr>
        <w:t>的要求。</w:t>
      </w:r>
    </w:p>
    <w:p w14:paraId="471A5032">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质保期：本项目货物质保期为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年内免费维护，自</w:t>
      </w:r>
      <w:r>
        <w:rPr>
          <w:rFonts w:hint="eastAsia" w:ascii="仿宋" w:hAnsi="仿宋" w:eastAsia="仿宋" w:cs="仿宋"/>
          <w:color w:val="auto"/>
          <w:kern w:val="0"/>
          <w:sz w:val="24"/>
          <w:szCs w:val="24"/>
          <w:highlight w:val="none"/>
          <w:lang w:val="en-US" w:eastAsia="zh-CN"/>
        </w:rPr>
        <w:t>采购人</w:t>
      </w:r>
      <w:r>
        <w:rPr>
          <w:rFonts w:hint="eastAsia" w:ascii="仿宋" w:hAnsi="仿宋" w:eastAsia="仿宋" w:cs="仿宋"/>
          <w:color w:val="auto"/>
          <w:kern w:val="0"/>
          <w:sz w:val="24"/>
          <w:szCs w:val="24"/>
          <w:highlight w:val="none"/>
        </w:rPr>
        <w:t>及相关部门总体验收合格之日起计算。如果由于我方责任致使不能验收，此质保期相应顺延。</w:t>
      </w:r>
    </w:p>
    <w:p w14:paraId="5F095CAC">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eastAsia="zh-CN"/>
        </w:rPr>
        <w:t>单一来源协商文件</w:t>
      </w:r>
      <w:r>
        <w:rPr>
          <w:rFonts w:hint="eastAsia" w:ascii="仿宋" w:hAnsi="仿宋" w:eastAsia="仿宋" w:cs="仿宋"/>
          <w:color w:val="auto"/>
          <w:kern w:val="0"/>
          <w:sz w:val="24"/>
          <w:szCs w:val="24"/>
          <w:highlight w:val="none"/>
        </w:rPr>
        <w:t>规定的</w:t>
      </w:r>
      <w:r>
        <w:rPr>
          <w:rFonts w:hint="eastAsia" w:ascii="仿宋" w:hAnsi="仿宋" w:eastAsia="仿宋" w:cs="仿宋"/>
          <w:color w:val="auto"/>
          <w:kern w:val="0"/>
          <w:sz w:val="24"/>
          <w:szCs w:val="24"/>
          <w:highlight w:val="none"/>
          <w:lang w:eastAsia="zh-CN"/>
        </w:rPr>
        <w:t>响应有效期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响应有效期</w:t>
      </w:r>
      <w:r>
        <w:rPr>
          <w:rFonts w:hint="eastAsia" w:ascii="仿宋" w:hAnsi="仿宋" w:eastAsia="仿宋" w:cs="仿宋"/>
          <w:color w:val="auto"/>
          <w:kern w:val="0"/>
          <w:sz w:val="24"/>
          <w:szCs w:val="24"/>
          <w:highlight w:val="none"/>
        </w:rPr>
        <w:t>内撤销投标，其</w:t>
      </w:r>
      <w:r>
        <w:rPr>
          <w:rFonts w:hint="eastAsia" w:ascii="仿宋" w:hAnsi="仿宋" w:eastAsia="仿宋" w:cs="仿宋"/>
          <w:color w:val="auto"/>
          <w:kern w:val="0"/>
          <w:sz w:val="24"/>
          <w:szCs w:val="24"/>
          <w:highlight w:val="none"/>
          <w:lang w:eastAsia="zh-CN"/>
        </w:rPr>
        <w:t>协商保证金</w:t>
      </w:r>
      <w:r>
        <w:rPr>
          <w:rFonts w:hint="eastAsia" w:ascii="仿宋" w:hAnsi="仿宋" w:eastAsia="仿宋" w:cs="仿宋"/>
          <w:color w:val="auto"/>
          <w:kern w:val="0"/>
          <w:sz w:val="24"/>
          <w:szCs w:val="24"/>
          <w:highlight w:val="none"/>
        </w:rPr>
        <w:t>将被贵方没收。</w:t>
      </w:r>
    </w:p>
    <w:p w14:paraId="0E74BDC8">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eastAsia="zh-CN"/>
        </w:rPr>
        <w:t>单一来源协商文件</w:t>
      </w:r>
      <w:r>
        <w:rPr>
          <w:rFonts w:hint="eastAsia" w:ascii="仿宋" w:hAnsi="仿宋" w:eastAsia="仿宋" w:cs="仿宋"/>
          <w:color w:val="auto"/>
          <w:kern w:val="0"/>
          <w:sz w:val="24"/>
          <w:szCs w:val="24"/>
          <w:highlight w:val="none"/>
        </w:rPr>
        <w:t>文件的全部内容，并无异议。</w:t>
      </w:r>
    </w:p>
    <w:p w14:paraId="5F1031D9">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我方愿意提供贵方可能要求的与</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有关的一切数据或资料，完全理解贵方不一定接受最低投标报价的</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或收到的任何</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w:t>
      </w:r>
    </w:p>
    <w:p w14:paraId="5B3822EF">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如我方</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，我方自愿向采购代理机构支付咨询费，并在合同签订后3个工作日内向采购代理机构提供采购合同原件一份用于采购资料备案工作。</w:t>
      </w:r>
    </w:p>
    <w:p w14:paraId="7A049006">
      <w:pPr>
        <w:rPr>
          <w:rFonts w:hint="eastAsia" w:ascii="仿宋" w:hAnsi="仿宋" w:eastAsia="仿宋" w:cs="仿宋"/>
          <w:color w:val="auto"/>
          <w:kern w:val="0"/>
          <w:sz w:val="24"/>
          <w:highlight w:val="none"/>
        </w:rPr>
      </w:pPr>
    </w:p>
    <w:p w14:paraId="771BFC85">
      <w:pPr>
        <w:pStyle w:val="2"/>
        <w:rPr>
          <w:rFonts w:hint="eastAsia" w:ascii="仿宋" w:hAnsi="仿宋" w:eastAsia="仿宋" w:cs="仿宋"/>
          <w:color w:val="auto"/>
          <w:kern w:val="0"/>
          <w:sz w:val="24"/>
          <w:highlight w:val="none"/>
        </w:rPr>
      </w:pPr>
    </w:p>
    <w:p w14:paraId="3F5338EC">
      <w:pPr>
        <w:pStyle w:val="2"/>
        <w:rPr>
          <w:rFonts w:hint="eastAsia" w:ascii="仿宋" w:hAnsi="仿宋" w:eastAsia="仿宋" w:cs="仿宋"/>
          <w:color w:val="auto"/>
          <w:kern w:val="0"/>
          <w:sz w:val="24"/>
          <w:highlight w:val="none"/>
        </w:rPr>
      </w:pPr>
    </w:p>
    <w:p w14:paraId="3387E982">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210E8C12">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                           日期：年 月 日</w:t>
      </w:r>
    </w:p>
    <w:p w14:paraId="28E534CA">
      <w:pPr>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39" w:name="_Toc38446474"/>
      <w:bookmarkStart w:id="40" w:name="_Toc533503184"/>
      <w:bookmarkStart w:id="41" w:name="_Toc507586169"/>
    </w:p>
    <w:p w14:paraId="5893DB45">
      <w:pPr>
        <w:tabs>
          <w:tab w:val="center" w:pos="4832"/>
          <w:tab w:val="left" w:pos="7140"/>
        </w:tabs>
        <w:spacing w:line="360" w:lineRule="auto"/>
        <w:jc w:val="center"/>
        <w:outlineLvl w:val="1"/>
        <w:rPr>
          <w:rFonts w:hint="eastAsia" w:ascii="仿宋" w:hAnsi="仿宋" w:eastAsia="仿宋" w:cs="仿宋"/>
          <w:color w:val="auto"/>
          <w:kern w:val="0"/>
          <w:sz w:val="24"/>
          <w:highlight w:val="none"/>
          <w:lang w:eastAsia="zh-CN"/>
        </w:rPr>
      </w:pPr>
      <w:bookmarkStart w:id="42" w:name="_Toc142664971"/>
      <w:bookmarkStart w:id="43" w:name="_Toc32722"/>
      <w:r>
        <w:rPr>
          <w:rFonts w:hint="eastAsia" w:ascii="仿宋" w:hAnsi="仿宋" w:eastAsia="仿宋" w:cs="仿宋"/>
          <w:b/>
          <w:color w:val="auto"/>
          <w:sz w:val="24"/>
          <w:highlight w:val="none"/>
        </w:rPr>
        <w:t>二、</w:t>
      </w:r>
      <w:bookmarkEnd w:id="42"/>
      <w:r>
        <w:rPr>
          <w:rFonts w:hint="eastAsia" w:ascii="仿宋" w:hAnsi="仿宋" w:eastAsia="仿宋" w:cs="仿宋"/>
          <w:b/>
          <w:color w:val="auto"/>
          <w:sz w:val="24"/>
          <w:highlight w:val="none"/>
          <w:lang w:eastAsia="zh-CN"/>
        </w:rPr>
        <w:t>协商价格明细表</w:t>
      </w:r>
      <w:bookmarkEnd w:id="43"/>
    </w:p>
    <w:p w14:paraId="76551D6B">
      <w:pPr>
        <w:spacing w:line="360" w:lineRule="auto"/>
        <w:ind w:firstLine="720" w:firstLineChars="300"/>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kern w:val="0"/>
          <w:sz w:val="24"/>
          <w:szCs w:val="24"/>
          <w:highlight w:val="none"/>
          <w:lang w:eastAsia="zh-CN"/>
        </w:rPr>
        <w:t>元</w:t>
      </w:r>
    </w:p>
    <w:tbl>
      <w:tblPr>
        <w:tblStyle w:val="3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1325"/>
        <w:gridCol w:w="798"/>
        <w:gridCol w:w="1061"/>
        <w:gridCol w:w="1326"/>
        <w:gridCol w:w="798"/>
        <w:gridCol w:w="806"/>
        <w:gridCol w:w="798"/>
        <w:gridCol w:w="1458"/>
        <w:gridCol w:w="798"/>
      </w:tblGrid>
      <w:tr w14:paraId="54A7A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7316E87B">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序号</w:t>
            </w:r>
          </w:p>
        </w:tc>
        <w:tc>
          <w:tcPr>
            <w:tcW w:w="665" w:type="pct"/>
            <w:vAlign w:val="center"/>
          </w:tcPr>
          <w:p w14:paraId="64E63F38">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标的名称</w:t>
            </w:r>
          </w:p>
        </w:tc>
        <w:tc>
          <w:tcPr>
            <w:tcW w:w="400" w:type="pct"/>
            <w:vAlign w:val="center"/>
          </w:tcPr>
          <w:p w14:paraId="71B829F7">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品牌</w:t>
            </w:r>
          </w:p>
        </w:tc>
        <w:tc>
          <w:tcPr>
            <w:tcW w:w="532" w:type="pct"/>
            <w:vAlign w:val="center"/>
          </w:tcPr>
          <w:p w14:paraId="22341D17">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制造商</w:t>
            </w:r>
          </w:p>
        </w:tc>
        <w:tc>
          <w:tcPr>
            <w:tcW w:w="665" w:type="pct"/>
            <w:vAlign w:val="center"/>
          </w:tcPr>
          <w:p w14:paraId="4350210A">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规格型号</w:t>
            </w:r>
          </w:p>
        </w:tc>
        <w:tc>
          <w:tcPr>
            <w:tcW w:w="400" w:type="pct"/>
            <w:vAlign w:val="center"/>
          </w:tcPr>
          <w:p w14:paraId="10C87F73">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数量</w:t>
            </w:r>
          </w:p>
        </w:tc>
        <w:tc>
          <w:tcPr>
            <w:tcW w:w="400" w:type="pct"/>
            <w:vAlign w:val="center"/>
          </w:tcPr>
          <w:p w14:paraId="76CC7913">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单价</w:t>
            </w:r>
          </w:p>
        </w:tc>
        <w:tc>
          <w:tcPr>
            <w:tcW w:w="400" w:type="pct"/>
            <w:vAlign w:val="center"/>
          </w:tcPr>
          <w:p w14:paraId="0A71AA2A">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小计</w:t>
            </w:r>
          </w:p>
        </w:tc>
        <w:tc>
          <w:tcPr>
            <w:tcW w:w="731" w:type="pct"/>
            <w:tcBorders>
              <w:right w:val="single" w:color="auto" w:sz="4" w:space="0"/>
            </w:tcBorders>
            <w:vAlign w:val="center"/>
          </w:tcPr>
          <w:p w14:paraId="191EB180">
            <w:pPr>
              <w:jc w:val="cente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进口/国产</w:t>
            </w:r>
          </w:p>
        </w:tc>
        <w:tc>
          <w:tcPr>
            <w:tcW w:w="400" w:type="pct"/>
            <w:tcBorders>
              <w:left w:val="single" w:color="auto" w:sz="4" w:space="0"/>
            </w:tcBorders>
            <w:vAlign w:val="center"/>
          </w:tcPr>
          <w:p w14:paraId="34C34457">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备注</w:t>
            </w:r>
          </w:p>
        </w:tc>
      </w:tr>
      <w:tr w14:paraId="320BB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7702C067">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p>
        </w:tc>
        <w:tc>
          <w:tcPr>
            <w:tcW w:w="665" w:type="pct"/>
            <w:vAlign w:val="center"/>
          </w:tcPr>
          <w:p w14:paraId="1BF80FB6">
            <w:pPr>
              <w:jc w:val="center"/>
              <w:rPr>
                <w:rFonts w:hint="eastAsia" w:ascii="仿宋" w:hAnsi="仿宋" w:eastAsia="仿宋" w:cs="仿宋"/>
                <w:bCs/>
                <w:color w:val="auto"/>
                <w:sz w:val="21"/>
                <w:szCs w:val="21"/>
                <w:highlight w:val="none"/>
              </w:rPr>
            </w:pPr>
          </w:p>
        </w:tc>
        <w:tc>
          <w:tcPr>
            <w:tcW w:w="400" w:type="pct"/>
            <w:vAlign w:val="center"/>
          </w:tcPr>
          <w:p w14:paraId="1A7A5A74">
            <w:pPr>
              <w:jc w:val="center"/>
              <w:rPr>
                <w:rFonts w:hint="eastAsia" w:ascii="仿宋" w:hAnsi="仿宋" w:eastAsia="仿宋" w:cs="仿宋"/>
                <w:bCs/>
                <w:color w:val="auto"/>
                <w:sz w:val="21"/>
                <w:szCs w:val="21"/>
                <w:highlight w:val="none"/>
              </w:rPr>
            </w:pPr>
          </w:p>
        </w:tc>
        <w:tc>
          <w:tcPr>
            <w:tcW w:w="532" w:type="pct"/>
            <w:vAlign w:val="center"/>
          </w:tcPr>
          <w:p w14:paraId="7FD5D980">
            <w:pPr>
              <w:jc w:val="center"/>
              <w:rPr>
                <w:rFonts w:hint="eastAsia" w:ascii="仿宋" w:hAnsi="仿宋" w:eastAsia="仿宋" w:cs="仿宋"/>
                <w:bCs/>
                <w:color w:val="auto"/>
                <w:sz w:val="21"/>
                <w:szCs w:val="21"/>
                <w:highlight w:val="none"/>
              </w:rPr>
            </w:pPr>
          </w:p>
        </w:tc>
        <w:tc>
          <w:tcPr>
            <w:tcW w:w="665" w:type="pct"/>
            <w:vAlign w:val="center"/>
          </w:tcPr>
          <w:p w14:paraId="7E274750">
            <w:pPr>
              <w:jc w:val="center"/>
              <w:rPr>
                <w:rFonts w:hint="eastAsia" w:ascii="仿宋" w:hAnsi="仿宋" w:eastAsia="仿宋" w:cs="仿宋"/>
                <w:bCs/>
                <w:color w:val="auto"/>
                <w:sz w:val="21"/>
                <w:szCs w:val="21"/>
                <w:highlight w:val="none"/>
              </w:rPr>
            </w:pPr>
          </w:p>
        </w:tc>
        <w:tc>
          <w:tcPr>
            <w:tcW w:w="400" w:type="pct"/>
            <w:vAlign w:val="center"/>
          </w:tcPr>
          <w:p w14:paraId="06C90BFF">
            <w:pPr>
              <w:jc w:val="center"/>
              <w:rPr>
                <w:rFonts w:hint="eastAsia" w:ascii="仿宋" w:hAnsi="仿宋" w:eastAsia="仿宋" w:cs="仿宋"/>
                <w:bCs/>
                <w:color w:val="auto"/>
                <w:sz w:val="21"/>
                <w:szCs w:val="21"/>
                <w:highlight w:val="none"/>
              </w:rPr>
            </w:pPr>
          </w:p>
        </w:tc>
        <w:tc>
          <w:tcPr>
            <w:tcW w:w="400" w:type="pct"/>
            <w:vAlign w:val="center"/>
          </w:tcPr>
          <w:p w14:paraId="3FF4A744">
            <w:pPr>
              <w:jc w:val="center"/>
              <w:rPr>
                <w:rFonts w:hint="eastAsia" w:ascii="仿宋" w:hAnsi="仿宋" w:eastAsia="仿宋" w:cs="仿宋"/>
                <w:bCs/>
                <w:color w:val="auto"/>
                <w:sz w:val="21"/>
                <w:szCs w:val="21"/>
                <w:highlight w:val="none"/>
              </w:rPr>
            </w:pPr>
          </w:p>
        </w:tc>
        <w:tc>
          <w:tcPr>
            <w:tcW w:w="400" w:type="pct"/>
            <w:vAlign w:val="center"/>
          </w:tcPr>
          <w:p w14:paraId="183298BF">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304034C0">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1DE96352">
            <w:pPr>
              <w:jc w:val="center"/>
              <w:rPr>
                <w:rFonts w:hint="eastAsia" w:ascii="仿宋" w:hAnsi="仿宋" w:eastAsia="仿宋" w:cs="仿宋"/>
                <w:bCs/>
                <w:color w:val="auto"/>
                <w:sz w:val="21"/>
                <w:szCs w:val="21"/>
                <w:highlight w:val="none"/>
              </w:rPr>
            </w:pPr>
          </w:p>
        </w:tc>
      </w:tr>
      <w:tr w14:paraId="12D75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0DDB0E78">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p>
        </w:tc>
        <w:tc>
          <w:tcPr>
            <w:tcW w:w="665" w:type="pct"/>
            <w:vAlign w:val="center"/>
          </w:tcPr>
          <w:p w14:paraId="387C8865">
            <w:pPr>
              <w:jc w:val="center"/>
              <w:rPr>
                <w:rFonts w:hint="eastAsia" w:ascii="仿宋" w:hAnsi="仿宋" w:eastAsia="仿宋" w:cs="仿宋"/>
                <w:bCs/>
                <w:color w:val="auto"/>
                <w:sz w:val="21"/>
                <w:szCs w:val="21"/>
                <w:highlight w:val="none"/>
              </w:rPr>
            </w:pPr>
          </w:p>
        </w:tc>
        <w:tc>
          <w:tcPr>
            <w:tcW w:w="400" w:type="pct"/>
            <w:vAlign w:val="center"/>
          </w:tcPr>
          <w:p w14:paraId="116466CF">
            <w:pPr>
              <w:jc w:val="center"/>
              <w:rPr>
                <w:rFonts w:hint="eastAsia" w:ascii="仿宋" w:hAnsi="仿宋" w:eastAsia="仿宋" w:cs="仿宋"/>
                <w:bCs/>
                <w:color w:val="auto"/>
                <w:sz w:val="21"/>
                <w:szCs w:val="21"/>
                <w:highlight w:val="none"/>
              </w:rPr>
            </w:pPr>
          </w:p>
        </w:tc>
        <w:tc>
          <w:tcPr>
            <w:tcW w:w="532" w:type="pct"/>
            <w:vAlign w:val="center"/>
          </w:tcPr>
          <w:p w14:paraId="776BFDA1">
            <w:pPr>
              <w:jc w:val="center"/>
              <w:rPr>
                <w:rFonts w:hint="eastAsia" w:ascii="仿宋" w:hAnsi="仿宋" w:eastAsia="仿宋" w:cs="仿宋"/>
                <w:bCs/>
                <w:color w:val="auto"/>
                <w:sz w:val="21"/>
                <w:szCs w:val="21"/>
                <w:highlight w:val="none"/>
              </w:rPr>
            </w:pPr>
          </w:p>
        </w:tc>
        <w:tc>
          <w:tcPr>
            <w:tcW w:w="665" w:type="pct"/>
            <w:vAlign w:val="center"/>
          </w:tcPr>
          <w:p w14:paraId="396D4D19">
            <w:pPr>
              <w:jc w:val="center"/>
              <w:rPr>
                <w:rFonts w:hint="eastAsia" w:ascii="仿宋" w:hAnsi="仿宋" w:eastAsia="仿宋" w:cs="仿宋"/>
                <w:bCs/>
                <w:color w:val="auto"/>
                <w:sz w:val="21"/>
                <w:szCs w:val="21"/>
                <w:highlight w:val="none"/>
              </w:rPr>
            </w:pPr>
          </w:p>
        </w:tc>
        <w:tc>
          <w:tcPr>
            <w:tcW w:w="400" w:type="pct"/>
            <w:vAlign w:val="center"/>
          </w:tcPr>
          <w:p w14:paraId="32F66B72">
            <w:pPr>
              <w:jc w:val="center"/>
              <w:rPr>
                <w:rFonts w:hint="eastAsia" w:ascii="仿宋" w:hAnsi="仿宋" w:eastAsia="仿宋" w:cs="仿宋"/>
                <w:bCs/>
                <w:color w:val="auto"/>
                <w:sz w:val="21"/>
                <w:szCs w:val="21"/>
                <w:highlight w:val="none"/>
              </w:rPr>
            </w:pPr>
          </w:p>
        </w:tc>
        <w:tc>
          <w:tcPr>
            <w:tcW w:w="400" w:type="pct"/>
            <w:vAlign w:val="center"/>
          </w:tcPr>
          <w:p w14:paraId="7B00D043">
            <w:pPr>
              <w:jc w:val="center"/>
              <w:rPr>
                <w:rFonts w:hint="eastAsia" w:ascii="仿宋" w:hAnsi="仿宋" w:eastAsia="仿宋" w:cs="仿宋"/>
                <w:bCs/>
                <w:color w:val="auto"/>
                <w:sz w:val="21"/>
                <w:szCs w:val="21"/>
                <w:highlight w:val="none"/>
              </w:rPr>
            </w:pPr>
          </w:p>
        </w:tc>
        <w:tc>
          <w:tcPr>
            <w:tcW w:w="400" w:type="pct"/>
            <w:vAlign w:val="center"/>
          </w:tcPr>
          <w:p w14:paraId="0FAAC877">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4A9294A7">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4A2D8966">
            <w:pPr>
              <w:jc w:val="center"/>
              <w:rPr>
                <w:rFonts w:hint="eastAsia" w:ascii="仿宋" w:hAnsi="仿宋" w:eastAsia="仿宋" w:cs="仿宋"/>
                <w:bCs/>
                <w:color w:val="auto"/>
                <w:sz w:val="21"/>
                <w:szCs w:val="21"/>
                <w:highlight w:val="none"/>
              </w:rPr>
            </w:pPr>
          </w:p>
        </w:tc>
      </w:tr>
      <w:tr w14:paraId="33EC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4B41338F">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p>
        </w:tc>
        <w:tc>
          <w:tcPr>
            <w:tcW w:w="665" w:type="pct"/>
            <w:vAlign w:val="center"/>
          </w:tcPr>
          <w:p w14:paraId="62AE3BB0">
            <w:pPr>
              <w:jc w:val="center"/>
              <w:rPr>
                <w:rFonts w:hint="eastAsia" w:ascii="仿宋" w:hAnsi="仿宋" w:eastAsia="仿宋" w:cs="仿宋"/>
                <w:bCs/>
                <w:color w:val="auto"/>
                <w:sz w:val="21"/>
                <w:szCs w:val="21"/>
                <w:highlight w:val="none"/>
              </w:rPr>
            </w:pPr>
          </w:p>
        </w:tc>
        <w:tc>
          <w:tcPr>
            <w:tcW w:w="400" w:type="pct"/>
            <w:vAlign w:val="center"/>
          </w:tcPr>
          <w:p w14:paraId="45055CAC">
            <w:pPr>
              <w:jc w:val="center"/>
              <w:rPr>
                <w:rFonts w:hint="eastAsia" w:ascii="仿宋" w:hAnsi="仿宋" w:eastAsia="仿宋" w:cs="仿宋"/>
                <w:bCs/>
                <w:color w:val="auto"/>
                <w:sz w:val="21"/>
                <w:szCs w:val="21"/>
                <w:highlight w:val="none"/>
              </w:rPr>
            </w:pPr>
          </w:p>
        </w:tc>
        <w:tc>
          <w:tcPr>
            <w:tcW w:w="532" w:type="pct"/>
            <w:vAlign w:val="center"/>
          </w:tcPr>
          <w:p w14:paraId="1DAA0D85">
            <w:pPr>
              <w:jc w:val="center"/>
              <w:rPr>
                <w:rFonts w:hint="eastAsia" w:ascii="仿宋" w:hAnsi="仿宋" w:eastAsia="仿宋" w:cs="仿宋"/>
                <w:bCs/>
                <w:color w:val="auto"/>
                <w:sz w:val="21"/>
                <w:szCs w:val="21"/>
                <w:highlight w:val="none"/>
              </w:rPr>
            </w:pPr>
          </w:p>
        </w:tc>
        <w:tc>
          <w:tcPr>
            <w:tcW w:w="665" w:type="pct"/>
            <w:vAlign w:val="center"/>
          </w:tcPr>
          <w:p w14:paraId="6946E1FD">
            <w:pPr>
              <w:jc w:val="center"/>
              <w:rPr>
                <w:rFonts w:hint="eastAsia" w:ascii="仿宋" w:hAnsi="仿宋" w:eastAsia="仿宋" w:cs="仿宋"/>
                <w:bCs/>
                <w:color w:val="auto"/>
                <w:sz w:val="21"/>
                <w:szCs w:val="21"/>
                <w:highlight w:val="none"/>
              </w:rPr>
            </w:pPr>
          </w:p>
        </w:tc>
        <w:tc>
          <w:tcPr>
            <w:tcW w:w="400" w:type="pct"/>
            <w:vAlign w:val="center"/>
          </w:tcPr>
          <w:p w14:paraId="471C7634">
            <w:pPr>
              <w:jc w:val="center"/>
              <w:rPr>
                <w:rFonts w:hint="eastAsia" w:ascii="仿宋" w:hAnsi="仿宋" w:eastAsia="仿宋" w:cs="仿宋"/>
                <w:bCs/>
                <w:color w:val="auto"/>
                <w:sz w:val="21"/>
                <w:szCs w:val="21"/>
                <w:highlight w:val="none"/>
              </w:rPr>
            </w:pPr>
          </w:p>
        </w:tc>
        <w:tc>
          <w:tcPr>
            <w:tcW w:w="400" w:type="pct"/>
            <w:vAlign w:val="center"/>
          </w:tcPr>
          <w:p w14:paraId="359684A7">
            <w:pPr>
              <w:jc w:val="center"/>
              <w:rPr>
                <w:rFonts w:hint="eastAsia" w:ascii="仿宋" w:hAnsi="仿宋" w:eastAsia="仿宋" w:cs="仿宋"/>
                <w:bCs/>
                <w:color w:val="auto"/>
                <w:sz w:val="21"/>
                <w:szCs w:val="21"/>
                <w:highlight w:val="none"/>
              </w:rPr>
            </w:pPr>
          </w:p>
        </w:tc>
        <w:tc>
          <w:tcPr>
            <w:tcW w:w="400" w:type="pct"/>
            <w:vAlign w:val="center"/>
          </w:tcPr>
          <w:p w14:paraId="28F7BB46">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147D3B87">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6A2B3B60">
            <w:pPr>
              <w:jc w:val="center"/>
              <w:rPr>
                <w:rFonts w:hint="eastAsia" w:ascii="仿宋" w:hAnsi="仿宋" w:eastAsia="仿宋" w:cs="仿宋"/>
                <w:bCs/>
                <w:color w:val="auto"/>
                <w:sz w:val="21"/>
                <w:szCs w:val="21"/>
                <w:highlight w:val="none"/>
              </w:rPr>
            </w:pPr>
          </w:p>
        </w:tc>
      </w:tr>
      <w:tr w14:paraId="645E3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7F0E74AE">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w:t>
            </w:r>
          </w:p>
        </w:tc>
        <w:tc>
          <w:tcPr>
            <w:tcW w:w="665" w:type="pct"/>
            <w:vAlign w:val="center"/>
          </w:tcPr>
          <w:p w14:paraId="27F39633">
            <w:pPr>
              <w:jc w:val="center"/>
              <w:rPr>
                <w:rFonts w:hint="eastAsia" w:ascii="仿宋" w:hAnsi="仿宋" w:eastAsia="仿宋" w:cs="仿宋"/>
                <w:bCs/>
                <w:color w:val="auto"/>
                <w:sz w:val="21"/>
                <w:szCs w:val="21"/>
                <w:highlight w:val="none"/>
              </w:rPr>
            </w:pPr>
          </w:p>
        </w:tc>
        <w:tc>
          <w:tcPr>
            <w:tcW w:w="400" w:type="pct"/>
            <w:vAlign w:val="center"/>
          </w:tcPr>
          <w:p w14:paraId="34758201">
            <w:pPr>
              <w:jc w:val="center"/>
              <w:rPr>
                <w:rFonts w:hint="eastAsia" w:ascii="仿宋" w:hAnsi="仿宋" w:eastAsia="仿宋" w:cs="仿宋"/>
                <w:bCs/>
                <w:color w:val="auto"/>
                <w:sz w:val="21"/>
                <w:szCs w:val="21"/>
                <w:highlight w:val="none"/>
              </w:rPr>
            </w:pPr>
          </w:p>
        </w:tc>
        <w:tc>
          <w:tcPr>
            <w:tcW w:w="532" w:type="pct"/>
            <w:vAlign w:val="center"/>
          </w:tcPr>
          <w:p w14:paraId="713C8620">
            <w:pPr>
              <w:jc w:val="center"/>
              <w:rPr>
                <w:rFonts w:hint="eastAsia" w:ascii="仿宋" w:hAnsi="仿宋" w:eastAsia="仿宋" w:cs="仿宋"/>
                <w:bCs/>
                <w:color w:val="auto"/>
                <w:sz w:val="21"/>
                <w:szCs w:val="21"/>
                <w:highlight w:val="none"/>
              </w:rPr>
            </w:pPr>
          </w:p>
        </w:tc>
        <w:tc>
          <w:tcPr>
            <w:tcW w:w="665" w:type="pct"/>
            <w:vAlign w:val="center"/>
          </w:tcPr>
          <w:p w14:paraId="0053A841">
            <w:pPr>
              <w:jc w:val="center"/>
              <w:rPr>
                <w:rFonts w:hint="eastAsia" w:ascii="仿宋" w:hAnsi="仿宋" w:eastAsia="仿宋" w:cs="仿宋"/>
                <w:bCs/>
                <w:color w:val="auto"/>
                <w:sz w:val="21"/>
                <w:szCs w:val="21"/>
                <w:highlight w:val="none"/>
              </w:rPr>
            </w:pPr>
          </w:p>
        </w:tc>
        <w:tc>
          <w:tcPr>
            <w:tcW w:w="400" w:type="pct"/>
            <w:vAlign w:val="center"/>
          </w:tcPr>
          <w:p w14:paraId="0292BE88">
            <w:pPr>
              <w:jc w:val="center"/>
              <w:rPr>
                <w:rFonts w:hint="eastAsia" w:ascii="仿宋" w:hAnsi="仿宋" w:eastAsia="仿宋" w:cs="仿宋"/>
                <w:bCs/>
                <w:color w:val="auto"/>
                <w:sz w:val="21"/>
                <w:szCs w:val="21"/>
                <w:highlight w:val="none"/>
              </w:rPr>
            </w:pPr>
          </w:p>
        </w:tc>
        <w:tc>
          <w:tcPr>
            <w:tcW w:w="400" w:type="pct"/>
            <w:vAlign w:val="center"/>
          </w:tcPr>
          <w:p w14:paraId="73BFFC7B">
            <w:pPr>
              <w:jc w:val="center"/>
              <w:rPr>
                <w:rFonts w:hint="eastAsia" w:ascii="仿宋" w:hAnsi="仿宋" w:eastAsia="仿宋" w:cs="仿宋"/>
                <w:bCs/>
                <w:color w:val="auto"/>
                <w:sz w:val="21"/>
                <w:szCs w:val="21"/>
                <w:highlight w:val="none"/>
              </w:rPr>
            </w:pPr>
          </w:p>
        </w:tc>
        <w:tc>
          <w:tcPr>
            <w:tcW w:w="400" w:type="pct"/>
            <w:vAlign w:val="center"/>
          </w:tcPr>
          <w:p w14:paraId="4869C3DF">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0AAE5FFA">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33E84BCD">
            <w:pPr>
              <w:jc w:val="center"/>
              <w:rPr>
                <w:rFonts w:hint="eastAsia" w:ascii="仿宋" w:hAnsi="仿宋" w:eastAsia="仿宋" w:cs="仿宋"/>
                <w:bCs/>
                <w:color w:val="auto"/>
                <w:sz w:val="21"/>
                <w:szCs w:val="21"/>
                <w:highlight w:val="none"/>
              </w:rPr>
            </w:pPr>
          </w:p>
        </w:tc>
      </w:tr>
      <w:tr w14:paraId="2B572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1D9BF0E6">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5</w:t>
            </w:r>
          </w:p>
        </w:tc>
        <w:tc>
          <w:tcPr>
            <w:tcW w:w="665" w:type="pct"/>
            <w:vAlign w:val="center"/>
          </w:tcPr>
          <w:p w14:paraId="42572BCA">
            <w:pPr>
              <w:jc w:val="center"/>
              <w:rPr>
                <w:rFonts w:hint="eastAsia" w:ascii="仿宋" w:hAnsi="仿宋" w:eastAsia="仿宋" w:cs="仿宋"/>
                <w:bCs/>
                <w:color w:val="auto"/>
                <w:sz w:val="21"/>
                <w:szCs w:val="21"/>
                <w:highlight w:val="none"/>
              </w:rPr>
            </w:pPr>
          </w:p>
        </w:tc>
        <w:tc>
          <w:tcPr>
            <w:tcW w:w="400" w:type="pct"/>
            <w:vAlign w:val="center"/>
          </w:tcPr>
          <w:p w14:paraId="777412DA">
            <w:pPr>
              <w:jc w:val="center"/>
              <w:rPr>
                <w:rFonts w:hint="eastAsia" w:ascii="仿宋" w:hAnsi="仿宋" w:eastAsia="仿宋" w:cs="仿宋"/>
                <w:bCs/>
                <w:color w:val="auto"/>
                <w:sz w:val="21"/>
                <w:szCs w:val="21"/>
                <w:highlight w:val="none"/>
              </w:rPr>
            </w:pPr>
          </w:p>
        </w:tc>
        <w:tc>
          <w:tcPr>
            <w:tcW w:w="532" w:type="pct"/>
            <w:vAlign w:val="center"/>
          </w:tcPr>
          <w:p w14:paraId="025315D4">
            <w:pPr>
              <w:jc w:val="center"/>
              <w:rPr>
                <w:rFonts w:hint="eastAsia" w:ascii="仿宋" w:hAnsi="仿宋" w:eastAsia="仿宋" w:cs="仿宋"/>
                <w:bCs/>
                <w:color w:val="auto"/>
                <w:sz w:val="21"/>
                <w:szCs w:val="21"/>
                <w:highlight w:val="none"/>
              </w:rPr>
            </w:pPr>
          </w:p>
        </w:tc>
        <w:tc>
          <w:tcPr>
            <w:tcW w:w="665" w:type="pct"/>
            <w:vAlign w:val="center"/>
          </w:tcPr>
          <w:p w14:paraId="6135AA1E">
            <w:pPr>
              <w:jc w:val="center"/>
              <w:rPr>
                <w:rFonts w:hint="eastAsia" w:ascii="仿宋" w:hAnsi="仿宋" w:eastAsia="仿宋" w:cs="仿宋"/>
                <w:bCs/>
                <w:color w:val="auto"/>
                <w:sz w:val="21"/>
                <w:szCs w:val="21"/>
                <w:highlight w:val="none"/>
              </w:rPr>
            </w:pPr>
          </w:p>
        </w:tc>
        <w:tc>
          <w:tcPr>
            <w:tcW w:w="400" w:type="pct"/>
            <w:vAlign w:val="center"/>
          </w:tcPr>
          <w:p w14:paraId="243AE8B3">
            <w:pPr>
              <w:jc w:val="center"/>
              <w:rPr>
                <w:rFonts w:hint="eastAsia" w:ascii="仿宋" w:hAnsi="仿宋" w:eastAsia="仿宋" w:cs="仿宋"/>
                <w:bCs/>
                <w:color w:val="auto"/>
                <w:sz w:val="21"/>
                <w:szCs w:val="21"/>
                <w:highlight w:val="none"/>
              </w:rPr>
            </w:pPr>
          </w:p>
        </w:tc>
        <w:tc>
          <w:tcPr>
            <w:tcW w:w="400" w:type="pct"/>
            <w:vAlign w:val="center"/>
          </w:tcPr>
          <w:p w14:paraId="1C6926F1">
            <w:pPr>
              <w:jc w:val="center"/>
              <w:rPr>
                <w:rFonts w:hint="eastAsia" w:ascii="仿宋" w:hAnsi="仿宋" w:eastAsia="仿宋" w:cs="仿宋"/>
                <w:bCs/>
                <w:color w:val="auto"/>
                <w:sz w:val="21"/>
                <w:szCs w:val="21"/>
                <w:highlight w:val="none"/>
              </w:rPr>
            </w:pPr>
          </w:p>
        </w:tc>
        <w:tc>
          <w:tcPr>
            <w:tcW w:w="400" w:type="pct"/>
            <w:vAlign w:val="center"/>
          </w:tcPr>
          <w:p w14:paraId="7B7BEB9D">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7489A173">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1A86745F">
            <w:pPr>
              <w:jc w:val="center"/>
              <w:rPr>
                <w:rFonts w:hint="eastAsia" w:ascii="仿宋" w:hAnsi="仿宋" w:eastAsia="仿宋" w:cs="仿宋"/>
                <w:bCs/>
                <w:color w:val="auto"/>
                <w:sz w:val="21"/>
                <w:szCs w:val="21"/>
                <w:highlight w:val="none"/>
              </w:rPr>
            </w:pPr>
          </w:p>
        </w:tc>
      </w:tr>
      <w:tr w14:paraId="057C1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400" w:type="pct"/>
            <w:vAlign w:val="center"/>
          </w:tcPr>
          <w:p w14:paraId="4EFF69D1">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p>
        </w:tc>
        <w:tc>
          <w:tcPr>
            <w:tcW w:w="665" w:type="pct"/>
            <w:vAlign w:val="center"/>
          </w:tcPr>
          <w:p w14:paraId="4F8154B8">
            <w:pPr>
              <w:jc w:val="center"/>
              <w:rPr>
                <w:rFonts w:hint="eastAsia" w:ascii="仿宋" w:hAnsi="仿宋" w:eastAsia="仿宋" w:cs="仿宋"/>
                <w:bCs/>
                <w:color w:val="auto"/>
                <w:sz w:val="21"/>
                <w:szCs w:val="21"/>
                <w:highlight w:val="none"/>
              </w:rPr>
            </w:pPr>
          </w:p>
        </w:tc>
        <w:tc>
          <w:tcPr>
            <w:tcW w:w="400" w:type="pct"/>
            <w:vAlign w:val="center"/>
          </w:tcPr>
          <w:p w14:paraId="626D242B">
            <w:pPr>
              <w:jc w:val="center"/>
              <w:rPr>
                <w:rFonts w:hint="eastAsia" w:ascii="仿宋" w:hAnsi="仿宋" w:eastAsia="仿宋" w:cs="仿宋"/>
                <w:bCs/>
                <w:color w:val="auto"/>
                <w:sz w:val="21"/>
                <w:szCs w:val="21"/>
                <w:highlight w:val="none"/>
              </w:rPr>
            </w:pPr>
          </w:p>
        </w:tc>
        <w:tc>
          <w:tcPr>
            <w:tcW w:w="532" w:type="pct"/>
            <w:vAlign w:val="center"/>
          </w:tcPr>
          <w:p w14:paraId="0831A376">
            <w:pPr>
              <w:jc w:val="center"/>
              <w:rPr>
                <w:rFonts w:hint="eastAsia" w:ascii="仿宋" w:hAnsi="仿宋" w:eastAsia="仿宋" w:cs="仿宋"/>
                <w:bCs/>
                <w:color w:val="auto"/>
                <w:sz w:val="21"/>
                <w:szCs w:val="21"/>
                <w:highlight w:val="none"/>
              </w:rPr>
            </w:pPr>
          </w:p>
        </w:tc>
        <w:tc>
          <w:tcPr>
            <w:tcW w:w="665" w:type="pct"/>
            <w:vAlign w:val="center"/>
          </w:tcPr>
          <w:p w14:paraId="3F919DE8">
            <w:pPr>
              <w:jc w:val="center"/>
              <w:rPr>
                <w:rFonts w:hint="eastAsia" w:ascii="仿宋" w:hAnsi="仿宋" w:eastAsia="仿宋" w:cs="仿宋"/>
                <w:bCs/>
                <w:color w:val="auto"/>
                <w:sz w:val="21"/>
                <w:szCs w:val="21"/>
                <w:highlight w:val="none"/>
              </w:rPr>
            </w:pPr>
          </w:p>
        </w:tc>
        <w:tc>
          <w:tcPr>
            <w:tcW w:w="400" w:type="pct"/>
            <w:vAlign w:val="center"/>
          </w:tcPr>
          <w:p w14:paraId="789255B4">
            <w:pPr>
              <w:jc w:val="center"/>
              <w:rPr>
                <w:rFonts w:hint="eastAsia" w:ascii="仿宋" w:hAnsi="仿宋" w:eastAsia="仿宋" w:cs="仿宋"/>
                <w:bCs/>
                <w:color w:val="auto"/>
                <w:sz w:val="21"/>
                <w:szCs w:val="21"/>
                <w:highlight w:val="none"/>
              </w:rPr>
            </w:pPr>
          </w:p>
        </w:tc>
        <w:tc>
          <w:tcPr>
            <w:tcW w:w="400" w:type="pct"/>
            <w:vAlign w:val="center"/>
          </w:tcPr>
          <w:p w14:paraId="5E513905">
            <w:pPr>
              <w:jc w:val="center"/>
              <w:rPr>
                <w:rFonts w:hint="eastAsia" w:ascii="仿宋" w:hAnsi="仿宋" w:eastAsia="仿宋" w:cs="仿宋"/>
                <w:bCs/>
                <w:color w:val="auto"/>
                <w:sz w:val="21"/>
                <w:szCs w:val="21"/>
                <w:highlight w:val="none"/>
              </w:rPr>
            </w:pPr>
          </w:p>
        </w:tc>
        <w:tc>
          <w:tcPr>
            <w:tcW w:w="400" w:type="pct"/>
            <w:vAlign w:val="center"/>
          </w:tcPr>
          <w:p w14:paraId="6F3ACA2C">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029E4FCD">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15117873">
            <w:pPr>
              <w:jc w:val="center"/>
              <w:rPr>
                <w:rFonts w:hint="eastAsia" w:ascii="仿宋" w:hAnsi="仿宋" w:eastAsia="仿宋" w:cs="仿宋"/>
                <w:bCs/>
                <w:color w:val="auto"/>
                <w:sz w:val="21"/>
                <w:szCs w:val="21"/>
                <w:highlight w:val="none"/>
              </w:rPr>
            </w:pPr>
          </w:p>
        </w:tc>
      </w:tr>
      <w:tr w14:paraId="78E33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3466" w:type="pct"/>
            <w:gridSpan w:val="7"/>
            <w:vAlign w:val="center"/>
          </w:tcPr>
          <w:p w14:paraId="05E94B45">
            <w:pPr>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合计</w:t>
            </w:r>
          </w:p>
        </w:tc>
        <w:tc>
          <w:tcPr>
            <w:tcW w:w="400" w:type="pct"/>
            <w:vAlign w:val="center"/>
          </w:tcPr>
          <w:p w14:paraId="12FC8129">
            <w:pPr>
              <w:jc w:val="center"/>
              <w:rPr>
                <w:rFonts w:hint="eastAsia" w:ascii="仿宋" w:hAnsi="仿宋" w:eastAsia="仿宋" w:cs="仿宋"/>
                <w:bCs/>
                <w:color w:val="auto"/>
                <w:sz w:val="21"/>
                <w:szCs w:val="21"/>
                <w:highlight w:val="none"/>
              </w:rPr>
            </w:pPr>
          </w:p>
        </w:tc>
        <w:tc>
          <w:tcPr>
            <w:tcW w:w="731" w:type="pct"/>
            <w:tcBorders>
              <w:right w:val="single" w:color="auto" w:sz="4" w:space="0"/>
            </w:tcBorders>
            <w:vAlign w:val="center"/>
          </w:tcPr>
          <w:p w14:paraId="2236B844">
            <w:pPr>
              <w:jc w:val="center"/>
              <w:rPr>
                <w:rFonts w:hint="eastAsia" w:ascii="仿宋" w:hAnsi="仿宋" w:eastAsia="仿宋" w:cs="仿宋"/>
                <w:bCs/>
                <w:color w:val="auto"/>
                <w:sz w:val="21"/>
                <w:szCs w:val="21"/>
                <w:highlight w:val="none"/>
              </w:rPr>
            </w:pPr>
          </w:p>
        </w:tc>
        <w:tc>
          <w:tcPr>
            <w:tcW w:w="400" w:type="pct"/>
            <w:tcBorders>
              <w:left w:val="single" w:color="auto" w:sz="4" w:space="0"/>
            </w:tcBorders>
            <w:vAlign w:val="center"/>
          </w:tcPr>
          <w:p w14:paraId="33022C28">
            <w:pPr>
              <w:jc w:val="center"/>
              <w:rPr>
                <w:rFonts w:hint="eastAsia" w:ascii="仿宋" w:hAnsi="仿宋" w:eastAsia="仿宋" w:cs="仿宋"/>
                <w:bCs/>
                <w:color w:val="auto"/>
                <w:sz w:val="21"/>
                <w:szCs w:val="21"/>
                <w:highlight w:val="none"/>
              </w:rPr>
            </w:pPr>
          </w:p>
        </w:tc>
      </w:tr>
    </w:tbl>
    <w:p w14:paraId="414FF833">
      <w:pPr>
        <w:spacing w:line="360" w:lineRule="auto"/>
        <w:rPr>
          <w:rFonts w:hint="eastAsia" w:ascii="仿宋" w:hAnsi="仿宋" w:eastAsia="仿宋" w:cs="仿宋"/>
          <w:color w:val="auto"/>
          <w:highlight w:val="none"/>
        </w:rPr>
      </w:pPr>
    </w:p>
    <w:p w14:paraId="500ED87D">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E2F9A21">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1、货物名称和数量应按照第四章“技术标准和要求”内容填写。</w:t>
      </w:r>
    </w:p>
    <w:p w14:paraId="6E5FFB8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2、供应商填报价格合计应与</w:t>
      </w:r>
      <w:r>
        <w:rPr>
          <w:rFonts w:hint="eastAsia" w:ascii="仿宋" w:hAnsi="仿宋" w:eastAsia="仿宋" w:cs="仿宋"/>
          <w:color w:val="auto"/>
          <w:sz w:val="24"/>
          <w:szCs w:val="24"/>
          <w:highlight w:val="none"/>
          <w:lang w:val="en-US" w:eastAsia="zh-CN"/>
        </w:rPr>
        <w:t>开标一览表</w:t>
      </w:r>
      <w:r>
        <w:rPr>
          <w:rFonts w:hint="eastAsia" w:ascii="仿宋" w:hAnsi="仿宋" w:eastAsia="仿宋" w:cs="仿宋"/>
          <w:color w:val="auto"/>
          <w:sz w:val="24"/>
          <w:szCs w:val="24"/>
          <w:highlight w:val="none"/>
        </w:rPr>
        <w:t>载明价格一致，若不一致，应按照第二章</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办法修正原则进行修正。</w:t>
      </w:r>
    </w:p>
    <w:p w14:paraId="2D966326">
      <w:pP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kern w:val="0"/>
          <w:sz w:val="24"/>
          <w:szCs w:val="24"/>
          <w:highlight w:val="none"/>
          <w:lang w:val="en-US" w:eastAsia="zh-CN"/>
        </w:rPr>
        <w:t>协商</w:t>
      </w:r>
      <w:r>
        <w:rPr>
          <w:rFonts w:hint="eastAsia" w:ascii="仿宋" w:hAnsi="仿宋" w:eastAsia="仿宋" w:cs="仿宋"/>
          <w:color w:val="auto"/>
          <w:kern w:val="0"/>
          <w:sz w:val="24"/>
          <w:szCs w:val="24"/>
          <w:highlight w:val="none"/>
        </w:rPr>
        <w:t>价格应包括供应商履行本项目合同（如果中标）所必须的所有成本费用和</w:t>
      </w:r>
      <w:r>
        <w:rPr>
          <w:rFonts w:hint="eastAsia" w:ascii="仿宋" w:hAnsi="仿宋" w:eastAsia="仿宋" w:cs="仿宋"/>
          <w:color w:val="auto"/>
          <w:kern w:val="0"/>
          <w:sz w:val="24"/>
          <w:szCs w:val="24"/>
          <w:highlight w:val="none"/>
          <w:lang w:eastAsia="zh-CN"/>
        </w:rPr>
        <w:t>成交供应商</w:t>
      </w:r>
      <w:r>
        <w:rPr>
          <w:rFonts w:hint="eastAsia" w:ascii="仿宋" w:hAnsi="仿宋" w:eastAsia="仿宋" w:cs="仿宋"/>
          <w:color w:val="auto"/>
          <w:kern w:val="0"/>
          <w:sz w:val="24"/>
          <w:szCs w:val="24"/>
          <w:highlight w:val="none"/>
        </w:rPr>
        <w:t>应承担的一切税费。未列和没有填写的项目费用，采购人将视为已包括在磋商价格中。</w:t>
      </w:r>
    </w:p>
    <w:p w14:paraId="254B17F5">
      <w:pPr>
        <w:spacing w:line="360" w:lineRule="auto"/>
        <w:jc w:val="left"/>
        <w:rPr>
          <w:rFonts w:hint="eastAsia" w:ascii="仿宋" w:hAnsi="仿宋" w:eastAsia="仿宋" w:cs="仿宋"/>
          <w:color w:val="auto"/>
          <w:sz w:val="24"/>
          <w:highlight w:val="none"/>
        </w:rPr>
      </w:pPr>
    </w:p>
    <w:p w14:paraId="1C0A3372">
      <w:pPr>
        <w:spacing w:line="360" w:lineRule="auto"/>
        <w:jc w:val="left"/>
        <w:rPr>
          <w:rFonts w:hint="eastAsia" w:ascii="仿宋" w:hAnsi="仿宋" w:eastAsia="仿宋" w:cs="仿宋"/>
          <w:color w:val="auto"/>
          <w:sz w:val="24"/>
          <w:highlight w:val="none"/>
        </w:rPr>
      </w:pPr>
    </w:p>
    <w:p w14:paraId="31A91399">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7984D343">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5C3BDB35">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2D383904">
      <w:pPr>
        <w:widowControl/>
        <w:shd w:val="clear" w:color="auto" w:fill="FFFFFF"/>
        <w:snapToGrid w:val="0"/>
        <w:spacing w:line="360" w:lineRule="auto"/>
        <w:ind w:firstLine="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7213F285">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bCs/>
          <w:color w:val="auto"/>
          <w:kern w:val="36"/>
          <w:sz w:val="24"/>
          <w:highlight w:val="none"/>
        </w:rPr>
        <w:br w:type="page"/>
      </w:r>
    </w:p>
    <w:p w14:paraId="22D5259A">
      <w:pPr>
        <w:tabs>
          <w:tab w:val="center" w:pos="4832"/>
          <w:tab w:val="left" w:pos="7140"/>
        </w:tabs>
        <w:spacing w:line="360" w:lineRule="auto"/>
        <w:jc w:val="center"/>
        <w:outlineLvl w:val="1"/>
        <w:rPr>
          <w:rFonts w:hint="eastAsia" w:ascii="仿宋" w:hAnsi="仿宋" w:eastAsia="仿宋" w:cs="仿宋"/>
          <w:color w:val="auto"/>
          <w:kern w:val="0"/>
          <w:sz w:val="24"/>
          <w:highlight w:val="none"/>
        </w:rPr>
      </w:pPr>
      <w:bookmarkStart w:id="44" w:name="_Toc1288"/>
      <w:bookmarkStart w:id="45" w:name="_Toc142664972"/>
      <w:r>
        <w:rPr>
          <w:rFonts w:hint="eastAsia" w:ascii="仿宋" w:hAnsi="仿宋" w:eastAsia="仿宋" w:cs="仿宋"/>
          <w:b/>
          <w:color w:val="auto"/>
          <w:sz w:val="24"/>
          <w:highlight w:val="none"/>
        </w:rPr>
        <w:t>三、商务条款偏离表</w:t>
      </w:r>
      <w:bookmarkEnd w:id="39"/>
      <w:bookmarkEnd w:id="40"/>
      <w:bookmarkEnd w:id="41"/>
      <w:bookmarkEnd w:id="44"/>
      <w:bookmarkEnd w:id="45"/>
    </w:p>
    <w:tbl>
      <w:tblPr>
        <w:tblStyle w:val="3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1D572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52CDA0E">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814" w:type="dxa"/>
            <w:vAlign w:val="center"/>
          </w:tcPr>
          <w:p w14:paraId="69902FB3">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单一来源协商文件</w:t>
            </w:r>
            <w:r>
              <w:rPr>
                <w:rFonts w:hint="eastAsia" w:ascii="仿宋" w:hAnsi="仿宋" w:eastAsia="仿宋" w:cs="仿宋"/>
                <w:bCs/>
                <w:color w:val="auto"/>
                <w:szCs w:val="21"/>
                <w:highlight w:val="none"/>
              </w:rPr>
              <w:t>条目号</w:t>
            </w:r>
          </w:p>
        </w:tc>
        <w:tc>
          <w:tcPr>
            <w:tcW w:w="2083" w:type="dxa"/>
            <w:vAlign w:val="center"/>
          </w:tcPr>
          <w:p w14:paraId="7E670374">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单一来源协商文件</w:t>
            </w:r>
            <w:r>
              <w:rPr>
                <w:rFonts w:hint="eastAsia" w:ascii="仿宋" w:hAnsi="仿宋" w:eastAsia="仿宋" w:cs="仿宋"/>
                <w:bCs/>
                <w:color w:val="auto"/>
                <w:szCs w:val="21"/>
                <w:highlight w:val="none"/>
              </w:rPr>
              <w:t>的商务条款</w:t>
            </w:r>
          </w:p>
        </w:tc>
        <w:tc>
          <w:tcPr>
            <w:tcW w:w="2182" w:type="dxa"/>
            <w:vAlign w:val="center"/>
          </w:tcPr>
          <w:p w14:paraId="12B238CF">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响应文件的商务条款</w:t>
            </w:r>
          </w:p>
        </w:tc>
        <w:tc>
          <w:tcPr>
            <w:tcW w:w="1155" w:type="dxa"/>
            <w:vAlign w:val="center"/>
          </w:tcPr>
          <w:p w14:paraId="29BA48B0">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偏离</w:t>
            </w:r>
          </w:p>
        </w:tc>
        <w:tc>
          <w:tcPr>
            <w:tcW w:w="1219" w:type="dxa"/>
            <w:vAlign w:val="center"/>
          </w:tcPr>
          <w:p w14:paraId="4433E8AD">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说明</w:t>
            </w:r>
          </w:p>
        </w:tc>
      </w:tr>
      <w:tr w14:paraId="72A3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D6CA97E">
            <w:pPr>
              <w:spacing w:line="360" w:lineRule="auto"/>
              <w:jc w:val="center"/>
              <w:rPr>
                <w:rFonts w:hint="eastAsia" w:ascii="仿宋" w:hAnsi="仿宋" w:eastAsia="仿宋" w:cs="仿宋"/>
                <w:b/>
                <w:bCs/>
                <w:color w:val="auto"/>
                <w:szCs w:val="21"/>
                <w:highlight w:val="none"/>
              </w:rPr>
            </w:pPr>
          </w:p>
        </w:tc>
        <w:tc>
          <w:tcPr>
            <w:tcW w:w="1814" w:type="dxa"/>
            <w:vAlign w:val="center"/>
          </w:tcPr>
          <w:p w14:paraId="11CF8E13">
            <w:pPr>
              <w:spacing w:line="360" w:lineRule="auto"/>
              <w:jc w:val="center"/>
              <w:rPr>
                <w:rFonts w:hint="eastAsia" w:ascii="仿宋" w:hAnsi="仿宋" w:eastAsia="仿宋" w:cs="仿宋"/>
                <w:b/>
                <w:bCs/>
                <w:color w:val="auto"/>
                <w:szCs w:val="21"/>
                <w:highlight w:val="none"/>
              </w:rPr>
            </w:pPr>
          </w:p>
        </w:tc>
        <w:tc>
          <w:tcPr>
            <w:tcW w:w="2083" w:type="dxa"/>
            <w:vAlign w:val="center"/>
          </w:tcPr>
          <w:p w14:paraId="03DAE51B">
            <w:pPr>
              <w:spacing w:line="360" w:lineRule="auto"/>
              <w:jc w:val="center"/>
              <w:rPr>
                <w:rFonts w:hint="eastAsia" w:ascii="仿宋" w:hAnsi="仿宋" w:eastAsia="仿宋" w:cs="仿宋"/>
                <w:b/>
                <w:bCs/>
                <w:color w:val="auto"/>
                <w:szCs w:val="21"/>
                <w:highlight w:val="none"/>
              </w:rPr>
            </w:pPr>
          </w:p>
        </w:tc>
        <w:tc>
          <w:tcPr>
            <w:tcW w:w="2182" w:type="dxa"/>
            <w:vAlign w:val="center"/>
          </w:tcPr>
          <w:p w14:paraId="489720BF">
            <w:pPr>
              <w:spacing w:line="360" w:lineRule="auto"/>
              <w:jc w:val="center"/>
              <w:rPr>
                <w:rFonts w:hint="eastAsia" w:ascii="仿宋" w:hAnsi="仿宋" w:eastAsia="仿宋" w:cs="仿宋"/>
                <w:b/>
                <w:bCs/>
                <w:color w:val="auto"/>
                <w:szCs w:val="21"/>
                <w:highlight w:val="none"/>
              </w:rPr>
            </w:pPr>
          </w:p>
        </w:tc>
        <w:tc>
          <w:tcPr>
            <w:tcW w:w="1155" w:type="dxa"/>
            <w:vAlign w:val="center"/>
          </w:tcPr>
          <w:p w14:paraId="5AF3A00C">
            <w:pPr>
              <w:spacing w:line="360" w:lineRule="auto"/>
              <w:jc w:val="center"/>
              <w:rPr>
                <w:rFonts w:hint="eastAsia" w:ascii="仿宋" w:hAnsi="仿宋" w:eastAsia="仿宋" w:cs="仿宋"/>
                <w:b/>
                <w:bCs/>
                <w:color w:val="auto"/>
                <w:szCs w:val="21"/>
                <w:highlight w:val="none"/>
              </w:rPr>
            </w:pPr>
          </w:p>
        </w:tc>
        <w:tc>
          <w:tcPr>
            <w:tcW w:w="1219" w:type="dxa"/>
            <w:vAlign w:val="center"/>
          </w:tcPr>
          <w:p w14:paraId="49D4D49A">
            <w:pPr>
              <w:spacing w:line="360" w:lineRule="auto"/>
              <w:jc w:val="center"/>
              <w:rPr>
                <w:rFonts w:hint="eastAsia" w:ascii="仿宋" w:hAnsi="仿宋" w:eastAsia="仿宋" w:cs="仿宋"/>
                <w:b/>
                <w:bCs/>
                <w:color w:val="auto"/>
                <w:szCs w:val="21"/>
                <w:highlight w:val="none"/>
              </w:rPr>
            </w:pPr>
          </w:p>
        </w:tc>
      </w:tr>
      <w:tr w14:paraId="65D38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D7AD715">
            <w:pPr>
              <w:spacing w:line="360" w:lineRule="auto"/>
              <w:jc w:val="center"/>
              <w:rPr>
                <w:rFonts w:hint="eastAsia" w:ascii="仿宋" w:hAnsi="仿宋" w:eastAsia="仿宋" w:cs="仿宋"/>
                <w:b/>
                <w:bCs/>
                <w:color w:val="auto"/>
                <w:szCs w:val="21"/>
                <w:highlight w:val="none"/>
              </w:rPr>
            </w:pPr>
          </w:p>
        </w:tc>
        <w:tc>
          <w:tcPr>
            <w:tcW w:w="1814" w:type="dxa"/>
            <w:vAlign w:val="center"/>
          </w:tcPr>
          <w:p w14:paraId="375BAEBC">
            <w:pPr>
              <w:spacing w:line="360" w:lineRule="auto"/>
              <w:jc w:val="center"/>
              <w:rPr>
                <w:rFonts w:hint="eastAsia" w:ascii="仿宋" w:hAnsi="仿宋" w:eastAsia="仿宋" w:cs="仿宋"/>
                <w:b/>
                <w:bCs/>
                <w:color w:val="auto"/>
                <w:szCs w:val="21"/>
                <w:highlight w:val="none"/>
              </w:rPr>
            </w:pPr>
          </w:p>
        </w:tc>
        <w:tc>
          <w:tcPr>
            <w:tcW w:w="2083" w:type="dxa"/>
            <w:vAlign w:val="center"/>
          </w:tcPr>
          <w:p w14:paraId="339259D0">
            <w:pPr>
              <w:spacing w:line="360" w:lineRule="auto"/>
              <w:jc w:val="center"/>
              <w:rPr>
                <w:rFonts w:hint="eastAsia" w:ascii="仿宋" w:hAnsi="仿宋" w:eastAsia="仿宋" w:cs="仿宋"/>
                <w:b/>
                <w:bCs/>
                <w:color w:val="auto"/>
                <w:szCs w:val="21"/>
                <w:highlight w:val="none"/>
              </w:rPr>
            </w:pPr>
          </w:p>
        </w:tc>
        <w:tc>
          <w:tcPr>
            <w:tcW w:w="2182" w:type="dxa"/>
            <w:vAlign w:val="center"/>
          </w:tcPr>
          <w:p w14:paraId="7078EE6F">
            <w:pPr>
              <w:spacing w:line="360" w:lineRule="auto"/>
              <w:jc w:val="center"/>
              <w:rPr>
                <w:rFonts w:hint="eastAsia" w:ascii="仿宋" w:hAnsi="仿宋" w:eastAsia="仿宋" w:cs="仿宋"/>
                <w:b/>
                <w:bCs/>
                <w:color w:val="auto"/>
                <w:szCs w:val="21"/>
                <w:highlight w:val="none"/>
              </w:rPr>
            </w:pPr>
          </w:p>
        </w:tc>
        <w:tc>
          <w:tcPr>
            <w:tcW w:w="1155" w:type="dxa"/>
            <w:vAlign w:val="center"/>
          </w:tcPr>
          <w:p w14:paraId="70C12D5D">
            <w:pPr>
              <w:spacing w:line="360" w:lineRule="auto"/>
              <w:jc w:val="center"/>
              <w:rPr>
                <w:rFonts w:hint="eastAsia" w:ascii="仿宋" w:hAnsi="仿宋" w:eastAsia="仿宋" w:cs="仿宋"/>
                <w:b/>
                <w:bCs/>
                <w:color w:val="auto"/>
                <w:szCs w:val="21"/>
                <w:highlight w:val="none"/>
              </w:rPr>
            </w:pPr>
          </w:p>
        </w:tc>
        <w:tc>
          <w:tcPr>
            <w:tcW w:w="1219" w:type="dxa"/>
            <w:vAlign w:val="center"/>
          </w:tcPr>
          <w:p w14:paraId="4B5F1CCE">
            <w:pPr>
              <w:spacing w:line="360" w:lineRule="auto"/>
              <w:jc w:val="center"/>
              <w:rPr>
                <w:rFonts w:hint="eastAsia" w:ascii="仿宋" w:hAnsi="仿宋" w:eastAsia="仿宋" w:cs="仿宋"/>
                <w:b/>
                <w:bCs/>
                <w:color w:val="auto"/>
                <w:szCs w:val="21"/>
                <w:highlight w:val="none"/>
              </w:rPr>
            </w:pPr>
          </w:p>
        </w:tc>
      </w:tr>
      <w:tr w14:paraId="42FEC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684D689">
            <w:pPr>
              <w:spacing w:line="360" w:lineRule="auto"/>
              <w:jc w:val="center"/>
              <w:rPr>
                <w:rFonts w:hint="eastAsia" w:ascii="仿宋" w:hAnsi="仿宋" w:eastAsia="仿宋" w:cs="仿宋"/>
                <w:b/>
                <w:bCs/>
                <w:color w:val="auto"/>
                <w:szCs w:val="21"/>
                <w:highlight w:val="none"/>
              </w:rPr>
            </w:pPr>
          </w:p>
        </w:tc>
        <w:tc>
          <w:tcPr>
            <w:tcW w:w="1814" w:type="dxa"/>
            <w:vAlign w:val="center"/>
          </w:tcPr>
          <w:p w14:paraId="7DC6E914">
            <w:pPr>
              <w:spacing w:line="360" w:lineRule="auto"/>
              <w:jc w:val="center"/>
              <w:rPr>
                <w:rFonts w:hint="eastAsia" w:ascii="仿宋" w:hAnsi="仿宋" w:eastAsia="仿宋" w:cs="仿宋"/>
                <w:b/>
                <w:bCs/>
                <w:color w:val="auto"/>
                <w:szCs w:val="21"/>
                <w:highlight w:val="none"/>
              </w:rPr>
            </w:pPr>
          </w:p>
        </w:tc>
        <w:tc>
          <w:tcPr>
            <w:tcW w:w="2083" w:type="dxa"/>
            <w:vAlign w:val="center"/>
          </w:tcPr>
          <w:p w14:paraId="58F380A1">
            <w:pPr>
              <w:spacing w:line="360" w:lineRule="auto"/>
              <w:jc w:val="center"/>
              <w:rPr>
                <w:rFonts w:hint="eastAsia" w:ascii="仿宋" w:hAnsi="仿宋" w:eastAsia="仿宋" w:cs="仿宋"/>
                <w:b/>
                <w:bCs/>
                <w:color w:val="auto"/>
                <w:szCs w:val="21"/>
                <w:highlight w:val="none"/>
              </w:rPr>
            </w:pPr>
          </w:p>
        </w:tc>
        <w:tc>
          <w:tcPr>
            <w:tcW w:w="2182" w:type="dxa"/>
            <w:vAlign w:val="center"/>
          </w:tcPr>
          <w:p w14:paraId="0F995B6A">
            <w:pPr>
              <w:spacing w:line="360" w:lineRule="auto"/>
              <w:jc w:val="center"/>
              <w:rPr>
                <w:rFonts w:hint="eastAsia" w:ascii="仿宋" w:hAnsi="仿宋" w:eastAsia="仿宋" w:cs="仿宋"/>
                <w:b/>
                <w:bCs/>
                <w:color w:val="auto"/>
                <w:szCs w:val="21"/>
                <w:highlight w:val="none"/>
              </w:rPr>
            </w:pPr>
          </w:p>
        </w:tc>
        <w:tc>
          <w:tcPr>
            <w:tcW w:w="1155" w:type="dxa"/>
            <w:vAlign w:val="center"/>
          </w:tcPr>
          <w:p w14:paraId="5FB61CE2">
            <w:pPr>
              <w:spacing w:line="360" w:lineRule="auto"/>
              <w:jc w:val="center"/>
              <w:rPr>
                <w:rFonts w:hint="eastAsia" w:ascii="仿宋" w:hAnsi="仿宋" w:eastAsia="仿宋" w:cs="仿宋"/>
                <w:b/>
                <w:bCs/>
                <w:color w:val="auto"/>
                <w:szCs w:val="21"/>
                <w:highlight w:val="none"/>
              </w:rPr>
            </w:pPr>
          </w:p>
        </w:tc>
        <w:tc>
          <w:tcPr>
            <w:tcW w:w="1219" w:type="dxa"/>
            <w:vAlign w:val="center"/>
          </w:tcPr>
          <w:p w14:paraId="13AC689E">
            <w:pPr>
              <w:spacing w:line="360" w:lineRule="auto"/>
              <w:jc w:val="center"/>
              <w:rPr>
                <w:rFonts w:hint="eastAsia" w:ascii="仿宋" w:hAnsi="仿宋" w:eastAsia="仿宋" w:cs="仿宋"/>
                <w:b/>
                <w:bCs/>
                <w:color w:val="auto"/>
                <w:szCs w:val="21"/>
                <w:highlight w:val="none"/>
              </w:rPr>
            </w:pPr>
          </w:p>
        </w:tc>
      </w:tr>
      <w:tr w14:paraId="5B02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D65365">
            <w:pPr>
              <w:spacing w:line="360" w:lineRule="auto"/>
              <w:jc w:val="center"/>
              <w:rPr>
                <w:rFonts w:hint="eastAsia" w:ascii="仿宋" w:hAnsi="仿宋" w:eastAsia="仿宋" w:cs="仿宋"/>
                <w:b/>
                <w:bCs/>
                <w:color w:val="auto"/>
                <w:szCs w:val="21"/>
                <w:highlight w:val="none"/>
              </w:rPr>
            </w:pPr>
          </w:p>
        </w:tc>
        <w:tc>
          <w:tcPr>
            <w:tcW w:w="1814" w:type="dxa"/>
            <w:vAlign w:val="center"/>
          </w:tcPr>
          <w:p w14:paraId="5B28784F">
            <w:pPr>
              <w:spacing w:line="360" w:lineRule="auto"/>
              <w:jc w:val="center"/>
              <w:rPr>
                <w:rFonts w:hint="eastAsia" w:ascii="仿宋" w:hAnsi="仿宋" w:eastAsia="仿宋" w:cs="仿宋"/>
                <w:b/>
                <w:bCs/>
                <w:color w:val="auto"/>
                <w:szCs w:val="21"/>
                <w:highlight w:val="none"/>
              </w:rPr>
            </w:pPr>
          </w:p>
        </w:tc>
        <w:tc>
          <w:tcPr>
            <w:tcW w:w="2083" w:type="dxa"/>
            <w:vAlign w:val="center"/>
          </w:tcPr>
          <w:p w14:paraId="1BEF3B73">
            <w:pPr>
              <w:spacing w:line="360" w:lineRule="auto"/>
              <w:jc w:val="center"/>
              <w:rPr>
                <w:rFonts w:hint="eastAsia" w:ascii="仿宋" w:hAnsi="仿宋" w:eastAsia="仿宋" w:cs="仿宋"/>
                <w:b/>
                <w:bCs/>
                <w:color w:val="auto"/>
                <w:szCs w:val="21"/>
                <w:highlight w:val="none"/>
              </w:rPr>
            </w:pPr>
          </w:p>
        </w:tc>
        <w:tc>
          <w:tcPr>
            <w:tcW w:w="2182" w:type="dxa"/>
            <w:vAlign w:val="center"/>
          </w:tcPr>
          <w:p w14:paraId="6310C6ED">
            <w:pPr>
              <w:spacing w:line="360" w:lineRule="auto"/>
              <w:jc w:val="center"/>
              <w:rPr>
                <w:rFonts w:hint="eastAsia" w:ascii="仿宋" w:hAnsi="仿宋" w:eastAsia="仿宋" w:cs="仿宋"/>
                <w:b/>
                <w:bCs/>
                <w:color w:val="auto"/>
                <w:szCs w:val="21"/>
                <w:highlight w:val="none"/>
              </w:rPr>
            </w:pPr>
          </w:p>
        </w:tc>
        <w:tc>
          <w:tcPr>
            <w:tcW w:w="1155" w:type="dxa"/>
            <w:vAlign w:val="center"/>
          </w:tcPr>
          <w:p w14:paraId="08652D89">
            <w:pPr>
              <w:spacing w:line="360" w:lineRule="auto"/>
              <w:jc w:val="center"/>
              <w:rPr>
                <w:rFonts w:hint="eastAsia" w:ascii="仿宋" w:hAnsi="仿宋" w:eastAsia="仿宋" w:cs="仿宋"/>
                <w:b/>
                <w:bCs/>
                <w:color w:val="auto"/>
                <w:szCs w:val="21"/>
                <w:highlight w:val="none"/>
              </w:rPr>
            </w:pPr>
          </w:p>
        </w:tc>
        <w:tc>
          <w:tcPr>
            <w:tcW w:w="1219" w:type="dxa"/>
            <w:vAlign w:val="center"/>
          </w:tcPr>
          <w:p w14:paraId="66B9F6D1">
            <w:pPr>
              <w:spacing w:line="360" w:lineRule="auto"/>
              <w:jc w:val="center"/>
              <w:rPr>
                <w:rFonts w:hint="eastAsia" w:ascii="仿宋" w:hAnsi="仿宋" w:eastAsia="仿宋" w:cs="仿宋"/>
                <w:b/>
                <w:bCs/>
                <w:color w:val="auto"/>
                <w:szCs w:val="21"/>
                <w:highlight w:val="none"/>
              </w:rPr>
            </w:pPr>
          </w:p>
        </w:tc>
      </w:tr>
      <w:tr w14:paraId="7657D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8B3E066">
            <w:pPr>
              <w:spacing w:line="360" w:lineRule="auto"/>
              <w:jc w:val="center"/>
              <w:rPr>
                <w:rFonts w:hint="eastAsia" w:ascii="仿宋" w:hAnsi="仿宋" w:eastAsia="仿宋" w:cs="仿宋"/>
                <w:b/>
                <w:bCs/>
                <w:color w:val="auto"/>
                <w:szCs w:val="21"/>
                <w:highlight w:val="none"/>
              </w:rPr>
            </w:pPr>
          </w:p>
        </w:tc>
        <w:tc>
          <w:tcPr>
            <w:tcW w:w="1814" w:type="dxa"/>
            <w:vAlign w:val="center"/>
          </w:tcPr>
          <w:p w14:paraId="312E393A">
            <w:pPr>
              <w:spacing w:line="360" w:lineRule="auto"/>
              <w:jc w:val="center"/>
              <w:rPr>
                <w:rFonts w:hint="eastAsia" w:ascii="仿宋" w:hAnsi="仿宋" w:eastAsia="仿宋" w:cs="仿宋"/>
                <w:b/>
                <w:bCs/>
                <w:color w:val="auto"/>
                <w:szCs w:val="21"/>
                <w:highlight w:val="none"/>
              </w:rPr>
            </w:pPr>
          </w:p>
        </w:tc>
        <w:tc>
          <w:tcPr>
            <w:tcW w:w="2083" w:type="dxa"/>
            <w:vAlign w:val="center"/>
          </w:tcPr>
          <w:p w14:paraId="40F51FFD">
            <w:pPr>
              <w:spacing w:line="360" w:lineRule="auto"/>
              <w:jc w:val="center"/>
              <w:rPr>
                <w:rFonts w:hint="eastAsia" w:ascii="仿宋" w:hAnsi="仿宋" w:eastAsia="仿宋" w:cs="仿宋"/>
                <w:b/>
                <w:bCs/>
                <w:color w:val="auto"/>
                <w:szCs w:val="21"/>
                <w:highlight w:val="none"/>
              </w:rPr>
            </w:pPr>
          </w:p>
        </w:tc>
        <w:tc>
          <w:tcPr>
            <w:tcW w:w="2182" w:type="dxa"/>
            <w:vAlign w:val="center"/>
          </w:tcPr>
          <w:p w14:paraId="4F188161">
            <w:pPr>
              <w:spacing w:line="360" w:lineRule="auto"/>
              <w:jc w:val="center"/>
              <w:rPr>
                <w:rFonts w:hint="eastAsia" w:ascii="仿宋" w:hAnsi="仿宋" w:eastAsia="仿宋" w:cs="仿宋"/>
                <w:b/>
                <w:bCs/>
                <w:color w:val="auto"/>
                <w:szCs w:val="21"/>
                <w:highlight w:val="none"/>
              </w:rPr>
            </w:pPr>
          </w:p>
        </w:tc>
        <w:tc>
          <w:tcPr>
            <w:tcW w:w="1155" w:type="dxa"/>
            <w:vAlign w:val="center"/>
          </w:tcPr>
          <w:p w14:paraId="49133D71">
            <w:pPr>
              <w:spacing w:line="360" w:lineRule="auto"/>
              <w:jc w:val="center"/>
              <w:rPr>
                <w:rFonts w:hint="eastAsia" w:ascii="仿宋" w:hAnsi="仿宋" w:eastAsia="仿宋" w:cs="仿宋"/>
                <w:b/>
                <w:bCs/>
                <w:color w:val="auto"/>
                <w:szCs w:val="21"/>
                <w:highlight w:val="none"/>
              </w:rPr>
            </w:pPr>
          </w:p>
        </w:tc>
        <w:tc>
          <w:tcPr>
            <w:tcW w:w="1219" w:type="dxa"/>
            <w:vAlign w:val="center"/>
          </w:tcPr>
          <w:p w14:paraId="6258179B">
            <w:pPr>
              <w:spacing w:line="360" w:lineRule="auto"/>
              <w:jc w:val="center"/>
              <w:rPr>
                <w:rFonts w:hint="eastAsia" w:ascii="仿宋" w:hAnsi="仿宋" w:eastAsia="仿宋" w:cs="仿宋"/>
                <w:b/>
                <w:bCs/>
                <w:color w:val="auto"/>
                <w:szCs w:val="21"/>
                <w:highlight w:val="none"/>
              </w:rPr>
            </w:pPr>
          </w:p>
        </w:tc>
      </w:tr>
    </w:tbl>
    <w:p w14:paraId="79C648EE">
      <w:pPr>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highlight w:val="none"/>
        </w:rPr>
        <w:t>备注：供应商对</w:t>
      </w:r>
      <w:r>
        <w:rPr>
          <w:rFonts w:hint="eastAsia" w:ascii="仿宋" w:hAnsi="仿宋" w:eastAsia="仿宋" w:cs="仿宋"/>
          <w:color w:val="auto"/>
          <w:highlight w:val="none"/>
          <w:lang w:eastAsia="zh-CN"/>
        </w:rPr>
        <w:t>单一来源协商文件</w:t>
      </w:r>
      <w:r>
        <w:rPr>
          <w:rFonts w:hint="eastAsia" w:ascii="仿宋" w:hAnsi="仿宋" w:eastAsia="仿宋" w:cs="仿宋"/>
          <w:color w:val="auto"/>
          <w:highlight w:val="none"/>
        </w:rPr>
        <w:t>商务条款有偏离的，应在此表中列明实际响应的内容并加以说明，以便查对。请在此偏离表“偏离”中填写无偏离或正偏离或负偏离。</w:t>
      </w:r>
    </w:p>
    <w:p w14:paraId="19FEC98B">
      <w:pPr>
        <w:spacing w:line="360" w:lineRule="auto"/>
        <w:ind w:firstLine="480" w:firstLineChars="200"/>
        <w:jc w:val="left"/>
        <w:rPr>
          <w:rFonts w:hint="eastAsia" w:ascii="仿宋" w:hAnsi="仿宋" w:eastAsia="仿宋" w:cs="仿宋"/>
          <w:color w:val="auto"/>
          <w:sz w:val="24"/>
          <w:highlight w:val="none"/>
        </w:rPr>
      </w:pPr>
    </w:p>
    <w:p w14:paraId="679316A2">
      <w:pPr>
        <w:spacing w:line="360" w:lineRule="auto"/>
        <w:ind w:firstLine="480" w:firstLineChars="200"/>
        <w:jc w:val="left"/>
        <w:rPr>
          <w:rFonts w:hint="eastAsia" w:ascii="仿宋" w:hAnsi="仿宋" w:eastAsia="仿宋" w:cs="仿宋"/>
          <w:color w:val="auto"/>
          <w:sz w:val="24"/>
          <w:highlight w:val="none"/>
        </w:rPr>
      </w:pPr>
    </w:p>
    <w:p w14:paraId="0663FBBD">
      <w:pPr>
        <w:spacing w:line="360" w:lineRule="auto"/>
        <w:jc w:val="left"/>
        <w:rPr>
          <w:rFonts w:hint="eastAsia" w:ascii="仿宋" w:hAnsi="仿宋" w:eastAsia="仿宋" w:cs="仿宋"/>
          <w:color w:val="auto"/>
          <w:sz w:val="24"/>
          <w:highlight w:val="none"/>
        </w:rPr>
      </w:pPr>
    </w:p>
    <w:p w14:paraId="03ABBC67">
      <w:pPr>
        <w:spacing w:line="360" w:lineRule="auto"/>
        <w:jc w:val="left"/>
        <w:rPr>
          <w:rFonts w:hint="eastAsia" w:ascii="仿宋" w:hAnsi="仿宋" w:eastAsia="仿宋" w:cs="仿宋"/>
          <w:color w:val="auto"/>
          <w:sz w:val="24"/>
          <w:highlight w:val="none"/>
        </w:rPr>
      </w:pPr>
    </w:p>
    <w:p w14:paraId="77F77D33">
      <w:pPr>
        <w:spacing w:line="360" w:lineRule="auto"/>
        <w:jc w:val="left"/>
        <w:rPr>
          <w:rFonts w:hint="eastAsia" w:ascii="仿宋" w:hAnsi="仿宋" w:eastAsia="仿宋" w:cs="仿宋"/>
          <w:color w:val="auto"/>
          <w:sz w:val="24"/>
          <w:highlight w:val="none"/>
        </w:rPr>
      </w:pPr>
    </w:p>
    <w:p w14:paraId="7E9B806C">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5A1C7619">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66463E8A">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61737811">
      <w:pPr>
        <w:widowControl/>
        <w:shd w:val="clear" w:color="auto" w:fill="FFFFFF"/>
        <w:snapToGrid w:val="0"/>
        <w:spacing w:line="360" w:lineRule="auto"/>
        <w:ind w:firstLine="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161412AF">
      <w:pPr>
        <w:widowControl/>
        <w:spacing w:line="360" w:lineRule="auto"/>
        <w:jc w:val="left"/>
        <w:rPr>
          <w:rFonts w:hint="eastAsia" w:ascii="仿宋" w:hAnsi="仿宋" w:eastAsia="仿宋" w:cs="仿宋"/>
          <w:b/>
          <w:bCs/>
          <w:color w:val="auto"/>
          <w:kern w:val="36"/>
          <w:sz w:val="24"/>
          <w:highlight w:val="none"/>
        </w:rPr>
      </w:pPr>
      <w:r>
        <w:rPr>
          <w:rFonts w:hint="eastAsia" w:ascii="仿宋" w:hAnsi="仿宋" w:eastAsia="仿宋" w:cs="仿宋"/>
          <w:b/>
          <w:bCs/>
          <w:color w:val="auto"/>
          <w:kern w:val="36"/>
          <w:sz w:val="24"/>
          <w:highlight w:val="none"/>
        </w:rPr>
        <w:br w:type="page"/>
      </w:r>
    </w:p>
    <w:p w14:paraId="60031A9C">
      <w:pPr>
        <w:tabs>
          <w:tab w:val="center" w:pos="4832"/>
          <w:tab w:val="left" w:pos="7140"/>
        </w:tabs>
        <w:spacing w:line="360" w:lineRule="auto"/>
        <w:jc w:val="center"/>
        <w:outlineLvl w:val="1"/>
        <w:rPr>
          <w:rFonts w:hint="eastAsia" w:ascii="仿宋" w:hAnsi="仿宋" w:eastAsia="仿宋" w:cs="仿宋"/>
          <w:color w:val="auto"/>
          <w:kern w:val="0"/>
          <w:sz w:val="24"/>
          <w:highlight w:val="none"/>
        </w:rPr>
      </w:pPr>
      <w:bookmarkStart w:id="46" w:name="_Toc7859"/>
      <w:bookmarkStart w:id="47" w:name="_Toc142664973"/>
      <w:r>
        <w:rPr>
          <w:rFonts w:hint="eastAsia" w:ascii="仿宋" w:hAnsi="仿宋" w:eastAsia="仿宋" w:cs="仿宋"/>
          <w:b/>
          <w:color w:val="auto"/>
          <w:sz w:val="24"/>
          <w:highlight w:val="none"/>
        </w:rPr>
        <w:t>四、技术条款偏离表</w:t>
      </w:r>
      <w:bookmarkEnd w:id="46"/>
      <w:bookmarkEnd w:id="47"/>
    </w:p>
    <w:tbl>
      <w:tblPr>
        <w:tblStyle w:val="3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14A08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955B34C">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1814" w:type="dxa"/>
            <w:vAlign w:val="center"/>
          </w:tcPr>
          <w:p w14:paraId="3EBD1CA1">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单一来源协商文件</w:t>
            </w:r>
            <w:r>
              <w:rPr>
                <w:rFonts w:hint="eastAsia" w:ascii="仿宋" w:hAnsi="仿宋" w:eastAsia="仿宋" w:cs="仿宋"/>
                <w:bCs/>
                <w:color w:val="auto"/>
                <w:szCs w:val="21"/>
                <w:highlight w:val="none"/>
              </w:rPr>
              <w:t>条目号</w:t>
            </w:r>
          </w:p>
        </w:tc>
        <w:tc>
          <w:tcPr>
            <w:tcW w:w="2083" w:type="dxa"/>
            <w:vAlign w:val="center"/>
          </w:tcPr>
          <w:p w14:paraId="4DE3475C">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eastAsia="zh-CN"/>
              </w:rPr>
              <w:t>单一来源协商文件</w:t>
            </w:r>
            <w:r>
              <w:rPr>
                <w:rFonts w:hint="eastAsia" w:ascii="仿宋" w:hAnsi="仿宋" w:eastAsia="仿宋" w:cs="仿宋"/>
                <w:bCs/>
                <w:color w:val="auto"/>
                <w:szCs w:val="21"/>
                <w:highlight w:val="none"/>
              </w:rPr>
              <w:t>的技术条款</w:t>
            </w:r>
          </w:p>
        </w:tc>
        <w:tc>
          <w:tcPr>
            <w:tcW w:w="2182" w:type="dxa"/>
            <w:vAlign w:val="center"/>
          </w:tcPr>
          <w:p w14:paraId="616FE124">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响应文件的技术条款</w:t>
            </w:r>
          </w:p>
        </w:tc>
        <w:tc>
          <w:tcPr>
            <w:tcW w:w="1155" w:type="dxa"/>
            <w:vAlign w:val="center"/>
          </w:tcPr>
          <w:p w14:paraId="72196F7C">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偏离</w:t>
            </w:r>
          </w:p>
        </w:tc>
        <w:tc>
          <w:tcPr>
            <w:tcW w:w="1219" w:type="dxa"/>
            <w:vAlign w:val="center"/>
          </w:tcPr>
          <w:p w14:paraId="50466DF5">
            <w:pPr>
              <w:spacing w:line="360"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说明</w:t>
            </w:r>
          </w:p>
        </w:tc>
      </w:tr>
      <w:tr w14:paraId="12675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D21150E">
            <w:pPr>
              <w:spacing w:line="360" w:lineRule="auto"/>
              <w:jc w:val="center"/>
              <w:rPr>
                <w:rFonts w:hint="eastAsia" w:ascii="仿宋" w:hAnsi="仿宋" w:eastAsia="仿宋" w:cs="仿宋"/>
                <w:b/>
                <w:bCs/>
                <w:color w:val="auto"/>
                <w:szCs w:val="21"/>
                <w:highlight w:val="none"/>
              </w:rPr>
            </w:pPr>
          </w:p>
        </w:tc>
        <w:tc>
          <w:tcPr>
            <w:tcW w:w="1814" w:type="dxa"/>
            <w:vAlign w:val="center"/>
          </w:tcPr>
          <w:p w14:paraId="28898767">
            <w:pPr>
              <w:spacing w:line="360" w:lineRule="auto"/>
              <w:jc w:val="center"/>
              <w:rPr>
                <w:rFonts w:hint="eastAsia" w:ascii="仿宋" w:hAnsi="仿宋" w:eastAsia="仿宋" w:cs="仿宋"/>
                <w:b/>
                <w:bCs/>
                <w:color w:val="auto"/>
                <w:szCs w:val="21"/>
                <w:highlight w:val="none"/>
              </w:rPr>
            </w:pPr>
          </w:p>
        </w:tc>
        <w:tc>
          <w:tcPr>
            <w:tcW w:w="2083" w:type="dxa"/>
            <w:vAlign w:val="center"/>
          </w:tcPr>
          <w:p w14:paraId="7E036D14">
            <w:pPr>
              <w:spacing w:line="360" w:lineRule="auto"/>
              <w:jc w:val="center"/>
              <w:rPr>
                <w:rFonts w:hint="eastAsia" w:ascii="仿宋" w:hAnsi="仿宋" w:eastAsia="仿宋" w:cs="仿宋"/>
                <w:b/>
                <w:bCs/>
                <w:color w:val="auto"/>
                <w:szCs w:val="21"/>
                <w:highlight w:val="none"/>
              </w:rPr>
            </w:pPr>
          </w:p>
        </w:tc>
        <w:tc>
          <w:tcPr>
            <w:tcW w:w="2182" w:type="dxa"/>
            <w:vAlign w:val="center"/>
          </w:tcPr>
          <w:p w14:paraId="61E9CC70">
            <w:pPr>
              <w:spacing w:line="360" w:lineRule="auto"/>
              <w:jc w:val="center"/>
              <w:rPr>
                <w:rFonts w:hint="eastAsia" w:ascii="仿宋" w:hAnsi="仿宋" w:eastAsia="仿宋" w:cs="仿宋"/>
                <w:b/>
                <w:bCs/>
                <w:color w:val="auto"/>
                <w:szCs w:val="21"/>
                <w:highlight w:val="none"/>
              </w:rPr>
            </w:pPr>
          </w:p>
        </w:tc>
        <w:tc>
          <w:tcPr>
            <w:tcW w:w="1155" w:type="dxa"/>
            <w:vAlign w:val="center"/>
          </w:tcPr>
          <w:p w14:paraId="5F963C81">
            <w:pPr>
              <w:spacing w:line="360" w:lineRule="auto"/>
              <w:jc w:val="center"/>
              <w:rPr>
                <w:rFonts w:hint="eastAsia" w:ascii="仿宋" w:hAnsi="仿宋" w:eastAsia="仿宋" w:cs="仿宋"/>
                <w:b/>
                <w:bCs/>
                <w:color w:val="auto"/>
                <w:szCs w:val="21"/>
                <w:highlight w:val="none"/>
              </w:rPr>
            </w:pPr>
          </w:p>
        </w:tc>
        <w:tc>
          <w:tcPr>
            <w:tcW w:w="1219" w:type="dxa"/>
            <w:vAlign w:val="center"/>
          </w:tcPr>
          <w:p w14:paraId="43C25BDA">
            <w:pPr>
              <w:spacing w:line="360" w:lineRule="auto"/>
              <w:jc w:val="center"/>
              <w:rPr>
                <w:rFonts w:hint="eastAsia" w:ascii="仿宋" w:hAnsi="仿宋" w:eastAsia="仿宋" w:cs="仿宋"/>
                <w:b/>
                <w:bCs/>
                <w:color w:val="auto"/>
                <w:szCs w:val="21"/>
                <w:highlight w:val="none"/>
              </w:rPr>
            </w:pPr>
          </w:p>
        </w:tc>
      </w:tr>
      <w:tr w14:paraId="18A0B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A589D59">
            <w:pPr>
              <w:spacing w:line="360" w:lineRule="auto"/>
              <w:jc w:val="center"/>
              <w:rPr>
                <w:rFonts w:hint="eastAsia" w:ascii="仿宋" w:hAnsi="仿宋" w:eastAsia="仿宋" w:cs="仿宋"/>
                <w:b/>
                <w:bCs/>
                <w:color w:val="auto"/>
                <w:szCs w:val="21"/>
                <w:highlight w:val="none"/>
              </w:rPr>
            </w:pPr>
          </w:p>
        </w:tc>
        <w:tc>
          <w:tcPr>
            <w:tcW w:w="1814" w:type="dxa"/>
            <w:vAlign w:val="center"/>
          </w:tcPr>
          <w:p w14:paraId="125CF220">
            <w:pPr>
              <w:spacing w:line="360" w:lineRule="auto"/>
              <w:jc w:val="center"/>
              <w:rPr>
                <w:rFonts w:hint="eastAsia" w:ascii="仿宋" w:hAnsi="仿宋" w:eastAsia="仿宋" w:cs="仿宋"/>
                <w:b/>
                <w:bCs/>
                <w:color w:val="auto"/>
                <w:szCs w:val="21"/>
                <w:highlight w:val="none"/>
              </w:rPr>
            </w:pPr>
          </w:p>
        </w:tc>
        <w:tc>
          <w:tcPr>
            <w:tcW w:w="2083" w:type="dxa"/>
            <w:vAlign w:val="center"/>
          </w:tcPr>
          <w:p w14:paraId="675331E7">
            <w:pPr>
              <w:spacing w:line="360" w:lineRule="auto"/>
              <w:jc w:val="center"/>
              <w:rPr>
                <w:rFonts w:hint="eastAsia" w:ascii="仿宋" w:hAnsi="仿宋" w:eastAsia="仿宋" w:cs="仿宋"/>
                <w:b/>
                <w:bCs/>
                <w:color w:val="auto"/>
                <w:szCs w:val="21"/>
                <w:highlight w:val="none"/>
              </w:rPr>
            </w:pPr>
          </w:p>
        </w:tc>
        <w:tc>
          <w:tcPr>
            <w:tcW w:w="2182" w:type="dxa"/>
            <w:vAlign w:val="center"/>
          </w:tcPr>
          <w:p w14:paraId="073DDD4A">
            <w:pPr>
              <w:spacing w:line="360" w:lineRule="auto"/>
              <w:jc w:val="center"/>
              <w:rPr>
                <w:rFonts w:hint="eastAsia" w:ascii="仿宋" w:hAnsi="仿宋" w:eastAsia="仿宋" w:cs="仿宋"/>
                <w:b/>
                <w:bCs/>
                <w:color w:val="auto"/>
                <w:szCs w:val="21"/>
                <w:highlight w:val="none"/>
              </w:rPr>
            </w:pPr>
          </w:p>
        </w:tc>
        <w:tc>
          <w:tcPr>
            <w:tcW w:w="1155" w:type="dxa"/>
            <w:vAlign w:val="center"/>
          </w:tcPr>
          <w:p w14:paraId="3C503864">
            <w:pPr>
              <w:spacing w:line="360" w:lineRule="auto"/>
              <w:jc w:val="center"/>
              <w:rPr>
                <w:rFonts w:hint="eastAsia" w:ascii="仿宋" w:hAnsi="仿宋" w:eastAsia="仿宋" w:cs="仿宋"/>
                <w:b/>
                <w:bCs/>
                <w:color w:val="auto"/>
                <w:szCs w:val="21"/>
                <w:highlight w:val="none"/>
              </w:rPr>
            </w:pPr>
          </w:p>
        </w:tc>
        <w:tc>
          <w:tcPr>
            <w:tcW w:w="1219" w:type="dxa"/>
            <w:vAlign w:val="center"/>
          </w:tcPr>
          <w:p w14:paraId="35FB6926">
            <w:pPr>
              <w:spacing w:line="360" w:lineRule="auto"/>
              <w:jc w:val="center"/>
              <w:rPr>
                <w:rFonts w:hint="eastAsia" w:ascii="仿宋" w:hAnsi="仿宋" w:eastAsia="仿宋" w:cs="仿宋"/>
                <w:b/>
                <w:bCs/>
                <w:color w:val="auto"/>
                <w:szCs w:val="21"/>
                <w:highlight w:val="none"/>
              </w:rPr>
            </w:pPr>
          </w:p>
        </w:tc>
      </w:tr>
      <w:tr w14:paraId="77387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9EF3AE0">
            <w:pPr>
              <w:spacing w:line="360" w:lineRule="auto"/>
              <w:jc w:val="center"/>
              <w:rPr>
                <w:rFonts w:hint="eastAsia" w:ascii="仿宋" w:hAnsi="仿宋" w:eastAsia="仿宋" w:cs="仿宋"/>
                <w:b/>
                <w:bCs/>
                <w:color w:val="auto"/>
                <w:szCs w:val="21"/>
                <w:highlight w:val="none"/>
              </w:rPr>
            </w:pPr>
          </w:p>
        </w:tc>
        <w:tc>
          <w:tcPr>
            <w:tcW w:w="1814" w:type="dxa"/>
            <w:vAlign w:val="center"/>
          </w:tcPr>
          <w:p w14:paraId="12D3EEF2">
            <w:pPr>
              <w:spacing w:line="360" w:lineRule="auto"/>
              <w:jc w:val="center"/>
              <w:rPr>
                <w:rFonts w:hint="eastAsia" w:ascii="仿宋" w:hAnsi="仿宋" w:eastAsia="仿宋" w:cs="仿宋"/>
                <w:b/>
                <w:bCs/>
                <w:color w:val="auto"/>
                <w:szCs w:val="21"/>
                <w:highlight w:val="none"/>
              </w:rPr>
            </w:pPr>
          </w:p>
        </w:tc>
        <w:tc>
          <w:tcPr>
            <w:tcW w:w="2083" w:type="dxa"/>
            <w:vAlign w:val="center"/>
          </w:tcPr>
          <w:p w14:paraId="63CBE445">
            <w:pPr>
              <w:spacing w:line="360" w:lineRule="auto"/>
              <w:jc w:val="center"/>
              <w:rPr>
                <w:rFonts w:hint="eastAsia" w:ascii="仿宋" w:hAnsi="仿宋" w:eastAsia="仿宋" w:cs="仿宋"/>
                <w:b/>
                <w:bCs/>
                <w:color w:val="auto"/>
                <w:szCs w:val="21"/>
                <w:highlight w:val="none"/>
              </w:rPr>
            </w:pPr>
          </w:p>
        </w:tc>
        <w:tc>
          <w:tcPr>
            <w:tcW w:w="2182" w:type="dxa"/>
            <w:vAlign w:val="center"/>
          </w:tcPr>
          <w:p w14:paraId="7B257FBF">
            <w:pPr>
              <w:spacing w:line="360" w:lineRule="auto"/>
              <w:jc w:val="center"/>
              <w:rPr>
                <w:rFonts w:hint="eastAsia" w:ascii="仿宋" w:hAnsi="仿宋" w:eastAsia="仿宋" w:cs="仿宋"/>
                <w:b/>
                <w:bCs/>
                <w:color w:val="auto"/>
                <w:szCs w:val="21"/>
                <w:highlight w:val="none"/>
              </w:rPr>
            </w:pPr>
          </w:p>
        </w:tc>
        <w:tc>
          <w:tcPr>
            <w:tcW w:w="1155" w:type="dxa"/>
            <w:vAlign w:val="center"/>
          </w:tcPr>
          <w:p w14:paraId="4DBC319D">
            <w:pPr>
              <w:spacing w:line="360" w:lineRule="auto"/>
              <w:jc w:val="center"/>
              <w:rPr>
                <w:rFonts w:hint="eastAsia" w:ascii="仿宋" w:hAnsi="仿宋" w:eastAsia="仿宋" w:cs="仿宋"/>
                <w:b/>
                <w:bCs/>
                <w:color w:val="auto"/>
                <w:szCs w:val="21"/>
                <w:highlight w:val="none"/>
              </w:rPr>
            </w:pPr>
          </w:p>
        </w:tc>
        <w:tc>
          <w:tcPr>
            <w:tcW w:w="1219" w:type="dxa"/>
            <w:vAlign w:val="center"/>
          </w:tcPr>
          <w:p w14:paraId="5041CB96">
            <w:pPr>
              <w:spacing w:line="360" w:lineRule="auto"/>
              <w:jc w:val="center"/>
              <w:rPr>
                <w:rFonts w:hint="eastAsia" w:ascii="仿宋" w:hAnsi="仿宋" w:eastAsia="仿宋" w:cs="仿宋"/>
                <w:b/>
                <w:bCs/>
                <w:color w:val="auto"/>
                <w:szCs w:val="21"/>
                <w:highlight w:val="none"/>
              </w:rPr>
            </w:pPr>
          </w:p>
        </w:tc>
      </w:tr>
      <w:tr w14:paraId="3D544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CBC8F56">
            <w:pPr>
              <w:spacing w:line="360" w:lineRule="auto"/>
              <w:jc w:val="center"/>
              <w:rPr>
                <w:rFonts w:hint="eastAsia" w:ascii="仿宋" w:hAnsi="仿宋" w:eastAsia="仿宋" w:cs="仿宋"/>
                <w:b/>
                <w:bCs/>
                <w:color w:val="auto"/>
                <w:szCs w:val="21"/>
                <w:highlight w:val="none"/>
              </w:rPr>
            </w:pPr>
          </w:p>
        </w:tc>
        <w:tc>
          <w:tcPr>
            <w:tcW w:w="1814" w:type="dxa"/>
            <w:vAlign w:val="center"/>
          </w:tcPr>
          <w:p w14:paraId="39EF14BB">
            <w:pPr>
              <w:spacing w:line="360" w:lineRule="auto"/>
              <w:jc w:val="center"/>
              <w:rPr>
                <w:rFonts w:hint="eastAsia" w:ascii="仿宋" w:hAnsi="仿宋" w:eastAsia="仿宋" w:cs="仿宋"/>
                <w:b/>
                <w:bCs/>
                <w:color w:val="auto"/>
                <w:szCs w:val="21"/>
                <w:highlight w:val="none"/>
              </w:rPr>
            </w:pPr>
          </w:p>
        </w:tc>
        <w:tc>
          <w:tcPr>
            <w:tcW w:w="2083" w:type="dxa"/>
            <w:vAlign w:val="center"/>
          </w:tcPr>
          <w:p w14:paraId="15791318">
            <w:pPr>
              <w:spacing w:line="360" w:lineRule="auto"/>
              <w:jc w:val="center"/>
              <w:rPr>
                <w:rFonts w:hint="eastAsia" w:ascii="仿宋" w:hAnsi="仿宋" w:eastAsia="仿宋" w:cs="仿宋"/>
                <w:b/>
                <w:bCs/>
                <w:color w:val="auto"/>
                <w:szCs w:val="21"/>
                <w:highlight w:val="none"/>
              </w:rPr>
            </w:pPr>
          </w:p>
        </w:tc>
        <w:tc>
          <w:tcPr>
            <w:tcW w:w="2182" w:type="dxa"/>
            <w:vAlign w:val="center"/>
          </w:tcPr>
          <w:p w14:paraId="3148147A">
            <w:pPr>
              <w:spacing w:line="360" w:lineRule="auto"/>
              <w:jc w:val="center"/>
              <w:rPr>
                <w:rFonts w:hint="eastAsia" w:ascii="仿宋" w:hAnsi="仿宋" w:eastAsia="仿宋" w:cs="仿宋"/>
                <w:b/>
                <w:bCs/>
                <w:color w:val="auto"/>
                <w:szCs w:val="21"/>
                <w:highlight w:val="none"/>
              </w:rPr>
            </w:pPr>
          </w:p>
        </w:tc>
        <w:tc>
          <w:tcPr>
            <w:tcW w:w="1155" w:type="dxa"/>
            <w:vAlign w:val="center"/>
          </w:tcPr>
          <w:p w14:paraId="4DF02254">
            <w:pPr>
              <w:spacing w:line="360" w:lineRule="auto"/>
              <w:jc w:val="center"/>
              <w:rPr>
                <w:rFonts w:hint="eastAsia" w:ascii="仿宋" w:hAnsi="仿宋" w:eastAsia="仿宋" w:cs="仿宋"/>
                <w:b/>
                <w:bCs/>
                <w:color w:val="auto"/>
                <w:szCs w:val="21"/>
                <w:highlight w:val="none"/>
              </w:rPr>
            </w:pPr>
          </w:p>
        </w:tc>
        <w:tc>
          <w:tcPr>
            <w:tcW w:w="1219" w:type="dxa"/>
            <w:vAlign w:val="center"/>
          </w:tcPr>
          <w:p w14:paraId="480ABA80">
            <w:pPr>
              <w:spacing w:line="360" w:lineRule="auto"/>
              <w:jc w:val="center"/>
              <w:rPr>
                <w:rFonts w:hint="eastAsia" w:ascii="仿宋" w:hAnsi="仿宋" w:eastAsia="仿宋" w:cs="仿宋"/>
                <w:b/>
                <w:bCs/>
                <w:color w:val="auto"/>
                <w:szCs w:val="21"/>
                <w:highlight w:val="none"/>
              </w:rPr>
            </w:pPr>
          </w:p>
        </w:tc>
      </w:tr>
      <w:tr w14:paraId="345C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C9EB976">
            <w:pPr>
              <w:spacing w:line="360" w:lineRule="auto"/>
              <w:jc w:val="center"/>
              <w:rPr>
                <w:rFonts w:hint="eastAsia" w:ascii="仿宋" w:hAnsi="仿宋" w:eastAsia="仿宋" w:cs="仿宋"/>
                <w:b/>
                <w:bCs/>
                <w:color w:val="auto"/>
                <w:szCs w:val="21"/>
                <w:highlight w:val="none"/>
              </w:rPr>
            </w:pPr>
          </w:p>
        </w:tc>
        <w:tc>
          <w:tcPr>
            <w:tcW w:w="1814" w:type="dxa"/>
            <w:vAlign w:val="center"/>
          </w:tcPr>
          <w:p w14:paraId="4FD736CA">
            <w:pPr>
              <w:spacing w:line="360" w:lineRule="auto"/>
              <w:jc w:val="center"/>
              <w:rPr>
                <w:rFonts w:hint="eastAsia" w:ascii="仿宋" w:hAnsi="仿宋" w:eastAsia="仿宋" w:cs="仿宋"/>
                <w:b/>
                <w:bCs/>
                <w:color w:val="auto"/>
                <w:szCs w:val="21"/>
                <w:highlight w:val="none"/>
              </w:rPr>
            </w:pPr>
          </w:p>
        </w:tc>
        <w:tc>
          <w:tcPr>
            <w:tcW w:w="2083" w:type="dxa"/>
            <w:vAlign w:val="center"/>
          </w:tcPr>
          <w:p w14:paraId="0FC2032C">
            <w:pPr>
              <w:spacing w:line="360" w:lineRule="auto"/>
              <w:jc w:val="center"/>
              <w:rPr>
                <w:rFonts w:hint="eastAsia" w:ascii="仿宋" w:hAnsi="仿宋" w:eastAsia="仿宋" w:cs="仿宋"/>
                <w:b/>
                <w:bCs/>
                <w:color w:val="auto"/>
                <w:szCs w:val="21"/>
                <w:highlight w:val="none"/>
              </w:rPr>
            </w:pPr>
          </w:p>
        </w:tc>
        <w:tc>
          <w:tcPr>
            <w:tcW w:w="2182" w:type="dxa"/>
            <w:vAlign w:val="center"/>
          </w:tcPr>
          <w:p w14:paraId="50E7C758">
            <w:pPr>
              <w:spacing w:line="360" w:lineRule="auto"/>
              <w:jc w:val="center"/>
              <w:rPr>
                <w:rFonts w:hint="eastAsia" w:ascii="仿宋" w:hAnsi="仿宋" w:eastAsia="仿宋" w:cs="仿宋"/>
                <w:b/>
                <w:bCs/>
                <w:color w:val="auto"/>
                <w:szCs w:val="21"/>
                <w:highlight w:val="none"/>
              </w:rPr>
            </w:pPr>
          </w:p>
        </w:tc>
        <w:tc>
          <w:tcPr>
            <w:tcW w:w="1155" w:type="dxa"/>
            <w:vAlign w:val="center"/>
          </w:tcPr>
          <w:p w14:paraId="414EC759">
            <w:pPr>
              <w:spacing w:line="360" w:lineRule="auto"/>
              <w:jc w:val="center"/>
              <w:rPr>
                <w:rFonts w:hint="eastAsia" w:ascii="仿宋" w:hAnsi="仿宋" w:eastAsia="仿宋" w:cs="仿宋"/>
                <w:b/>
                <w:bCs/>
                <w:color w:val="auto"/>
                <w:szCs w:val="21"/>
                <w:highlight w:val="none"/>
              </w:rPr>
            </w:pPr>
          </w:p>
        </w:tc>
        <w:tc>
          <w:tcPr>
            <w:tcW w:w="1219" w:type="dxa"/>
            <w:vAlign w:val="center"/>
          </w:tcPr>
          <w:p w14:paraId="5BB61A14">
            <w:pPr>
              <w:spacing w:line="360" w:lineRule="auto"/>
              <w:jc w:val="center"/>
              <w:rPr>
                <w:rFonts w:hint="eastAsia" w:ascii="仿宋" w:hAnsi="仿宋" w:eastAsia="仿宋" w:cs="仿宋"/>
                <w:b/>
                <w:bCs/>
                <w:color w:val="auto"/>
                <w:szCs w:val="21"/>
                <w:highlight w:val="none"/>
              </w:rPr>
            </w:pPr>
          </w:p>
        </w:tc>
      </w:tr>
    </w:tbl>
    <w:p w14:paraId="4E47D0EE">
      <w:pPr>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highlight w:val="none"/>
        </w:rPr>
        <w:t>备注：供应商对</w:t>
      </w:r>
      <w:r>
        <w:rPr>
          <w:rFonts w:hint="eastAsia" w:ascii="仿宋" w:hAnsi="仿宋" w:eastAsia="仿宋" w:cs="仿宋"/>
          <w:color w:val="auto"/>
          <w:highlight w:val="none"/>
          <w:lang w:eastAsia="zh-CN"/>
        </w:rPr>
        <w:t>单一来源协商文件</w:t>
      </w:r>
      <w:r>
        <w:rPr>
          <w:rFonts w:hint="eastAsia" w:ascii="仿宋" w:hAnsi="仿宋" w:eastAsia="仿宋" w:cs="仿宋"/>
          <w:bCs/>
          <w:color w:val="auto"/>
          <w:szCs w:val="21"/>
          <w:highlight w:val="none"/>
        </w:rPr>
        <w:t>技术</w:t>
      </w:r>
      <w:r>
        <w:rPr>
          <w:rFonts w:hint="eastAsia" w:ascii="仿宋" w:hAnsi="仿宋" w:eastAsia="仿宋" w:cs="仿宋"/>
          <w:color w:val="auto"/>
          <w:highlight w:val="none"/>
        </w:rPr>
        <w:t>条款有偏离的，应在此表中列明实际响应的内容并加以说明，以便查对。请在此偏离表“偏离”中填写无偏离或正偏离或负偏离。</w:t>
      </w:r>
    </w:p>
    <w:p w14:paraId="6220F842">
      <w:pPr>
        <w:spacing w:line="360" w:lineRule="auto"/>
        <w:ind w:firstLine="480" w:firstLineChars="200"/>
        <w:jc w:val="left"/>
        <w:rPr>
          <w:rFonts w:hint="eastAsia" w:ascii="仿宋" w:hAnsi="仿宋" w:eastAsia="仿宋" w:cs="仿宋"/>
          <w:color w:val="auto"/>
          <w:sz w:val="24"/>
          <w:highlight w:val="none"/>
        </w:rPr>
      </w:pPr>
    </w:p>
    <w:p w14:paraId="00B5D4E8">
      <w:pPr>
        <w:spacing w:line="360" w:lineRule="auto"/>
        <w:ind w:firstLine="480" w:firstLineChars="200"/>
        <w:jc w:val="left"/>
        <w:rPr>
          <w:rFonts w:hint="eastAsia" w:ascii="仿宋" w:hAnsi="仿宋" w:eastAsia="仿宋" w:cs="仿宋"/>
          <w:color w:val="auto"/>
          <w:sz w:val="24"/>
          <w:highlight w:val="none"/>
        </w:rPr>
      </w:pPr>
    </w:p>
    <w:p w14:paraId="1D34D2B2">
      <w:pPr>
        <w:spacing w:line="360" w:lineRule="auto"/>
        <w:jc w:val="left"/>
        <w:rPr>
          <w:rFonts w:hint="eastAsia" w:ascii="仿宋" w:hAnsi="仿宋" w:eastAsia="仿宋" w:cs="仿宋"/>
          <w:color w:val="auto"/>
          <w:sz w:val="24"/>
          <w:highlight w:val="none"/>
        </w:rPr>
      </w:pPr>
    </w:p>
    <w:p w14:paraId="6DBF9E5D">
      <w:pPr>
        <w:spacing w:line="360" w:lineRule="auto"/>
        <w:jc w:val="left"/>
        <w:rPr>
          <w:rFonts w:hint="eastAsia" w:ascii="仿宋" w:hAnsi="仿宋" w:eastAsia="仿宋" w:cs="仿宋"/>
          <w:color w:val="auto"/>
          <w:sz w:val="24"/>
          <w:highlight w:val="none"/>
        </w:rPr>
      </w:pPr>
    </w:p>
    <w:p w14:paraId="36C44C0A">
      <w:pPr>
        <w:spacing w:line="360" w:lineRule="auto"/>
        <w:jc w:val="left"/>
        <w:rPr>
          <w:rFonts w:hint="eastAsia" w:ascii="仿宋" w:hAnsi="仿宋" w:eastAsia="仿宋" w:cs="仿宋"/>
          <w:color w:val="auto"/>
          <w:sz w:val="24"/>
          <w:highlight w:val="none"/>
        </w:rPr>
      </w:pPr>
    </w:p>
    <w:p w14:paraId="1AB3705A">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4C42D331">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0B1D7485">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3D8B7700">
      <w:pPr>
        <w:widowControl/>
        <w:shd w:val="clear" w:color="auto" w:fill="FFFFFF"/>
        <w:snapToGrid w:val="0"/>
        <w:spacing w:line="360" w:lineRule="auto"/>
        <w:ind w:firstLine="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130D00E1">
      <w:pPr>
        <w:tabs>
          <w:tab w:val="center" w:pos="4832"/>
          <w:tab w:val="left" w:pos="7140"/>
        </w:tabs>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bCs/>
          <w:color w:val="auto"/>
          <w:kern w:val="36"/>
          <w:sz w:val="24"/>
          <w:highlight w:val="none"/>
        </w:rPr>
        <w:br w:type="page"/>
      </w:r>
      <w:bookmarkStart w:id="48" w:name="_Toc533503185"/>
      <w:bookmarkStart w:id="49" w:name="_Toc507586170"/>
      <w:bookmarkStart w:id="50" w:name="_Toc38446475"/>
      <w:bookmarkStart w:id="51" w:name="_Toc142664974"/>
      <w:bookmarkStart w:id="52" w:name="_Toc20221"/>
      <w:r>
        <w:rPr>
          <w:rFonts w:hint="eastAsia" w:ascii="仿宋" w:hAnsi="仿宋" w:eastAsia="仿宋" w:cs="仿宋"/>
          <w:b/>
          <w:color w:val="auto"/>
          <w:sz w:val="24"/>
          <w:highlight w:val="none"/>
        </w:rPr>
        <w:t>五、法定代表人身份证明书</w:t>
      </w:r>
      <w:bookmarkEnd w:id="48"/>
      <w:bookmarkEnd w:id="49"/>
      <w:bookmarkEnd w:id="50"/>
      <w:bookmarkEnd w:id="51"/>
      <w:bookmarkEnd w:id="52"/>
    </w:p>
    <w:p w14:paraId="5875854E">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67556BAC">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 标 人：</w:t>
      </w:r>
      <w:r>
        <w:rPr>
          <w:rFonts w:hint="eastAsia" w:ascii="仿宋" w:hAnsi="仿宋" w:eastAsia="仿宋" w:cs="仿宋"/>
          <w:color w:val="auto"/>
          <w:kern w:val="0"/>
          <w:sz w:val="24"/>
          <w:highlight w:val="none"/>
          <w:u w:val="single"/>
        </w:rPr>
        <w:t xml:space="preserve">                              </w:t>
      </w:r>
    </w:p>
    <w:p w14:paraId="53457533">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14:paraId="559A9E6C">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p>
    <w:p w14:paraId="3B8B8F1D">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45B00190">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14:paraId="4595EBFE">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2707DD19">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（供应商名称）的法定代表人。</w:t>
      </w:r>
    </w:p>
    <w:p w14:paraId="07DBBC62">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7B05CDD0">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4C54BB5B">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附：法定代表人身份证明</w:t>
      </w:r>
    </w:p>
    <w:p w14:paraId="1169052E">
      <w:pPr>
        <w:widowControl/>
        <w:shd w:val="clear" w:color="auto" w:fill="FFFFFF"/>
        <w:snapToGrid w:val="0"/>
        <w:spacing w:line="360" w:lineRule="auto"/>
        <w:jc w:val="left"/>
        <w:rPr>
          <w:rFonts w:hint="eastAsia" w:ascii="仿宋" w:hAnsi="仿宋" w:eastAsia="仿宋" w:cs="仿宋"/>
          <w:color w:val="auto"/>
          <w:kern w:val="0"/>
          <w:sz w:val="24"/>
          <w:highlight w:val="none"/>
        </w:rPr>
      </w:pPr>
    </w:p>
    <w:tbl>
      <w:tblPr>
        <w:tblStyle w:val="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D3DD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C718079">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法定代表人身份证复印件（正面）</w:t>
            </w:r>
          </w:p>
        </w:tc>
      </w:tr>
    </w:tbl>
    <w:p w14:paraId="3C0734C0">
      <w:pPr>
        <w:spacing w:line="360" w:lineRule="auto"/>
        <w:rPr>
          <w:rFonts w:hint="eastAsia" w:ascii="仿宋" w:hAnsi="仿宋" w:eastAsia="仿宋" w:cs="仿宋"/>
          <w:vanish/>
          <w:color w:val="auto"/>
          <w:sz w:val="24"/>
          <w:highlight w:val="none"/>
        </w:rPr>
      </w:pPr>
    </w:p>
    <w:tbl>
      <w:tblPr>
        <w:tblStyle w:val="31"/>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EFE1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C4C60C5">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法定代表人身份证复印件（反面）</w:t>
            </w:r>
          </w:p>
        </w:tc>
      </w:tr>
    </w:tbl>
    <w:p w14:paraId="4F2B3515">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2DA5C086">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35666D4E">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10F5C20B">
      <w:pPr>
        <w:widowControl/>
        <w:shd w:val="clear" w:color="auto" w:fill="FFFFFF"/>
        <w:wordWrap w:val="0"/>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14:paraId="1D1754D2">
      <w:pPr>
        <w:widowControl/>
        <w:shd w:val="clear" w:color="auto" w:fill="FFFFFF"/>
        <w:snapToGrid w:val="0"/>
        <w:spacing w:line="360" w:lineRule="auto"/>
        <w:jc w:val="right"/>
        <w:rPr>
          <w:rFonts w:hint="eastAsia" w:ascii="仿宋" w:hAnsi="仿宋" w:eastAsia="仿宋" w:cs="仿宋"/>
          <w:color w:val="auto"/>
          <w:kern w:val="0"/>
          <w:sz w:val="24"/>
          <w:highlight w:val="none"/>
        </w:rPr>
      </w:pPr>
    </w:p>
    <w:p w14:paraId="601AA70B">
      <w:pPr>
        <w:widowControl/>
        <w:shd w:val="clear" w:color="auto" w:fill="FFFFFF"/>
        <w:snapToGrid w:val="0"/>
        <w:spacing w:line="360" w:lineRule="auto"/>
        <w:jc w:val="right"/>
        <w:rPr>
          <w:rFonts w:hint="eastAsia" w:ascii="仿宋" w:hAnsi="仿宋" w:eastAsia="仿宋" w:cs="仿宋"/>
          <w:color w:val="auto"/>
          <w:kern w:val="0"/>
          <w:sz w:val="24"/>
          <w:highlight w:val="none"/>
        </w:rPr>
      </w:pPr>
    </w:p>
    <w:p w14:paraId="3E9B08A0">
      <w:pPr>
        <w:widowControl/>
        <w:shd w:val="clear" w:color="auto" w:fill="FFFFFF"/>
        <w:snapToGrid w:val="0"/>
        <w:spacing w:line="360" w:lineRule="auto"/>
        <w:jc w:val="right"/>
        <w:rPr>
          <w:rFonts w:hint="eastAsia" w:ascii="仿宋" w:hAnsi="仿宋" w:eastAsia="仿宋" w:cs="仿宋"/>
          <w:color w:val="auto"/>
          <w:kern w:val="0"/>
          <w:sz w:val="24"/>
          <w:highlight w:val="none"/>
        </w:rPr>
      </w:pPr>
    </w:p>
    <w:p w14:paraId="10257D45">
      <w:pPr>
        <w:tabs>
          <w:tab w:val="center" w:pos="4832"/>
          <w:tab w:val="left" w:pos="7140"/>
        </w:tabs>
        <w:spacing w:line="360" w:lineRule="auto"/>
        <w:jc w:val="center"/>
        <w:outlineLvl w:val="1"/>
        <w:rPr>
          <w:rFonts w:hint="eastAsia" w:ascii="仿宋" w:hAnsi="仿宋" w:eastAsia="仿宋" w:cs="仿宋"/>
          <w:b/>
          <w:color w:val="auto"/>
          <w:sz w:val="24"/>
          <w:highlight w:val="none"/>
        </w:rPr>
      </w:pPr>
      <w:r>
        <w:rPr>
          <w:rFonts w:hint="eastAsia" w:ascii="仿宋" w:hAnsi="仿宋" w:eastAsia="仿宋" w:cs="仿宋"/>
          <w:b/>
          <w:bCs/>
          <w:color w:val="auto"/>
          <w:kern w:val="0"/>
          <w:sz w:val="24"/>
          <w:highlight w:val="none"/>
        </w:rPr>
        <w:br w:type="page"/>
      </w:r>
      <w:bookmarkStart w:id="53" w:name="_Toc507586171"/>
      <w:bookmarkStart w:id="54" w:name="_Toc142664975"/>
      <w:bookmarkStart w:id="55" w:name="_Toc533503186"/>
      <w:bookmarkStart w:id="56" w:name="_Toc38446476"/>
      <w:bookmarkStart w:id="57" w:name="_Toc6831"/>
      <w:r>
        <w:rPr>
          <w:rFonts w:hint="eastAsia" w:ascii="仿宋" w:hAnsi="仿宋" w:eastAsia="仿宋" w:cs="仿宋"/>
          <w:b/>
          <w:color w:val="auto"/>
          <w:sz w:val="24"/>
          <w:highlight w:val="none"/>
        </w:rPr>
        <w:t>六、法定代表人授权委托书</w:t>
      </w:r>
      <w:bookmarkEnd w:id="53"/>
      <w:bookmarkEnd w:id="54"/>
      <w:bookmarkEnd w:id="55"/>
      <w:bookmarkEnd w:id="56"/>
      <w:bookmarkEnd w:id="57"/>
    </w:p>
    <w:p w14:paraId="7DD6256C">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44ADC73E">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（姓名）系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（供应商名称）的法定代表人，现拟派我单位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（姓名）为我方委托代理人。委托代理人根据授权，就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采购</w:t>
      </w:r>
      <w:r>
        <w:rPr>
          <w:rFonts w:hint="eastAsia" w:ascii="仿宋" w:hAnsi="仿宋" w:eastAsia="仿宋" w:cs="仿宋"/>
          <w:color w:val="auto"/>
          <w:kern w:val="0"/>
          <w:sz w:val="24"/>
          <w:highlight w:val="none"/>
        </w:rPr>
        <w:t>项目名称）的</w:t>
      </w:r>
      <w:r>
        <w:rPr>
          <w:rFonts w:hint="eastAsia" w:ascii="仿宋" w:hAnsi="仿宋" w:eastAsia="仿宋" w:cs="仿宋"/>
          <w:color w:val="auto"/>
          <w:kern w:val="0"/>
          <w:sz w:val="24"/>
          <w:highlight w:val="none"/>
          <w:lang w:val="en-US" w:eastAsia="zh-CN"/>
        </w:rPr>
        <w:t>协商</w:t>
      </w:r>
      <w:r>
        <w:rPr>
          <w:rFonts w:hint="eastAsia" w:ascii="仿宋" w:hAnsi="仿宋" w:eastAsia="仿宋" w:cs="仿宋"/>
          <w:color w:val="auto"/>
          <w:kern w:val="0"/>
          <w:sz w:val="24"/>
          <w:highlight w:val="none"/>
        </w:rPr>
        <w:t>，以本公司名义处理一切与之有关的事务，其法律后果由我方承担。</w:t>
      </w:r>
    </w:p>
    <w:p w14:paraId="3A0D304A">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代理人：</w:t>
      </w:r>
      <w:r>
        <w:rPr>
          <w:rFonts w:hint="eastAsia" w:ascii="仿宋" w:hAnsi="仿宋" w:eastAsia="仿宋" w:cs="仿宋"/>
          <w:i/>
          <w:color w:val="auto"/>
          <w:kern w:val="0"/>
          <w:sz w:val="24"/>
          <w:highlight w:val="none"/>
          <w:u w:val="single"/>
        </w:rPr>
        <w:t xml:space="preserve">                 </w:t>
      </w:r>
      <w:r>
        <w:rPr>
          <w:rFonts w:hint="eastAsia" w:ascii="仿宋" w:hAnsi="仿宋" w:eastAsia="仿宋" w:cs="仿宋"/>
          <w:color w:val="auto"/>
          <w:kern w:val="0"/>
          <w:sz w:val="24"/>
          <w:highlight w:val="none"/>
        </w:rPr>
        <w:t>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p>
    <w:p w14:paraId="6876A6F2">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单  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部门：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14:paraId="7594EC13">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代理人无转委权，特此申明。</w:t>
      </w:r>
    </w:p>
    <w:p w14:paraId="145C657A">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25211645">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附：委托代理人身份证明。</w:t>
      </w:r>
    </w:p>
    <w:tbl>
      <w:tblPr>
        <w:tblStyle w:val="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9E3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193653D9">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委托代理人身份证复印件（正面）</w:t>
            </w:r>
          </w:p>
        </w:tc>
      </w:tr>
    </w:tbl>
    <w:p w14:paraId="2FDD521D">
      <w:pPr>
        <w:spacing w:line="360" w:lineRule="auto"/>
        <w:rPr>
          <w:rFonts w:hint="eastAsia" w:ascii="仿宋" w:hAnsi="仿宋" w:eastAsia="仿宋" w:cs="仿宋"/>
          <w:vanish/>
          <w:color w:val="auto"/>
          <w:sz w:val="24"/>
          <w:highlight w:val="none"/>
        </w:rPr>
      </w:pPr>
    </w:p>
    <w:tbl>
      <w:tblPr>
        <w:tblStyle w:val="31"/>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0C3B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4ED7CD5">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委托代理人身份证复印件（反面）</w:t>
            </w:r>
          </w:p>
        </w:tc>
      </w:tr>
    </w:tbl>
    <w:p w14:paraId="0D0F5A6D">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64EA8D7D">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6715EA97">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5FD43E3D">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765800E2">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3338590E">
      <w:pPr>
        <w:widowControl/>
        <w:shd w:val="clear" w:color="auto" w:fill="FFFFFF"/>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（盖章）</w:t>
      </w:r>
    </w:p>
    <w:p w14:paraId="6C17C117">
      <w:pPr>
        <w:widowControl/>
        <w:shd w:val="clear" w:color="auto" w:fill="FFFFFF"/>
        <w:snapToGrid w:val="0"/>
        <w:spacing w:line="360" w:lineRule="auto"/>
        <w:ind w:firstLine="42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3C895F98">
      <w:pPr>
        <w:widowControl/>
        <w:shd w:val="clear" w:color="auto" w:fill="FFFFFF"/>
        <w:snapToGrid w:val="0"/>
        <w:spacing w:line="360" w:lineRule="auto"/>
        <w:jc w:val="left"/>
        <w:rPr>
          <w:rFonts w:hint="eastAsia" w:ascii="仿宋" w:hAnsi="仿宋" w:eastAsia="仿宋" w:cs="仿宋"/>
          <w:color w:val="auto"/>
          <w:kern w:val="0"/>
          <w:sz w:val="24"/>
          <w:highlight w:val="none"/>
        </w:rPr>
      </w:pPr>
    </w:p>
    <w:p w14:paraId="5E1902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C006544">
      <w:pPr>
        <w:tabs>
          <w:tab w:val="center" w:pos="4832"/>
          <w:tab w:val="left" w:pos="7140"/>
        </w:tabs>
        <w:jc w:val="center"/>
        <w:outlineLvl w:val="1"/>
        <w:rPr>
          <w:rFonts w:hint="eastAsia" w:ascii="仿宋" w:hAnsi="仿宋" w:eastAsia="仿宋" w:cs="仿宋"/>
          <w:b/>
          <w:color w:val="auto"/>
          <w:sz w:val="24"/>
          <w:szCs w:val="24"/>
          <w:highlight w:val="none"/>
        </w:rPr>
      </w:pPr>
      <w:bookmarkStart w:id="58" w:name="_Toc507586173"/>
      <w:r>
        <w:rPr>
          <w:rFonts w:hint="eastAsia" w:ascii="仿宋" w:hAnsi="仿宋" w:eastAsia="仿宋" w:cs="仿宋"/>
          <w:b/>
          <w:color w:val="auto"/>
          <w:sz w:val="24"/>
          <w:highlight w:val="none"/>
        </w:rPr>
        <w:br w:type="page"/>
      </w:r>
      <w:bookmarkEnd w:id="58"/>
      <w:bookmarkStart w:id="59" w:name="_Toc109941771"/>
      <w:bookmarkStart w:id="60" w:name="_Toc109921164"/>
      <w:bookmarkStart w:id="61" w:name="_Toc15496"/>
      <w:bookmarkStart w:id="62" w:name="_Toc129722557"/>
      <w:bookmarkStart w:id="63" w:name="_Toc25750"/>
      <w:bookmarkStart w:id="64" w:name="_Toc109921165"/>
      <w:bookmarkStart w:id="65" w:name="_Toc109941772"/>
      <w:bookmarkStart w:id="66" w:name="_Toc358451723"/>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w:t>
      </w:r>
      <w:bookmarkEnd w:id="59"/>
      <w:bookmarkEnd w:id="60"/>
      <w:r>
        <w:rPr>
          <w:rFonts w:hint="eastAsia" w:ascii="仿宋" w:hAnsi="仿宋" w:eastAsia="仿宋" w:cs="仿宋"/>
          <w:b/>
          <w:bCs/>
          <w:color w:val="auto"/>
          <w:sz w:val="24"/>
          <w:szCs w:val="24"/>
          <w:highlight w:val="none"/>
        </w:rPr>
        <w:t>供应商资格条件证明材料</w:t>
      </w:r>
      <w:bookmarkEnd w:id="61"/>
      <w:bookmarkEnd w:id="62"/>
      <w:bookmarkEnd w:id="63"/>
    </w:p>
    <w:tbl>
      <w:tblPr>
        <w:tblStyle w:val="3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26A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B8D0EE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供应商名称</w:t>
            </w:r>
          </w:p>
        </w:tc>
        <w:tc>
          <w:tcPr>
            <w:tcW w:w="7300" w:type="dxa"/>
            <w:gridSpan w:val="3"/>
            <w:vAlign w:val="center"/>
          </w:tcPr>
          <w:p w14:paraId="0D49CE5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r>
      <w:tr w14:paraId="501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777EAC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0417712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EF1D324">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34C7F910">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93D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617F03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6819EF9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5299DE29">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32275427">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7928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2F7BB01">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732D305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B9460C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02CAB37F">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7EF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8B903F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02C1332E">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0A47723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4852C658">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004D5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707D4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19C9EC0F">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40646B4C">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65D7D612">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A41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D9534A3">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3BDDAC6A">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4194998B">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5C71EEEA">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32D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0D9DC8D">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22DEB63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p>
        </w:tc>
        <w:tc>
          <w:tcPr>
            <w:tcW w:w="1995" w:type="dxa"/>
            <w:vAlign w:val="center"/>
          </w:tcPr>
          <w:p w14:paraId="3ABEA577">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34C1C7C4">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18BB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1E3ACF5">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54C0629C">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69B5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7CFA202">
            <w:pPr>
              <w:autoSpaceDE w:val="0"/>
              <w:autoSpaceDN w:val="0"/>
              <w:adjustRightInd w:val="0"/>
              <w:snapToGrid w:val="0"/>
              <w:spacing w:line="360" w:lineRule="auto"/>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087ED125">
            <w:pPr>
              <w:autoSpaceDE w:val="0"/>
              <w:autoSpaceDN w:val="0"/>
              <w:adjustRightInd w:val="0"/>
              <w:snapToGrid w:val="0"/>
              <w:spacing w:line="360" w:lineRule="auto"/>
              <w:jc w:val="center"/>
              <w:rPr>
                <w:rFonts w:hint="eastAsia" w:ascii="仿宋" w:hAnsi="仿宋" w:eastAsia="仿宋" w:cs="仿宋"/>
                <w:color w:val="auto"/>
                <w:kern w:val="0"/>
                <w:sz w:val="24"/>
                <w:szCs w:val="24"/>
                <w:highlight w:val="none"/>
                <w:shd w:val="clear" w:color="auto" w:fill="FFFFFF" w:themeFill="background1"/>
              </w:rPr>
            </w:pPr>
          </w:p>
        </w:tc>
      </w:tr>
      <w:tr w14:paraId="401E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3D493DB0">
            <w:pPr>
              <w:autoSpaceDE w:val="0"/>
              <w:autoSpaceDN w:val="0"/>
              <w:adjustRightInd w:val="0"/>
              <w:snapToGrid w:val="0"/>
              <w:spacing w:line="52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3FF535BA">
            <w:pPr>
              <w:autoSpaceDE w:val="0"/>
              <w:autoSpaceDN w:val="0"/>
              <w:adjustRightInd w:val="0"/>
              <w:snapToGrid w:val="0"/>
              <w:spacing w:line="520" w:lineRule="exact"/>
              <w:jc w:val="center"/>
              <w:rPr>
                <w:rFonts w:hint="eastAsia"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如有</w:t>
            </w:r>
            <w:r>
              <w:rPr>
                <w:rFonts w:hint="eastAsia" w:ascii="仿宋" w:hAnsi="仿宋" w:eastAsia="仿宋" w:cs="仿宋"/>
                <w:color w:val="auto"/>
                <w:kern w:val="0"/>
                <w:sz w:val="24"/>
                <w:szCs w:val="24"/>
                <w:highlight w:val="none"/>
                <w:lang w:eastAsia="zh-CN"/>
              </w:rPr>
              <w:t>）</w:t>
            </w:r>
          </w:p>
        </w:tc>
        <w:tc>
          <w:tcPr>
            <w:tcW w:w="7300" w:type="dxa"/>
            <w:gridSpan w:val="3"/>
            <w:vAlign w:val="center"/>
          </w:tcPr>
          <w:p w14:paraId="75C824BB">
            <w:pPr>
              <w:autoSpaceDE w:val="0"/>
              <w:autoSpaceDN w:val="0"/>
              <w:adjustRightInd w:val="0"/>
              <w:snapToGrid w:val="0"/>
              <w:spacing w:line="520" w:lineRule="exact"/>
              <w:jc w:val="left"/>
              <w:rPr>
                <w:rFonts w:hint="eastAsia"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1"/>
                <w:szCs w:val="21"/>
                <w:highlight w:val="none"/>
                <w:lang w:val="en-US" w:eastAsia="zh-CN"/>
              </w:rPr>
              <w:t>注：此处</w:t>
            </w:r>
            <w:r>
              <w:rPr>
                <w:rFonts w:hint="eastAsia" w:ascii="仿宋" w:hAnsi="仿宋" w:eastAsia="仿宋" w:cs="仿宋"/>
                <w:color w:val="auto"/>
                <w:kern w:val="0"/>
                <w:sz w:val="21"/>
                <w:szCs w:val="21"/>
                <w:highlight w:val="none"/>
              </w:rPr>
              <w:t>关联单位</w:t>
            </w:r>
            <w:r>
              <w:rPr>
                <w:rFonts w:hint="eastAsia" w:ascii="仿宋" w:hAnsi="仿宋" w:eastAsia="仿宋" w:cs="仿宋"/>
                <w:color w:val="auto"/>
                <w:kern w:val="0"/>
                <w:sz w:val="21"/>
                <w:szCs w:val="21"/>
                <w:highlight w:val="none"/>
                <w:lang w:val="en-US" w:eastAsia="zh-CN"/>
              </w:rPr>
              <w:t>指单位负责人为同一人或者存在直接控股、管理关系的不同</w:t>
            </w:r>
            <w:r>
              <w:rPr>
                <w:rFonts w:hint="eastAsia" w:ascii="仿宋" w:hAnsi="仿宋" w:eastAsia="仿宋" w:cs="仿宋"/>
                <w:color w:val="auto"/>
                <w:kern w:val="0"/>
                <w:sz w:val="21"/>
                <w:szCs w:val="21"/>
                <w:highlight w:val="none"/>
              </w:rPr>
              <w:t>单位</w:t>
            </w:r>
            <w:r>
              <w:rPr>
                <w:rFonts w:hint="eastAsia" w:ascii="仿宋" w:hAnsi="仿宋" w:eastAsia="仿宋" w:cs="仿宋"/>
                <w:color w:val="auto"/>
                <w:kern w:val="0"/>
                <w:sz w:val="21"/>
                <w:szCs w:val="21"/>
                <w:highlight w:val="none"/>
                <w:lang w:eastAsia="zh-CN"/>
              </w:rPr>
              <w:t>。</w:t>
            </w:r>
          </w:p>
        </w:tc>
      </w:tr>
    </w:tbl>
    <w:p w14:paraId="3ED4B743">
      <w:pPr>
        <w:rPr>
          <w:rFonts w:hint="eastAsia" w:ascii="仿宋" w:hAnsi="仿宋" w:eastAsia="仿宋" w:cs="仿宋"/>
          <w:color w:val="auto"/>
          <w:highlight w:val="none"/>
        </w:rPr>
      </w:pPr>
    </w:p>
    <w:p w14:paraId="508FFF83">
      <w:pPr>
        <w:spacing w:line="360" w:lineRule="auto"/>
        <w:jc w:val="left"/>
        <w:rPr>
          <w:rFonts w:hint="eastAsia" w:ascii="仿宋" w:hAnsi="仿宋" w:eastAsia="仿宋" w:cs="仿宋"/>
          <w:color w:val="auto"/>
          <w:sz w:val="24"/>
          <w:szCs w:val="24"/>
          <w:highlight w:val="none"/>
        </w:rPr>
      </w:pPr>
    </w:p>
    <w:p w14:paraId="060667A0">
      <w:pPr>
        <w:spacing w:line="360" w:lineRule="auto"/>
        <w:jc w:val="center"/>
        <w:outlineLvl w:val="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67" w:name="_Toc129722558"/>
      <w:bookmarkStart w:id="68" w:name="_Toc21847"/>
      <w:bookmarkStart w:id="69" w:name="_Toc128476878"/>
      <w:bookmarkStart w:id="70" w:name="_Toc30683"/>
      <w:bookmarkStart w:id="71" w:name="_Toc25011"/>
      <w:bookmarkStart w:id="72" w:name="_Toc113901849"/>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.1、法人或者其他组织的营业执照等证明文件，自然人的身份证明</w:t>
      </w:r>
      <w:bookmarkEnd w:id="67"/>
      <w:bookmarkEnd w:id="68"/>
      <w:bookmarkEnd w:id="69"/>
      <w:bookmarkEnd w:id="70"/>
      <w:bookmarkEnd w:id="71"/>
      <w:bookmarkEnd w:id="72"/>
    </w:p>
    <w:p w14:paraId="68C09C69">
      <w:pPr>
        <w:spacing w:line="360" w:lineRule="auto"/>
        <w:rPr>
          <w:rFonts w:hint="eastAsia" w:ascii="仿宋" w:hAnsi="仿宋" w:eastAsia="仿宋" w:cs="仿宋"/>
          <w:color w:val="auto"/>
          <w:sz w:val="24"/>
          <w:szCs w:val="24"/>
          <w:highlight w:val="none"/>
        </w:rPr>
      </w:pPr>
    </w:p>
    <w:p w14:paraId="14F6E1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一、如供应商是企业（包括合伙企业)，应提供在工商部门注册的有效“企业法人营业执照”或“营业执照”;</w:t>
      </w:r>
    </w:p>
    <w:p w14:paraId="35ADB2C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二、如供应商是事业单位，应提供有效的“事业单位法人证书”;</w:t>
      </w:r>
    </w:p>
    <w:p w14:paraId="7F8764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三、供应商是非企业专业服务机构的，应提供执业许可证等证明文件;</w:t>
      </w:r>
    </w:p>
    <w:p w14:paraId="60FB7E1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四、如供应商是个体工商户，应提供有效的“个体工商户营业执照”;</w:t>
      </w:r>
    </w:p>
    <w:p w14:paraId="49B1B7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五、如供应商是自然人，应提供有效的自然人身份证明。</w:t>
      </w:r>
    </w:p>
    <w:p w14:paraId="09F44B63">
      <w:pPr>
        <w:spacing w:line="360" w:lineRule="auto"/>
        <w:rPr>
          <w:rFonts w:hint="eastAsia" w:ascii="仿宋" w:hAnsi="仿宋" w:eastAsia="仿宋" w:cs="仿宋"/>
          <w:color w:val="auto"/>
          <w:sz w:val="24"/>
          <w:szCs w:val="24"/>
          <w:highlight w:val="none"/>
        </w:rPr>
      </w:pPr>
    </w:p>
    <w:p w14:paraId="52348310">
      <w:pPr>
        <w:spacing w:line="360" w:lineRule="auto"/>
        <w:rPr>
          <w:rFonts w:hint="eastAsia" w:ascii="仿宋" w:hAnsi="仿宋" w:eastAsia="仿宋" w:cs="仿宋"/>
          <w:color w:val="auto"/>
          <w:sz w:val="24"/>
          <w:szCs w:val="24"/>
          <w:highlight w:val="none"/>
        </w:rPr>
      </w:pPr>
    </w:p>
    <w:p w14:paraId="4570146B">
      <w:pPr>
        <w:widowControl/>
        <w:spacing w:line="360" w:lineRule="auto"/>
        <w:jc w:val="left"/>
        <w:rPr>
          <w:rFonts w:hint="eastAsia"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02B92569">
      <w:pPr>
        <w:spacing w:line="360" w:lineRule="auto"/>
        <w:jc w:val="center"/>
        <w:outlineLvl w:val="2"/>
        <w:rPr>
          <w:rFonts w:hint="eastAsia" w:ascii="仿宋" w:hAnsi="仿宋" w:eastAsia="仿宋" w:cs="仿宋"/>
          <w:b/>
          <w:color w:val="auto"/>
          <w:sz w:val="24"/>
          <w:szCs w:val="24"/>
          <w:highlight w:val="none"/>
        </w:rPr>
      </w:pPr>
      <w:bookmarkStart w:id="73" w:name="_Toc128476879"/>
      <w:bookmarkStart w:id="74" w:name="_Toc113901850"/>
      <w:bookmarkStart w:id="75" w:name="_Toc4023"/>
      <w:bookmarkStart w:id="76" w:name="_Toc129722559"/>
      <w:bookmarkStart w:id="77" w:name="_Toc27528"/>
      <w:bookmarkStart w:id="78" w:name="_Toc17235"/>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.2、财务状况报告，依法缴纳税收和社会保障资金的相关材料</w:t>
      </w:r>
      <w:bookmarkEnd w:id="73"/>
      <w:bookmarkEnd w:id="74"/>
      <w:bookmarkEnd w:id="75"/>
      <w:bookmarkEnd w:id="76"/>
      <w:bookmarkEnd w:id="77"/>
      <w:bookmarkEnd w:id="78"/>
    </w:p>
    <w:p w14:paraId="185DDC8D">
      <w:pPr>
        <w:spacing w:after="120" w:line="360" w:lineRule="auto"/>
        <w:rPr>
          <w:rFonts w:hint="eastAsia" w:ascii="仿宋" w:hAnsi="仿宋" w:eastAsia="仿宋" w:cs="仿宋"/>
          <w:color w:val="auto"/>
          <w:spacing w:val="10"/>
          <w:kern w:val="0"/>
          <w:sz w:val="24"/>
          <w:szCs w:val="24"/>
          <w:highlight w:val="none"/>
        </w:rPr>
      </w:pPr>
    </w:p>
    <w:p w14:paraId="2BD595A6">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一、财务状况报告（</w:t>
      </w:r>
      <w:r>
        <w:rPr>
          <w:rFonts w:hint="eastAsia" w:ascii="仿宋" w:hAnsi="仿宋" w:eastAsia="仿宋" w:cs="仿宋"/>
          <w:color w:val="auto"/>
          <w:kern w:val="0"/>
          <w:sz w:val="24"/>
          <w:szCs w:val="24"/>
          <w:highlight w:val="none"/>
        </w:rPr>
        <w:t>满足下述一条要求即可</w:t>
      </w:r>
      <w:r>
        <w:rPr>
          <w:rFonts w:hint="eastAsia" w:ascii="仿宋" w:hAnsi="仿宋" w:eastAsia="仿宋" w:cs="仿宋"/>
          <w:color w:val="auto"/>
          <w:spacing w:val="10"/>
          <w:kern w:val="0"/>
          <w:sz w:val="24"/>
          <w:szCs w:val="24"/>
          <w:highlight w:val="none"/>
        </w:rPr>
        <w:t>）：</w:t>
      </w:r>
    </w:p>
    <w:p w14:paraId="55CD5B80">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要求1</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经审计的财务报告（2023</w:t>
      </w:r>
      <w:r>
        <w:rPr>
          <w:rFonts w:hint="eastAsia" w:ascii="仿宋" w:hAnsi="仿宋" w:eastAsia="仿宋" w:cs="仿宋"/>
          <w:color w:val="auto"/>
          <w:kern w:val="0"/>
          <w:sz w:val="24"/>
          <w:szCs w:val="24"/>
          <w:highlight w:val="none"/>
          <w:lang w:val="en-US" w:eastAsia="zh-CN"/>
        </w:rPr>
        <w:t>或2024</w:t>
      </w:r>
      <w:r>
        <w:rPr>
          <w:rFonts w:hint="eastAsia" w:ascii="仿宋" w:hAnsi="仿宋" w:eastAsia="仿宋" w:cs="仿宋"/>
          <w:color w:val="auto"/>
          <w:kern w:val="0"/>
          <w:sz w:val="24"/>
          <w:szCs w:val="24"/>
          <w:highlight w:val="none"/>
        </w:rPr>
        <w:t>年度，包括“四表-注”，即资产负债表、利润表、现金流量表、所有者权益变动表及其附注）或银行出具的资信证明。</w:t>
      </w:r>
    </w:p>
    <w:p w14:paraId="06C47CCE">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要求2</w:t>
      </w:r>
      <w:r>
        <w:rPr>
          <w:rFonts w:hint="eastAsia" w:ascii="仿宋" w:hAnsi="仿宋" w:eastAsia="仿宋" w:cs="仿宋"/>
          <w:color w:val="auto"/>
          <w:spacing w:val="10"/>
          <w:kern w:val="0"/>
          <w:sz w:val="24"/>
          <w:szCs w:val="24"/>
          <w:highlight w:val="none"/>
        </w:rPr>
        <w:t>、财政部门认可的政府采购专业担保机构出具的有效期内的投标担保函。</w:t>
      </w:r>
    </w:p>
    <w:p w14:paraId="147A5374">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要求3</w:t>
      </w:r>
      <w:r>
        <w:rPr>
          <w:rFonts w:hint="eastAsia" w:ascii="仿宋" w:hAnsi="仿宋" w:eastAsia="仿宋" w:cs="仿宋"/>
          <w:color w:val="auto"/>
          <w:spacing w:val="10"/>
          <w:kern w:val="0"/>
          <w:sz w:val="24"/>
          <w:szCs w:val="24"/>
          <w:highlight w:val="none"/>
        </w:rPr>
        <w:t>、</w:t>
      </w:r>
      <w:r>
        <w:rPr>
          <w:rFonts w:hint="eastAsia" w:ascii="仿宋" w:hAnsi="仿宋" w:eastAsia="仿宋" w:cs="仿宋"/>
          <w:color w:val="auto"/>
          <w:kern w:val="0"/>
          <w:sz w:val="24"/>
          <w:szCs w:val="24"/>
          <w:highlight w:val="none"/>
        </w:rPr>
        <w:t>成立不足一个月（</w:t>
      </w:r>
      <w:r>
        <w:rPr>
          <w:rFonts w:hint="eastAsia" w:ascii="仿宋" w:hAnsi="仿宋" w:eastAsia="仿宋" w:cs="仿宋"/>
          <w:color w:val="auto"/>
          <w:spacing w:val="10"/>
          <w:kern w:val="0"/>
          <w:sz w:val="24"/>
          <w:szCs w:val="24"/>
          <w:highlight w:val="none"/>
        </w:rPr>
        <w:t>以响应文件递交截止之日为期限</w:t>
      </w:r>
      <w:r>
        <w:rPr>
          <w:rFonts w:hint="eastAsia" w:ascii="仿宋" w:hAnsi="仿宋" w:eastAsia="仿宋" w:cs="仿宋"/>
          <w:color w:val="auto"/>
          <w:kern w:val="0"/>
          <w:sz w:val="24"/>
          <w:szCs w:val="24"/>
          <w:highlight w:val="none"/>
        </w:rPr>
        <w:t>）的供应商无需提供。</w:t>
      </w:r>
    </w:p>
    <w:p w14:paraId="61EA5B84">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二、依法缴纳税收和社会保障资金的相关材料</w:t>
      </w:r>
    </w:p>
    <w:p w14:paraId="5A13FB61">
      <w:pPr>
        <w:spacing w:after="120" w:line="360" w:lineRule="auto"/>
        <w:ind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2.1、依法缴纳税收的证明材料：</w:t>
      </w:r>
    </w:p>
    <w:p w14:paraId="6283219B">
      <w:pPr>
        <w:spacing w:after="120" w:line="360" w:lineRule="auto"/>
        <w:ind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供应商参加政府采购活动前一段时间（响应文件递交截止之日前六个月内任一个月）内缴纳税收的完税凭证（指各种完税证、缴款书、印花税票、扣（收）税凭证以及其他完税证明）。</w:t>
      </w:r>
    </w:p>
    <w:p w14:paraId="7429D5FE">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2.2、依法缴纳社会保障资金的证明材料：</w:t>
      </w:r>
    </w:p>
    <w:p w14:paraId="2EA3A8CA">
      <w:pPr>
        <w:spacing w:after="120" w:line="360" w:lineRule="auto"/>
        <w:ind w:right="516" w:firstLine="48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kern w:val="0"/>
          <w:sz w:val="24"/>
          <w:szCs w:val="24"/>
          <w:highlight w:val="none"/>
        </w:rPr>
        <w:t>供应商参加政府采购活动前一段时间（响应文件递交截止之日前六个月内任一个月）内缴纳社会保险的凭据，其他组织和自然人也需要提供缴纳税收的凭据和缴纳社会保险的凭据。</w:t>
      </w:r>
    </w:p>
    <w:p w14:paraId="2F86ACEB">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2.3、依法免税或不需要缴纳社会保障资金的</w:t>
      </w:r>
      <w:r>
        <w:rPr>
          <w:rFonts w:hint="eastAsia" w:ascii="仿宋" w:hAnsi="仿宋" w:eastAsia="仿宋" w:cs="仿宋"/>
          <w:color w:val="auto"/>
          <w:spacing w:val="10"/>
          <w:kern w:val="0"/>
          <w:sz w:val="24"/>
          <w:szCs w:val="24"/>
          <w:highlight w:val="none"/>
          <w:lang w:eastAsia="zh-CN"/>
        </w:rPr>
        <w:t>供应商</w:t>
      </w:r>
      <w:r>
        <w:rPr>
          <w:rFonts w:hint="eastAsia" w:ascii="仿宋" w:hAnsi="仿宋" w:eastAsia="仿宋" w:cs="仿宋"/>
          <w:color w:val="auto"/>
          <w:spacing w:val="10"/>
          <w:kern w:val="0"/>
          <w:sz w:val="24"/>
          <w:szCs w:val="24"/>
          <w:highlight w:val="none"/>
        </w:rPr>
        <w:t>，应提供相应文件证明其依法免税或不需要缴纳社会保障资金。</w:t>
      </w:r>
    </w:p>
    <w:p w14:paraId="3586FF8D">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三、注：</w:t>
      </w:r>
    </w:p>
    <w:p w14:paraId="7BB217FD">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3.1、如因有关主管部门政策调整，部分证明材料有所增减，以最新政策要求为准；</w:t>
      </w:r>
    </w:p>
    <w:p w14:paraId="1B64FD64">
      <w:pPr>
        <w:spacing w:after="120" w:line="360" w:lineRule="auto"/>
        <w:ind w:right="516" w:firstLine="520" w:firstLineChars="200"/>
        <w:rPr>
          <w:rFonts w:hint="eastAsia" w:ascii="仿宋" w:hAnsi="仿宋" w:eastAsia="仿宋" w:cs="仿宋"/>
          <w:color w:val="auto"/>
          <w:spacing w:val="10"/>
          <w:kern w:val="0"/>
          <w:sz w:val="24"/>
          <w:szCs w:val="24"/>
          <w:highlight w:val="none"/>
        </w:rPr>
      </w:pPr>
      <w:r>
        <w:rPr>
          <w:rFonts w:hint="eastAsia" w:ascii="仿宋" w:hAnsi="仿宋" w:eastAsia="仿宋" w:cs="仿宋"/>
          <w:color w:val="auto"/>
          <w:spacing w:val="10"/>
          <w:kern w:val="0"/>
          <w:sz w:val="24"/>
          <w:szCs w:val="24"/>
          <w:highlight w:val="none"/>
        </w:rPr>
        <w:t>3.2、如供应商所在地有关主管部门反馈的证明材料与本文中要求不一致时，以当地要求为准，但须供应商提供文字说明。</w:t>
      </w:r>
    </w:p>
    <w:p w14:paraId="1EC321FC">
      <w:pPr>
        <w:tabs>
          <w:tab w:val="center" w:pos="4832"/>
          <w:tab w:val="left" w:pos="7140"/>
        </w:tabs>
        <w:spacing w:line="360" w:lineRule="auto"/>
        <w:jc w:val="center"/>
        <w:outlineLvl w:val="2"/>
        <w:rPr>
          <w:rFonts w:hint="eastAsia" w:ascii="仿宋" w:hAnsi="仿宋" w:eastAsia="仿宋" w:cs="仿宋"/>
          <w:b/>
          <w:color w:val="auto"/>
          <w:sz w:val="24"/>
          <w:szCs w:val="24"/>
          <w:highlight w:val="none"/>
        </w:rPr>
      </w:pPr>
      <w:bookmarkStart w:id="79" w:name="_Toc113901851"/>
      <w:bookmarkStart w:id="80" w:name="_Toc128476880"/>
      <w:bookmarkStart w:id="81" w:name="_Toc111556488"/>
      <w:r>
        <w:rPr>
          <w:rFonts w:hint="eastAsia" w:ascii="仿宋" w:hAnsi="仿宋" w:eastAsia="仿宋" w:cs="仿宋"/>
          <w:b/>
          <w:color w:val="auto"/>
          <w:sz w:val="24"/>
          <w:szCs w:val="24"/>
          <w:highlight w:val="none"/>
        </w:rPr>
        <w:br w:type="page"/>
      </w:r>
      <w:bookmarkStart w:id="82" w:name="_Toc2308"/>
      <w:bookmarkStart w:id="83" w:name="_Toc2182"/>
      <w:bookmarkStart w:id="84" w:name="_Toc129722560"/>
      <w:bookmarkStart w:id="85" w:name="_Toc28218"/>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.3、具备履行合同所必需的设备和专业技术能力的证明材料</w:t>
      </w:r>
      <w:bookmarkEnd w:id="79"/>
      <w:bookmarkEnd w:id="80"/>
      <w:bookmarkEnd w:id="82"/>
      <w:bookmarkEnd w:id="83"/>
      <w:bookmarkEnd w:id="84"/>
      <w:bookmarkEnd w:id="85"/>
    </w:p>
    <w:p w14:paraId="7146C5F4">
      <w:pPr>
        <w:spacing w:line="360" w:lineRule="auto"/>
        <w:jc w:val="center"/>
        <w:rPr>
          <w:rFonts w:hint="eastAsia" w:ascii="仿宋" w:hAnsi="仿宋" w:eastAsia="仿宋" w:cs="仿宋"/>
          <w:b/>
          <w:color w:val="auto"/>
          <w:sz w:val="24"/>
          <w:szCs w:val="24"/>
          <w:highlight w:val="none"/>
        </w:rPr>
      </w:pPr>
    </w:p>
    <w:p w14:paraId="51805AEF">
      <w:pPr>
        <w:spacing w:line="360" w:lineRule="auto"/>
        <w:jc w:val="center"/>
        <w:rPr>
          <w:rFonts w:hint="eastAsia" w:ascii="仿宋" w:hAnsi="仿宋" w:eastAsia="仿宋" w:cs="仿宋"/>
          <w:b/>
          <w:color w:val="auto"/>
          <w:sz w:val="24"/>
          <w:szCs w:val="24"/>
          <w:highlight w:val="none"/>
        </w:rPr>
      </w:pPr>
    </w:p>
    <w:p w14:paraId="0FA8EC0E">
      <w:pPr>
        <w:spacing w:line="360" w:lineRule="auto"/>
        <w:jc w:val="center"/>
        <w:rPr>
          <w:rFonts w:hint="eastAsia" w:ascii="仿宋" w:hAnsi="仿宋" w:eastAsia="仿宋" w:cs="仿宋"/>
          <w:b/>
          <w:color w:val="auto"/>
          <w:sz w:val="24"/>
          <w:szCs w:val="24"/>
          <w:highlight w:val="none"/>
        </w:rPr>
      </w:pPr>
    </w:p>
    <w:p w14:paraId="177ED62E">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81"/>
      <w:r>
        <w:rPr>
          <w:rFonts w:hint="eastAsia" w:ascii="仿宋" w:hAnsi="仿宋" w:eastAsia="仿宋" w:cs="仿宋"/>
          <w:b/>
          <w:color w:val="auto"/>
          <w:sz w:val="24"/>
          <w:szCs w:val="24"/>
          <w:highlight w:val="none"/>
        </w:rPr>
        <w:t>函</w:t>
      </w:r>
    </w:p>
    <w:p w14:paraId="7A8B8A96">
      <w:pPr>
        <w:adjustRightInd w:val="0"/>
        <w:snapToGrid w:val="0"/>
        <w:spacing w:line="360" w:lineRule="auto"/>
        <w:ind w:firstLine="480" w:firstLineChars="200"/>
        <w:jc w:val="center"/>
        <w:rPr>
          <w:rFonts w:hint="eastAsia" w:ascii="仿宋" w:hAnsi="仿宋" w:eastAsia="仿宋" w:cs="仿宋"/>
          <w:color w:val="auto"/>
          <w:sz w:val="24"/>
          <w:szCs w:val="24"/>
          <w:highlight w:val="none"/>
        </w:rPr>
      </w:pPr>
    </w:p>
    <w:p w14:paraId="529214F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029DE5D">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p>
    <w:p w14:paraId="720F7607">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2982944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0B2EB05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604E057F">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09E876DF">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0E017E02">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1B29CCAD">
      <w:pPr>
        <w:autoSpaceDE w:val="0"/>
        <w:autoSpaceDN w:val="0"/>
        <w:adjustRightInd w:val="0"/>
        <w:spacing w:line="360" w:lineRule="auto"/>
        <w:jc w:val="left"/>
        <w:rPr>
          <w:rFonts w:hint="eastAsia" w:ascii="仿宋" w:hAnsi="仿宋" w:eastAsia="仿宋" w:cs="仿宋"/>
          <w:color w:val="auto"/>
          <w:kern w:val="0"/>
          <w:sz w:val="24"/>
          <w:szCs w:val="24"/>
          <w:highlight w:val="none"/>
        </w:rPr>
      </w:pPr>
    </w:p>
    <w:p w14:paraId="080E7EA2">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FA0ECF3">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09A7F96E">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p>
    <w:p w14:paraId="40183F03">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5DEB9E36">
      <w:pPr>
        <w:adjustRightInd w:val="0"/>
        <w:snapToGrid w:val="0"/>
        <w:spacing w:line="360" w:lineRule="auto"/>
        <w:rPr>
          <w:rFonts w:hint="eastAsia" w:ascii="仿宋" w:hAnsi="仿宋" w:eastAsia="仿宋" w:cs="仿宋"/>
          <w:bCs/>
          <w:color w:val="auto"/>
          <w:sz w:val="24"/>
          <w:szCs w:val="24"/>
          <w:highlight w:val="none"/>
        </w:rPr>
      </w:pPr>
    </w:p>
    <w:p w14:paraId="41586C98">
      <w:pPr>
        <w:spacing w:line="360" w:lineRule="auto"/>
        <w:rPr>
          <w:rFonts w:hint="eastAsia" w:ascii="仿宋" w:hAnsi="仿宋" w:eastAsia="仿宋" w:cs="仿宋"/>
          <w:color w:val="auto"/>
          <w:sz w:val="24"/>
          <w:szCs w:val="24"/>
          <w:highlight w:val="none"/>
        </w:rPr>
      </w:pPr>
    </w:p>
    <w:p w14:paraId="775EC638">
      <w:pPr>
        <w:spacing w:line="360" w:lineRule="auto"/>
        <w:rPr>
          <w:rFonts w:hint="eastAsia" w:ascii="仿宋" w:hAnsi="仿宋" w:eastAsia="仿宋" w:cs="仿宋"/>
          <w:color w:val="auto"/>
          <w:sz w:val="24"/>
          <w:szCs w:val="24"/>
          <w:highlight w:val="none"/>
        </w:rPr>
      </w:pPr>
    </w:p>
    <w:p w14:paraId="1BAABBA9">
      <w:pPr>
        <w:spacing w:line="360" w:lineRule="auto"/>
        <w:rPr>
          <w:rFonts w:hint="eastAsia" w:ascii="仿宋" w:hAnsi="仿宋" w:eastAsia="仿宋" w:cs="仿宋"/>
          <w:color w:val="auto"/>
          <w:sz w:val="24"/>
          <w:szCs w:val="24"/>
          <w:highlight w:val="none"/>
        </w:rPr>
      </w:pPr>
    </w:p>
    <w:p w14:paraId="4B2CDFD8">
      <w:pPr>
        <w:spacing w:line="360" w:lineRule="auto"/>
        <w:rPr>
          <w:rFonts w:hint="eastAsia" w:ascii="仿宋" w:hAnsi="仿宋" w:eastAsia="仿宋" w:cs="仿宋"/>
          <w:color w:val="auto"/>
          <w:sz w:val="24"/>
          <w:szCs w:val="24"/>
          <w:highlight w:val="none"/>
        </w:rPr>
      </w:pPr>
    </w:p>
    <w:p w14:paraId="72EB2041">
      <w:pPr>
        <w:spacing w:line="360" w:lineRule="auto"/>
        <w:rPr>
          <w:rFonts w:hint="eastAsia" w:ascii="仿宋" w:hAnsi="仿宋" w:eastAsia="仿宋" w:cs="仿宋"/>
          <w:color w:val="auto"/>
          <w:sz w:val="24"/>
          <w:szCs w:val="24"/>
          <w:highlight w:val="none"/>
        </w:rPr>
      </w:pPr>
    </w:p>
    <w:p w14:paraId="36DD7D5A">
      <w:pPr>
        <w:spacing w:line="360" w:lineRule="auto"/>
        <w:rPr>
          <w:rFonts w:hint="eastAsia" w:ascii="仿宋" w:hAnsi="仿宋" w:eastAsia="仿宋" w:cs="仿宋"/>
          <w:color w:val="auto"/>
          <w:sz w:val="24"/>
          <w:szCs w:val="24"/>
          <w:highlight w:val="none"/>
        </w:rPr>
      </w:pPr>
    </w:p>
    <w:p w14:paraId="2B86083E">
      <w:pPr>
        <w:tabs>
          <w:tab w:val="center" w:pos="4832"/>
          <w:tab w:val="left" w:pos="7140"/>
        </w:tabs>
        <w:spacing w:line="360" w:lineRule="auto"/>
        <w:jc w:val="center"/>
        <w:outlineLvl w:val="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86" w:name="_Toc113901852"/>
      <w:bookmarkStart w:id="87" w:name="_Toc129722561"/>
      <w:bookmarkStart w:id="88" w:name="_Toc23501"/>
      <w:bookmarkStart w:id="89" w:name="_Toc8452"/>
      <w:bookmarkStart w:id="90" w:name="_Toc11458"/>
      <w:bookmarkStart w:id="91" w:name="_Toc128476881"/>
      <w:bookmarkStart w:id="92" w:name="_Toc111556490"/>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.4、参加政府采购活动前3年内在经营活动中没有重大违法记录的书面声明</w:t>
      </w:r>
      <w:bookmarkEnd w:id="86"/>
      <w:bookmarkEnd w:id="87"/>
      <w:bookmarkEnd w:id="88"/>
      <w:bookmarkEnd w:id="89"/>
      <w:bookmarkEnd w:id="90"/>
      <w:bookmarkEnd w:id="91"/>
    </w:p>
    <w:bookmarkEnd w:id="92"/>
    <w:p w14:paraId="28DAD7C9">
      <w:pPr>
        <w:widowControl/>
        <w:adjustRightInd w:val="0"/>
        <w:snapToGrid w:val="0"/>
        <w:spacing w:line="360" w:lineRule="auto"/>
        <w:rPr>
          <w:rFonts w:hint="eastAsia" w:ascii="仿宋" w:hAnsi="仿宋" w:eastAsia="仿宋" w:cs="仿宋"/>
          <w:color w:val="auto"/>
          <w:sz w:val="24"/>
          <w:szCs w:val="24"/>
          <w:highlight w:val="none"/>
        </w:rPr>
      </w:pPr>
    </w:p>
    <w:p w14:paraId="32D137D6">
      <w:pPr>
        <w:widowControl/>
        <w:adjustRightInd w:val="0"/>
        <w:snapToGrid w:val="0"/>
        <w:spacing w:line="360" w:lineRule="auto"/>
        <w:rPr>
          <w:rFonts w:hint="eastAsia" w:ascii="仿宋" w:hAnsi="仿宋" w:eastAsia="仿宋" w:cs="仿宋"/>
          <w:color w:val="auto"/>
          <w:sz w:val="24"/>
          <w:szCs w:val="24"/>
          <w:highlight w:val="none"/>
        </w:rPr>
      </w:pPr>
    </w:p>
    <w:p w14:paraId="508B958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5C0EB5A2">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77939E75">
      <w:pP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响应文件递交截止之日为期限</w:t>
      </w:r>
      <w:r>
        <w:rPr>
          <w:rFonts w:hint="eastAsia" w:ascii="仿宋" w:hAnsi="仿宋" w:eastAsia="仿宋" w:cs="仿宋"/>
          <w:color w:val="auto"/>
          <w:kern w:val="0"/>
          <w:sz w:val="24"/>
          <w:szCs w:val="24"/>
          <w:highlight w:val="none"/>
        </w:rPr>
        <w:t>）在经营活动中没有重大违法记录。</w:t>
      </w:r>
    </w:p>
    <w:p w14:paraId="15BFE832">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6900DC8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34D67F40">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333F5AE">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2C5AED05">
      <w:pPr>
        <w:adjustRightInd w:val="0"/>
        <w:snapToGrid w:val="0"/>
        <w:spacing w:line="360" w:lineRule="auto"/>
        <w:ind w:firstLine="42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备注：</w:t>
      </w:r>
    </w:p>
    <w:p w14:paraId="770E5FF3">
      <w:pPr>
        <w:adjustRightInd w:val="0"/>
        <w:snapToGrid w:val="0"/>
        <w:spacing w:line="360" w:lineRule="auto"/>
        <w:ind w:firstLine="420" w:firstLineChars="200"/>
        <w:rPr>
          <w:rFonts w:hint="eastAsia" w:ascii="仿宋" w:hAnsi="仿宋" w:eastAsia="仿宋" w:cs="仿宋"/>
          <w:color w:val="auto"/>
          <w:sz w:val="24"/>
          <w:szCs w:val="24"/>
          <w:highlight w:val="none"/>
        </w:rPr>
      </w:pPr>
      <w:r>
        <w:rPr>
          <w:rFonts w:hint="eastAsia" w:ascii="仿宋" w:hAnsi="仿宋" w:eastAsia="仿宋" w:cs="仿宋"/>
          <w:color w:val="auto"/>
          <w:szCs w:val="24"/>
          <w:highlight w:val="none"/>
        </w:rPr>
        <w:t>若供应商在响应文件递交截止之日成立时间不足三年，以自成立以来的时间计取。</w:t>
      </w:r>
    </w:p>
    <w:p w14:paraId="73DC1F20">
      <w:pPr>
        <w:adjustRightInd w:val="0"/>
        <w:snapToGrid w:val="0"/>
        <w:spacing w:line="360" w:lineRule="auto"/>
        <w:ind w:firstLine="480" w:firstLineChars="200"/>
        <w:rPr>
          <w:rFonts w:hint="eastAsia" w:ascii="仿宋" w:hAnsi="仿宋" w:eastAsia="仿宋" w:cs="仿宋"/>
          <w:color w:val="auto"/>
          <w:kern w:val="0"/>
          <w:sz w:val="24"/>
          <w:szCs w:val="24"/>
          <w:highlight w:val="none"/>
        </w:rPr>
      </w:pPr>
    </w:p>
    <w:p w14:paraId="1DA6D179">
      <w:pPr>
        <w:adjustRightInd w:val="0"/>
        <w:snapToGrid w:val="0"/>
        <w:spacing w:line="360" w:lineRule="auto"/>
        <w:ind w:firstLine="3112" w:firstLineChars="1297"/>
        <w:rPr>
          <w:rFonts w:hint="eastAsia" w:ascii="仿宋" w:hAnsi="仿宋" w:eastAsia="仿宋" w:cs="仿宋"/>
          <w:color w:val="auto"/>
          <w:sz w:val="24"/>
          <w:szCs w:val="24"/>
          <w:highlight w:val="none"/>
        </w:rPr>
      </w:pPr>
    </w:p>
    <w:p w14:paraId="65E8FE52">
      <w:pPr>
        <w:widowControl/>
        <w:shd w:val="clear" w:color="auto" w:fill="FFFFFF"/>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4AE24C0">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0A3CF269">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p>
    <w:p w14:paraId="12D66A61">
      <w:pPr>
        <w:widowControl/>
        <w:shd w:val="clear" w:color="auto" w:fill="FFFFFF"/>
        <w:snapToGrid w:val="0"/>
        <w:spacing w:line="360" w:lineRule="auto"/>
        <w:ind w:firstLine="4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7DB5AE6D">
      <w:pPr>
        <w:widowControl/>
        <w:shd w:val="clear" w:color="auto" w:fill="FFFFFF"/>
        <w:snapToGrid w:val="0"/>
        <w:spacing w:line="360" w:lineRule="auto"/>
        <w:ind w:firstLine="420"/>
        <w:rPr>
          <w:rFonts w:hint="eastAsia" w:ascii="仿宋" w:hAnsi="仿宋" w:eastAsia="仿宋" w:cs="仿宋"/>
          <w:color w:val="auto"/>
          <w:kern w:val="0"/>
          <w:sz w:val="24"/>
          <w:szCs w:val="24"/>
          <w:highlight w:val="none"/>
        </w:rPr>
      </w:pPr>
    </w:p>
    <w:p w14:paraId="4C46AE80">
      <w:pPr>
        <w:tabs>
          <w:tab w:val="center" w:pos="4832"/>
          <w:tab w:val="left" w:pos="7140"/>
        </w:tabs>
        <w:spacing w:line="360" w:lineRule="auto"/>
        <w:jc w:val="center"/>
        <w:outlineLvl w:val="2"/>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93" w:name="_Toc113901853"/>
      <w:bookmarkStart w:id="94" w:name="_Toc128476882"/>
      <w:bookmarkStart w:id="95" w:name="_Toc14273"/>
      <w:bookmarkStart w:id="96" w:name="_Toc17848"/>
      <w:bookmarkStart w:id="97" w:name="_Toc129722562"/>
      <w:bookmarkStart w:id="98" w:name="_Toc27719"/>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.5、具备法律、行政法规规定的其他条件的证明材料</w:t>
      </w:r>
      <w:bookmarkEnd w:id="93"/>
      <w:bookmarkEnd w:id="94"/>
      <w:bookmarkEnd w:id="95"/>
      <w:bookmarkEnd w:id="96"/>
      <w:bookmarkEnd w:id="97"/>
      <w:bookmarkEnd w:id="98"/>
    </w:p>
    <w:p w14:paraId="5E15D20C">
      <w:pPr>
        <w:widowControl/>
        <w:adjustRightInd w:val="0"/>
        <w:snapToGrid w:val="0"/>
        <w:spacing w:line="360" w:lineRule="auto"/>
        <w:rPr>
          <w:rFonts w:hint="eastAsia" w:ascii="仿宋" w:hAnsi="仿宋" w:eastAsia="仿宋" w:cs="仿宋"/>
          <w:color w:val="auto"/>
          <w:sz w:val="24"/>
          <w:szCs w:val="24"/>
          <w:highlight w:val="none"/>
        </w:rPr>
      </w:pPr>
    </w:p>
    <w:p w14:paraId="77BA5D0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47368683">
      <w:pPr>
        <w:widowControl/>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p>
    <w:p w14:paraId="40DD317F">
      <w:pPr>
        <w:widowControl/>
        <w:spacing w:line="360" w:lineRule="auto"/>
        <w:ind w:firstLine="480" w:firstLineChars="200"/>
        <w:jc w:val="left"/>
        <w:rPr>
          <w:rFonts w:hint="eastAsia" w:ascii="仿宋" w:hAnsi="仿宋" w:eastAsia="仿宋" w:cs="仿宋"/>
          <w:color w:val="auto"/>
          <w:sz w:val="24"/>
          <w:szCs w:val="24"/>
          <w:highlight w:val="none"/>
        </w:rPr>
      </w:pPr>
    </w:p>
    <w:p w14:paraId="52344E94">
      <w:pPr>
        <w:widowControl/>
        <w:spacing w:line="360" w:lineRule="auto"/>
        <w:ind w:firstLine="480"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 xml:space="preserve">附表一、                  </w:t>
      </w:r>
    </w:p>
    <w:p w14:paraId="30284B2C">
      <w:pPr>
        <w:spacing w:line="588" w:lineRule="exact"/>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77402E81">
      <w:pPr>
        <w:spacing w:line="588" w:lineRule="exact"/>
        <w:jc w:val="center"/>
        <w:rPr>
          <w:rFonts w:hint="eastAsia" w:ascii="仿宋" w:hAnsi="仿宋" w:eastAsia="仿宋" w:cs="仿宋"/>
          <w:b/>
          <w:color w:val="auto"/>
          <w:spacing w:val="6"/>
          <w:sz w:val="24"/>
          <w:szCs w:val="24"/>
          <w:highlight w:val="none"/>
        </w:rPr>
      </w:pPr>
    </w:p>
    <w:p w14:paraId="5734EBF6">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7F1DAB4A">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63D4A0D3">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2.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1B7F8853">
      <w:pPr>
        <w:spacing w:line="588" w:lineRule="exact"/>
        <w:rPr>
          <w:rFonts w:hint="eastAsia" w:ascii="仿宋" w:hAnsi="仿宋" w:eastAsia="仿宋" w:cs="仿宋"/>
          <w:color w:val="auto"/>
          <w:kern w:val="0"/>
          <w:sz w:val="24"/>
          <w:szCs w:val="24"/>
          <w:highlight w:val="none"/>
        </w:rPr>
      </w:pPr>
    </w:p>
    <w:p w14:paraId="596DA0AA">
      <w:pPr>
        <w:spacing w:line="588"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828FA35">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755FF491">
      <w:pPr>
        <w:spacing w:line="588"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55C2A229">
      <w:pPr>
        <w:spacing w:line="588" w:lineRule="exact"/>
        <w:ind w:firstLine="480" w:firstLineChars="200"/>
        <w:rPr>
          <w:rFonts w:hint="eastAsia" w:ascii="仿宋" w:hAnsi="仿宋" w:eastAsia="仿宋" w:cs="仿宋"/>
          <w:color w:val="auto"/>
          <w:kern w:val="0"/>
          <w:sz w:val="24"/>
          <w:szCs w:val="24"/>
          <w:highlight w:val="none"/>
        </w:rPr>
      </w:pPr>
    </w:p>
    <w:p w14:paraId="782B1C7E">
      <w:pPr>
        <w:spacing w:line="588" w:lineRule="exact"/>
        <w:ind w:right="48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2B1C1C22">
      <w:pPr>
        <w:spacing w:line="588" w:lineRule="exact"/>
        <w:ind w:right="480" w:firstLine="6240" w:firstLineChars="26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3DB234DD">
      <w:pPr>
        <w:spacing w:line="588" w:lineRule="exact"/>
        <w:ind w:right="480" w:firstLine="6240" w:firstLineChars="2600"/>
        <w:rPr>
          <w:rFonts w:hint="eastAsia" w:ascii="仿宋" w:hAnsi="仿宋" w:eastAsia="仿宋" w:cs="仿宋"/>
          <w:color w:val="auto"/>
          <w:kern w:val="0"/>
          <w:sz w:val="24"/>
          <w:szCs w:val="24"/>
          <w:highlight w:val="none"/>
        </w:rPr>
      </w:pPr>
    </w:p>
    <w:p w14:paraId="0E92EE5C">
      <w:pPr>
        <w:spacing w:line="588"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214599FA">
      <w:pPr>
        <w:spacing w:line="588" w:lineRule="exact"/>
        <w:rPr>
          <w:rFonts w:hint="eastAsia" w:ascii="仿宋" w:hAnsi="仿宋" w:eastAsia="仿宋" w:cs="仿宋"/>
          <w:color w:val="auto"/>
          <w:spacing w:val="6"/>
          <w:sz w:val="24"/>
          <w:szCs w:val="24"/>
          <w:highlight w:val="none"/>
        </w:rPr>
      </w:pPr>
      <w:r>
        <w:rPr>
          <w:rStyle w:val="34"/>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附表二、</w:t>
      </w:r>
    </w:p>
    <w:p w14:paraId="7EA0D49A">
      <w:pPr>
        <w:spacing w:line="360" w:lineRule="auto"/>
        <w:jc w:val="center"/>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6A94AD7D">
      <w:pPr>
        <w:spacing w:line="360" w:lineRule="auto"/>
        <w:rPr>
          <w:rFonts w:hint="eastAsia" w:ascii="仿宋" w:hAnsi="仿宋" w:eastAsia="仿宋" w:cs="仿宋"/>
          <w:b/>
          <w:color w:val="auto"/>
          <w:spacing w:val="6"/>
          <w:sz w:val="24"/>
          <w:szCs w:val="24"/>
          <w:highlight w:val="none"/>
        </w:rPr>
      </w:pPr>
    </w:p>
    <w:p w14:paraId="694EDED6">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0A5DFDC">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0D9EE62E">
      <w:pPr>
        <w:spacing w:line="360" w:lineRule="auto"/>
        <w:ind w:firstLine="504" w:firstLineChars="200"/>
        <w:rPr>
          <w:rFonts w:hint="eastAsia" w:ascii="仿宋" w:hAnsi="仿宋" w:eastAsia="仿宋" w:cs="仿宋"/>
          <w:color w:val="auto"/>
          <w:spacing w:val="6"/>
          <w:sz w:val="24"/>
          <w:szCs w:val="24"/>
          <w:highlight w:val="none"/>
        </w:rPr>
      </w:pPr>
    </w:p>
    <w:p w14:paraId="540BBF3A">
      <w:pPr>
        <w:spacing w:line="360" w:lineRule="auto"/>
        <w:ind w:firstLine="504" w:firstLineChars="200"/>
        <w:rPr>
          <w:rFonts w:hint="eastAsia" w:ascii="仿宋" w:hAnsi="仿宋" w:eastAsia="仿宋" w:cs="仿宋"/>
          <w:color w:val="auto"/>
          <w:spacing w:val="6"/>
          <w:sz w:val="24"/>
          <w:szCs w:val="24"/>
          <w:highlight w:val="none"/>
        </w:rPr>
      </w:pPr>
    </w:p>
    <w:p w14:paraId="237BFBD3">
      <w:pPr>
        <w:tabs>
          <w:tab w:val="left" w:pos="4860"/>
        </w:tabs>
        <w:spacing w:line="360" w:lineRule="auto"/>
        <w:ind w:right="1560"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249A59C1">
      <w:pPr>
        <w:tabs>
          <w:tab w:val="left" w:pos="4860"/>
        </w:tabs>
        <w:spacing w:line="360" w:lineRule="auto"/>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286E9354">
      <w:pPr>
        <w:spacing w:line="360" w:lineRule="auto"/>
        <w:rPr>
          <w:rFonts w:hint="eastAsia" w:ascii="仿宋" w:hAnsi="仿宋" w:eastAsia="仿宋" w:cs="仿宋"/>
          <w:color w:val="auto"/>
          <w:sz w:val="24"/>
          <w:szCs w:val="24"/>
          <w:highlight w:val="none"/>
        </w:rPr>
      </w:pPr>
    </w:p>
    <w:p w14:paraId="0FE01D51">
      <w:pPr>
        <w:spacing w:line="360" w:lineRule="auto"/>
        <w:rPr>
          <w:rFonts w:hint="eastAsia" w:ascii="仿宋" w:hAnsi="仿宋" w:eastAsia="仿宋" w:cs="仿宋"/>
          <w:color w:val="auto"/>
          <w:sz w:val="24"/>
          <w:szCs w:val="24"/>
          <w:highlight w:val="none"/>
        </w:rPr>
      </w:pPr>
    </w:p>
    <w:p w14:paraId="08C100A2">
      <w:pPr>
        <w:spacing w:line="360" w:lineRule="auto"/>
        <w:rPr>
          <w:rFonts w:hint="eastAsia" w:ascii="仿宋" w:hAnsi="仿宋" w:eastAsia="仿宋" w:cs="仿宋"/>
          <w:color w:val="auto"/>
          <w:sz w:val="24"/>
          <w:szCs w:val="24"/>
          <w:highlight w:val="none"/>
        </w:rPr>
      </w:pPr>
    </w:p>
    <w:p w14:paraId="655E5A0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附表三、</w:t>
      </w:r>
    </w:p>
    <w:p w14:paraId="628F3076">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0A416DB4">
      <w:pPr>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35E9F9ED">
      <w:pPr>
        <w:widowControl/>
        <w:adjustRightInd w:val="0"/>
        <w:snapToGrid w:val="0"/>
        <w:spacing w:line="360" w:lineRule="auto"/>
        <w:rPr>
          <w:rFonts w:hint="eastAsia" w:ascii="仿宋" w:hAnsi="仿宋" w:eastAsia="仿宋" w:cs="仿宋"/>
          <w:color w:val="auto"/>
          <w:sz w:val="24"/>
          <w:szCs w:val="24"/>
          <w:highlight w:val="none"/>
        </w:rPr>
      </w:pPr>
    </w:p>
    <w:p w14:paraId="36740F87">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99" w:name="_Toc793"/>
      <w:bookmarkStart w:id="100" w:name="_Toc5977"/>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、供应商近年类似项目情况表</w:t>
      </w:r>
      <w:bookmarkEnd w:id="64"/>
      <w:bookmarkEnd w:id="65"/>
      <w:bookmarkEnd w:id="99"/>
      <w:bookmarkEnd w:id="100"/>
    </w:p>
    <w:p w14:paraId="5BB9486C">
      <w:pPr>
        <w:spacing w:line="360" w:lineRule="auto"/>
        <w:jc w:val="left"/>
        <w:rPr>
          <w:rFonts w:hint="eastAsia" w:ascii="仿宋" w:hAnsi="仿宋" w:eastAsia="仿宋" w:cs="仿宋"/>
          <w:color w:val="auto"/>
          <w:sz w:val="24"/>
          <w:szCs w:val="24"/>
          <w:highlight w:val="none"/>
        </w:rPr>
      </w:pP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54AC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41EAA15F">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1233" w:type="dxa"/>
          </w:tcPr>
          <w:p w14:paraId="382AFF25">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项目名称</w:t>
            </w:r>
          </w:p>
        </w:tc>
        <w:tc>
          <w:tcPr>
            <w:tcW w:w="963" w:type="dxa"/>
          </w:tcPr>
          <w:p w14:paraId="37A204B7">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采购人</w:t>
            </w:r>
          </w:p>
        </w:tc>
        <w:tc>
          <w:tcPr>
            <w:tcW w:w="1922" w:type="dxa"/>
          </w:tcPr>
          <w:p w14:paraId="6EA45CDE">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采购人联系方式</w:t>
            </w:r>
          </w:p>
        </w:tc>
        <w:tc>
          <w:tcPr>
            <w:tcW w:w="1212" w:type="dxa"/>
          </w:tcPr>
          <w:p w14:paraId="466BADC6">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合同内容</w:t>
            </w:r>
          </w:p>
        </w:tc>
        <w:tc>
          <w:tcPr>
            <w:tcW w:w="1232" w:type="dxa"/>
          </w:tcPr>
          <w:p w14:paraId="62B391C5">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合同价格</w:t>
            </w:r>
          </w:p>
        </w:tc>
        <w:tc>
          <w:tcPr>
            <w:tcW w:w="1232" w:type="dxa"/>
          </w:tcPr>
          <w:p w14:paraId="2B5B19B0">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795" w:type="dxa"/>
          </w:tcPr>
          <w:p w14:paraId="73BA0C3E">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备注</w:t>
            </w:r>
          </w:p>
        </w:tc>
      </w:tr>
      <w:tr w14:paraId="43359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45F4FD25">
            <w:pPr>
              <w:rPr>
                <w:rFonts w:hint="eastAsia" w:ascii="仿宋" w:hAnsi="仿宋" w:eastAsia="仿宋" w:cs="仿宋"/>
                <w:color w:val="auto"/>
                <w:kern w:val="0"/>
                <w:sz w:val="21"/>
                <w:szCs w:val="21"/>
                <w:highlight w:val="none"/>
              </w:rPr>
            </w:pPr>
          </w:p>
        </w:tc>
        <w:tc>
          <w:tcPr>
            <w:tcW w:w="1233" w:type="dxa"/>
          </w:tcPr>
          <w:p w14:paraId="6FBB46FA">
            <w:pPr>
              <w:rPr>
                <w:rFonts w:hint="eastAsia" w:ascii="仿宋" w:hAnsi="仿宋" w:eastAsia="仿宋" w:cs="仿宋"/>
                <w:color w:val="auto"/>
                <w:kern w:val="0"/>
                <w:sz w:val="21"/>
                <w:szCs w:val="21"/>
                <w:highlight w:val="none"/>
              </w:rPr>
            </w:pPr>
          </w:p>
        </w:tc>
        <w:tc>
          <w:tcPr>
            <w:tcW w:w="963" w:type="dxa"/>
          </w:tcPr>
          <w:p w14:paraId="700D7C86">
            <w:pPr>
              <w:rPr>
                <w:rFonts w:hint="eastAsia" w:ascii="仿宋" w:hAnsi="仿宋" w:eastAsia="仿宋" w:cs="仿宋"/>
                <w:color w:val="auto"/>
                <w:kern w:val="0"/>
                <w:sz w:val="21"/>
                <w:szCs w:val="21"/>
                <w:highlight w:val="none"/>
              </w:rPr>
            </w:pPr>
          </w:p>
        </w:tc>
        <w:tc>
          <w:tcPr>
            <w:tcW w:w="1922" w:type="dxa"/>
          </w:tcPr>
          <w:p w14:paraId="747C9169">
            <w:pPr>
              <w:rPr>
                <w:rFonts w:hint="eastAsia" w:ascii="仿宋" w:hAnsi="仿宋" w:eastAsia="仿宋" w:cs="仿宋"/>
                <w:color w:val="auto"/>
                <w:kern w:val="0"/>
                <w:sz w:val="21"/>
                <w:szCs w:val="21"/>
                <w:highlight w:val="none"/>
              </w:rPr>
            </w:pPr>
          </w:p>
        </w:tc>
        <w:tc>
          <w:tcPr>
            <w:tcW w:w="1212" w:type="dxa"/>
          </w:tcPr>
          <w:p w14:paraId="492713DF">
            <w:pPr>
              <w:rPr>
                <w:rFonts w:hint="eastAsia" w:ascii="仿宋" w:hAnsi="仿宋" w:eastAsia="仿宋" w:cs="仿宋"/>
                <w:color w:val="auto"/>
                <w:kern w:val="0"/>
                <w:sz w:val="21"/>
                <w:szCs w:val="21"/>
                <w:highlight w:val="none"/>
              </w:rPr>
            </w:pPr>
          </w:p>
        </w:tc>
        <w:tc>
          <w:tcPr>
            <w:tcW w:w="1232" w:type="dxa"/>
          </w:tcPr>
          <w:p w14:paraId="1759F06A">
            <w:pPr>
              <w:rPr>
                <w:rFonts w:hint="eastAsia" w:ascii="仿宋" w:hAnsi="仿宋" w:eastAsia="仿宋" w:cs="仿宋"/>
                <w:color w:val="auto"/>
                <w:kern w:val="0"/>
                <w:sz w:val="21"/>
                <w:szCs w:val="21"/>
                <w:highlight w:val="none"/>
              </w:rPr>
            </w:pPr>
          </w:p>
        </w:tc>
        <w:tc>
          <w:tcPr>
            <w:tcW w:w="1232" w:type="dxa"/>
          </w:tcPr>
          <w:p w14:paraId="74186C31">
            <w:pPr>
              <w:rPr>
                <w:rFonts w:hint="eastAsia" w:ascii="仿宋" w:hAnsi="仿宋" w:eastAsia="仿宋" w:cs="仿宋"/>
                <w:color w:val="auto"/>
                <w:kern w:val="0"/>
                <w:sz w:val="21"/>
                <w:szCs w:val="21"/>
                <w:highlight w:val="none"/>
              </w:rPr>
            </w:pPr>
          </w:p>
        </w:tc>
        <w:tc>
          <w:tcPr>
            <w:tcW w:w="795" w:type="dxa"/>
          </w:tcPr>
          <w:p w14:paraId="7D296A2A">
            <w:pPr>
              <w:rPr>
                <w:rFonts w:hint="eastAsia" w:ascii="仿宋" w:hAnsi="仿宋" w:eastAsia="仿宋" w:cs="仿宋"/>
                <w:color w:val="auto"/>
                <w:kern w:val="0"/>
                <w:sz w:val="21"/>
                <w:szCs w:val="21"/>
                <w:highlight w:val="none"/>
              </w:rPr>
            </w:pPr>
          </w:p>
        </w:tc>
      </w:tr>
      <w:tr w14:paraId="5C43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55D65CB3">
            <w:pPr>
              <w:rPr>
                <w:rFonts w:hint="eastAsia" w:ascii="仿宋" w:hAnsi="仿宋" w:eastAsia="仿宋" w:cs="仿宋"/>
                <w:color w:val="auto"/>
                <w:kern w:val="0"/>
                <w:sz w:val="21"/>
                <w:szCs w:val="21"/>
                <w:highlight w:val="none"/>
              </w:rPr>
            </w:pPr>
          </w:p>
        </w:tc>
        <w:tc>
          <w:tcPr>
            <w:tcW w:w="1233" w:type="dxa"/>
          </w:tcPr>
          <w:p w14:paraId="601F8F0F">
            <w:pPr>
              <w:rPr>
                <w:rFonts w:hint="eastAsia" w:ascii="仿宋" w:hAnsi="仿宋" w:eastAsia="仿宋" w:cs="仿宋"/>
                <w:color w:val="auto"/>
                <w:kern w:val="0"/>
                <w:sz w:val="21"/>
                <w:szCs w:val="21"/>
                <w:highlight w:val="none"/>
              </w:rPr>
            </w:pPr>
          </w:p>
        </w:tc>
        <w:tc>
          <w:tcPr>
            <w:tcW w:w="963" w:type="dxa"/>
          </w:tcPr>
          <w:p w14:paraId="714B7FF3">
            <w:pPr>
              <w:rPr>
                <w:rFonts w:hint="eastAsia" w:ascii="仿宋" w:hAnsi="仿宋" w:eastAsia="仿宋" w:cs="仿宋"/>
                <w:color w:val="auto"/>
                <w:kern w:val="0"/>
                <w:sz w:val="21"/>
                <w:szCs w:val="21"/>
                <w:highlight w:val="none"/>
              </w:rPr>
            </w:pPr>
          </w:p>
        </w:tc>
        <w:tc>
          <w:tcPr>
            <w:tcW w:w="1922" w:type="dxa"/>
          </w:tcPr>
          <w:p w14:paraId="2E5783E1">
            <w:pPr>
              <w:rPr>
                <w:rFonts w:hint="eastAsia" w:ascii="仿宋" w:hAnsi="仿宋" w:eastAsia="仿宋" w:cs="仿宋"/>
                <w:color w:val="auto"/>
                <w:kern w:val="0"/>
                <w:sz w:val="21"/>
                <w:szCs w:val="21"/>
                <w:highlight w:val="none"/>
              </w:rPr>
            </w:pPr>
          </w:p>
        </w:tc>
        <w:tc>
          <w:tcPr>
            <w:tcW w:w="1212" w:type="dxa"/>
          </w:tcPr>
          <w:p w14:paraId="2C5F814C">
            <w:pPr>
              <w:rPr>
                <w:rFonts w:hint="eastAsia" w:ascii="仿宋" w:hAnsi="仿宋" w:eastAsia="仿宋" w:cs="仿宋"/>
                <w:color w:val="auto"/>
                <w:kern w:val="0"/>
                <w:sz w:val="21"/>
                <w:szCs w:val="21"/>
                <w:highlight w:val="none"/>
              </w:rPr>
            </w:pPr>
          </w:p>
        </w:tc>
        <w:tc>
          <w:tcPr>
            <w:tcW w:w="1232" w:type="dxa"/>
          </w:tcPr>
          <w:p w14:paraId="1607C190">
            <w:pPr>
              <w:rPr>
                <w:rFonts w:hint="eastAsia" w:ascii="仿宋" w:hAnsi="仿宋" w:eastAsia="仿宋" w:cs="仿宋"/>
                <w:color w:val="auto"/>
                <w:kern w:val="0"/>
                <w:sz w:val="21"/>
                <w:szCs w:val="21"/>
                <w:highlight w:val="none"/>
              </w:rPr>
            </w:pPr>
          </w:p>
        </w:tc>
        <w:tc>
          <w:tcPr>
            <w:tcW w:w="1232" w:type="dxa"/>
          </w:tcPr>
          <w:p w14:paraId="5BAC8BAB">
            <w:pPr>
              <w:rPr>
                <w:rFonts w:hint="eastAsia" w:ascii="仿宋" w:hAnsi="仿宋" w:eastAsia="仿宋" w:cs="仿宋"/>
                <w:color w:val="auto"/>
                <w:kern w:val="0"/>
                <w:sz w:val="21"/>
                <w:szCs w:val="21"/>
                <w:highlight w:val="none"/>
              </w:rPr>
            </w:pPr>
          </w:p>
        </w:tc>
        <w:tc>
          <w:tcPr>
            <w:tcW w:w="795" w:type="dxa"/>
          </w:tcPr>
          <w:p w14:paraId="678FE108">
            <w:pPr>
              <w:rPr>
                <w:rFonts w:hint="eastAsia" w:ascii="仿宋" w:hAnsi="仿宋" w:eastAsia="仿宋" w:cs="仿宋"/>
                <w:color w:val="auto"/>
                <w:kern w:val="0"/>
                <w:sz w:val="21"/>
                <w:szCs w:val="21"/>
                <w:highlight w:val="none"/>
              </w:rPr>
            </w:pPr>
          </w:p>
        </w:tc>
      </w:tr>
      <w:tr w14:paraId="5FC7B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4ED810D6">
            <w:pPr>
              <w:rPr>
                <w:rFonts w:hint="eastAsia" w:ascii="仿宋" w:hAnsi="仿宋" w:eastAsia="仿宋" w:cs="仿宋"/>
                <w:color w:val="auto"/>
                <w:kern w:val="0"/>
                <w:sz w:val="21"/>
                <w:szCs w:val="21"/>
                <w:highlight w:val="none"/>
              </w:rPr>
            </w:pPr>
          </w:p>
        </w:tc>
        <w:tc>
          <w:tcPr>
            <w:tcW w:w="1233" w:type="dxa"/>
          </w:tcPr>
          <w:p w14:paraId="521EB786">
            <w:pPr>
              <w:rPr>
                <w:rFonts w:hint="eastAsia" w:ascii="仿宋" w:hAnsi="仿宋" w:eastAsia="仿宋" w:cs="仿宋"/>
                <w:color w:val="auto"/>
                <w:kern w:val="0"/>
                <w:sz w:val="21"/>
                <w:szCs w:val="21"/>
                <w:highlight w:val="none"/>
              </w:rPr>
            </w:pPr>
          </w:p>
        </w:tc>
        <w:tc>
          <w:tcPr>
            <w:tcW w:w="963" w:type="dxa"/>
          </w:tcPr>
          <w:p w14:paraId="7DF8F118">
            <w:pPr>
              <w:rPr>
                <w:rFonts w:hint="eastAsia" w:ascii="仿宋" w:hAnsi="仿宋" w:eastAsia="仿宋" w:cs="仿宋"/>
                <w:color w:val="auto"/>
                <w:kern w:val="0"/>
                <w:sz w:val="21"/>
                <w:szCs w:val="21"/>
                <w:highlight w:val="none"/>
              </w:rPr>
            </w:pPr>
          </w:p>
        </w:tc>
        <w:tc>
          <w:tcPr>
            <w:tcW w:w="1922" w:type="dxa"/>
          </w:tcPr>
          <w:p w14:paraId="6DD4B29A">
            <w:pPr>
              <w:rPr>
                <w:rFonts w:hint="eastAsia" w:ascii="仿宋" w:hAnsi="仿宋" w:eastAsia="仿宋" w:cs="仿宋"/>
                <w:color w:val="auto"/>
                <w:kern w:val="0"/>
                <w:sz w:val="21"/>
                <w:szCs w:val="21"/>
                <w:highlight w:val="none"/>
              </w:rPr>
            </w:pPr>
          </w:p>
        </w:tc>
        <w:tc>
          <w:tcPr>
            <w:tcW w:w="1212" w:type="dxa"/>
          </w:tcPr>
          <w:p w14:paraId="7A83BAA7">
            <w:pPr>
              <w:rPr>
                <w:rFonts w:hint="eastAsia" w:ascii="仿宋" w:hAnsi="仿宋" w:eastAsia="仿宋" w:cs="仿宋"/>
                <w:color w:val="auto"/>
                <w:kern w:val="0"/>
                <w:sz w:val="21"/>
                <w:szCs w:val="21"/>
                <w:highlight w:val="none"/>
              </w:rPr>
            </w:pPr>
          </w:p>
        </w:tc>
        <w:tc>
          <w:tcPr>
            <w:tcW w:w="1232" w:type="dxa"/>
          </w:tcPr>
          <w:p w14:paraId="1FDB360E">
            <w:pPr>
              <w:rPr>
                <w:rFonts w:hint="eastAsia" w:ascii="仿宋" w:hAnsi="仿宋" w:eastAsia="仿宋" w:cs="仿宋"/>
                <w:color w:val="auto"/>
                <w:kern w:val="0"/>
                <w:sz w:val="21"/>
                <w:szCs w:val="21"/>
                <w:highlight w:val="none"/>
              </w:rPr>
            </w:pPr>
          </w:p>
        </w:tc>
        <w:tc>
          <w:tcPr>
            <w:tcW w:w="1232" w:type="dxa"/>
          </w:tcPr>
          <w:p w14:paraId="0ECCD22F">
            <w:pPr>
              <w:rPr>
                <w:rFonts w:hint="eastAsia" w:ascii="仿宋" w:hAnsi="仿宋" w:eastAsia="仿宋" w:cs="仿宋"/>
                <w:color w:val="auto"/>
                <w:kern w:val="0"/>
                <w:sz w:val="21"/>
                <w:szCs w:val="21"/>
                <w:highlight w:val="none"/>
              </w:rPr>
            </w:pPr>
          </w:p>
        </w:tc>
        <w:tc>
          <w:tcPr>
            <w:tcW w:w="795" w:type="dxa"/>
          </w:tcPr>
          <w:p w14:paraId="264DDEC7">
            <w:pPr>
              <w:rPr>
                <w:rFonts w:hint="eastAsia" w:ascii="仿宋" w:hAnsi="仿宋" w:eastAsia="仿宋" w:cs="仿宋"/>
                <w:color w:val="auto"/>
                <w:kern w:val="0"/>
                <w:sz w:val="21"/>
                <w:szCs w:val="21"/>
                <w:highlight w:val="none"/>
              </w:rPr>
            </w:pPr>
          </w:p>
        </w:tc>
      </w:tr>
      <w:tr w14:paraId="45FD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5FC2F9C6">
            <w:pPr>
              <w:rPr>
                <w:rFonts w:hint="eastAsia" w:ascii="仿宋" w:hAnsi="仿宋" w:eastAsia="仿宋" w:cs="仿宋"/>
                <w:color w:val="auto"/>
                <w:kern w:val="0"/>
                <w:sz w:val="21"/>
                <w:szCs w:val="21"/>
                <w:highlight w:val="none"/>
              </w:rPr>
            </w:pPr>
          </w:p>
        </w:tc>
        <w:tc>
          <w:tcPr>
            <w:tcW w:w="1233" w:type="dxa"/>
          </w:tcPr>
          <w:p w14:paraId="31E6C8FA">
            <w:pPr>
              <w:rPr>
                <w:rFonts w:hint="eastAsia" w:ascii="仿宋" w:hAnsi="仿宋" w:eastAsia="仿宋" w:cs="仿宋"/>
                <w:color w:val="auto"/>
                <w:kern w:val="0"/>
                <w:sz w:val="21"/>
                <w:szCs w:val="21"/>
                <w:highlight w:val="none"/>
              </w:rPr>
            </w:pPr>
          </w:p>
        </w:tc>
        <w:tc>
          <w:tcPr>
            <w:tcW w:w="963" w:type="dxa"/>
          </w:tcPr>
          <w:p w14:paraId="06DF332D">
            <w:pPr>
              <w:rPr>
                <w:rFonts w:hint="eastAsia" w:ascii="仿宋" w:hAnsi="仿宋" w:eastAsia="仿宋" w:cs="仿宋"/>
                <w:color w:val="auto"/>
                <w:kern w:val="0"/>
                <w:sz w:val="21"/>
                <w:szCs w:val="21"/>
                <w:highlight w:val="none"/>
              </w:rPr>
            </w:pPr>
          </w:p>
        </w:tc>
        <w:tc>
          <w:tcPr>
            <w:tcW w:w="1922" w:type="dxa"/>
          </w:tcPr>
          <w:p w14:paraId="35B5708B">
            <w:pPr>
              <w:rPr>
                <w:rFonts w:hint="eastAsia" w:ascii="仿宋" w:hAnsi="仿宋" w:eastAsia="仿宋" w:cs="仿宋"/>
                <w:color w:val="auto"/>
                <w:kern w:val="0"/>
                <w:sz w:val="21"/>
                <w:szCs w:val="21"/>
                <w:highlight w:val="none"/>
              </w:rPr>
            </w:pPr>
          </w:p>
        </w:tc>
        <w:tc>
          <w:tcPr>
            <w:tcW w:w="1212" w:type="dxa"/>
          </w:tcPr>
          <w:p w14:paraId="1E4D1B4A">
            <w:pPr>
              <w:rPr>
                <w:rFonts w:hint="eastAsia" w:ascii="仿宋" w:hAnsi="仿宋" w:eastAsia="仿宋" w:cs="仿宋"/>
                <w:color w:val="auto"/>
                <w:kern w:val="0"/>
                <w:sz w:val="21"/>
                <w:szCs w:val="21"/>
                <w:highlight w:val="none"/>
              </w:rPr>
            </w:pPr>
          </w:p>
        </w:tc>
        <w:tc>
          <w:tcPr>
            <w:tcW w:w="1232" w:type="dxa"/>
          </w:tcPr>
          <w:p w14:paraId="031D4176">
            <w:pPr>
              <w:rPr>
                <w:rFonts w:hint="eastAsia" w:ascii="仿宋" w:hAnsi="仿宋" w:eastAsia="仿宋" w:cs="仿宋"/>
                <w:color w:val="auto"/>
                <w:kern w:val="0"/>
                <w:sz w:val="21"/>
                <w:szCs w:val="21"/>
                <w:highlight w:val="none"/>
              </w:rPr>
            </w:pPr>
          </w:p>
        </w:tc>
        <w:tc>
          <w:tcPr>
            <w:tcW w:w="1232" w:type="dxa"/>
          </w:tcPr>
          <w:p w14:paraId="44862437">
            <w:pPr>
              <w:rPr>
                <w:rFonts w:hint="eastAsia" w:ascii="仿宋" w:hAnsi="仿宋" w:eastAsia="仿宋" w:cs="仿宋"/>
                <w:color w:val="auto"/>
                <w:kern w:val="0"/>
                <w:sz w:val="21"/>
                <w:szCs w:val="21"/>
                <w:highlight w:val="none"/>
              </w:rPr>
            </w:pPr>
          </w:p>
        </w:tc>
        <w:tc>
          <w:tcPr>
            <w:tcW w:w="795" w:type="dxa"/>
          </w:tcPr>
          <w:p w14:paraId="6FDDB287">
            <w:pPr>
              <w:rPr>
                <w:rFonts w:hint="eastAsia" w:ascii="仿宋" w:hAnsi="仿宋" w:eastAsia="仿宋" w:cs="仿宋"/>
                <w:color w:val="auto"/>
                <w:kern w:val="0"/>
                <w:sz w:val="21"/>
                <w:szCs w:val="21"/>
                <w:highlight w:val="none"/>
              </w:rPr>
            </w:pPr>
          </w:p>
        </w:tc>
      </w:tr>
      <w:tr w14:paraId="1288D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tcPr>
          <w:p w14:paraId="2ED5456F">
            <w:pPr>
              <w:rPr>
                <w:rFonts w:hint="eastAsia" w:ascii="仿宋" w:hAnsi="仿宋" w:eastAsia="仿宋" w:cs="仿宋"/>
                <w:color w:val="auto"/>
                <w:kern w:val="0"/>
                <w:sz w:val="21"/>
                <w:szCs w:val="21"/>
                <w:highlight w:val="none"/>
              </w:rPr>
            </w:pPr>
          </w:p>
        </w:tc>
        <w:tc>
          <w:tcPr>
            <w:tcW w:w="1233" w:type="dxa"/>
          </w:tcPr>
          <w:p w14:paraId="68D929B7">
            <w:pPr>
              <w:rPr>
                <w:rFonts w:hint="eastAsia" w:ascii="仿宋" w:hAnsi="仿宋" w:eastAsia="仿宋" w:cs="仿宋"/>
                <w:color w:val="auto"/>
                <w:kern w:val="0"/>
                <w:sz w:val="21"/>
                <w:szCs w:val="21"/>
                <w:highlight w:val="none"/>
              </w:rPr>
            </w:pPr>
          </w:p>
        </w:tc>
        <w:tc>
          <w:tcPr>
            <w:tcW w:w="963" w:type="dxa"/>
          </w:tcPr>
          <w:p w14:paraId="20699E3A">
            <w:pPr>
              <w:rPr>
                <w:rFonts w:hint="eastAsia" w:ascii="仿宋" w:hAnsi="仿宋" w:eastAsia="仿宋" w:cs="仿宋"/>
                <w:color w:val="auto"/>
                <w:kern w:val="0"/>
                <w:sz w:val="21"/>
                <w:szCs w:val="21"/>
                <w:highlight w:val="none"/>
              </w:rPr>
            </w:pPr>
          </w:p>
        </w:tc>
        <w:tc>
          <w:tcPr>
            <w:tcW w:w="1922" w:type="dxa"/>
          </w:tcPr>
          <w:p w14:paraId="01C0E4A9">
            <w:pPr>
              <w:rPr>
                <w:rFonts w:hint="eastAsia" w:ascii="仿宋" w:hAnsi="仿宋" w:eastAsia="仿宋" w:cs="仿宋"/>
                <w:color w:val="auto"/>
                <w:kern w:val="0"/>
                <w:sz w:val="21"/>
                <w:szCs w:val="21"/>
                <w:highlight w:val="none"/>
              </w:rPr>
            </w:pPr>
          </w:p>
        </w:tc>
        <w:tc>
          <w:tcPr>
            <w:tcW w:w="1212" w:type="dxa"/>
          </w:tcPr>
          <w:p w14:paraId="4547A833">
            <w:pPr>
              <w:rPr>
                <w:rFonts w:hint="eastAsia" w:ascii="仿宋" w:hAnsi="仿宋" w:eastAsia="仿宋" w:cs="仿宋"/>
                <w:color w:val="auto"/>
                <w:kern w:val="0"/>
                <w:sz w:val="21"/>
                <w:szCs w:val="21"/>
                <w:highlight w:val="none"/>
              </w:rPr>
            </w:pPr>
          </w:p>
        </w:tc>
        <w:tc>
          <w:tcPr>
            <w:tcW w:w="1232" w:type="dxa"/>
          </w:tcPr>
          <w:p w14:paraId="1B78B2BE">
            <w:pPr>
              <w:rPr>
                <w:rFonts w:hint="eastAsia" w:ascii="仿宋" w:hAnsi="仿宋" w:eastAsia="仿宋" w:cs="仿宋"/>
                <w:color w:val="auto"/>
                <w:kern w:val="0"/>
                <w:sz w:val="21"/>
                <w:szCs w:val="21"/>
                <w:highlight w:val="none"/>
              </w:rPr>
            </w:pPr>
          </w:p>
        </w:tc>
        <w:tc>
          <w:tcPr>
            <w:tcW w:w="1232" w:type="dxa"/>
          </w:tcPr>
          <w:p w14:paraId="50E04587">
            <w:pPr>
              <w:rPr>
                <w:rFonts w:hint="eastAsia" w:ascii="仿宋" w:hAnsi="仿宋" w:eastAsia="仿宋" w:cs="仿宋"/>
                <w:color w:val="auto"/>
                <w:kern w:val="0"/>
                <w:sz w:val="21"/>
                <w:szCs w:val="21"/>
                <w:highlight w:val="none"/>
              </w:rPr>
            </w:pPr>
          </w:p>
        </w:tc>
        <w:tc>
          <w:tcPr>
            <w:tcW w:w="795" w:type="dxa"/>
          </w:tcPr>
          <w:p w14:paraId="5F4D5929">
            <w:pPr>
              <w:rPr>
                <w:rFonts w:hint="eastAsia" w:ascii="仿宋" w:hAnsi="仿宋" w:eastAsia="仿宋" w:cs="仿宋"/>
                <w:color w:val="auto"/>
                <w:kern w:val="0"/>
                <w:sz w:val="21"/>
                <w:szCs w:val="21"/>
                <w:highlight w:val="none"/>
              </w:rPr>
            </w:pPr>
          </w:p>
        </w:tc>
      </w:tr>
    </w:tbl>
    <w:p w14:paraId="39337D86">
      <w:pPr>
        <w:spacing w:line="360" w:lineRule="auto"/>
        <w:jc w:val="left"/>
        <w:rPr>
          <w:rFonts w:hint="eastAsia" w:ascii="仿宋" w:hAnsi="仿宋" w:eastAsia="仿宋" w:cs="仿宋"/>
          <w:color w:val="auto"/>
          <w:sz w:val="24"/>
          <w:szCs w:val="24"/>
          <w:highlight w:val="none"/>
        </w:rPr>
      </w:pPr>
    </w:p>
    <w:p w14:paraId="567E7EF9">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01" w:name="_Toc15981"/>
      <w:bookmarkStart w:id="102" w:name="_Toc109941773"/>
      <w:bookmarkStart w:id="103" w:name="_Toc28755"/>
      <w:bookmarkStart w:id="104" w:name="_Toc109921166"/>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、售后服务承诺书</w:t>
      </w:r>
      <w:bookmarkEnd w:id="66"/>
      <w:bookmarkEnd w:id="101"/>
      <w:bookmarkEnd w:id="102"/>
      <w:bookmarkEnd w:id="103"/>
      <w:bookmarkEnd w:id="104"/>
    </w:p>
    <w:p w14:paraId="1C608292">
      <w:pPr>
        <w:spacing w:line="360" w:lineRule="auto"/>
        <w:ind w:firstLine="480" w:firstLineChars="200"/>
        <w:rPr>
          <w:rFonts w:hint="eastAsia" w:ascii="仿宋" w:hAnsi="仿宋" w:eastAsia="仿宋" w:cs="仿宋"/>
          <w:color w:val="auto"/>
          <w:sz w:val="24"/>
          <w:szCs w:val="24"/>
          <w:highlight w:val="none"/>
        </w:rPr>
      </w:pPr>
    </w:p>
    <w:p w14:paraId="17F9A7A3">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26D58F4A">
      <w:pPr>
        <w:spacing w:line="360" w:lineRule="auto"/>
        <w:ind w:firstLine="480" w:firstLineChars="200"/>
        <w:rPr>
          <w:rFonts w:hint="eastAsia" w:ascii="仿宋" w:hAnsi="仿宋" w:eastAsia="仿宋" w:cs="仿宋"/>
          <w:color w:val="auto"/>
          <w:sz w:val="24"/>
          <w:szCs w:val="24"/>
          <w:highlight w:val="none"/>
        </w:rPr>
      </w:pPr>
    </w:p>
    <w:p w14:paraId="5EB303B6">
      <w:pPr>
        <w:spacing w:line="360" w:lineRule="auto"/>
        <w:ind w:firstLine="480" w:firstLineChars="200"/>
        <w:rPr>
          <w:rFonts w:hint="eastAsia" w:ascii="仿宋" w:hAnsi="仿宋" w:eastAsia="仿宋" w:cs="仿宋"/>
          <w:color w:val="auto"/>
          <w:sz w:val="24"/>
          <w:szCs w:val="24"/>
          <w:highlight w:val="none"/>
        </w:rPr>
      </w:pPr>
    </w:p>
    <w:p w14:paraId="5644DE6C">
      <w:pPr>
        <w:spacing w:line="360" w:lineRule="auto"/>
        <w:ind w:firstLine="480" w:firstLineChars="200"/>
        <w:rPr>
          <w:rFonts w:hint="eastAsia" w:ascii="仿宋" w:hAnsi="仿宋" w:eastAsia="仿宋" w:cs="仿宋"/>
          <w:color w:val="auto"/>
          <w:sz w:val="24"/>
          <w:szCs w:val="24"/>
          <w:highlight w:val="none"/>
        </w:rPr>
      </w:pPr>
    </w:p>
    <w:p w14:paraId="313B6ABC">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00DA190">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6099E04E">
      <w:pPr>
        <w:widowControl/>
        <w:shd w:val="clear" w:color="auto" w:fill="FFFFFF"/>
        <w:wordWrap w:val="0"/>
        <w:snapToGrid w:val="0"/>
        <w:spacing w:line="384" w:lineRule="auto"/>
        <w:ind w:firstLine="42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42F59945">
      <w:pPr>
        <w:spacing w:line="360" w:lineRule="auto"/>
        <w:ind w:firstLine="480" w:firstLineChars="200"/>
        <w:jc w:val="right"/>
        <w:rPr>
          <w:rFonts w:hint="eastAsia" w:ascii="仿宋" w:hAnsi="仿宋" w:eastAsia="仿宋" w:cs="仿宋"/>
          <w:color w:val="auto"/>
          <w:sz w:val="24"/>
          <w:szCs w:val="24"/>
          <w:highlight w:val="none"/>
        </w:rPr>
      </w:pPr>
    </w:p>
    <w:p w14:paraId="3EBF0BA3">
      <w:pPr>
        <w:tabs>
          <w:tab w:val="center" w:pos="4832"/>
          <w:tab w:val="left" w:pos="7140"/>
        </w:tabs>
        <w:jc w:val="center"/>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05" w:name="_Toc109921167"/>
      <w:bookmarkStart w:id="106" w:name="_Toc109941774"/>
      <w:bookmarkStart w:id="107" w:name="_Toc13379"/>
      <w:bookmarkStart w:id="108" w:name="_Toc9142"/>
      <w:r>
        <w:rPr>
          <w:rFonts w:hint="eastAsia" w:ascii="仿宋" w:hAnsi="仿宋" w:eastAsia="仿宋" w:cs="仿宋"/>
          <w:b/>
          <w:color w:val="auto"/>
          <w:sz w:val="24"/>
          <w:szCs w:val="24"/>
          <w:highlight w:val="none"/>
        </w:rPr>
        <w:t>十、技术方案</w:t>
      </w:r>
      <w:bookmarkEnd w:id="105"/>
      <w:bookmarkEnd w:id="106"/>
      <w:bookmarkEnd w:id="107"/>
      <w:bookmarkEnd w:id="108"/>
    </w:p>
    <w:p w14:paraId="0D42A806">
      <w:pPr>
        <w:spacing w:line="360" w:lineRule="auto"/>
        <w:ind w:firstLine="480" w:firstLineChars="200"/>
        <w:rPr>
          <w:rFonts w:hint="eastAsia" w:ascii="仿宋" w:hAnsi="仿宋" w:eastAsia="仿宋" w:cs="仿宋"/>
          <w:color w:val="auto"/>
          <w:sz w:val="24"/>
          <w:szCs w:val="24"/>
          <w:highlight w:val="none"/>
        </w:rPr>
      </w:pPr>
      <w:bookmarkStart w:id="109" w:name="_Toc375218897"/>
      <w:r>
        <w:rPr>
          <w:rFonts w:hint="eastAsia" w:ascii="仿宋" w:hAnsi="仿宋" w:eastAsia="仿宋" w:cs="仿宋"/>
          <w:bCs/>
          <w:color w:val="auto"/>
          <w:sz w:val="24"/>
          <w:szCs w:val="24"/>
          <w:highlight w:val="none"/>
        </w:rPr>
        <w:t>供应商须提交拟完成本项目的技术方案，技术方案的格式和内容由供应商根据本项目的具体情况</w:t>
      </w:r>
      <w:r>
        <w:rPr>
          <w:rFonts w:hint="eastAsia" w:ascii="仿宋" w:hAnsi="仿宋" w:eastAsia="仿宋" w:cs="仿宋"/>
          <w:color w:val="auto"/>
          <w:sz w:val="24"/>
          <w:szCs w:val="24"/>
          <w:highlight w:val="none"/>
        </w:rPr>
        <w:t>自行拟定。</w:t>
      </w:r>
    </w:p>
    <w:bookmarkEnd w:id="109"/>
    <w:p w14:paraId="129AC2B4">
      <w:pPr>
        <w:spacing w:line="360" w:lineRule="auto"/>
        <w:ind w:firstLine="480" w:firstLineChars="200"/>
        <w:rPr>
          <w:rFonts w:hint="eastAsia" w:ascii="仿宋" w:hAnsi="仿宋" w:eastAsia="仿宋" w:cs="仿宋"/>
          <w:bCs/>
          <w:color w:val="auto"/>
          <w:sz w:val="24"/>
          <w:szCs w:val="24"/>
          <w:highlight w:val="none"/>
        </w:rPr>
      </w:pPr>
    </w:p>
    <w:p w14:paraId="431E03E5">
      <w:pPr>
        <w:spacing w:line="360" w:lineRule="auto"/>
        <w:ind w:firstLine="480" w:firstLineChars="200"/>
        <w:rPr>
          <w:rFonts w:hint="eastAsia" w:ascii="仿宋" w:hAnsi="仿宋" w:eastAsia="仿宋" w:cs="仿宋"/>
          <w:color w:val="auto"/>
          <w:sz w:val="24"/>
          <w:szCs w:val="24"/>
          <w:highlight w:val="none"/>
        </w:rPr>
      </w:pPr>
    </w:p>
    <w:p w14:paraId="5EE8A881">
      <w:pPr>
        <w:spacing w:line="360" w:lineRule="auto"/>
        <w:ind w:firstLine="480" w:firstLineChars="200"/>
        <w:rPr>
          <w:rFonts w:hint="eastAsia" w:ascii="仿宋" w:hAnsi="仿宋" w:eastAsia="仿宋" w:cs="仿宋"/>
          <w:color w:val="auto"/>
          <w:sz w:val="24"/>
          <w:szCs w:val="24"/>
          <w:highlight w:val="none"/>
        </w:rPr>
      </w:pPr>
    </w:p>
    <w:p w14:paraId="09A7E269">
      <w:pPr>
        <w:spacing w:line="360" w:lineRule="auto"/>
        <w:ind w:firstLine="480" w:firstLineChars="200"/>
        <w:rPr>
          <w:rFonts w:hint="eastAsia" w:ascii="仿宋" w:hAnsi="仿宋" w:eastAsia="仿宋" w:cs="仿宋"/>
          <w:color w:val="auto"/>
          <w:sz w:val="24"/>
          <w:szCs w:val="24"/>
          <w:highlight w:val="none"/>
        </w:rPr>
      </w:pPr>
    </w:p>
    <w:p w14:paraId="48990181">
      <w:pPr>
        <w:tabs>
          <w:tab w:val="center" w:pos="4832"/>
          <w:tab w:val="left" w:pos="7140"/>
        </w:tabs>
        <w:jc w:val="center"/>
        <w:outlineLvl w:val="1"/>
        <w:rPr>
          <w:rFonts w:hint="eastAsia" w:ascii="仿宋" w:hAnsi="仿宋" w:eastAsia="仿宋" w:cs="仿宋"/>
          <w:b/>
          <w:color w:val="auto"/>
          <w:sz w:val="24"/>
          <w:szCs w:val="24"/>
          <w:highlight w:val="none"/>
        </w:rPr>
      </w:pPr>
      <w:bookmarkStart w:id="110" w:name="_Toc109941775"/>
      <w:bookmarkStart w:id="111" w:name="_Toc6395"/>
      <w:bookmarkStart w:id="112" w:name="_Toc9097"/>
      <w:bookmarkStart w:id="113" w:name="_Toc109921168"/>
      <w:r>
        <w:rPr>
          <w:rFonts w:hint="eastAsia" w:ascii="仿宋" w:hAnsi="仿宋" w:eastAsia="仿宋" w:cs="仿宋"/>
          <w:b/>
          <w:color w:val="auto"/>
          <w:sz w:val="24"/>
          <w:szCs w:val="24"/>
          <w:highlight w:val="none"/>
        </w:rPr>
        <w:t>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、其它需要提交的资料</w:t>
      </w:r>
      <w:bookmarkEnd w:id="110"/>
      <w:bookmarkEnd w:id="111"/>
      <w:bookmarkEnd w:id="112"/>
      <w:bookmarkEnd w:id="113"/>
    </w:p>
    <w:p w14:paraId="3A719269">
      <w:pPr>
        <w:spacing w:line="360" w:lineRule="auto"/>
        <w:ind w:firstLine="480" w:firstLineChars="200"/>
        <w:rPr>
          <w:rFonts w:hint="eastAsia" w:ascii="仿宋" w:hAnsi="仿宋" w:eastAsia="仿宋" w:cs="仿宋"/>
          <w:color w:val="auto"/>
          <w:sz w:val="24"/>
          <w:szCs w:val="24"/>
          <w:highlight w:val="none"/>
        </w:rPr>
      </w:pPr>
    </w:p>
    <w:p w14:paraId="7259B773">
      <w:pPr>
        <w:spacing w:line="360" w:lineRule="auto"/>
        <w:ind w:firstLine="480" w:firstLineChars="200"/>
        <w:rPr>
          <w:rFonts w:hint="eastAsia" w:ascii="仿宋" w:hAnsi="仿宋" w:eastAsia="仿宋" w:cs="仿宋"/>
          <w:color w:val="auto"/>
          <w:sz w:val="24"/>
          <w:szCs w:val="24"/>
          <w:highlight w:val="none"/>
        </w:rPr>
      </w:pPr>
    </w:p>
    <w:p w14:paraId="6787DDC2">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的要求和供应商认为需要提供的资料</w:t>
      </w:r>
    </w:p>
    <w:p w14:paraId="228DD2C2">
      <w:pPr>
        <w:spacing w:line="44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bookmarkStart w:id="114" w:name="_Toc27581"/>
      <w:bookmarkStart w:id="115" w:name="_Toc60925660"/>
      <w:bookmarkStart w:id="116" w:name="_Toc19115"/>
      <w:r>
        <w:rPr>
          <w:rFonts w:hint="eastAsia" w:ascii="仿宋" w:hAnsi="仿宋" w:eastAsia="仿宋" w:cs="仿宋"/>
          <w:b/>
          <w:color w:val="auto"/>
          <w:sz w:val="24"/>
          <w:szCs w:val="24"/>
          <w:highlight w:val="none"/>
        </w:rPr>
        <w:t>第六章 补充条款</w:t>
      </w:r>
      <w:bookmarkEnd w:id="114"/>
      <w:bookmarkEnd w:id="115"/>
      <w:bookmarkEnd w:id="116"/>
    </w:p>
    <w:p w14:paraId="5CC7E182">
      <w:pPr>
        <w:rPr>
          <w:rFonts w:hint="eastAsia" w:ascii="仿宋" w:hAnsi="仿宋" w:eastAsia="仿宋" w:cs="仿宋"/>
          <w:color w:val="auto"/>
          <w:highlight w:val="none"/>
        </w:rPr>
      </w:pPr>
    </w:p>
    <w:p w14:paraId="676F04D0">
      <w:pPr>
        <w:rPr>
          <w:rFonts w:hint="eastAsia" w:ascii="仿宋" w:hAnsi="仿宋" w:eastAsia="仿宋" w:cs="仿宋"/>
          <w:color w:val="auto"/>
          <w:highlight w:val="none"/>
        </w:rPr>
      </w:pPr>
    </w:p>
    <w:p w14:paraId="0FBF505A">
      <w:pPr>
        <w:widowControl/>
        <w:jc w:val="left"/>
        <w:rPr>
          <w:rFonts w:hint="eastAsia" w:ascii="仿宋" w:hAnsi="仿宋" w:eastAsia="仿宋" w:cs="仿宋"/>
          <w:color w:val="auto"/>
          <w:highlight w:val="none"/>
        </w:rPr>
      </w:pPr>
    </w:p>
    <w:p w14:paraId="18D60B28">
      <w:pPr>
        <w:widowControl/>
        <w:jc w:val="left"/>
        <w:rPr>
          <w:rFonts w:hint="eastAsia" w:ascii="仿宋" w:hAnsi="仿宋" w:eastAsia="仿宋" w:cs="仿宋"/>
          <w:color w:val="auto"/>
          <w:highlight w:val="none"/>
        </w:rPr>
      </w:pPr>
    </w:p>
    <w:p w14:paraId="748CF53E">
      <w:pPr>
        <w:spacing w:line="400" w:lineRule="exact"/>
        <w:jc w:val="left"/>
        <w:rPr>
          <w:rFonts w:hint="eastAsia" w:ascii="仿宋" w:hAnsi="仿宋" w:eastAsia="仿宋" w:cs="仿宋"/>
          <w:color w:val="auto"/>
          <w:sz w:val="24"/>
          <w:highlight w:val="none"/>
        </w:rPr>
      </w:pPr>
    </w:p>
    <w:sectPr>
      <w:footerReference r:id="rId6" w:type="first"/>
      <w:footerReference r:id="rId5" w:type="default"/>
      <w:pgSz w:w="11907" w:h="16840"/>
      <w:pgMar w:top="1361" w:right="1077" w:bottom="1361" w:left="1077" w:header="680" w:footer="68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0DCB">
    <w:pPr>
      <w:pStyle w:val="23"/>
      <w:framePr w:wrap="around" w:vAnchor="text" w:hAnchor="margin" w:xAlign="center" w:y="1"/>
      <w:rPr>
        <w:rStyle w:val="35"/>
        <w:sz w:val="21"/>
      </w:rPr>
    </w:pPr>
  </w:p>
  <w:p w14:paraId="739EB689">
    <w:pPr>
      <w:pStyle w:val="23"/>
      <w:tabs>
        <w:tab w:val="left" w:pos="8715"/>
        <w:tab w:val="clear" w:pos="8306"/>
      </w:tabs>
      <w:ind w:right="360"/>
      <w:rPr>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EFE2">
    <w:pPr>
      <w:pStyle w:val="23"/>
      <w:framePr w:wrap="around" w:vAnchor="text" w:hAnchor="margin" w:xAlign="center" w:y="1"/>
      <w:rPr>
        <w:rStyle w:val="35"/>
      </w:rPr>
    </w:pPr>
    <w:r>
      <w:fldChar w:fldCharType="begin"/>
    </w:r>
    <w:r>
      <w:rPr>
        <w:rStyle w:val="35"/>
      </w:rPr>
      <w:instrText xml:space="preserve">PAGE  </w:instrText>
    </w:r>
    <w:r>
      <w:fldChar w:fldCharType="separate"/>
    </w:r>
    <w:r>
      <w:rPr>
        <w:rStyle w:val="35"/>
      </w:rPr>
      <w:t>38</w:t>
    </w:r>
    <w:r>
      <w:fldChar w:fldCharType="end"/>
    </w:r>
  </w:p>
  <w:p w14:paraId="45B2720C">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633D">
    <w:pPr>
      <w:pStyle w:val="23"/>
      <w:tabs>
        <w:tab w:val="left" w:pos="8715"/>
        <w:tab w:val="clear" w:pos="8306"/>
      </w:tabs>
      <w:ind w:right="360"/>
      <w:rPr>
        <w:vertAlign w:val="superscrip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366A9">
                          <w:pPr>
                            <w:pStyle w:val="23"/>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4366A9">
                    <w:pPr>
                      <w:pStyle w:val="23"/>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2</w:t>
                    </w:r>
                    <w:r>
                      <w:rPr>
                        <w:rFonts w:hint="eastAsia" w:ascii="仿宋" w:hAnsi="仿宋" w:eastAsia="仿宋" w:cs="仿宋"/>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9A89">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E98FE">
                          <w:pPr>
                            <w:pStyle w:val="23"/>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FE98FE">
                    <w:pPr>
                      <w:pStyle w:val="23"/>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A5905">
                          <w:pPr>
                            <w:pStyle w:val="2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DA5905">
                    <w:pPr>
                      <w:pStyle w:val="2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68363"/>
    <w:multiLevelType w:val="singleLevel"/>
    <w:tmpl w:val="83168363"/>
    <w:lvl w:ilvl="0" w:tentative="0">
      <w:start w:val="1"/>
      <w:numFmt w:val="decimal"/>
      <w:suff w:val="nothing"/>
      <w:lvlText w:val="%1、"/>
      <w:lvlJc w:val="left"/>
    </w:lvl>
  </w:abstractNum>
  <w:abstractNum w:abstractNumId="1">
    <w:nsid w:val="5C9FC185"/>
    <w:multiLevelType w:val="singleLevel"/>
    <w:tmpl w:val="5C9FC185"/>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A98AB87"/>
    <w:multiLevelType w:val="singleLevel"/>
    <w:tmpl w:val="7A98AB87"/>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5M2NlMWI0ZmI4MTMyOTFjNDg1ODY2YTdiMDE0NzAifQ=="/>
  </w:docVars>
  <w:rsids>
    <w:rsidRoot w:val="00172A27"/>
    <w:rsid w:val="00000BDD"/>
    <w:rsid w:val="00004151"/>
    <w:rsid w:val="00006DAD"/>
    <w:rsid w:val="00011861"/>
    <w:rsid w:val="0001188C"/>
    <w:rsid w:val="0001468E"/>
    <w:rsid w:val="00015440"/>
    <w:rsid w:val="00015E25"/>
    <w:rsid w:val="0001641B"/>
    <w:rsid w:val="00020AAC"/>
    <w:rsid w:val="00020B78"/>
    <w:rsid w:val="00030B8B"/>
    <w:rsid w:val="000311DF"/>
    <w:rsid w:val="0003227A"/>
    <w:rsid w:val="00032932"/>
    <w:rsid w:val="00032959"/>
    <w:rsid w:val="000337B9"/>
    <w:rsid w:val="00033C3C"/>
    <w:rsid w:val="00037054"/>
    <w:rsid w:val="0003717E"/>
    <w:rsid w:val="00043EF3"/>
    <w:rsid w:val="00045190"/>
    <w:rsid w:val="00045B12"/>
    <w:rsid w:val="00046351"/>
    <w:rsid w:val="0004774F"/>
    <w:rsid w:val="00047A6F"/>
    <w:rsid w:val="00052F7A"/>
    <w:rsid w:val="00061212"/>
    <w:rsid w:val="000626E7"/>
    <w:rsid w:val="00063617"/>
    <w:rsid w:val="00064BB4"/>
    <w:rsid w:val="00065103"/>
    <w:rsid w:val="00067406"/>
    <w:rsid w:val="00067D04"/>
    <w:rsid w:val="00072C4C"/>
    <w:rsid w:val="0007367B"/>
    <w:rsid w:val="0007493B"/>
    <w:rsid w:val="00075BDA"/>
    <w:rsid w:val="00082ED3"/>
    <w:rsid w:val="000876A8"/>
    <w:rsid w:val="000904E1"/>
    <w:rsid w:val="0009079D"/>
    <w:rsid w:val="00090FAD"/>
    <w:rsid w:val="00091D95"/>
    <w:rsid w:val="00093D2A"/>
    <w:rsid w:val="00094956"/>
    <w:rsid w:val="000A3FFF"/>
    <w:rsid w:val="000A5B6C"/>
    <w:rsid w:val="000A6688"/>
    <w:rsid w:val="000C31BA"/>
    <w:rsid w:val="000C37FB"/>
    <w:rsid w:val="000C460E"/>
    <w:rsid w:val="000D33EA"/>
    <w:rsid w:val="000D3846"/>
    <w:rsid w:val="000D4C94"/>
    <w:rsid w:val="000D599E"/>
    <w:rsid w:val="000D6501"/>
    <w:rsid w:val="000E05FA"/>
    <w:rsid w:val="000E5786"/>
    <w:rsid w:val="000E6BDA"/>
    <w:rsid w:val="000E7B70"/>
    <w:rsid w:val="000F579C"/>
    <w:rsid w:val="000F584C"/>
    <w:rsid w:val="0010185D"/>
    <w:rsid w:val="00101888"/>
    <w:rsid w:val="001059A2"/>
    <w:rsid w:val="00106901"/>
    <w:rsid w:val="00112C27"/>
    <w:rsid w:val="001170A2"/>
    <w:rsid w:val="0011740A"/>
    <w:rsid w:val="00124341"/>
    <w:rsid w:val="00124786"/>
    <w:rsid w:val="00126461"/>
    <w:rsid w:val="001268FD"/>
    <w:rsid w:val="0012789C"/>
    <w:rsid w:val="00130AD2"/>
    <w:rsid w:val="001320E6"/>
    <w:rsid w:val="00133CC6"/>
    <w:rsid w:val="00135E2F"/>
    <w:rsid w:val="00140082"/>
    <w:rsid w:val="00141842"/>
    <w:rsid w:val="00143095"/>
    <w:rsid w:val="001432A7"/>
    <w:rsid w:val="001437C4"/>
    <w:rsid w:val="0014453E"/>
    <w:rsid w:val="00147932"/>
    <w:rsid w:val="001530EE"/>
    <w:rsid w:val="001624A3"/>
    <w:rsid w:val="0016499F"/>
    <w:rsid w:val="00167D50"/>
    <w:rsid w:val="00170257"/>
    <w:rsid w:val="001713A7"/>
    <w:rsid w:val="00172A27"/>
    <w:rsid w:val="00173F42"/>
    <w:rsid w:val="00176276"/>
    <w:rsid w:val="001764E7"/>
    <w:rsid w:val="00181FA8"/>
    <w:rsid w:val="001844F1"/>
    <w:rsid w:val="00184D6E"/>
    <w:rsid w:val="00185890"/>
    <w:rsid w:val="00187C0C"/>
    <w:rsid w:val="00191634"/>
    <w:rsid w:val="00194245"/>
    <w:rsid w:val="00194B52"/>
    <w:rsid w:val="00196079"/>
    <w:rsid w:val="001A14CF"/>
    <w:rsid w:val="001A303B"/>
    <w:rsid w:val="001B08F9"/>
    <w:rsid w:val="001B1CDB"/>
    <w:rsid w:val="001B1FFD"/>
    <w:rsid w:val="001B67E9"/>
    <w:rsid w:val="001C0D91"/>
    <w:rsid w:val="001C0DFF"/>
    <w:rsid w:val="001C20E1"/>
    <w:rsid w:val="001C4378"/>
    <w:rsid w:val="001C5173"/>
    <w:rsid w:val="001C688B"/>
    <w:rsid w:val="001D2E5D"/>
    <w:rsid w:val="001D47D3"/>
    <w:rsid w:val="001E08B6"/>
    <w:rsid w:val="001E08DE"/>
    <w:rsid w:val="001E39C0"/>
    <w:rsid w:val="001E632B"/>
    <w:rsid w:val="001E79E6"/>
    <w:rsid w:val="001F1230"/>
    <w:rsid w:val="001F26FD"/>
    <w:rsid w:val="001F3663"/>
    <w:rsid w:val="001F417F"/>
    <w:rsid w:val="001F5861"/>
    <w:rsid w:val="0020106C"/>
    <w:rsid w:val="00205211"/>
    <w:rsid w:val="00206B86"/>
    <w:rsid w:val="002126B7"/>
    <w:rsid w:val="002168AE"/>
    <w:rsid w:val="00220336"/>
    <w:rsid w:val="00223C2E"/>
    <w:rsid w:val="00224F04"/>
    <w:rsid w:val="00234A0B"/>
    <w:rsid w:val="00241546"/>
    <w:rsid w:val="00241832"/>
    <w:rsid w:val="002423F2"/>
    <w:rsid w:val="00244313"/>
    <w:rsid w:val="002458F6"/>
    <w:rsid w:val="00247B8F"/>
    <w:rsid w:val="0025236C"/>
    <w:rsid w:val="0026269B"/>
    <w:rsid w:val="00263105"/>
    <w:rsid w:val="002737EE"/>
    <w:rsid w:val="0027402A"/>
    <w:rsid w:val="00274308"/>
    <w:rsid w:val="00281E99"/>
    <w:rsid w:val="002821A3"/>
    <w:rsid w:val="00282D20"/>
    <w:rsid w:val="00282DE6"/>
    <w:rsid w:val="00283537"/>
    <w:rsid w:val="00284A70"/>
    <w:rsid w:val="00284B66"/>
    <w:rsid w:val="00287DD5"/>
    <w:rsid w:val="0029070E"/>
    <w:rsid w:val="00292609"/>
    <w:rsid w:val="002969AA"/>
    <w:rsid w:val="00297C36"/>
    <w:rsid w:val="002A043A"/>
    <w:rsid w:val="002A083B"/>
    <w:rsid w:val="002A1B9D"/>
    <w:rsid w:val="002A2192"/>
    <w:rsid w:val="002A3286"/>
    <w:rsid w:val="002A3DCB"/>
    <w:rsid w:val="002A50A2"/>
    <w:rsid w:val="002A58F9"/>
    <w:rsid w:val="002B712C"/>
    <w:rsid w:val="002C10C9"/>
    <w:rsid w:val="002C5690"/>
    <w:rsid w:val="002C5BEC"/>
    <w:rsid w:val="002D2DD2"/>
    <w:rsid w:val="002D3C86"/>
    <w:rsid w:val="002D464F"/>
    <w:rsid w:val="002D7081"/>
    <w:rsid w:val="002E0096"/>
    <w:rsid w:val="002E0850"/>
    <w:rsid w:val="002E5DD8"/>
    <w:rsid w:val="002F07E3"/>
    <w:rsid w:val="002F1086"/>
    <w:rsid w:val="002F1C10"/>
    <w:rsid w:val="002F25EC"/>
    <w:rsid w:val="002F72A8"/>
    <w:rsid w:val="002F74F5"/>
    <w:rsid w:val="002F7FA4"/>
    <w:rsid w:val="00300984"/>
    <w:rsid w:val="00301B64"/>
    <w:rsid w:val="00310325"/>
    <w:rsid w:val="003154B6"/>
    <w:rsid w:val="00317201"/>
    <w:rsid w:val="00317720"/>
    <w:rsid w:val="00327776"/>
    <w:rsid w:val="00331035"/>
    <w:rsid w:val="00331FDA"/>
    <w:rsid w:val="0033541C"/>
    <w:rsid w:val="0033629E"/>
    <w:rsid w:val="00343DC2"/>
    <w:rsid w:val="00344DE0"/>
    <w:rsid w:val="00344EB7"/>
    <w:rsid w:val="0034520B"/>
    <w:rsid w:val="00347CE3"/>
    <w:rsid w:val="00351E14"/>
    <w:rsid w:val="00357107"/>
    <w:rsid w:val="0036100A"/>
    <w:rsid w:val="00363DFA"/>
    <w:rsid w:val="00370098"/>
    <w:rsid w:val="00370606"/>
    <w:rsid w:val="00371A21"/>
    <w:rsid w:val="00373A51"/>
    <w:rsid w:val="00375D19"/>
    <w:rsid w:val="00375FD8"/>
    <w:rsid w:val="0037687E"/>
    <w:rsid w:val="003769EF"/>
    <w:rsid w:val="003771CD"/>
    <w:rsid w:val="00377EED"/>
    <w:rsid w:val="003819A3"/>
    <w:rsid w:val="00383687"/>
    <w:rsid w:val="003877AF"/>
    <w:rsid w:val="0038787A"/>
    <w:rsid w:val="00394959"/>
    <w:rsid w:val="003953BA"/>
    <w:rsid w:val="003A073A"/>
    <w:rsid w:val="003A1FA6"/>
    <w:rsid w:val="003A3149"/>
    <w:rsid w:val="003A49EF"/>
    <w:rsid w:val="003B0B0E"/>
    <w:rsid w:val="003B3F4F"/>
    <w:rsid w:val="003B5B0C"/>
    <w:rsid w:val="003B61E7"/>
    <w:rsid w:val="003C0852"/>
    <w:rsid w:val="003C528C"/>
    <w:rsid w:val="003C54C9"/>
    <w:rsid w:val="003C604D"/>
    <w:rsid w:val="003C72E7"/>
    <w:rsid w:val="003C7AD6"/>
    <w:rsid w:val="003D21A7"/>
    <w:rsid w:val="003D6DA6"/>
    <w:rsid w:val="003D756C"/>
    <w:rsid w:val="003F0CC5"/>
    <w:rsid w:val="003F1092"/>
    <w:rsid w:val="003F2DB2"/>
    <w:rsid w:val="0040163C"/>
    <w:rsid w:val="00402980"/>
    <w:rsid w:val="00403C9A"/>
    <w:rsid w:val="00405E8C"/>
    <w:rsid w:val="00405EE3"/>
    <w:rsid w:val="004201A0"/>
    <w:rsid w:val="004207C7"/>
    <w:rsid w:val="0042097D"/>
    <w:rsid w:val="00423F25"/>
    <w:rsid w:val="00427A07"/>
    <w:rsid w:val="00432F29"/>
    <w:rsid w:val="004369D9"/>
    <w:rsid w:val="00446943"/>
    <w:rsid w:val="0045058C"/>
    <w:rsid w:val="00452C8E"/>
    <w:rsid w:val="00453BDC"/>
    <w:rsid w:val="0045414F"/>
    <w:rsid w:val="00455168"/>
    <w:rsid w:val="00457642"/>
    <w:rsid w:val="00457759"/>
    <w:rsid w:val="00462F76"/>
    <w:rsid w:val="00467996"/>
    <w:rsid w:val="004709B9"/>
    <w:rsid w:val="00470DE6"/>
    <w:rsid w:val="00471F93"/>
    <w:rsid w:val="00473FAD"/>
    <w:rsid w:val="00481491"/>
    <w:rsid w:val="00485337"/>
    <w:rsid w:val="00487330"/>
    <w:rsid w:val="004911B2"/>
    <w:rsid w:val="00493EAB"/>
    <w:rsid w:val="004970D4"/>
    <w:rsid w:val="00497BF5"/>
    <w:rsid w:val="004A1DDD"/>
    <w:rsid w:val="004A4E44"/>
    <w:rsid w:val="004A5203"/>
    <w:rsid w:val="004A6134"/>
    <w:rsid w:val="004B0B8C"/>
    <w:rsid w:val="004B4AD6"/>
    <w:rsid w:val="004C336B"/>
    <w:rsid w:val="004C6889"/>
    <w:rsid w:val="004D7F18"/>
    <w:rsid w:val="004E09BD"/>
    <w:rsid w:val="004E164D"/>
    <w:rsid w:val="004E33EE"/>
    <w:rsid w:val="004E4ED8"/>
    <w:rsid w:val="004E68EE"/>
    <w:rsid w:val="004F7091"/>
    <w:rsid w:val="004F7AE7"/>
    <w:rsid w:val="005026E8"/>
    <w:rsid w:val="005029CE"/>
    <w:rsid w:val="00505F37"/>
    <w:rsid w:val="00507D4C"/>
    <w:rsid w:val="00512976"/>
    <w:rsid w:val="00514C27"/>
    <w:rsid w:val="00515DBB"/>
    <w:rsid w:val="00515FFD"/>
    <w:rsid w:val="0052083C"/>
    <w:rsid w:val="00520903"/>
    <w:rsid w:val="00522C1B"/>
    <w:rsid w:val="00523196"/>
    <w:rsid w:val="00524B05"/>
    <w:rsid w:val="00526EAB"/>
    <w:rsid w:val="005272E7"/>
    <w:rsid w:val="005327CA"/>
    <w:rsid w:val="005337C7"/>
    <w:rsid w:val="00537321"/>
    <w:rsid w:val="005374E2"/>
    <w:rsid w:val="00543157"/>
    <w:rsid w:val="00543643"/>
    <w:rsid w:val="00544102"/>
    <w:rsid w:val="00551BD1"/>
    <w:rsid w:val="00551EAB"/>
    <w:rsid w:val="00556A5B"/>
    <w:rsid w:val="005652B5"/>
    <w:rsid w:val="00566331"/>
    <w:rsid w:val="00570AE2"/>
    <w:rsid w:val="005718AA"/>
    <w:rsid w:val="00573421"/>
    <w:rsid w:val="00574379"/>
    <w:rsid w:val="005751AB"/>
    <w:rsid w:val="00576669"/>
    <w:rsid w:val="00576709"/>
    <w:rsid w:val="00580CF5"/>
    <w:rsid w:val="0058205C"/>
    <w:rsid w:val="00583FD5"/>
    <w:rsid w:val="005875C0"/>
    <w:rsid w:val="005935BD"/>
    <w:rsid w:val="0059449E"/>
    <w:rsid w:val="005A0EDF"/>
    <w:rsid w:val="005A2901"/>
    <w:rsid w:val="005B0858"/>
    <w:rsid w:val="005B0A6B"/>
    <w:rsid w:val="005B0AAB"/>
    <w:rsid w:val="005B24C3"/>
    <w:rsid w:val="005B31EB"/>
    <w:rsid w:val="005B48DA"/>
    <w:rsid w:val="005B4E95"/>
    <w:rsid w:val="005B6702"/>
    <w:rsid w:val="005C2EF9"/>
    <w:rsid w:val="005C42E6"/>
    <w:rsid w:val="005C4A4A"/>
    <w:rsid w:val="005D152B"/>
    <w:rsid w:val="005D16B2"/>
    <w:rsid w:val="005D209E"/>
    <w:rsid w:val="005D2B30"/>
    <w:rsid w:val="005D36BF"/>
    <w:rsid w:val="005D4CBB"/>
    <w:rsid w:val="005D5A8C"/>
    <w:rsid w:val="005D63C0"/>
    <w:rsid w:val="005D6E1D"/>
    <w:rsid w:val="005E0ECA"/>
    <w:rsid w:val="005F307E"/>
    <w:rsid w:val="005F642B"/>
    <w:rsid w:val="00602A18"/>
    <w:rsid w:val="00605D1D"/>
    <w:rsid w:val="00610849"/>
    <w:rsid w:val="00611DFA"/>
    <w:rsid w:val="00613EC1"/>
    <w:rsid w:val="00621597"/>
    <w:rsid w:val="00624496"/>
    <w:rsid w:val="0062467F"/>
    <w:rsid w:val="006269C8"/>
    <w:rsid w:val="00630158"/>
    <w:rsid w:val="0063109E"/>
    <w:rsid w:val="00631A21"/>
    <w:rsid w:val="00634A11"/>
    <w:rsid w:val="00634DFA"/>
    <w:rsid w:val="00637B41"/>
    <w:rsid w:val="00641B16"/>
    <w:rsid w:val="006425E6"/>
    <w:rsid w:val="00656315"/>
    <w:rsid w:val="006607C1"/>
    <w:rsid w:val="00660DDE"/>
    <w:rsid w:val="0066434E"/>
    <w:rsid w:val="006668C5"/>
    <w:rsid w:val="006706B3"/>
    <w:rsid w:val="00671857"/>
    <w:rsid w:val="00672A4B"/>
    <w:rsid w:val="00672DDF"/>
    <w:rsid w:val="006806D0"/>
    <w:rsid w:val="00682629"/>
    <w:rsid w:val="00685CD5"/>
    <w:rsid w:val="00691CB8"/>
    <w:rsid w:val="00693722"/>
    <w:rsid w:val="00694EAD"/>
    <w:rsid w:val="006A1DD7"/>
    <w:rsid w:val="006A3685"/>
    <w:rsid w:val="006A761B"/>
    <w:rsid w:val="006B0CB3"/>
    <w:rsid w:val="006B13C5"/>
    <w:rsid w:val="006B148E"/>
    <w:rsid w:val="006B21C7"/>
    <w:rsid w:val="006B38C8"/>
    <w:rsid w:val="006B7153"/>
    <w:rsid w:val="006C15E6"/>
    <w:rsid w:val="006C4337"/>
    <w:rsid w:val="006C48AD"/>
    <w:rsid w:val="006C55E6"/>
    <w:rsid w:val="006C6A37"/>
    <w:rsid w:val="006C77E3"/>
    <w:rsid w:val="006D2391"/>
    <w:rsid w:val="006D611E"/>
    <w:rsid w:val="006E0000"/>
    <w:rsid w:val="006E24B4"/>
    <w:rsid w:val="006E51E8"/>
    <w:rsid w:val="006E715A"/>
    <w:rsid w:val="006F015F"/>
    <w:rsid w:val="006F202D"/>
    <w:rsid w:val="006F2DC7"/>
    <w:rsid w:val="006F2DFF"/>
    <w:rsid w:val="006F5285"/>
    <w:rsid w:val="006F5CC3"/>
    <w:rsid w:val="006F6A59"/>
    <w:rsid w:val="007025DD"/>
    <w:rsid w:val="00702E8C"/>
    <w:rsid w:val="007038F9"/>
    <w:rsid w:val="007049F6"/>
    <w:rsid w:val="00711635"/>
    <w:rsid w:val="0071705B"/>
    <w:rsid w:val="00717C3E"/>
    <w:rsid w:val="00720BB6"/>
    <w:rsid w:val="00721A70"/>
    <w:rsid w:val="00722C0A"/>
    <w:rsid w:val="00722C37"/>
    <w:rsid w:val="00724D74"/>
    <w:rsid w:val="007301B3"/>
    <w:rsid w:val="00731BB1"/>
    <w:rsid w:val="00735D91"/>
    <w:rsid w:val="00735F11"/>
    <w:rsid w:val="0073665B"/>
    <w:rsid w:val="00737950"/>
    <w:rsid w:val="00746ABA"/>
    <w:rsid w:val="00753CBF"/>
    <w:rsid w:val="0075685E"/>
    <w:rsid w:val="00760414"/>
    <w:rsid w:val="00762FE6"/>
    <w:rsid w:val="00763192"/>
    <w:rsid w:val="00763C9A"/>
    <w:rsid w:val="007675E7"/>
    <w:rsid w:val="00770691"/>
    <w:rsid w:val="007724EF"/>
    <w:rsid w:val="007753C8"/>
    <w:rsid w:val="0077607D"/>
    <w:rsid w:val="00777803"/>
    <w:rsid w:val="0078137C"/>
    <w:rsid w:val="00790FAC"/>
    <w:rsid w:val="00791249"/>
    <w:rsid w:val="00793A11"/>
    <w:rsid w:val="007947F8"/>
    <w:rsid w:val="007947FA"/>
    <w:rsid w:val="00796407"/>
    <w:rsid w:val="007A0177"/>
    <w:rsid w:val="007A07E5"/>
    <w:rsid w:val="007A2C22"/>
    <w:rsid w:val="007A52F5"/>
    <w:rsid w:val="007A5883"/>
    <w:rsid w:val="007B28F8"/>
    <w:rsid w:val="007B557F"/>
    <w:rsid w:val="007B7C94"/>
    <w:rsid w:val="007C20D8"/>
    <w:rsid w:val="007C23C9"/>
    <w:rsid w:val="007C6561"/>
    <w:rsid w:val="007D2ADB"/>
    <w:rsid w:val="007D35E4"/>
    <w:rsid w:val="007D4215"/>
    <w:rsid w:val="007D53F9"/>
    <w:rsid w:val="007D68FE"/>
    <w:rsid w:val="007D725C"/>
    <w:rsid w:val="007D72EE"/>
    <w:rsid w:val="007E56DE"/>
    <w:rsid w:val="007E6745"/>
    <w:rsid w:val="007E78D0"/>
    <w:rsid w:val="007E7D1C"/>
    <w:rsid w:val="007F0752"/>
    <w:rsid w:val="00801BD4"/>
    <w:rsid w:val="00803958"/>
    <w:rsid w:val="008040BD"/>
    <w:rsid w:val="00804C2B"/>
    <w:rsid w:val="00807764"/>
    <w:rsid w:val="00814465"/>
    <w:rsid w:val="008169DE"/>
    <w:rsid w:val="00816F8D"/>
    <w:rsid w:val="00817FE0"/>
    <w:rsid w:val="00823A63"/>
    <w:rsid w:val="00824D14"/>
    <w:rsid w:val="00824E02"/>
    <w:rsid w:val="00826797"/>
    <w:rsid w:val="00827A33"/>
    <w:rsid w:val="00832622"/>
    <w:rsid w:val="008327F6"/>
    <w:rsid w:val="00832D63"/>
    <w:rsid w:val="00833F52"/>
    <w:rsid w:val="008352FA"/>
    <w:rsid w:val="00837EB2"/>
    <w:rsid w:val="008412E4"/>
    <w:rsid w:val="008425B6"/>
    <w:rsid w:val="00843688"/>
    <w:rsid w:val="008477B2"/>
    <w:rsid w:val="00851813"/>
    <w:rsid w:val="00853E48"/>
    <w:rsid w:val="00853E4B"/>
    <w:rsid w:val="00855FDD"/>
    <w:rsid w:val="00857B0C"/>
    <w:rsid w:val="00860B62"/>
    <w:rsid w:val="008613AD"/>
    <w:rsid w:val="0086218A"/>
    <w:rsid w:val="008625EB"/>
    <w:rsid w:val="00862EC1"/>
    <w:rsid w:val="00865C4F"/>
    <w:rsid w:val="00871D28"/>
    <w:rsid w:val="00872A02"/>
    <w:rsid w:val="008736E6"/>
    <w:rsid w:val="00876B6A"/>
    <w:rsid w:val="008800C3"/>
    <w:rsid w:val="00883E78"/>
    <w:rsid w:val="008848F4"/>
    <w:rsid w:val="00886240"/>
    <w:rsid w:val="00887886"/>
    <w:rsid w:val="00891B8A"/>
    <w:rsid w:val="008977B9"/>
    <w:rsid w:val="008A0EB2"/>
    <w:rsid w:val="008A2CD6"/>
    <w:rsid w:val="008A34ED"/>
    <w:rsid w:val="008A36F9"/>
    <w:rsid w:val="008A3D7A"/>
    <w:rsid w:val="008A510E"/>
    <w:rsid w:val="008A51E2"/>
    <w:rsid w:val="008B2BFA"/>
    <w:rsid w:val="008B315C"/>
    <w:rsid w:val="008B31DA"/>
    <w:rsid w:val="008B3D65"/>
    <w:rsid w:val="008C1A2E"/>
    <w:rsid w:val="008C39F8"/>
    <w:rsid w:val="008C463D"/>
    <w:rsid w:val="008C6185"/>
    <w:rsid w:val="008C6657"/>
    <w:rsid w:val="008C6FE2"/>
    <w:rsid w:val="008C70C0"/>
    <w:rsid w:val="008D21FD"/>
    <w:rsid w:val="008D39FC"/>
    <w:rsid w:val="008D577E"/>
    <w:rsid w:val="008E08AD"/>
    <w:rsid w:val="008E2CA8"/>
    <w:rsid w:val="008E2CD1"/>
    <w:rsid w:val="008E3C16"/>
    <w:rsid w:val="008F1E88"/>
    <w:rsid w:val="008F3AB1"/>
    <w:rsid w:val="008F4F8B"/>
    <w:rsid w:val="008F568C"/>
    <w:rsid w:val="008F5F5E"/>
    <w:rsid w:val="008F697D"/>
    <w:rsid w:val="0090293C"/>
    <w:rsid w:val="00902B0A"/>
    <w:rsid w:val="00902B2C"/>
    <w:rsid w:val="00904177"/>
    <w:rsid w:val="009113A3"/>
    <w:rsid w:val="009117AD"/>
    <w:rsid w:val="00913CD7"/>
    <w:rsid w:val="00915507"/>
    <w:rsid w:val="00915CE9"/>
    <w:rsid w:val="00916EC5"/>
    <w:rsid w:val="009217F7"/>
    <w:rsid w:val="0092221C"/>
    <w:rsid w:val="0092470B"/>
    <w:rsid w:val="00927027"/>
    <w:rsid w:val="00927918"/>
    <w:rsid w:val="009300A1"/>
    <w:rsid w:val="009333E0"/>
    <w:rsid w:val="00935486"/>
    <w:rsid w:val="00937784"/>
    <w:rsid w:val="00937872"/>
    <w:rsid w:val="009378F6"/>
    <w:rsid w:val="00941A70"/>
    <w:rsid w:val="00943480"/>
    <w:rsid w:val="00951762"/>
    <w:rsid w:val="00952E8C"/>
    <w:rsid w:val="0095658D"/>
    <w:rsid w:val="00957C59"/>
    <w:rsid w:val="00961E3B"/>
    <w:rsid w:val="00962D1A"/>
    <w:rsid w:val="00964152"/>
    <w:rsid w:val="009758ED"/>
    <w:rsid w:val="00975E2F"/>
    <w:rsid w:val="0098428B"/>
    <w:rsid w:val="00984851"/>
    <w:rsid w:val="00987AF6"/>
    <w:rsid w:val="00991F77"/>
    <w:rsid w:val="00993934"/>
    <w:rsid w:val="00993F3A"/>
    <w:rsid w:val="00997BB6"/>
    <w:rsid w:val="009A3B90"/>
    <w:rsid w:val="009A4DFF"/>
    <w:rsid w:val="009A5206"/>
    <w:rsid w:val="009A546B"/>
    <w:rsid w:val="009C06C4"/>
    <w:rsid w:val="009C09A8"/>
    <w:rsid w:val="009C0ABC"/>
    <w:rsid w:val="009C1977"/>
    <w:rsid w:val="009C290F"/>
    <w:rsid w:val="009C2A15"/>
    <w:rsid w:val="009C36E5"/>
    <w:rsid w:val="009D3196"/>
    <w:rsid w:val="009D3217"/>
    <w:rsid w:val="009D5559"/>
    <w:rsid w:val="009E0783"/>
    <w:rsid w:val="009E323A"/>
    <w:rsid w:val="009E4449"/>
    <w:rsid w:val="009E5717"/>
    <w:rsid w:val="009E6294"/>
    <w:rsid w:val="009F2A07"/>
    <w:rsid w:val="009F5794"/>
    <w:rsid w:val="009F6187"/>
    <w:rsid w:val="00A030FD"/>
    <w:rsid w:val="00A1070B"/>
    <w:rsid w:val="00A11E18"/>
    <w:rsid w:val="00A1720C"/>
    <w:rsid w:val="00A17984"/>
    <w:rsid w:val="00A27317"/>
    <w:rsid w:val="00A2778D"/>
    <w:rsid w:val="00A27AE2"/>
    <w:rsid w:val="00A32A5A"/>
    <w:rsid w:val="00A32AEA"/>
    <w:rsid w:val="00A349BF"/>
    <w:rsid w:val="00A36B59"/>
    <w:rsid w:val="00A4164A"/>
    <w:rsid w:val="00A439FA"/>
    <w:rsid w:val="00A44FF9"/>
    <w:rsid w:val="00A47AA8"/>
    <w:rsid w:val="00A47D99"/>
    <w:rsid w:val="00A52E30"/>
    <w:rsid w:val="00A54677"/>
    <w:rsid w:val="00A55353"/>
    <w:rsid w:val="00A60911"/>
    <w:rsid w:val="00A613A4"/>
    <w:rsid w:val="00A6404A"/>
    <w:rsid w:val="00A72506"/>
    <w:rsid w:val="00A7305B"/>
    <w:rsid w:val="00A73400"/>
    <w:rsid w:val="00A73B0A"/>
    <w:rsid w:val="00A73CB6"/>
    <w:rsid w:val="00A77C51"/>
    <w:rsid w:val="00A805BD"/>
    <w:rsid w:val="00A81081"/>
    <w:rsid w:val="00A82DF1"/>
    <w:rsid w:val="00A844F8"/>
    <w:rsid w:val="00A91E6B"/>
    <w:rsid w:val="00A92BAE"/>
    <w:rsid w:val="00A949DD"/>
    <w:rsid w:val="00A97456"/>
    <w:rsid w:val="00AA2F1A"/>
    <w:rsid w:val="00AA5782"/>
    <w:rsid w:val="00AC097A"/>
    <w:rsid w:val="00AC7C68"/>
    <w:rsid w:val="00AD3C02"/>
    <w:rsid w:val="00AD4543"/>
    <w:rsid w:val="00AD4938"/>
    <w:rsid w:val="00AD7861"/>
    <w:rsid w:val="00AE1155"/>
    <w:rsid w:val="00AE553C"/>
    <w:rsid w:val="00AE6681"/>
    <w:rsid w:val="00AE7D53"/>
    <w:rsid w:val="00AF1A73"/>
    <w:rsid w:val="00AF1C17"/>
    <w:rsid w:val="00AF3F9B"/>
    <w:rsid w:val="00AF7A72"/>
    <w:rsid w:val="00B02A05"/>
    <w:rsid w:val="00B03899"/>
    <w:rsid w:val="00B03B81"/>
    <w:rsid w:val="00B12039"/>
    <w:rsid w:val="00B131B6"/>
    <w:rsid w:val="00B14E77"/>
    <w:rsid w:val="00B15A51"/>
    <w:rsid w:val="00B15A8D"/>
    <w:rsid w:val="00B2248B"/>
    <w:rsid w:val="00B2516A"/>
    <w:rsid w:val="00B257A4"/>
    <w:rsid w:val="00B26CB0"/>
    <w:rsid w:val="00B30E2C"/>
    <w:rsid w:val="00B31A32"/>
    <w:rsid w:val="00B31EF0"/>
    <w:rsid w:val="00B34D69"/>
    <w:rsid w:val="00B40874"/>
    <w:rsid w:val="00B40A31"/>
    <w:rsid w:val="00B416FC"/>
    <w:rsid w:val="00B42EA3"/>
    <w:rsid w:val="00B43A55"/>
    <w:rsid w:val="00B445CC"/>
    <w:rsid w:val="00B452AC"/>
    <w:rsid w:val="00B47531"/>
    <w:rsid w:val="00B52CDC"/>
    <w:rsid w:val="00B53CAA"/>
    <w:rsid w:val="00B540AE"/>
    <w:rsid w:val="00B568B6"/>
    <w:rsid w:val="00B629C9"/>
    <w:rsid w:val="00B647BF"/>
    <w:rsid w:val="00B659B3"/>
    <w:rsid w:val="00B724C4"/>
    <w:rsid w:val="00B76532"/>
    <w:rsid w:val="00B83CBC"/>
    <w:rsid w:val="00B86C3F"/>
    <w:rsid w:val="00B9003D"/>
    <w:rsid w:val="00B97FEB"/>
    <w:rsid w:val="00BA571F"/>
    <w:rsid w:val="00BA64B5"/>
    <w:rsid w:val="00BB172E"/>
    <w:rsid w:val="00BB2D55"/>
    <w:rsid w:val="00BB50DB"/>
    <w:rsid w:val="00BB5CF8"/>
    <w:rsid w:val="00BB7FB0"/>
    <w:rsid w:val="00BC5996"/>
    <w:rsid w:val="00BD0F10"/>
    <w:rsid w:val="00BD3C48"/>
    <w:rsid w:val="00BD6082"/>
    <w:rsid w:val="00BE209F"/>
    <w:rsid w:val="00BE3879"/>
    <w:rsid w:val="00BE5849"/>
    <w:rsid w:val="00C00DEE"/>
    <w:rsid w:val="00C04574"/>
    <w:rsid w:val="00C04D8B"/>
    <w:rsid w:val="00C0680C"/>
    <w:rsid w:val="00C072CA"/>
    <w:rsid w:val="00C10370"/>
    <w:rsid w:val="00C1072C"/>
    <w:rsid w:val="00C1082E"/>
    <w:rsid w:val="00C10FB2"/>
    <w:rsid w:val="00C11240"/>
    <w:rsid w:val="00C12C5F"/>
    <w:rsid w:val="00C13FBF"/>
    <w:rsid w:val="00C20F9E"/>
    <w:rsid w:val="00C2496A"/>
    <w:rsid w:val="00C26E5A"/>
    <w:rsid w:val="00C26F31"/>
    <w:rsid w:val="00C302FC"/>
    <w:rsid w:val="00C34B6E"/>
    <w:rsid w:val="00C41616"/>
    <w:rsid w:val="00C42C6A"/>
    <w:rsid w:val="00C43EB4"/>
    <w:rsid w:val="00C50441"/>
    <w:rsid w:val="00C51783"/>
    <w:rsid w:val="00C60782"/>
    <w:rsid w:val="00C64E0D"/>
    <w:rsid w:val="00C65CE0"/>
    <w:rsid w:val="00C71537"/>
    <w:rsid w:val="00C7212F"/>
    <w:rsid w:val="00C7218D"/>
    <w:rsid w:val="00C7440C"/>
    <w:rsid w:val="00C77E2F"/>
    <w:rsid w:val="00C80723"/>
    <w:rsid w:val="00C80F21"/>
    <w:rsid w:val="00C830A4"/>
    <w:rsid w:val="00C83721"/>
    <w:rsid w:val="00C844E8"/>
    <w:rsid w:val="00C85074"/>
    <w:rsid w:val="00C87AF9"/>
    <w:rsid w:val="00C90C69"/>
    <w:rsid w:val="00CA02E7"/>
    <w:rsid w:val="00CA6B9C"/>
    <w:rsid w:val="00CC199F"/>
    <w:rsid w:val="00CC1BC0"/>
    <w:rsid w:val="00CC3778"/>
    <w:rsid w:val="00CC3994"/>
    <w:rsid w:val="00CC4F4F"/>
    <w:rsid w:val="00CC4FB8"/>
    <w:rsid w:val="00CC56A7"/>
    <w:rsid w:val="00CC606B"/>
    <w:rsid w:val="00CD3754"/>
    <w:rsid w:val="00CD49D4"/>
    <w:rsid w:val="00CD63E8"/>
    <w:rsid w:val="00CD64AB"/>
    <w:rsid w:val="00CE08D4"/>
    <w:rsid w:val="00CE43B1"/>
    <w:rsid w:val="00CE639F"/>
    <w:rsid w:val="00CE7774"/>
    <w:rsid w:val="00CF121F"/>
    <w:rsid w:val="00CF13A4"/>
    <w:rsid w:val="00CF236D"/>
    <w:rsid w:val="00CF5A93"/>
    <w:rsid w:val="00CF5F7E"/>
    <w:rsid w:val="00D054E3"/>
    <w:rsid w:val="00D10F24"/>
    <w:rsid w:val="00D1383E"/>
    <w:rsid w:val="00D14E62"/>
    <w:rsid w:val="00D15367"/>
    <w:rsid w:val="00D16060"/>
    <w:rsid w:val="00D16908"/>
    <w:rsid w:val="00D221B1"/>
    <w:rsid w:val="00D25A1B"/>
    <w:rsid w:val="00D3332A"/>
    <w:rsid w:val="00D35197"/>
    <w:rsid w:val="00D36C55"/>
    <w:rsid w:val="00D41889"/>
    <w:rsid w:val="00D50727"/>
    <w:rsid w:val="00D50DB0"/>
    <w:rsid w:val="00D50FB7"/>
    <w:rsid w:val="00D51458"/>
    <w:rsid w:val="00D554D7"/>
    <w:rsid w:val="00D55C31"/>
    <w:rsid w:val="00D567B5"/>
    <w:rsid w:val="00D569B6"/>
    <w:rsid w:val="00D57885"/>
    <w:rsid w:val="00D61D8C"/>
    <w:rsid w:val="00D64490"/>
    <w:rsid w:val="00D67B84"/>
    <w:rsid w:val="00D71AB1"/>
    <w:rsid w:val="00D8146F"/>
    <w:rsid w:val="00D829FE"/>
    <w:rsid w:val="00D83FC8"/>
    <w:rsid w:val="00D91664"/>
    <w:rsid w:val="00D9670C"/>
    <w:rsid w:val="00D96AFD"/>
    <w:rsid w:val="00DA1249"/>
    <w:rsid w:val="00DA504C"/>
    <w:rsid w:val="00DB2E07"/>
    <w:rsid w:val="00DB5A68"/>
    <w:rsid w:val="00DC008F"/>
    <w:rsid w:val="00DC0608"/>
    <w:rsid w:val="00DC09F6"/>
    <w:rsid w:val="00DC72BA"/>
    <w:rsid w:val="00DC7913"/>
    <w:rsid w:val="00DD133A"/>
    <w:rsid w:val="00DE349E"/>
    <w:rsid w:val="00DE7DB6"/>
    <w:rsid w:val="00DF054C"/>
    <w:rsid w:val="00DF055E"/>
    <w:rsid w:val="00DF45BA"/>
    <w:rsid w:val="00E000F0"/>
    <w:rsid w:val="00E02C3B"/>
    <w:rsid w:val="00E06C52"/>
    <w:rsid w:val="00E110F4"/>
    <w:rsid w:val="00E12369"/>
    <w:rsid w:val="00E169CD"/>
    <w:rsid w:val="00E2567E"/>
    <w:rsid w:val="00E27DEF"/>
    <w:rsid w:val="00E3205C"/>
    <w:rsid w:val="00E32F3C"/>
    <w:rsid w:val="00E3318E"/>
    <w:rsid w:val="00E347BF"/>
    <w:rsid w:val="00E35C93"/>
    <w:rsid w:val="00E37A76"/>
    <w:rsid w:val="00E37E6B"/>
    <w:rsid w:val="00E4169D"/>
    <w:rsid w:val="00E50A91"/>
    <w:rsid w:val="00E61AD8"/>
    <w:rsid w:val="00E671F8"/>
    <w:rsid w:val="00E7023B"/>
    <w:rsid w:val="00E71B29"/>
    <w:rsid w:val="00E71BA8"/>
    <w:rsid w:val="00E74517"/>
    <w:rsid w:val="00E758CB"/>
    <w:rsid w:val="00E773DA"/>
    <w:rsid w:val="00E80AAA"/>
    <w:rsid w:val="00E829C8"/>
    <w:rsid w:val="00E8549B"/>
    <w:rsid w:val="00E86871"/>
    <w:rsid w:val="00E918AA"/>
    <w:rsid w:val="00E943E0"/>
    <w:rsid w:val="00E944CE"/>
    <w:rsid w:val="00E95245"/>
    <w:rsid w:val="00EA0A6D"/>
    <w:rsid w:val="00EA1BF5"/>
    <w:rsid w:val="00EB0598"/>
    <w:rsid w:val="00EB096F"/>
    <w:rsid w:val="00EB2A79"/>
    <w:rsid w:val="00EB3512"/>
    <w:rsid w:val="00EB4BEC"/>
    <w:rsid w:val="00EB50DA"/>
    <w:rsid w:val="00EB6AE1"/>
    <w:rsid w:val="00EC437A"/>
    <w:rsid w:val="00EC554E"/>
    <w:rsid w:val="00EC5D0F"/>
    <w:rsid w:val="00EC6782"/>
    <w:rsid w:val="00ED05BE"/>
    <w:rsid w:val="00ED181A"/>
    <w:rsid w:val="00ED18EE"/>
    <w:rsid w:val="00ED1DDE"/>
    <w:rsid w:val="00ED4FE4"/>
    <w:rsid w:val="00ED6CCB"/>
    <w:rsid w:val="00ED7106"/>
    <w:rsid w:val="00EF38A8"/>
    <w:rsid w:val="00EF3D86"/>
    <w:rsid w:val="00EF3E0F"/>
    <w:rsid w:val="00EF7103"/>
    <w:rsid w:val="00F00F45"/>
    <w:rsid w:val="00F07C99"/>
    <w:rsid w:val="00F13FEA"/>
    <w:rsid w:val="00F148D8"/>
    <w:rsid w:val="00F14C6B"/>
    <w:rsid w:val="00F16EFA"/>
    <w:rsid w:val="00F21679"/>
    <w:rsid w:val="00F223E9"/>
    <w:rsid w:val="00F26F69"/>
    <w:rsid w:val="00F276C6"/>
    <w:rsid w:val="00F27EB4"/>
    <w:rsid w:val="00F33E55"/>
    <w:rsid w:val="00F3554B"/>
    <w:rsid w:val="00F35ACD"/>
    <w:rsid w:val="00F36CC7"/>
    <w:rsid w:val="00F41512"/>
    <w:rsid w:val="00F462C9"/>
    <w:rsid w:val="00F5274A"/>
    <w:rsid w:val="00F540CB"/>
    <w:rsid w:val="00F54856"/>
    <w:rsid w:val="00F557BA"/>
    <w:rsid w:val="00F57F8C"/>
    <w:rsid w:val="00F60C0C"/>
    <w:rsid w:val="00F630FA"/>
    <w:rsid w:val="00F63397"/>
    <w:rsid w:val="00F63CB1"/>
    <w:rsid w:val="00F65E11"/>
    <w:rsid w:val="00F6635F"/>
    <w:rsid w:val="00F713E0"/>
    <w:rsid w:val="00F73D88"/>
    <w:rsid w:val="00F7404F"/>
    <w:rsid w:val="00F7628F"/>
    <w:rsid w:val="00F8324C"/>
    <w:rsid w:val="00F9035F"/>
    <w:rsid w:val="00F9400D"/>
    <w:rsid w:val="00F95B13"/>
    <w:rsid w:val="00FA4AE9"/>
    <w:rsid w:val="00FB0489"/>
    <w:rsid w:val="00FB3D91"/>
    <w:rsid w:val="00FD3ECD"/>
    <w:rsid w:val="00FE0DEB"/>
    <w:rsid w:val="00FE44E0"/>
    <w:rsid w:val="00FE5694"/>
    <w:rsid w:val="00FE6E02"/>
    <w:rsid w:val="00FE788E"/>
    <w:rsid w:val="00FF108C"/>
    <w:rsid w:val="00FF3BAC"/>
    <w:rsid w:val="00FF605B"/>
    <w:rsid w:val="00FF7923"/>
    <w:rsid w:val="01213882"/>
    <w:rsid w:val="0D5D20E6"/>
    <w:rsid w:val="132571AA"/>
    <w:rsid w:val="156503EC"/>
    <w:rsid w:val="163D3EB0"/>
    <w:rsid w:val="1658169C"/>
    <w:rsid w:val="180B7FFD"/>
    <w:rsid w:val="18185587"/>
    <w:rsid w:val="18C678E1"/>
    <w:rsid w:val="1DAC0C2E"/>
    <w:rsid w:val="1DD707C5"/>
    <w:rsid w:val="22B65E33"/>
    <w:rsid w:val="24896B7B"/>
    <w:rsid w:val="27870033"/>
    <w:rsid w:val="280E6A7D"/>
    <w:rsid w:val="28910375"/>
    <w:rsid w:val="28D01566"/>
    <w:rsid w:val="2A5C1303"/>
    <w:rsid w:val="2ACD3FAF"/>
    <w:rsid w:val="2F255F9F"/>
    <w:rsid w:val="305C32A8"/>
    <w:rsid w:val="31666F0B"/>
    <w:rsid w:val="345E28B1"/>
    <w:rsid w:val="34DE38E8"/>
    <w:rsid w:val="351647A5"/>
    <w:rsid w:val="368D1A27"/>
    <w:rsid w:val="3AC802EF"/>
    <w:rsid w:val="3C223605"/>
    <w:rsid w:val="3C2459F9"/>
    <w:rsid w:val="42030507"/>
    <w:rsid w:val="468B4FF2"/>
    <w:rsid w:val="46F56910"/>
    <w:rsid w:val="47F03E21"/>
    <w:rsid w:val="4DB724E2"/>
    <w:rsid w:val="4EB946C7"/>
    <w:rsid w:val="51F97D00"/>
    <w:rsid w:val="530A6971"/>
    <w:rsid w:val="54283E98"/>
    <w:rsid w:val="55D1679A"/>
    <w:rsid w:val="57CE2F91"/>
    <w:rsid w:val="58CD7F7A"/>
    <w:rsid w:val="59A71902"/>
    <w:rsid w:val="5B835E40"/>
    <w:rsid w:val="5DD62B9F"/>
    <w:rsid w:val="5DDB1F64"/>
    <w:rsid w:val="65624D19"/>
    <w:rsid w:val="65A563C9"/>
    <w:rsid w:val="67FA56DC"/>
    <w:rsid w:val="69960257"/>
    <w:rsid w:val="6A1A3E14"/>
    <w:rsid w:val="6A9A4BF2"/>
    <w:rsid w:val="6B5C7153"/>
    <w:rsid w:val="6BFB7B91"/>
    <w:rsid w:val="6C2A27CE"/>
    <w:rsid w:val="70DD3DED"/>
    <w:rsid w:val="745C0FE9"/>
    <w:rsid w:val="79B80E35"/>
    <w:rsid w:val="7C613B96"/>
    <w:rsid w:val="7D4120EF"/>
    <w:rsid w:val="7DC26844"/>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eastAsia="黑体"/>
      <w:b/>
      <w:kern w:val="44"/>
      <w:sz w:val="36"/>
      <w:szCs w:val="20"/>
    </w:rPr>
  </w:style>
  <w:style w:type="paragraph" w:styleId="5">
    <w:name w:val="heading 2"/>
    <w:basedOn w:val="1"/>
    <w:next w:val="6"/>
    <w:qFormat/>
    <w:uiPriority w:val="0"/>
    <w:pPr>
      <w:keepNext/>
      <w:keepLines/>
      <w:spacing w:before="260" w:after="260" w:line="413" w:lineRule="auto"/>
      <w:jc w:val="center"/>
      <w:outlineLvl w:val="1"/>
    </w:pPr>
    <w:rPr>
      <w:rFonts w:ascii="CG Times" w:hAnsi="CG Times"/>
      <w:b/>
      <w:sz w:val="30"/>
      <w:szCs w:val="20"/>
    </w:rPr>
  </w:style>
  <w:style w:type="paragraph" w:styleId="7">
    <w:name w:val="heading 3"/>
    <w:basedOn w:val="1"/>
    <w:next w:val="6"/>
    <w:qFormat/>
    <w:uiPriority w:val="0"/>
    <w:pPr>
      <w:keepNext/>
      <w:keepLines/>
      <w:tabs>
        <w:tab w:val="left" w:pos="425"/>
        <w:tab w:val="left" w:pos="5852"/>
      </w:tabs>
      <w:snapToGrid w:val="0"/>
      <w:spacing w:before="360" w:line="240" w:lineRule="exact"/>
      <w:ind w:left="425" w:hanging="425"/>
      <w:outlineLvl w:val="2"/>
    </w:pPr>
    <w:rPr>
      <w:b/>
      <w:sz w:val="28"/>
      <w:szCs w:val="20"/>
    </w:rPr>
  </w:style>
  <w:style w:type="paragraph" w:styleId="8">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9">
    <w:name w:val="heading 5"/>
    <w:basedOn w:val="1"/>
    <w:next w:val="6"/>
    <w:qFormat/>
    <w:uiPriority w:val="0"/>
    <w:pPr>
      <w:keepNext/>
      <w:keepLines/>
      <w:spacing w:before="280" w:after="290" w:line="374" w:lineRule="auto"/>
      <w:outlineLvl w:val="4"/>
    </w:pPr>
    <w:rPr>
      <w:b/>
      <w:sz w:val="28"/>
      <w:szCs w:val="20"/>
    </w:rPr>
  </w:style>
  <w:style w:type="paragraph" w:styleId="10">
    <w:name w:val="heading 6"/>
    <w:basedOn w:val="1"/>
    <w:next w:val="6"/>
    <w:qFormat/>
    <w:uiPriority w:val="0"/>
    <w:pPr>
      <w:keepNext/>
      <w:keepLines/>
      <w:spacing w:before="240" w:after="64" w:line="319" w:lineRule="auto"/>
      <w:outlineLvl w:val="5"/>
    </w:pPr>
    <w:rPr>
      <w:rFonts w:ascii="Arial" w:hAnsi="Arial" w:eastAsia="黑体"/>
      <w:b/>
      <w:sz w:val="24"/>
      <w:szCs w:val="20"/>
    </w:rPr>
  </w:style>
  <w:style w:type="paragraph" w:styleId="11">
    <w:name w:val="heading 7"/>
    <w:basedOn w:val="1"/>
    <w:next w:val="6"/>
    <w:qFormat/>
    <w:uiPriority w:val="0"/>
    <w:pPr>
      <w:keepNext/>
      <w:keepLines/>
      <w:spacing w:before="240" w:after="64" w:line="319" w:lineRule="auto"/>
      <w:outlineLvl w:val="6"/>
    </w:pPr>
    <w:rPr>
      <w:b/>
      <w:sz w:val="24"/>
      <w:szCs w:val="20"/>
    </w:rPr>
  </w:style>
  <w:style w:type="paragraph" w:styleId="12">
    <w:name w:val="heading 8"/>
    <w:basedOn w:val="1"/>
    <w:next w:val="6"/>
    <w:qFormat/>
    <w:uiPriority w:val="0"/>
    <w:pPr>
      <w:keepNext/>
      <w:keepLines/>
      <w:spacing w:before="240" w:after="64" w:line="319" w:lineRule="auto"/>
      <w:outlineLvl w:val="7"/>
    </w:pPr>
    <w:rPr>
      <w:rFonts w:ascii="Arial" w:hAnsi="Arial" w:eastAsia="黑体"/>
      <w:sz w:val="24"/>
      <w:szCs w:val="20"/>
    </w:rPr>
  </w:style>
  <w:style w:type="paragraph" w:styleId="13">
    <w:name w:val="heading 9"/>
    <w:basedOn w:val="1"/>
    <w:next w:val="6"/>
    <w:qFormat/>
    <w:uiPriority w:val="0"/>
    <w:pPr>
      <w:keepNext/>
      <w:keepLines/>
      <w:spacing w:before="240" w:after="64" w:line="319"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
    <w:name w:val="Body Text"/>
    <w:basedOn w:val="1"/>
    <w:qFormat/>
    <w:uiPriority w:val="0"/>
    <w:rPr>
      <w:rFonts w:ascii="黑体" w:hAnsi="Courier New" w:eastAsia="黑体"/>
      <w:sz w:val="30"/>
      <w:shd w:val="pct10" w:color="auto" w:fill="FFFFFF"/>
    </w:rPr>
  </w:style>
  <w:style w:type="paragraph" w:styleId="6">
    <w:name w:val="Normal Indent"/>
    <w:basedOn w:val="1"/>
    <w:next w:val="1"/>
    <w:link w:val="43"/>
    <w:qFormat/>
    <w:uiPriority w:val="0"/>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Salutation"/>
    <w:basedOn w:val="1"/>
    <w:next w:val="1"/>
    <w:qFormat/>
    <w:uiPriority w:val="0"/>
    <w:rPr>
      <w:sz w:val="24"/>
    </w:rPr>
  </w:style>
  <w:style w:type="paragraph" w:styleId="17">
    <w:name w:val="Body Text Indent"/>
    <w:basedOn w:val="1"/>
    <w:qFormat/>
    <w:uiPriority w:val="0"/>
    <w:pPr>
      <w:spacing w:line="720" w:lineRule="exact"/>
      <w:ind w:firstLine="601"/>
    </w:pPr>
    <w:rPr>
      <w:rFonts w:ascii="宋体" w:hAnsi="宋体"/>
      <w:sz w:val="24"/>
    </w:rPr>
  </w:style>
  <w:style w:type="paragraph" w:styleId="18">
    <w:name w:val="toc 3"/>
    <w:basedOn w:val="1"/>
    <w:next w:val="1"/>
    <w:qFormat/>
    <w:uiPriority w:val="0"/>
    <w:pPr>
      <w:ind w:left="840" w:leftChars="400"/>
    </w:pPr>
  </w:style>
  <w:style w:type="paragraph" w:styleId="19">
    <w:name w:val="Plain Text"/>
    <w:basedOn w:val="1"/>
    <w:link w:val="44"/>
    <w:qFormat/>
    <w:uiPriority w:val="0"/>
    <w:rPr>
      <w:rFonts w:ascii="宋体" w:hAnsi="Courier New"/>
      <w:szCs w:val="20"/>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line="0" w:lineRule="atLeast"/>
      <w:ind w:firstLine="640"/>
    </w:pPr>
    <w:rPr>
      <w:rFonts w:ascii="楷体_GB2312" w:eastAsia="楷体_GB2312"/>
      <w:sz w:val="30"/>
      <w:szCs w:val="20"/>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Body Text Indent 3"/>
    <w:basedOn w:val="1"/>
    <w:qFormat/>
    <w:uiPriority w:val="0"/>
    <w:pPr>
      <w:spacing w:line="400" w:lineRule="exact"/>
      <w:ind w:firstLine="480"/>
    </w:pPr>
    <w:rPr>
      <w:rFonts w:ascii="宋体" w:hAnsi="宋体"/>
      <w:color w:val="FF00FF"/>
      <w:sz w:val="24"/>
    </w:rPr>
  </w:style>
  <w:style w:type="paragraph" w:styleId="27">
    <w:name w:val="toc 2"/>
    <w:basedOn w:val="1"/>
    <w:next w:val="1"/>
    <w:qFormat/>
    <w:uiPriority w:val="39"/>
    <w:pPr>
      <w:ind w:left="420" w:leftChars="200"/>
    </w:pPr>
  </w:style>
  <w:style w:type="paragraph" w:styleId="28">
    <w:name w:val="Body Text 2"/>
    <w:basedOn w:val="1"/>
    <w:link w:val="96"/>
    <w:qFormat/>
    <w:uiPriority w:val="0"/>
    <w:pPr>
      <w:spacing w:after="120" w:line="480" w:lineRule="auto"/>
    </w:pPr>
  </w:style>
  <w:style w:type="paragraph" w:styleId="2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0">
    <w:name w:val="annotation subject"/>
    <w:basedOn w:val="15"/>
    <w:next w:val="15"/>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styleId="38">
    <w:name w:val="HTML Sample"/>
    <w:basedOn w:val="33"/>
    <w:qFormat/>
    <w:uiPriority w:val="0"/>
    <w:rPr>
      <w:rFonts w:ascii="Courier New" w:hAnsi="Courier New"/>
    </w:rPr>
  </w:style>
  <w:style w:type="character" w:customStyle="1" w:styleId="39">
    <w:name w:val="样式3 Char Char"/>
    <w:qFormat/>
    <w:uiPriority w:val="0"/>
    <w:rPr>
      <w:rFonts w:ascii="宋体" w:hAnsi="Courier New" w:eastAsia="宋体"/>
      <w:kern w:val="2"/>
      <w:sz w:val="28"/>
      <w:szCs w:val="24"/>
      <w:lang w:val="en-US" w:eastAsia="zh-CN" w:bidi="ar-SA"/>
    </w:rPr>
  </w:style>
  <w:style w:type="character" w:customStyle="1" w:styleId="40">
    <w:name w:val="textfont1"/>
    <w:basedOn w:val="33"/>
    <w:qFormat/>
    <w:uiPriority w:val="0"/>
  </w:style>
  <w:style w:type="character" w:customStyle="1" w:styleId="41">
    <w:name w:val="Char Char13"/>
    <w:qFormat/>
    <w:uiPriority w:val="0"/>
    <w:rPr>
      <w:rFonts w:eastAsia="宋体"/>
      <w:kern w:val="2"/>
      <w:sz w:val="21"/>
      <w:szCs w:val="24"/>
      <w:lang w:val="en-US" w:eastAsia="zh-CN" w:bidi="ar-SA"/>
    </w:rPr>
  </w:style>
  <w:style w:type="character" w:customStyle="1" w:styleId="42">
    <w:name w:val="Char Char2"/>
    <w:qFormat/>
    <w:uiPriority w:val="0"/>
    <w:rPr>
      <w:rFonts w:ascii="宋体" w:hAnsi="Courier New" w:eastAsia="宋体"/>
      <w:kern w:val="2"/>
      <w:sz w:val="21"/>
      <w:lang w:val="en-US" w:eastAsia="zh-CN" w:bidi="ar-SA"/>
    </w:rPr>
  </w:style>
  <w:style w:type="character" w:customStyle="1" w:styleId="43">
    <w:name w:val="正文缩进 字符"/>
    <w:link w:val="6"/>
    <w:qFormat/>
    <w:uiPriority w:val="0"/>
    <w:rPr>
      <w:rFonts w:eastAsia="宋体"/>
      <w:kern w:val="2"/>
      <w:sz w:val="21"/>
      <w:szCs w:val="24"/>
      <w:lang w:val="en-US" w:eastAsia="zh-CN" w:bidi="ar-SA"/>
    </w:rPr>
  </w:style>
  <w:style w:type="character" w:customStyle="1" w:styleId="44">
    <w:name w:val="纯文本 字符"/>
    <w:link w:val="19"/>
    <w:qFormat/>
    <w:uiPriority w:val="0"/>
    <w:rPr>
      <w:rFonts w:ascii="宋体" w:hAnsi="Courier New" w:eastAsia="宋体"/>
      <w:kern w:val="2"/>
      <w:sz w:val="21"/>
      <w:lang w:val="en-US" w:eastAsia="zh-CN" w:bidi="ar-SA"/>
    </w:rPr>
  </w:style>
  <w:style w:type="character" w:customStyle="1" w:styleId="45">
    <w:name w:val="样式3 Char"/>
    <w:link w:val="46"/>
    <w:qFormat/>
    <w:uiPriority w:val="0"/>
    <w:rPr>
      <w:rFonts w:ascii="宋体" w:hAnsi="Courier New" w:eastAsia="宋体"/>
      <w:kern w:val="2"/>
      <w:sz w:val="28"/>
      <w:lang w:val="en-US" w:eastAsia="zh-CN" w:bidi="ar-SA"/>
    </w:rPr>
  </w:style>
  <w:style w:type="paragraph" w:customStyle="1" w:styleId="46">
    <w:name w:val="样式3"/>
    <w:basedOn w:val="19"/>
    <w:link w:val="45"/>
    <w:qFormat/>
    <w:uiPriority w:val="0"/>
    <w:pPr>
      <w:spacing w:line="0" w:lineRule="atLeast"/>
      <w:outlineLvl w:val="0"/>
    </w:pPr>
    <w:rPr>
      <w:sz w:val="28"/>
    </w:rPr>
  </w:style>
  <w:style w:type="paragraph" w:customStyle="1" w:styleId="47">
    <w:name w:val="标3"/>
    <w:basedOn w:val="1"/>
    <w:qFormat/>
    <w:uiPriority w:val="0"/>
    <w:pPr>
      <w:tabs>
        <w:tab w:val="left" w:pos="1620"/>
      </w:tabs>
      <w:adjustRightInd w:val="0"/>
      <w:snapToGrid w:val="0"/>
      <w:spacing w:before="50"/>
      <w:ind w:left="1620" w:hanging="420"/>
      <w:outlineLvl w:val="2"/>
    </w:pPr>
    <w:rPr>
      <w:rFonts w:ascii="Arial Narrow" w:hAnsi="Arial Narrow" w:eastAsia="仿宋_GB2312"/>
      <w:sz w:val="28"/>
      <w:szCs w:val="20"/>
    </w:rPr>
  </w:style>
  <w:style w:type="paragraph" w:customStyle="1" w:styleId="48">
    <w:name w:val="Char Char Char Char"/>
    <w:basedOn w:val="1"/>
    <w:qFormat/>
    <w:uiPriority w:val="0"/>
    <w:rPr>
      <w:rFonts w:ascii="Tahoma" w:hAnsi="Tahoma"/>
      <w:sz w:val="24"/>
      <w:szCs w:val="20"/>
    </w:rPr>
  </w:style>
  <w:style w:type="paragraph" w:customStyle="1" w:styleId="49">
    <w:name w:val="Char4"/>
    <w:basedOn w:val="1"/>
    <w:qFormat/>
    <w:uiPriority w:val="0"/>
    <w:rPr>
      <w:rFonts w:ascii="Tahoma" w:hAnsi="Tahoma"/>
      <w:sz w:val="24"/>
      <w:szCs w:val="20"/>
    </w:rPr>
  </w:style>
  <w:style w:type="paragraph" w:customStyle="1" w:styleId="50">
    <w:name w:val="p19"/>
    <w:basedOn w:val="1"/>
    <w:qFormat/>
    <w:uiPriority w:val="0"/>
    <w:pPr>
      <w:widowControl/>
    </w:pPr>
    <w:rPr>
      <w:rFonts w:ascii="宋体" w:hAnsi="宋体" w:cs="宋体"/>
      <w:kern w:val="0"/>
      <w:szCs w:val="21"/>
    </w:rPr>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2">
    <w:name w:val="Char Char Char Char Char Char Char"/>
    <w:basedOn w:val="1"/>
    <w:qFormat/>
    <w:uiPriority w:val="0"/>
    <w:rPr>
      <w:rFonts w:ascii="Tahoma" w:hAnsi="Tahoma"/>
      <w:sz w:val="24"/>
      <w:szCs w:val="20"/>
    </w:rPr>
  </w:style>
  <w:style w:type="paragraph" w:customStyle="1" w:styleId="53">
    <w:name w:val="p0"/>
    <w:basedOn w:val="1"/>
    <w:qFormat/>
    <w:uiPriority w:val="0"/>
    <w:pPr>
      <w:widowControl/>
    </w:pPr>
    <w:rPr>
      <w:kern w:val="0"/>
      <w:szCs w:val="21"/>
    </w:rPr>
  </w:style>
  <w:style w:type="paragraph" w:customStyle="1" w:styleId="54">
    <w:name w:val="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目录3"/>
    <w:basedOn w:val="18"/>
    <w:next w:val="18"/>
    <w:qFormat/>
    <w:uiPriority w:val="0"/>
    <w:rPr>
      <w:rFonts w:ascii="Tahoma" w:hAnsi="Tahoma"/>
      <w:sz w:val="24"/>
      <w:szCs w:val="20"/>
    </w:rPr>
  </w:style>
  <w:style w:type="paragraph" w:customStyle="1" w:styleId="57">
    <w:name w:val="基准标题"/>
    <w:basedOn w:val="3"/>
    <w:next w:val="3"/>
    <w:qFormat/>
    <w:uiPriority w:val="0"/>
    <w:pPr>
      <w:keepNext/>
      <w:keepLines/>
      <w:widowControl/>
      <w:tabs>
        <w:tab w:val="left" w:pos="600"/>
        <w:tab w:val="left" w:pos="960"/>
        <w:tab w:val="left" w:pos="1080"/>
      </w:tabs>
      <w:overflowPunct w:val="0"/>
      <w:spacing w:before="120"/>
    </w:pPr>
    <w:rPr>
      <w:rFonts w:ascii="Arial" w:hAnsi="Arial" w:eastAsia="宋体"/>
      <w:spacing w:val="-10"/>
      <w:kern w:val="20"/>
      <w:sz w:val="21"/>
      <w:szCs w:val="20"/>
      <w:shd w:val="clear" w:color="auto" w:fill="auto"/>
    </w:rPr>
  </w:style>
  <w:style w:type="paragraph" w:customStyle="1" w:styleId="5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59">
    <w:name w:val="Char Char Char"/>
    <w:basedOn w:val="1"/>
    <w:qFormat/>
    <w:uiPriority w:val="0"/>
    <w:rPr>
      <w:rFonts w:ascii="Tahoma" w:hAnsi="Tahoma"/>
      <w:sz w:val="24"/>
      <w:szCs w:val="20"/>
    </w:rPr>
  </w:style>
  <w:style w:type="paragraph" w:customStyle="1" w:styleId="60">
    <w:name w:val="正文0"/>
    <w:basedOn w:val="1"/>
    <w:qFormat/>
    <w:uiPriority w:val="0"/>
    <w:pPr>
      <w:autoSpaceDE w:val="0"/>
      <w:autoSpaceDN w:val="0"/>
      <w:adjustRightInd w:val="0"/>
      <w:spacing w:before="240" w:after="60" w:line="360" w:lineRule="atLeast"/>
    </w:pPr>
    <w:rPr>
      <w:b/>
      <w:kern w:val="0"/>
      <w:sz w:val="24"/>
      <w:szCs w:val="20"/>
    </w:rPr>
  </w:style>
  <w:style w:type="paragraph" w:styleId="61">
    <w:name w:val="List Paragraph"/>
    <w:basedOn w:val="1"/>
    <w:qFormat/>
    <w:uiPriority w:val="34"/>
    <w:pPr>
      <w:ind w:firstLine="420" w:firstLineChars="200"/>
    </w:pPr>
    <w:rPr>
      <w:rFonts w:ascii="Calibri" w:hAnsi="Calibri"/>
      <w:szCs w:val="22"/>
    </w:rPr>
  </w:style>
  <w:style w:type="paragraph" w:customStyle="1" w:styleId="62">
    <w:name w:val="Char Char Char Char Char Char Char Char Char Char"/>
    <w:basedOn w:val="1"/>
    <w:qFormat/>
    <w:uiPriority w:val="0"/>
    <w:pPr>
      <w:adjustRightInd w:val="0"/>
      <w:spacing w:line="360" w:lineRule="auto"/>
    </w:pPr>
    <w:rPr>
      <w:kern w:val="0"/>
      <w:sz w:val="24"/>
      <w:szCs w:val="20"/>
    </w:rPr>
  </w:style>
  <w:style w:type="paragraph" w:customStyle="1" w:styleId="63">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4">
    <w:name w:val="Char Char1 Char Char Char"/>
    <w:basedOn w:val="14"/>
    <w:qFormat/>
    <w:uiPriority w:val="0"/>
    <w:rPr>
      <w:rFonts w:ascii="Tahoma" w:hAnsi="Tahoma"/>
      <w:sz w:val="24"/>
    </w:rPr>
  </w:style>
  <w:style w:type="paragraph" w:customStyle="1" w:styleId="65">
    <w:name w:val="number1"/>
    <w:basedOn w:val="1"/>
    <w:qFormat/>
    <w:uiPriority w:val="0"/>
    <w:pPr>
      <w:tabs>
        <w:tab w:val="left" w:pos="840"/>
      </w:tabs>
      <w:spacing w:line="288" w:lineRule="auto"/>
      <w:ind w:left="840" w:hanging="480"/>
    </w:pPr>
    <w:rPr>
      <w:szCs w:val="20"/>
    </w:rPr>
  </w:style>
  <w:style w:type="paragraph" w:customStyle="1" w:styleId="6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Char Char Char Char Char Char Char Char Char"/>
    <w:basedOn w:val="1"/>
    <w:qFormat/>
    <w:uiPriority w:val="0"/>
    <w:rPr>
      <w:rFonts w:ascii="Tahoma" w:hAnsi="Tahoma"/>
      <w:sz w:val="24"/>
      <w:szCs w:val="20"/>
    </w:rPr>
  </w:style>
  <w:style w:type="paragraph" w:customStyle="1" w:styleId="68">
    <w:name w:val="Char11"/>
    <w:basedOn w:val="1"/>
    <w:qFormat/>
    <w:uiPriority w:val="0"/>
    <w:rPr>
      <w:rFonts w:ascii="Tahoma" w:hAnsi="Tahoma"/>
      <w:sz w:val="24"/>
      <w:szCs w:val="20"/>
    </w:rPr>
  </w:style>
  <w:style w:type="paragraph" w:customStyle="1" w:styleId="69">
    <w:name w:val="paragraph1"/>
    <w:basedOn w:val="1"/>
    <w:qFormat/>
    <w:uiPriority w:val="0"/>
    <w:pPr>
      <w:spacing w:before="62" w:beforeLines="20" w:after="93" w:afterLines="30" w:line="360" w:lineRule="auto"/>
      <w:ind w:firstLine="200" w:firstLineChars="200"/>
    </w:pPr>
    <w:rPr>
      <w:sz w:val="24"/>
      <w:szCs w:val="20"/>
    </w:rPr>
  </w:style>
  <w:style w:type="paragraph" w:customStyle="1" w:styleId="70">
    <w:name w:val="p16"/>
    <w:basedOn w:val="1"/>
    <w:qFormat/>
    <w:uiPriority w:val="0"/>
    <w:pPr>
      <w:widowControl/>
    </w:pPr>
    <w:rPr>
      <w:rFonts w:ascii="宋体" w:hAnsi="宋体" w:cs="宋体"/>
      <w:kern w:val="0"/>
      <w:szCs w:val="21"/>
    </w:rPr>
  </w:style>
  <w:style w:type="paragraph" w:customStyle="1" w:styleId="71">
    <w:name w:val="Char2"/>
    <w:basedOn w:val="1"/>
    <w:qFormat/>
    <w:uiPriority w:val="0"/>
    <w:rPr>
      <w:rFonts w:ascii="Tahoma" w:hAnsi="Tahoma"/>
      <w:sz w:val="24"/>
      <w:szCs w:val="20"/>
    </w:rPr>
  </w:style>
  <w:style w:type="paragraph" w:customStyle="1" w:styleId="72">
    <w:name w:val="符号列表"/>
    <w:basedOn w:val="1"/>
    <w:qFormat/>
    <w:uiPriority w:val="0"/>
    <w:pPr>
      <w:tabs>
        <w:tab w:val="left" w:pos="840"/>
      </w:tabs>
      <w:adjustRightInd w:val="0"/>
      <w:spacing w:line="440" w:lineRule="atLeast"/>
      <w:ind w:left="840" w:hanging="480"/>
    </w:pPr>
    <w:rPr>
      <w:kern w:val="0"/>
      <w:sz w:val="24"/>
      <w:szCs w:val="20"/>
    </w:rPr>
  </w:style>
  <w:style w:type="paragraph" w:customStyle="1" w:styleId="73">
    <w:name w:val="Char Char Char Char1"/>
    <w:basedOn w:val="1"/>
    <w:qFormat/>
    <w:uiPriority w:val="0"/>
    <w:rPr>
      <w:rFonts w:ascii="Tahoma" w:hAnsi="Tahoma"/>
      <w:sz w:val="24"/>
      <w:szCs w:val="20"/>
    </w:rPr>
  </w:style>
  <w:style w:type="paragraph" w:customStyle="1" w:styleId="74">
    <w:name w:val="Char Char Char Char Char Char Char Char Char Char1"/>
    <w:basedOn w:val="1"/>
    <w:qFormat/>
    <w:uiPriority w:val="0"/>
    <w:rPr>
      <w:rFonts w:ascii="Tahoma" w:hAnsi="Tahoma"/>
      <w:sz w:val="24"/>
      <w:szCs w:val="20"/>
    </w:rPr>
  </w:style>
  <w:style w:type="paragraph" w:customStyle="1" w:styleId="75">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76">
    <w:name w:val="p15"/>
    <w:basedOn w:val="1"/>
    <w:qFormat/>
    <w:uiPriority w:val="0"/>
    <w:pPr>
      <w:widowControl/>
      <w:pBdr>
        <w:bottom w:val="single" w:color="000000" w:sz="6" w:space="1"/>
      </w:pBdr>
      <w:jc w:val="center"/>
    </w:pPr>
    <w:rPr>
      <w:kern w:val="0"/>
      <w:sz w:val="18"/>
      <w:szCs w:val="18"/>
    </w:rPr>
  </w:style>
  <w:style w:type="paragraph" w:customStyle="1" w:styleId="77">
    <w:name w:val="默认段落字体 Para Char Char Char Char Char Char Char Char Char1 Char Char Char Char Char Char Char"/>
    <w:basedOn w:val="14"/>
    <w:qFormat/>
    <w:uiPriority w:val="0"/>
    <w:rPr>
      <w:rFonts w:ascii="Tahoma" w:hAnsi="Tahoma"/>
      <w:sz w:val="24"/>
    </w:rPr>
  </w:style>
  <w:style w:type="paragraph" w:customStyle="1" w:styleId="78">
    <w:name w:val="Char1 Char Char Char Char Char Char"/>
    <w:basedOn w:val="1"/>
    <w:qFormat/>
    <w:uiPriority w:val="0"/>
    <w:rPr>
      <w:rFonts w:ascii="Tahoma" w:hAnsi="Tahoma"/>
      <w:sz w:val="24"/>
      <w:szCs w:val="20"/>
    </w:rPr>
  </w:style>
  <w:style w:type="paragraph" w:customStyle="1" w:styleId="79">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80">
    <w:name w:val="页眉 字符"/>
    <w:link w:val="24"/>
    <w:qFormat/>
    <w:uiPriority w:val="99"/>
    <w:rPr>
      <w:kern w:val="2"/>
      <w:sz w:val="18"/>
      <w:szCs w:val="18"/>
    </w:rPr>
  </w:style>
  <w:style w:type="character" w:customStyle="1" w:styleId="81">
    <w:name w:val="页码1"/>
    <w:qFormat/>
    <w:uiPriority w:val="0"/>
  </w:style>
  <w:style w:type="character" w:customStyle="1" w:styleId="82">
    <w:name w:val="正文文本缩进 Char"/>
    <w:link w:val="83"/>
    <w:qFormat/>
    <w:uiPriority w:val="0"/>
    <w:rPr>
      <w:rFonts w:ascii="宋体" w:hAnsi="宋体"/>
      <w:sz w:val="24"/>
      <w:szCs w:val="21"/>
    </w:rPr>
  </w:style>
  <w:style w:type="paragraph" w:customStyle="1" w:styleId="83">
    <w:name w:val="正文文本缩进1"/>
    <w:basedOn w:val="1"/>
    <w:link w:val="82"/>
    <w:qFormat/>
    <w:uiPriority w:val="0"/>
    <w:pPr>
      <w:spacing w:line="360" w:lineRule="auto"/>
      <w:ind w:firstLine="480" w:firstLineChars="200"/>
    </w:pPr>
    <w:rPr>
      <w:rFonts w:ascii="宋体" w:hAnsi="宋体"/>
      <w:kern w:val="0"/>
      <w:sz w:val="24"/>
      <w:szCs w:val="21"/>
    </w:rPr>
  </w:style>
  <w:style w:type="character" w:customStyle="1" w:styleId="84">
    <w:name w:val="页眉 Char Char"/>
    <w:link w:val="85"/>
    <w:qFormat/>
    <w:uiPriority w:val="0"/>
    <w:rPr>
      <w:sz w:val="18"/>
      <w:szCs w:val="18"/>
    </w:rPr>
  </w:style>
  <w:style w:type="paragraph" w:customStyle="1" w:styleId="85">
    <w:name w:val="页眉1"/>
    <w:basedOn w:val="1"/>
    <w:link w:val="84"/>
    <w:qFormat/>
    <w:uiPriority w:val="0"/>
    <w:pPr>
      <w:pBdr>
        <w:bottom w:val="single" w:color="auto" w:sz="6" w:space="1"/>
      </w:pBdr>
      <w:tabs>
        <w:tab w:val="center" w:pos="4153"/>
        <w:tab w:val="right" w:pos="8306"/>
      </w:tabs>
      <w:snapToGrid w:val="0"/>
      <w:jc w:val="center"/>
    </w:pPr>
    <w:rPr>
      <w:kern w:val="0"/>
      <w:sz w:val="18"/>
      <w:szCs w:val="18"/>
    </w:rPr>
  </w:style>
  <w:style w:type="character" w:customStyle="1" w:styleId="86">
    <w:name w:val="页脚 Char Char"/>
    <w:link w:val="87"/>
    <w:qFormat/>
    <w:uiPriority w:val="0"/>
    <w:rPr>
      <w:sz w:val="18"/>
      <w:szCs w:val="18"/>
    </w:rPr>
  </w:style>
  <w:style w:type="paragraph" w:customStyle="1" w:styleId="87">
    <w:name w:val="页脚1"/>
    <w:basedOn w:val="1"/>
    <w:link w:val="86"/>
    <w:qFormat/>
    <w:uiPriority w:val="0"/>
    <w:pPr>
      <w:tabs>
        <w:tab w:val="center" w:pos="4153"/>
        <w:tab w:val="right" w:pos="8306"/>
      </w:tabs>
      <w:snapToGrid w:val="0"/>
      <w:jc w:val="left"/>
    </w:pPr>
    <w:rPr>
      <w:kern w:val="0"/>
      <w:sz w:val="18"/>
      <w:szCs w:val="18"/>
    </w:rPr>
  </w:style>
  <w:style w:type="paragraph" w:customStyle="1" w:styleId="88">
    <w:name w:val="列出段落1"/>
    <w:basedOn w:val="1"/>
    <w:qFormat/>
    <w:uiPriority w:val="0"/>
    <w:pPr>
      <w:ind w:firstLine="420" w:firstLineChars="200"/>
    </w:pPr>
  </w:style>
  <w:style w:type="paragraph" w:customStyle="1" w:styleId="89">
    <w:name w:val="列出段落2"/>
    <w:basedOn w:val="1"/>
    <w:qFormat/>
    <w:uiPriority w:val="0"/>
    <w:pPr>
      <w:ind w:firstLine="420" w:firstLineChars="200"/>
    </w:pPr>
    <w:rPr>
      <w:rFonts w:ascii="Calibri" w:hAnsi="Calibri"/>
      <w:szCs w:val="22"/>
    </w:rPr>
  </w:style>
  <w:style w:type="paragraph" w:customStyle="1" w:styleId="90">
    <w:name w:val="op_mapdots_left"/>
    <w:basedOn w:val="1"/>
    <w:qFormat/>
    <w:uiPriority w:val="0"/>
    <w:pPr>
      <w:jc w:val="left"/>
    </w:pPr>
    <w:rPr>
      <w:kern w:val="0"/>
    </w:rPr>
  </w:style>
  <w:style w:type="paragraph" w:customStyle="1" w:styleId="91">
    <w:name w:val="text"/>
    <w:basedOn w:val="1"/>
    <w:semiHidden/>
    <w:qFormat/>
    <w:uiPriority w:val="99"/>
    <w:pPr>
      <w:widowControl/>
      <w:spacing w:before="75" w:after="75"/>
      <w:jc w:val="left"/>
    </w:pPr>
    <w:rPr>
      <w:rFonts w:ascii="Arial" w:hAnsi="Arial" w:cs="Arial"/>
      <w:kern w:val="0"/>
      <w:sz w:val="18"/>
      <w:szCs w:val="18"/>
    </w:rPr>
  </w:style>
  <w:style w:type="character" w:customStyle="1" w:styleId="92">
    <w:name w:val="text1"/>
    <w:qFormat/>
    <w:uiPriority w:val="0"/>
    <w:rPr>
      <w:rFonts w:hint="default" w:ascii="Arial" w:hAnsi="Arial" w:cs="Arial"/>
      <w:sz w:val="18"/>
      <w:szCs w:val="18"/>
      <w:u w:val="none"/>
    </w:rPr>
  </w:style>
  <w:style w:type="paragraph" w:customStyle="1" w:styleId="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94">
    <w:name w:val="style81"/>
    <w:qFormat/>
    <w:uiPriority w:val="0"/>
    <w:rPr>
      <w:color w:val="003366"/>
    </w:rPr>
  </w:style>
  <w:style w:type="paragraph" w:customStyle="1" w:styleId="95">
    <w:name w:val="仿宋四号"/>
    <w:basedOn w:val="1"/>
    <w:qFormat/>
    <w:uiPriority w:val="0"/>
    <w:pPr>
      <w:ind w:firstLine="200" w:firstLineChars="200"/>
    </w:pPr>
    <w:rPr>
      <w:rFonts w:ascii="仿宋" w:hAnsi="仿宋" w:eastAsia="仿宋"/>
      <w:sz w:val="28"/>
      <w:szCs w:val="28"/>
    </w:rPr>
  </w:style>
  <w:style w:type="character" w:customStyle="1" w:styleId="96">
    <w:name w:val="正文文本 2 字符"/>
    <w:basedOn w:val="33"/>
    <w:link w:val="28"/>
    <w:qFormat/>
    <w:uiPriority w:val="0"/>
    <w:rPr>
      <w:kern w:val="2"/>
      <w:sz w:val="21"/>
      <w:szCs w:val="24"/>
    </w:rPr>
  </w:style>
  <w:style w:type="character" w:customStyle="1" w:styleId="97">
    <w:name w:val="纯文本 Char"/>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46F34-113A-49C1-8AB0-E0CD5E837D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8786</Words>
  <Characters>9325</Characters>
  <Lines>162</Lines>
  <Paragraphs>45</Paragraphs>
  <TotalTime>44</TotalTime>
  <ScaleCrop>false</ScaleCrop>
  <LinksUpToDate>false</LinksUpToDate>
  <CharactersWithSpaces>9597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2023-10-16T02:53:00Z</dcterms:created>
  <dc:creator>User</dc:creator>
  <cp:lastModifiedBy>K</cp:lastModifiedBy>
  <cp:lastPrinted>2021-11-02T10:56:00Z</cp:lastPrinted>
  <dcterms:modified xsi:type="dcterms:W3CDTF">2025-06-22T17:35:46Z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73B6DC02F35548AA912292BDA31BF9AE_13</vt:lpwstr>
  </property>
  <property fmtid="{D5CDD505-2E9C-101B-9397-08002B2CF9AE}" pid="4" name="KSOTemplateDocerSaveRecord">
    <vt:lpwstr>eyJoZGlkIjoiNzg3MjVkY2IwN2YxN2I3MGE4MDkyYjIxNTA4MzE0YWEiLCJ1c2VySWQiOiIyNDcyNzA2MDkifQ==</vt:lpwstr>
  </property>
</Properties>
</file>