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7F90">
      <w:pPr>
        <w:pStyle w:val="13"/>
        <w:pageBreakBefore w:val="0"/>
        <w:shd w:val="clear"/>
        <w:kinsoku/>
        <w:overflowPunct/>
        <w:topLinePunct w:val="0"/>
        <w:autoSpaceDE/>
        <w:autoSpaceDN/>
        <w:bidi w:val="0"/>
        <w:spacing w:line="360" w:lineRule="auto"/>
        <w:ind w:firstLine="810" w:firstLineChars="336"/>
        <w:jc w:val="left"/>
        <w:rPr>
          <w:rFonts w:hint="eastAsia" w:ascii="仿宋" w:hAnsi="仿宋" w:eastAsia="仿宋" w:cs="仿宋"/>
          <w:b/>
          <w:color w:val="auto"/>
          <w:sz w:val="24"/>
          <w:szCs w:val="24"/>
          <w:highlight w:val="none"/>
        </w:rPr>
      </w:pPr>
    </w:p>
    <w:p w14:paraId="1930E8E6">
      <w:pPr>
        <w:pageBreakBefore w:val="0"/>
        <w:shd w:val="clear"/>
        <w:kinsoku/>
        <w:overflowPunct/>
        <w:topLinePunct w:val="0"/>
        <w:autoSpaceDE/>
        <w:autoSpaceDN/>
        <w:bidi w:val="0"/>
        <w:spacing w:line="360" w:lineRule="auto"/>
        <w:jc w:val="center"/>
        <w:rPr>
          <w:rFonts w:hint="eastAsia" w:ascii="仿宋" w:hAnsi="仿宋" w:eastAsia="仿宋" w:cs="仿宋"/>
          <w:b/>
          <w:bCs/>
          <w:color w:val="auto"/>
          <w:sz w:val="44"/>
          <w:szCs w:val="44"/>
          <w:highlight w:val="none"/>
          <w:lang w:eastAsia="zh-CN"/>
        </w:rPr>
      </w:pPr>
    </w:p>
    <w:p w14:paraId="6EABC388">
      <w:pPr>
        <w:pStyle w:val="13"/>
        <w:keepNext w:val="0"/>
        <w:keepLines w:val="0"/>
        <w:pageBreakBefore w:val="0"/>
        <w:widowControl w:val="0"/>
        <w:shd w:val="clear"/>
        <w:kinsoku/>
        <w:wordWrap/>
        <w:overflowPunct/>
        <w:topLinePunct w:val="0"/>
        <w:autoSpaceDE/>
        <w:autoSpaceDN/>
        <w:bidi w:val="0"/>
        <w:adjustRightInd/>
        <w:snapToGrid w:val="0"/>
        <w:spacing w:after="0" w:line="480" w:lineRule="auto"/>
        <w:jc w:val="center"/>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克拉玛依区各委办局视频监控运维项目</w:t>
      </w:r>
    </w:p>
    <w:p w14:paraId="463B2D5E">
      <w:pPr>
        <w:pStyle w:val="13"/>
        <w:keepNext w:val="0"/>
        <w:keepLines w:val="0"/>
        <w:pageBreakBefore w:val="0"/>
        <w:widowControl w:val="0"/>
        <w:shd w:val="clear"/>
        <w:kinsoku/>
        <w:wordWrap/>
        <w:overflowPunct/>
        <w:topLinePunct w:val="0"/>
        <w:autoSpaceDE/>
        <w:autoSpaceDN/>
        <w:bidi w:val="0"/>
        <w:adjustRightInd/>
        <w:snapToGrid w:val="0"/>
        <w:spacing w:after="0" w:line="480" w:lineRule="auto"/>
        <w:jc w:val="center"/>
        <w:textAlignment w:val="auto"/>
        <w:rPr>
          <w:rFonts w:hint="eastAsia" w:ascii="仿宋" w:hAnsi="仿宋" w:eastAsia="仿宋" w:cs="仿宋"/>
          <w:b/>
          <w:bCs/>
          <w:color w:val="auto"/>
          <w:w w:val="110"/>
          <w:sz w:val="36"/>
          <w:szCs w:val="36"/>
          <w:highlight w:val="none"/>
        </w:rPr>
      </w:pPr>
      <w:r>
        <w:rPr>
          <w:rFonts w:hint="eastAsia" w:ascii="仿宋" w:hAnsi="仿宋" w:eastAsia="仿宋" w:cs="仿宋"/>
          <w:b/>
          <w:bCs/>
          <w:color w:val="auto"/>
          <w:sz w:val="36"/>
          <w:szCs w:val="36"/>
          <w:highlight w:val="none"/>
          <w:lang w:eastAsia="zh-CN"/>
        </w:rPr>
        <w:t>竞争性谈判文件</w:t>
      </w:r>
    </w:p>
    <w:p w14:paraId="7E650BDF">
      <w:pPr>
        <w:pageBreakBefore w:val="0"/>
        <w:shd w:val="clear"/>
        <w:kinsoku/>
        <w:overflowPunct/>
        <w:topLinePunct w:val="0"/>
        <w:autoSpaceDE/>
        <w:autoSpaceDN/>
        <w:bidi w:val="0"/>
        <w:spacing w:line="360" w:lineRule="auto"/>
        <w:jc w:val="center"/>
        <w:rPr>
          <w:rFonts w:hint="eastAsia" w:ascii="仿宋" w:hAnsi="仿宋" w:eastAsia="仿宋" w:cs="仿宋"/>
          <w:b/>
          <w:color w:val="auto"/>
          <w:sz w:val="36"/>
          <w:szCs w:val="36"/>
          <w:highlight w:val="none"/>
        </w:rPr>
      </w:pPr>
    </w:p>
    <w:p w14:paraId="4D14A83A">
      <w:pPr>
        <w:pStyle w:val="13"/>
        <w:pageBreakBefore w:val="0"/>
        <w:shd w:val="clear"/>
        <w:kinsoku/>
        <w:overflowPunct/>
        <w:topLinePunct w:val="0"/>
        <w:autoSpaceDE/>
        <w:autoSpaceDN/>
        <w:bidi w:val="0"/>
        <w:spacing w:line="360" w:lineRule="auto"/>
        <w:ind w:firstLine="361" w:firstLineChars="100"/>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eastAsia="zh-CN"/>
        </w:rPr>
        <w:t>HYGS-ZC-2025-69</w:t>
      </w:r>
    </w:p>
    <w:p w14:paraId="0A544F50">
      <w:pPr>
        <w:pageBreakBefore w:val="0"/>
        <w:shd w:val="clear"/>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77DC92F0">
      <w:pPr>
        <w:pageBreakBefore w:val="0"/>
        <w:shd w:val="clear"/>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60CFF1DE">
      <w:pPr>
        <w:pStyle w:val="13"/>
        <w:pageBreakBefore w:val="0"/>
        <w:shd w:val="clear"/>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544A106B">
      <w:pPr>
        <w:pStyle w:val="20"/>
        <w:shd w:val="clear"/>
        <w:rPr>
          <w:rFonts w:hint="eastAsia" w:ascii="仿宋" w:hAnsi="仿宋" w:eastAsia="仿宋" w:cs="仿宋"/>
          <w:b/>
          <w:color w:val="auto"/>
          <w:sz w:val="30"/>
          <w:szCs w:val="30"/>
          <w:highlight w:val="none"/>
        </w:rPr>
      </w:pPr>
    </w:p>
    <w:p w14:paraId="36072C67">
      <w:pPr>
        <w:pStyle w:val="20"/>
        <w:shd w:val="clear"/>
        <w:rPr>
          <w:rFonts w:hint="eastAsia" w:ascii="仿宋" w:hAnsi="仿宋" w:eastAsia="仿宋" w:cs="仿宋"/>
          <w:b/>
          <w:color w:val="auto"/>
          <w:sz w:val="30"/>
          <w:szCs w:val="30"/>
          <w:highlight w:val="none"/>
        </w:rPr>
      </w:pPr>
    </w:p>
    <w:p w14:paraId="0296EC1C">
      <w:pPr>
        <w:pageBreakBefore w:val="0"/>
        <w:shd w:val="clear"/>
        <w:kinsoku/>
        <w:overflowPunct/>
        <w:topLinePunct w:val="0"/>
        <w:autoSpaceDE/>
        <w:autoSpaceDN/>
        <w:bidi w:val="0"/>
        <w:spacing w:line="360" w:lineRule="auto"/>
        <w:jc w:val="both"/>
        <w:rPr>
          <w:rFonts w:hint="eastAsia" w:ascii="仿宋" w:hAnsi="仿宋" w:eastAsia="仿宋" w:cs="仿宋"/>
          <w:bCs/>
          <w:color w:val="auto"/>
          <w:sz w:val="30"/>
          <w:szCs w:val="30"/>
          <w:highlight w:val="none"/>
        </w:rPr>
      </w:pPr>
    </w:p>
    <w:p w14:paraId="63362EFD">
      <w:pPr>
        <w:pStyle w:val="34"/>
        <w:pageBreakBefore w:val="0"/>
        <w:shd w:val="clear"/>
        <w:kinsoku/>
        <w:overflowPunct/>
        <w:topLinePunct w:val="0"/>
        <w:autoSpaceDE/>
        <w:autoSpaceDN/>
        <w:bidi w:val="0"/>
        <w:spacing w:line="360" w:lineRule="auto"/>
        <w:rPr>
          <w:rFonts w:hint="eastAsia" w:ascii="仿宋" w:hAnsi="仿宋" w:eastAsia="仿宋" w:cs="仿宋"/>
          <w:bCs w:val="0"/>
          <w:color w:val="auto"/>
          <w:sz w:val="30"/>
          <w:szCs w:val="30"/>
          <w:highlight w:val="none"/>
        </w:rPr>
      </w:pPr>
    </w:p>
    <w:p w14:paraId="1BD96BA9">
      <w:pPr>
        <w:pageBreakBefore w:val="0"/>
        <w:shd w:val="clear"/>
        <w:kinsoku/>
        <w:overflowPunct/>
        <w:topLinePunct w:val="0"/>
        <w:autoSpaceDE/>
        <w:autoSpaceDN/>
        <w:bidi w:val="0"/>
        <w:spacing w:line="360" w:lineRule="auto"/>
        <w:ind w:firstLine="602" w:firstLineChars="200"/>
        <w:jc w:val="left"/>
        <w:rPr>
          <w:rFonts w:hint="eastAsia" w:ascii="仿宋" w:hAnsi="仿宋" w:eastAsia="仿宋" w:cs="仿宋"/>
          <w:b/>
          <w:bCs w:val="0"/>
          <w:color w:val="auto"/>
          <w:sz w:val="30"/>
          <w:szCs w:val="30"/>
          <w:highlight w:val="none"/>
          <w:lang w:eastAsia="zh-CN"/>
        </w:rPr>
      </w:pPr>
      <w:r>
        <w:rPr>
          <w:rFonts w:hint="eastAsia" w:ascii="仿宋" w:hAnsi="仿宋" w:eastAsia="仿宋" w:cs="仿宋"/>
          <w:b/>
          <w:bCs w:val="0"/>
          <w:color w:val="auto"/>
          <w:sz w:val="30"/>
          <w:szCs w:val="30"/>
          <w:highlight w:val="none"/>
          <w:lang w:eastAsia="zh-CN"/>
        </w:rPr>
        <w:t>采</w:t>
      </w:r>
      <w:r>
        <w:rPr>
          <w:rFonts w:hint="eastAsia" w:ascii="仿宋" w:hAnsi="仿宋" w:eastAsia="仿宋" w:cs="仿宋"/>
          <w:b/>
          <w:bCs w:val="0"/>
          <w:color w:val="auto"/>
          <w:sz w:val="30"/>
          <w:szCs w:val="30"/>
          <w:highlight w:val="none"/>
          <w:lang w:val="en-US" w:eastAsia="zh-CN"/>
        </w:rPr>
        <w:t xml:space="preserve">   </w:t>
      </w:r>
      <w:r>
        <w:rPr>
          <w:rFonts w:hint="eastAsia" w:ascii="仿宋" w:hAnsi="仿宋" w:eastAsia="仿宋" w:cs="仿宋"/>
          <w:b/>
          <w:bCs w:val="0"/>
          <w:color w:val="auto"/>
          <w:sz w:val="30"/>
          <w:szCs w:val="30"/>
          <w:highlight w:val="none"/>
          <w:lang w:eastAsia="zh-CN"/>
        </w:rPr>
        <w:t>购</w:t>
      </w:r>
      <w:r>
        <w:rPr>
          <w:rFonts w:hint="eastAsia" w:ascii="仿宋" w:hAnsi="仿宋" w:eastAsia="仿宋" w:cs="仿宋"/>
          <w:b/>
          <w:bCs w:val="0"/>
          <w:color w:val="auto"/>
          <w:sz w:val="30"/>
          <w:szCs w:val="30"/>
          <w:highlight w:val="none"/>
          <w:lang w:val="en-US" w:eastAsia="zh-CN"/>
        </w:rPr>
        <w:t xml:space="preserve">   </w:t>
      </w:r>
      <w:r>
        <w:rPr>
          <w:rFonts w:hint="eastAsia" w:ascii="仿宋" w:hAnsi="仿宋" w:eastAsia="仿宋" w:cs="仿宋"/>
          <w:b/>
          <w:bCs w:val="0"/>
          <w:color w:val="auto"/>
          <w:sz w:val="30"/>
          <w:szCs w:val="30"/>
          <w:highlight w:val="none"/>
          <w:lang w:eastAsia="zh-CN"/>
        </w:rPr>
        <w:t>人：克拉玛依市克拉玛依区工业和信息化局</w:t>
      </w:r>
    </w:p>
    <w:p w14:paraId="27D55527">
      <w:pPr>
        <w:pageBreakBefore w:val="0"/>
        <w:shd w:val="clear"/>
        <w:kinsoku/>
        <w:overflowPunct/>
        <w:topLinePunct w:val="0"/>
        <w:autoSpaceDE/>
        <w:autoSpaceDN/>
        <w:bidi w:val="0"/>
        <w:spacing w:before="156" w:beforeLines="50" w:after="156" w:afterLines="50" w:line="360" w:lineRule="auto"/>
        <w:jc w:val="left"/>
        <w:textAlignment w:val="baseline"/>
        <w:rPr>
          <w:rFonts w:hint="eastAsia" w:ascii="仿宋" w:hAnsi="仿宋" w:eastAsia="仿宋" w:cs="仿宋"/>
          <w:b/>
          <w:bCs w:val="0"/>
          <w:color w:val="auto"/>
          <w:sz w:val="30"/>
          <w:szCs w:val="30"/>
          <w:highlight w:val="none"/>
          <w:lang w:eastAsia="zh-CN"/>
        </w:rPr>
      </w:pPr>
    </w:p>
    <w:p w14:paraId="14BC5FBC">
      <w:pPr>
        <w:pageBreakBefore w:val="0"/>
        <w:shd w:val="clear"/>
        <w:kinsoku/>
        <w:overflowPunct/>
        <w:topLinePunct w:val="0"/>
        <w:autoSpaceDE/>
        <w:autoSpaceDN/>
        <w:bidi w:val="0"/>
        <w:spacing w:before="156" w:beforeLines="50" w:after="156" w:afterLines="50" w:line="360" w:lineRule="auto"/>
        <w:ind w:firstLine="602" w:firstLineChars="200"/>
        <w:jc w:val="left"/>
        <w:textAlignment w:val="baseline"/>
        <w:rPr>
          <w:rFonts w:hint="eastAsia" w:ascii="仿宋" w:hAnsi="仿宋" w:eastAsia="仿宋" w:cs="仿宋"/>
          <w:b/>
          <w:bCs w:val="0"/>
          <w:i w:val="0"/>
          <w:color w:val="auto"/>
          <w:sz w:val="30"/>
          <w:szCs w:val="30"/>
          <w:highlight w:val="none"/>
        </w:rPr>
      </w:pPr>
      <w:r>
        <w:rPr>
          <w:rFonts w:hint="eastAsia" w:ascii="仿宋" w:hAnsi="仿宋" w:eastAsia="仿宋" w:cs="仿宋"/>
          <w:b/>
          <w:bCs w:val="0"/>
          <w:color w:val="auto"/>
          <w:sz w:val="30"/>
          <w:szCs w:val="30"/>
          <w:highlight w:val="none"/>
          <w:lang w:eastAsia="zh-CN"/>
        </w:rPr>
        <w:t>采购代理机构：</w:t>
      </w:r>
      <w:r>
        <w:rPr>
          <w:rFonts w:hint="eastAsia" w:ascii="仿宋" w:hAnsi="仿宋" w:eastAsia="仿宋" w:cs="仿宋"/>
          <w:b/>
          <w:bCs w:val="0"/>
          <w:color w:val="auto"/>
          <w:sz w:val="30"/>
          <w:szCs w:val="30"/>
          <w:highlight w:val="none"/>
        </w:rPr>
        <w:t>新疆宏宇建设工程项目管理有限责任公司</w:t>
      </w:r>
    </w:p>
    <w:p w14:paraId="75AE91A7">
      <w:pPr>
        <w:pStyle w:val="4"/>
        <w:pageBreakBefore w:val="0"/>
        <w:numPr>
          <w:ilvl w:val="0"/>
          <w:numId w:val="0"/>
        </w:numPr>
        <w:shd w:val="clear"/>
        <w:tabs>
          <w:tab w:val="left" w:pos="0"/>
          <w:tab w:val="clear" w:pos="576"/>
        </w:tabs>
        <w:kinsoku/>
        <w:overflowPunct/>
        <w:topLinePunct w:val="0"/>
        <w:autoSpaceDE/>
        <w:autoSpaceDN/>
        <w:bidi w:val="0"/>
        <w:spacing w:line="360" w:lineRule="auto"/>
        <w:jc w:val="center"/>
        <w:rPr>
          <w:rFonts w:hint="eastAsia" w:ascii="仿宋" w:hAnsi="仿宋" w:eastAsia="仿宋" w:cs="仿宋"/>
          <w:b/>
          <w:bCs w:val="0"/>
          <w:i w:val="0"/>
          <w:color w:val="auto"/>
          <w:sz w:val="30"/>
          <w:szCs w:val="30"/>
          <w:highlight w:val="none"/>
        </w:rPr>
      </w:pPr>
      <w:r>
        <w:rPr>
          <w:rFonts w:hint="eastAsia" w:ascii="仿宋" w:hAnsi="仿宋" w:eastAsia="仿宋" w:cs="仿宋"/>
          <w:b/>
          <w:bCs w:val="0"/>
          <w:i w:val="0"/>
          <w:color w:val="auto"/>
          <w:sz w:val="30"/>
          <w:szCs w:val="30"/>
          <w:highlight w:val="none"/>
        </w:rPr>
        <w:t>二</w:t>
      </w:r>
      <w:r>
        <w:rPr>
          <w:rFonts w:hint="eastAsia" w:ascii="仿宋" w:hAnsi="仿宋" w:eastAsia="仿宋" w:cs="仿宋"/>
          <w:b/>
          <w:bCs w:val="0"/>
          <w:i w:val="0"/>
          <w:color w:val="auto"/>
          <w:sz w:val="30"/>
          <w:szCs w:val="30"/>
          <w:highlight w:val="none"/>
          <w:lang w:eastAsia="zh-CN"/>
        </w:rPr>
        <w:t>零二</w:t>
      </w:r>
      <w:r>
        <w:rPr>
          <w:rFonts w:hint="eastAsia" w:ascii="仿宋" w:hAnsi="仿宋" w:eastAsia="仿宋" w:cs="仿宋"/>
          <w:b/>
          <w:bCs w:val="0"/>
          <w:i w:val="0"/>
          <w:color w:val="auto"/>
          <w:sz w:val="30"/>
          <w:szCs w:val="30"/>
          <w:highlight w:val="none"/>
          <w:lang w:val="en-US" w:eastAsia="zh-CN"/>
        </w:rPr>
        <w:t>五</w:t>
      </w:r>
      <w:r>
        <w:rPr>
          <w:rFonts w:hint="eastAsia" w:ascii="仿宋" w:hAnsi="仿宋" w:eastAsia="仿宋" w:cs="仿宋"/>
          <w:b/>
          <w:bCs w:val="0"/>
          <w:i w:val="0"/>
          <w:color w:val="auto"/>
          <w:sz w:val="30"/>
          <w:szCs w:val="30"/>
          <w:highlight w:val="none"/>
        </w:rPr>
        <w:t>年</w:t>
      </w:r>
    </w:p>
    <w:p w14:paraId="0A2CA3F9">
      <w:pPr>
        <w:pageBreakBefore w:val="0"/>
        <w:shd w:val="clear"/>
        <w:kinsoku/>
        <w:overflowPunct/>
        <w:topLinePunct w:val="0"/>
        <w:autoSpaceDE/>
        <w:autoSpaceDN/>
        <w:bidi w:val="0"/>
        <w:spacing w:line="360" w:lineRule="auto"/>
        <w:jc w:val="center"/>
        <w:rPr>
          <w:rFonts w:hint="eastAsia" w:ascii="仿宋" w:hAnsi="仿宋" w:eastAsia="仿宋" w:cs="仿宋"/>
          <w:b w:val="0"/>
          <w:bCs/>
          <w:color w:val="auto"/>
          <w:sz w:val="24"/>
          <w:szCs w:val="24"/>
          <w:highlight w:val="none"/>
        </w:rPr>
      </w:pPr>
    </w:p>
    <w:p w14:paraId="7DA12051">
      <w:pPr>
        <w:pageBreakBefore w:val="0"/>
        <w:shd w:val="clear"/>
        <w:kinsoku/>
        <w:overflowPunct/>
        <w:topLinePunct w:val="0"/>
        <w:autoSpaceDE/>
        <w:autoSpaceDN/>
        <w:bidi w:val="0"/>
        <w:spacing w:line="360" w:lineRule="auto"/>
        <w:jc w:val="center"/>
        <w:rPr>
          <w:rFonts w:hint="eastAsia" w:ascii="仿宋" w:hAnsi="仿宋" w:eastAsia="仿宋" w:cs="仿宋"/>
          <w:b/>
          <w:bCs/>
          <w:i w:val="0"/>
          <w:iCs w:val="0"/>
          <w:color w:val="auto"/>
          <w:sz w:val="24"/>
          <w:szCs w:val="24"/>
          <w:highlight w:val="none"/>
        </w:rPr>
        <w:sectPr>
          <w:headerReference r:id="rId3" w:type="default"/>
          <w:footerReference r:id="rId4" w:type="default"/>
          <w:pgSz w:w="11906" w:h="16838"/>
          <w:pgMar w:top="1440" w:right="952" w:bottom="1440" w:left="1123" w:header="851" w:footer="992" w:gutter="0"/>
          <w:pgNumType w:fmt="decimal" w:start="1"/>
          <w:cols w:space="720" w:num="1"/>
          <w:docGrid w:type="lines" w:linePitch="312" w:charSpace="0"/>
        </w:sectPr>
      </w:pPr>
    </w:p>
    <w:p w14:paraId="081D3782">
      <w:pPr>
        <w:pageBreakBefore w:val="0"/>
        <w:shd w:val="clear"/>
        <w:kinsoku/>
        <w:overflowPunct/>
        <w:topLinePunct w:val="0"/>
        <w:autoSpaceDE/>
        <w:autoSpaceDN/>
        <w:bidi w:val="0"/>
        <w:spacing w:line="360" w:lineRule="auto"/>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目  录</w:t>
      </w:r>
    </w:p>
    <w:p w14:paraId="5A85DFD5">
      <w:pPr>
        <w:pageBreakBefore w:val="0"/>
        <w:shd w:val="clear"/>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226C7917">
      <w:pPr>
        <w:pageBreakBefore w:val="0"/>
        <w:numPr>
          <w:ilvl w:val="0"/>
          <w:numId w:val="4"/>
        </w:numPr>
        <w:shd w:val="clea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竞争性谈判</w:t>
      </w:r>
      <w:r>
        <w:rPr>
          <w:rFonts w:hint="eastAsia" w:ascii="仿宋" w:hAnsi="仿宋" w:eastAsia="仿宋" w:cs="仿宋"/>
          <w:i w:val="0"/>
          <w:iCs w:val="0"/>
          <w:color w:val="auto"/>
          <w:sz w:val="30"/>
          <w:szCs w:val="30"/>
          <w:highlight w:val="none"/>
        </w:rPr>
        <w:t>公告························</w:t>
      </w:r>
      <w:r>
        <w:rPr>
          <w:rFonts w:hint="eastAsia" w:ascii="仿宋" w:hAnsi="仿宋" w:eastAsia="仿宋" w:cs="仿宋"/>
          <w:i w:val="0"/>
          <w:iCs w:val="0"/>
          <w:color w:val="auto"/>
          <w:sz w:val="30"/>
          <w:szCs w:val="30"/>
          <w:highlight w:val="none"/>
          <w:lang w:val="en-US" w:eastAsia="zh-CN"/>
        </w:rPr>
        <w:t>3</w:t>
      </w:r>
    </w:p>
    <w:p w14:paraId="27BFC6D2">
      <w:pPr>
        <w:pageBreakBefore w:val="0"/>
        <w:numPr>
          <w:ilvl w:val="0"/>
          <w:numId w:val="4"/>
        </w:numPr>
        <w:shd w:val="clea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竞争性谈判</w:t>
      </w:r>
      <w:r>
        <w:rPr>
          <w:rFonts w:hint="eastAsia" w:ascii="仿宋" w:hAnsi="仿宋" w:eastAsia="仿宋" w:cs="仿宋"/>
          <w:i w:val="0"/>
          <w:iCs w:val="0"/>
          <w:color w:val="auto"/>
          <w:sz w:val="30"/>
          <w:szCs w:val="30"/>
          <w:highlight w:val="none"/>
        </w:rPr>
        <w:t>须知························</w:t>
      </w:r>
      <w:r>
        <w:rPr>
          <w:rFonts w:hint="eastAsia" w:ascii="仿宋" w:hAnsi="仿宋" w:eastAsia="仿宋" w:cs="仿宋"/>
          <w:i w:val="0"/>
          <w:iCs w:val="0"/>
          <w:color w:val="auto"/>
          <w:sz w:val="30"/>
          <w:szCs w:val="30"/>
          <w:highlight w:val="none"/>
          <w:lang w:val="en-US" w:eastAsia="zh-CN"/>
        </w:rPr>
        <w:t>6</w:t>
      </w:r>
    </w:p>
    <w:p w14:paraId="1A794F28">
      <w:pPr>
        <w:pageBreakBefore w:val="0"/>
        <w:numPr>
          <w:ilvl w:val="0"/>
          <w:numId w:val="4"/>
        </w:numPr>
        <w:shd w:val="clea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采购需求</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22</w:t>
      </w:r>
    </w:p>
    <w:p w14:paraId="14174228">
      <w:pPr>
        <w:pageBreakBefore w:val="0"/>
        <w:numPr>
          <w:ilvl w:val="0"/>
          <w:numId w:val="4"/>
        </w:numPr>
        <w:shd w:val="clea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合同主要条款</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27</w:t>
      </w:r>
    </w:p>
    <w:p w14:paraId="3B3FDD85">
      <w:pPr>
        <w:pageBreakBefore w:val="0"/>
        <w:shd w:val="clear"/>
        <w:kinsoku/>
        <w:overflowPunct/>
        <w:topLinePunct w:val="0"/>
        <w:autoSpaceDE/>
        <w:autoSpaceDN/>
        <w:bidi w:val="0"/>
        <w:spacing w:line="360" w:lineRule="auto"/>
        <w:rPr>
          <w:rFonts w:hint="default"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rPr>
        <w:t xml:space="preserve">第五章 </w:t>
      </w:r>
      <w:r>
        <w:rPr>
          <w:rFonts w:hint="eastAsia" w:ascii="仿宋" w:hAnsi="仿宋" w:eastAsia="仿宋" w:cs="仿宋"/>
          <w:i w:val="0"/>
          <w:iCs w:val="0"/>
          <w:color w:val="auto"/>
          <w:sz w:val="30"/>
          <w:szCs w:val="30"/>
          <w:highlight w:val="none"/>
          <w:lang w:eastAsia="zh-CN"/>
        </w:rPr>
        <w:t>响应文件格式</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45</w:t>
      </w:r>
    </w:p>
    <w:p w14:paraId="54AAA345">
      <w:pPr>
        <w:pageBreakBefore w:val="0"/>
        <w:shd w:val="clear"/>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3C79EBE2">
      <w:pPr>
        <w:pageBreakBefore w:val="0"/>
        <w:shd w:val="clear"/>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536EDF4B">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61F65AC7">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52BEFD5E">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4C7ACB1E">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3EB0ED66">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66114E35">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117C9222">
      <w:pPr>
        <w:pageBreakBefore w:val="0"/>
        <w:shd w:val="clear"/>
        <w:kinsoku/>
        <w:overflowPunct/>
        <w:topLinePunct w:val="0"/>
        <w:autoSpaceDE/>
        <w:autoSpaceDN/>
        <w:bidi w:val="0"/>
        <w:spacing w:line="360" w:lineRule="auto"/>
        <w:jc w:val="center"/>
        <w:rPr>
          <w:rFonts w:hint="eastAsia" w:ascii="仿宋" w:hAnsi="仿宋" w:eastAsia="仿宋" w:cs="仿宋"/>
          <w:b/>
          <w:color w:val="auto"/>
          <w:sz w:val="30"/>
          <w:szCs w:val="30"/>
          <w:highlight w:val="none"/>
        </w:rPr>
        <w:sectPr>
          <w:pgSz w:w="11906" w:h="16838"/>
          <w:pgMar w:top="1440" w:right="1080" w:bottom="1440" w:left="1080" w:header="851" w:footer="992" w:gutter="0"/>
          <w:pgNumType w:fmt="decimal"/>
          <w:cols w:space="720" w:num="1"/>
          <w:docGrid w:type="linesAndChars" w:linePitch="290" w:charSpace="-4505"/>
        </w:sectPr>
      </w:pPr>
    </w:p>
    <w:p w14:paraId="6E6DF37F">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28"/>
          <w:szCs w:val="28"/>
          <w:highlight w:val="none"/>
          <w:lang w:eastAsia="zh-CN"/>
        </w:rPr>
        <w:t>第一章 竞争性谈判公告</w:t>
      </w:r>
    </w:p>
    <w:p w14:paraId="6209DA9C">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克拉玛依区各委办局视频监控运维项目</w:t>
      </w:r>
    </w:p>
    <w:p w14:paraId="148C5471">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竞争性</w:t>
      </w:r>
      <w:r>
        <w:rPr>
          <w:rFonts w:hint="eastAsia" w:ascii="仿宋" w:hAnsi="仿宋" w:eastAsia="仿宋" w:cs="仿宋"/>
          <w:b/>
          <w:color w:val="auto"/>
          <w:sz w:val="28"/>
          <w:szCs w:val="28"/>
          <w:highlight w:val="none"/>
          <w:lang w:val="en-US" w:eastAsia="zh-CN"/>
        </w:rPr>
        <w:t>谈判</w:t>
      </w:r>
      <w:r>
        <w:rPr>
          <w:rFonts w:hint="eastAsia" w:ascii="仿宋" w:hAnsi="仿宋" w:eastAsia="仿宋" w:cs="仿宋"/>
          <w:b/>
          <w:color w:val="auto"/>
          <w:sz w:val="28"/>
          <w:szCs w:val="28"/>
          <w:highlight w:val="none"/>
          <w:lang w:eastAsia="zh-CN"/>
        </w:rPr>
        <w:t>公告</w:t>
      </w:r>
    </w:p>
    <w:p w14:paraId="6B17B334">
      <w:pPr>
        <w:pageBreakBefore w:val="0"/>
        <w:pBdr>
          <w:top w:val="single" w:color="auto" w:sz="4" w:space="1"/>
          <w:left w:val="single" w:color="auto" w:sz="4" w:space="4"/>
          <w:bottom w:val="single" w:color="auto" w:sz="4" w:space="1"/>
          <w:right w:val="single" w:color="auto" w:sz="4" w:space="4"/>
        </w:pBdr>
        <w:shd w:val="clear"/>
        <w:kinsoku/>
        <w:overflowPunct/>
        <w:topLinePunct w:val="0"/>
        <w:autoSpaceDE/>
        <w:autoSpaceDN/>
        <w:bidi w:val="0"/>
        <w:spacing w:line="360" w:lineRule="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项目概况：</w:t>
      </w:r>
      <w:r>
        <w:rPr>
          <w:rFonts w:hint="eastAsia" w:ascii="仿宋" w:hAnsi="仿宋" w:eastAsia="仿宋" w:cs="仿宋"/>
          <w:b w:val="0"/>
          <w:i w:val="0"/>
          <w:color w:val="auto"/>
          <w:kern w:val="2"/>
          <w:sz w:val="24"/>
          <w:szCs w:val="24"/>
          <w:highlight w:val="none"/>
          <w:u w:val="single"/>
          <w:lang w:val="en-US" w:eastAsia="zh-CN" w:bidi="ar-SA"/>
        </w:rPr>
        <w:t>克拉玛依区各委办局视频监控运维项目</w:t>
      </w:r>
      <w:r>
        <w:rPr>
          <w:rFonts w:hint="eastAsia" w:ascii="仿宋" w:hAnsi="仿宋" w:eastAsia="仿宋" w:cs="仿宋"/>
          <w:b w:val="0"/>
          <w:i w:val="0"/>
          <w:color w:val="auto"/>
          <w:kern w:val="2"/>
          <w:sz w:val="24"/>
          <w:szCs w:val="24"/>
          <w:highlight w:val="none"/>
          <w:lang w:val="en-US" w:eastAsia="zh-CN" w:bidi="ar-SA"/>
        </w:rPr>
        <w:t>的潜在供应商应在</w:t>
      </w:r>
      <w:r>
        <w:rPr>
          <w:rFonts w:hint="eastAsia" w:ascii="仿宋" w:hAnsi="仿宋" w:eastAsia="仿宋" w:cs="仿宋"/>
          <w:b w:val="0"/>
          <w:i w:val="0"/>
          <w:color w:val="auto"/>
          <w:kern w:val="2"/>
          <w:sz w:val="24"/>
          <w:szCs w:val="24"/>
          <w:highlight w:val="none"/>
          <w:u w:val="single"/>
          <w:lang w:val="en-US" w:eastAsia="zh-CN" w:bidi="ar-SA"/>
        </w:rPr>
        <w:t>新疆政府采购网</w:t>
      </w:r>
      <w:r>
        <w:rPr>
          <w:rFonts w:hint="eastAsia" w:ascii="仿宋" w:hAnsi="仿宋" w:eastAsia="仿宋" w:cs="仿宋"/>
          <w:b w:val="0"/>
          <w:i w:val="0"/>
          <w:color w:val="auto"/>
          <w:kern w:val="2"/>
          <w:sz w:val="24"/>
          <w:szCs w:val="24"/>
          <w:highlight w:val="none"/>
          <w:lang w:val="en-US" w:eastAsia="zh-CN" w:bidi="ar-SA"/>
        </w:rPr>
        <w:t>获取采购文件，并于</w:t>
      </w:r>
      <w:r>
        <w:rPr>
          <w:rFonts w:hint="eastAsia" w:ascii="仿宋" w:hAnsi="仿宋" w:eastAsia="仿宋" w:cs="仿宋"/>
          <w:b w:val="0"/>
          <w:i w:val="0"/>
          <w:color w:val="auto"/>
          <w:kern w:val="2"/>
          <w:sz w:val="24"/>
          <w:szCs w:val="24"/>
          <w:highlight w:val="none"/>
          <w:u w:val="single"/>
          <w:lang w:val="en-US" w:eastAsia="zh-CN" w:bidi="ar-SA"/>
        </w:rPr>
        <w:t>2025</w:t>
      </w:r>
      <w:r>
        <w:rPr>
          <w:rFonts w:hint="eastAsia" w:ascii="仿宋" w:hAnsi="仿宋" w:eastAsia="仿宋" w:cs="仿宋"/>
          <w:b w:val="0"/>
          <w:i w:val="0"/>
          <w:color w:val="auto"/>
          <w:kern w:val="2"/>
          <w:sz w:val="24"/>
          <w:szCs w:val="24"/>
          <w:highlight w:val="none"/>
          <w:lang w:val="en-US" w:eastAsia="zh-CN" w:bidi="ar-SA"/>
        </w:rPr>
        <w:t>年</w:t>
      </w:r>
      <w:r>
        <w:rPr>
          <w:rFonts w:hint="eastAsia" w:ascii="仿宋" w:hAnsi="仿宋" w:eastAsia="仿宋" w:cs="仿宋"/>
          <w:b w:val="0"/>
          <w:i w:val="0"/>
          <w:color w:val="auto"/>
          <w:kern w:val="2"/>
          <w:sz w:val="24"/>
          <w:szCs w:val="24"/>
          <w:highlight w:val="none"/>
          <w:u w:val="single"/>
          <w:lang w:val="en-US" w:eastAsia="zh-CN" w:bidi="ar-SA"/>
        </w:rPr>
        <w:t>06</w:t>
      </w:r>
      <w:r>
        <w:rPr>
          <w:rFonts w:hint="eastAsia" w:ascii="仿宋" w:hAnsi="仿宋" w:eastAsia="仿宋" w:cs="仿宋"/>
          <w:b w:val="0"/>
          <w:i w:val="0"/>
          <w:color w:val="auto"/>
          <w:kern w:val="2"/>
          <w:sz w:val="24"/>
          <w:szCs w:val="24"/>
          <w:highlight w:val="none"/>
          <w:lang w:val="en-US" w:eastAsia="zh-CN" w:bidi="ar-SA"/>
        </w:rPr>
        <w:t>月</w:t>
      </w:r>
      <w:r>
        <w:rPr>
          <w:rFonts w:hint="eastAsia" w:ascii="仿宋" w:hAnsi="仿宋" w:eastAsia="仿宋" w:cs="仿宋"/>
          <w:b w:val="0"/>
          <w:i w:val="0"/>
          <w:color w:val="auto"/>
          <w:kern w:val="2"/>
          <w:sz w:val="24"/>
          <w:szCs w:val="24"/>
          <w:highlight w:val="none"/>
          <w:u w:val="single"/>
          <w:lang w:val="en-US" w:eastAsia="zh-CN" w:bidi="ar-SA"/>
        </w:rPr>
        <w:t>28</w:t>
      </w:r>
      <w:r>
        <w:rPr>
          <w:rFonts w:hint="eastAsia" w:ascii="仿宋" w:hAnsi="仿宋" w:eastAsia="仿宋" w:cs="仿宋"/>
          <w:b w:val="0"/>
          <w:i w:val="0"/>
          <w:color w:val="auto"/>
          <w:kern w:val="2"/>
          <w:sz w:val="24"/>
          <w:szCs w:val="24"/>
          <w:highlight w:val="none"/>
          <w:lang w:val="en-US" w:eastAsia="zh-CN" w:bidi="ar-SA"/>
        </w:rPr>
        <w:t>日</w:t>
      </w:r>
      <w:r>
        <w:rPr>
          <w:rFonts w:hint="eastAsia" w:ascii="仿宋" w:hAnsi="仿宋" w:eastAsia="仿宋" w:cs="仿宋"/>
          <w:b w:val="0"/>
          <w:i w:val="0"/>
          <w:color w:val="auto"/>
          <w:kern w:val="2"/>
          <w:sz w:val="24"/>
          <w:szCs w:val="24"/>
          <w:highlight w:val="none"/>
          <w:u w:val="single"/>
          <w:lang w:val="en-US" w:eastAsia="zh-CN" w:bidi="ar-SA"/>
        </w:rPr>
        <w:t>11</w:t>
      </w:r>
      <w:r>
        <w:rPr>
          <w:rFonts w:hint="eastAsia" w:ascii="仿宋" w:hAnsi="仿宋" w:eastAsia="仿宋" w:cs="仿宋"/>
          <w:b w:val="0"/>
          <w:i w:val="0"/>
          <w:color w:val="auto"/>
          <w:kern w:val="2"/>
          <w:sz w:val="24"/>
          <w:szCs w:val="24"/>
          <w:highlight w:val="none"/>
          <w:lang w:val="en-US" w:eastAsia="zh-CN" w:bidi="ar-SA"/>
        </w:rPr>
        <w:t>点</w:t>
      </w:r>
      <w:r>
        <w:rPr>
          <w:rFonts w:hint="eastAsia" w:ascii="仿宋" w:hAnsi="仿宋" w:eastAsia="仿宋" w:cs="仿宋"/>
          <w:b w:val="0"/>
          <w:i w:val="0"/>
          <w:color w:val="auto"/>
          <w:kern w:val="2"/>
          <w:sz w:val="24"/>
          <w:szCs w:val="24"/>
          <w:highlight w:val="none"/>
          <w:u w:val="single"/>
          <w:lang w:val="en-US" w:eastAsia="zh-CN" w:bidi="ar-SA"/>
        </w:rPr>
        <w:t>00</w:t>
      </w:r>
      <w:r>
        <w:rPr>
          <w:rFonts w:hint="eastAsia" w:ascii="仿宋" w:hAnsi="仿宋" w:eastAsia="仿宋" w:cs="仿宋"/>
          <w:b w:val="0"/>
          <w:i w:val="0"/>
          <w:color w:val="auto"/>
          <w:kern w:val="2"/>
          <w:sz w:val="24"/>
          <w:szCs w:val="24"/>
          <w:highlight w:val="none"/>
          <w:lang w:val="en-US" w:eastAsia="zh-CN" w:bidi="ar-SA"/>
        </w:rPr>
        <w:t>分（北京时间）前提交响应文件。</w:t>
      </w:r>
    </w:p>
    <w:p w14:paraId="3F309ED4">
      <w:pPr>
        <w:pStyle w:val="4"/>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i w:val="0"/>
          <w:color w:val="auto"/>
          <w:kern w:val="2"/>
          <w:sz w:val="24"/>
          <w:szCs w:val="24"/>
          <w:highlight w:val="none"/>
          <w:lang w:val="en-US" w:eastAsia="zh-CN" w:bidi="ar-SA"/>
        </w:rPr>
      </w:pPr>
      <w:bookmarkStart w:id="0" w:name="_Toc28359012"/>
      <w:bookmarkStart w:id="1" w:name="_Toc28359089"/>
      <w:bookmarkStart w:id="2" w:name="_Toc35393798"/>
      <w:bookmarkStart w:id="3" w:name="_Toc35393629"/>
      <w:r>
        <w:rPr>
          <w:rFonts w:hint="eastAsia" w:ascii="仿宋" w:hAnsi="仿宋" w:eastAsia="仿宋" w:cs="仿宋"/>
          <w:b/>
          <w:bCs/>
          <w:i w:val="0"/>
          <w:color w:val="auto"/>
          <w:kern w:val="2"/>
          <w:sz w:val="24"/>
          <w:szCs w:val="24"/>
          <w:highlight w:val="none"/>
          <w:lang w:val="en-US" w:eastAsia="zh-CN" w:bidi="ar-SA"/>
        </w:rPr>
        <w:t>一、项目基本情况</w:t>
      </w:r>
      <w:bookmarkEnd w:id="0"/>
      <w:bookmarkEnd w:id="1"/>
      <w:bookmarkEnd w:id="2"/>
      <w:bookmarkEnd w:id="3"/>
    </w:p>
    <w:p w14:paraId="138865F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项目编号：HYGS-ZC-2025-69</w:t>
      </w:r>
    </w:p>
    <w:p w14:paraId="14A699DA">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项目名称：克拉玛依区各委办局视频监控运维项目</w:t>
      </w:r>
    </w:p>
    <w:p w14:paraId="4C25333A">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采购方式：竞争性谈判</w:t>
      </w:r>
    </w:p>
    <w:p w14:paraId="7963020F">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预算金额：54.6739</w:t>
      </w:r>
      <w:r>
        <w:rPr>
          <w:rFonts w:hint="eastAsia" w:ascii="仿宋" w:hAnsi="仿宋" w:eastAsia="仿宋" w:cs="仿宋"/>
          <w:color w:val="auto"/>
          <w:sz w:val="24"/>
          <w:highlight w:val="none"/>
          <w:lang w:val="en-US" w:eastAsia="zh-CN"/>
        </w:rPr>
        <w:t>万元</w:t>
      </w:r>
    </w:p>
    <w:p w14:paraId="242B5601">
      <w:pPr>
        <w:keepLines w:val="0"/>
        <w:pageBreakBefore w:val="0"/>
        <w:shd w:val="clear"/>
        <w:tabs>
          <w:tab w:val="left" w:pos="640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最高限价：54.6739</w:t>
      </w:r>
      <w:r>
        <w:rPr>
          <w:rFonts w:hint="eastAsia" w:ascii="仿宋" w:hAnsi="仿宋" w:eastAsia="仿宋" w:cs="仿宋"/>
          <w:color w:val="auto"/>
          <w:sz w:val="24"/>
          <w:highlight w:val="none"/>
          <w:lang w:val="en-US" w:eastAsia="zh-CN"/>
        </w:rPr>
        <w:t>万元</w:t>
      </w:r>
      <w:r>
        <w:rPr>
          <w:rFonts w:hint="eastAsia" w:ascii="仿宋" w:hAnsi="仿宋" w:eastAsia="仿宋" w:cs="仿宋"/>
          <w:b w:val="0"/>
          <w:i w:val="0"/>
          <w:color w:val="auto"/>
          <w:kern w:val="2"/>
          <w:sz w:val="24"/>
          <w:szCs w:val="24"/>
          <w:highlight w:val="none"/>
          <w:lang w:val="en-US" w:eastAsia="zh-CN" w:bidi="ar-SA"/>
        </w:rPr>
        <w:tab/>
      </w:r>
    </w:p>
    <w:p w14:paraId="71BF09F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采购需求：详见竞争性谈判文件</w:t>
      </w:r>
    </w:p>
    <w:p w14:paraId="4719F5C7">
      <w:pPr>
        <w:keepLines w:val="0"/>
        <w:pageBreakBefore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i w:val="0"/>
          <w:color w:val="auto"/>
          <w:kern w:val="2"/>
          <w:sz w:val="24"/>
          <w:szCs w:val="24"/>
          <w:highlight w:val="none"/>
          <w:lang w:val="en-US" w:eastAsia="zh-CN" w:bidi="ar-SA"/>
        </w:rPr>
      </w:pPr>
      <w:bookmarkStart w:id="4" w:name="_Toc35393630"/>
      <w:bookmarkStart w:id="5" w:name="_Toc35393799"/>
      <w:bookmarkStart w:id="6" w:name="_Toc28359090"/>
      <w:bookmarkStart w:id="7" w:name="_Toc28359013"/>
      <w:r>
        <w:rPr>
          <w:rFonts w:hint="eastAsia" w:ascii="仿宋" w:hAnsi="仿宋" w:eastAsia="仿宋" w:cs="仿宋"/>
          <w:color w:val="auto"/>
          <w:sz w:val="24"/>
          <w:highlight w:val="none"/>
          <w:lang w:eastAsia="zh-CN"/>
        </w:rPr>
        <w:t>合同履约期限</w:t>
      </w:r>
      <w:r>
        <w:rPr>
          <w:rFonts w:hint="eastAsia" w:ascii="仿宋" w:hAnsi="仿宋" w:eastAsia="仿宋" w:cs="仿宋"/>
          <w:color w:val="auto"/>
          <w:sz w:val="24"/>
          <w:highlight w:val="none"/>
        </w:rPr>
        <w:t>：</w:t>
      </w:r>
      <w:r>
        <w:rPr>
          <w:rFonts w:hint="eastAsia" w:ascii="仿宋" w:hAnsi="仿宋" w:eastAsia="仿宋" w:cs="仿宋"/>
          <w:b w:val="0"/>
          <w:i w:val="0"/>
          <w:color w:val="auto"/>
          <w:kern w:val="2"/>
          <w:sz w:val="24"/>
          <w:szCs w:val="24"/>
          <w:highlight w:val="none"/>
          <w:lang w:val="en-US" w:eastAsia="zh-CN" w:bidi="ar-SA"/>
        </w:rPr>
        <w:t>自签订之日起1年</w:t>
      </w:r>
    </w:p>
    <w:p w14:paraId="0DAB0342">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color w:val="auto"/>
          <w:sz w:val="24"/>
          <w:szCs w:val="24"/>
          <w:highlight w:val="none"/>
        </w:rPr>
      </w:pPr>
      <w:r>
        <w:rPr>
          <w:rFonts w:hint="eastAsia" w:ascii="仿宋" w:hAnsi="仿宋" w:eastAsia="仿宋" w:cs="仿宋"/>
          <w:b/>
          <w:bCs/>
          <w:i w:val="0"/>
          <w:color w:val="auto"/>
          <w:kern w:val="2"/>
          <w:sz w:val="24"/>
          <w:szCs w:val="24"/>
          <w:highlight w:val="none"/>
          <w:lang w:val="en-US" w:eastAsia="zh-CN" w:bidi="ar-SA"/>
        </w:rPr>
        <w:t>二、申请人的资格要求：</w:t>
      </w:r>
      <w:bookmarkEnd w:id="4"/>
      <w:bookmarkEnd w:id="5"/>
      <w:bookmarkEnd w:id="6"/>
      <w:bookmarkEnd w:id="7"/>
    </w:p>
    <w:p w14:paraId="548499C6">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bookmarkStart w:id="8" w:name="_Toc28359014"/>
      <w:bookmarkStart w:id="9" w:name="_Toc35393631"/>
      <w:bookmarkStart w:id="10" w:name="_Toc35393800"/>
      <w:bookmarkStart w:id="11" w:name="_Toc28359091"/>
      <w:r>
        <w:rPr>
          <w:rFonts w:hint="eastAsia" w:ascii="仿宋" w:hAnsi="仿宋" w:eastAsia="仿宋" w:cs="仿宋"/>
          <w:b w:val="0"/>
          <w:i w:val="0"/>
          <w:color w:val="auto"/>
          <w:kern w:val="2"/>
          <w:sz w:val="24"/>
          <w:szCs w:val="24"/>
          <w:highlight w:val="none"/>
          <w:lang w:val="en-US" w:eastAsia="zh-CN" w:bidi="ar-SA"/>
        </w:rPr>
        <w:t>1、满足《中华人民共和国政府采购法》第二十二条规定；</w:t>
      </w:r>
    </w:p>
    <w:p w14:paraId="353B7A03">
      <w:pPr>
        <w:pStyle w:val="12"/>
        <w:shd w:val="clea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val="0"/>
          <w:i w:val="0"/>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落实政府采购政策需满足的资格要</w:t>
      </w:r>
      <w:r>
        <w:rPr>
          <w:rFonts w:hint="eastAsia" w:ascii="仿宋" w:hAnsi="仿宋" w:eastAsia="仿宋" w:cs="仿宋"/>
          <w:b w:val="0"/>
          <w:i w:val="0"/>
          <w:color w:val="auto"/>
          <w:kern w:val="2"/>
          <w:sz w:val="24"/>
          <w:szCs w:val="24"/>
          <w:highlight w:val="none"/>
          <w:lang w:val="en-US" w:eastAsia="zh-CN" w:bidi="ar-SA"/>
        </w:rPr>
        <w:t>求：</w:t>
      </w:r>
      <w:bookmarkStart w:id="12" w:name="OLE_LINK2"/>
      <w:r>
        <w:rPr>
          <w:rFonts w:hint="eastAsia" w:ascii="仿宋" w:hAnsi="仿宋" w:eastAsia="仿宋" w:cs="仿宋"/>
          <w:b w:val="0"/>
          <w:i w:val="0"/>
          <w:color w:val="auto"/>
          <w:kern w:val="2"/>
          <w:sz w:val="24"/>
          <w:szCs w:val="24"/>
          <w:highlight w:val="none"/>
          <w:lang w:val="en-US" w:eastAsia="zh-CN" w:bidi="ar-SA"/>
        </w:rPr>
        <w:t>本项目专门面向中小企业采购</w:t>
      </w:r>
      <w:bookmarkEnd w:id="12"/>
      <w:r>
        <w:rPr>
          <w:rFonts w:hint="eastAsia" w:ascii="仿宋" w:hAnsi="仿宋" w:eastAsia="仿宋" w:cs="仿宋"/>
          <w:color w:val="auto"/>
          <w:kern w:val="2"/>
          <w:sz w:val="24"/>
          <w:szCs w:val="24"/>
          <w:highlight w:val="none"/>
          <w:lang w:val="en-US" w:eastAsia="zh-CN" w:bidi="ar-SA"/>
        </w:rPr>
        <w:t>；</w:t>
      </w:r>
    </w:p>
    <w:p w14:paraId="41D167AD">
      <w:pPr>
        <w:keepLines w:val="0"/>
        <w:pageBreakBefore w:val="0"/>
        <w:shd w:val="clear"/>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3、本项目的特定资格要求：无；</w:t>
      </w:r>
    </w:p>
    <w:p w14:paraId="4D54EC1C">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2"/>
          <w:sz w:val="24"/>
          <w:szCs w:val="24"/>
          <w:highlight w:val="none"/>
          <w:lang w:val="en-US" w:eastAsia="zh-CN" w:bidi="ar-SA"/>
        </w:rPr>
      </w:pPr>
      <w:r>
        <w:rPr>
          <w:rFonts w:hint="eastAsia" w:ascii="仿宋" w:hAnsi="仿宋" w:eastAsia="仿宋" w:cs="仿宋"/>
          <w:b/>
          <w:bCs/>
          <w:i w:val="0"/>
          <w:color w:val="auto"/>
          <w:kern w:val="2"/>
          <w:sz w:val="24"/>
          <w:szCs w:val="24"/>
          <w:highlight w:val="none"/>
          <w:lang w:val="en-US" w:eastAsia="zh-CN" w:bidi="ar-SA"/>
        </w:rPr>
        <w:t>三、获取采购文件</w:t>
      </w:r>
      <w:bookmarkEnd w:id="8"/>
      <w:bookmarkEnd w:id="9"/>
      <w:bookmarkEnd w:id="10"/>
      <w:bookmarkEnd w:id="11"/>
    </w:p>
    <w:p w14:paraId="1DF5E518">
      <w:pPr>
        <w:keepLines w:val="0"/>
        <w:pageBreakBefore w:val="0"/>
        <w:shd w:val="clear"/>
        <w:kinsoku/>
        <w:wordWrap/>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b w:val="0"/>
          <w:i w:val="0"/>
          <w:color w:val="auto"/>
          <w:kern w:val="2"/>
          <w:sz w:val="24"/>
          <w:szCs w:val="24"/>
          <w:highlight w:val="none"/>
          <w:u w:val="single"/>
          <w:lang w:val="en-US" w:eastAsia="zh-CN" w:bidi="ar-SA"/>
        </w:rPr>
        <w:t>24</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b w:val="0"/>
          <w:i w:val="0"/>
          <w:color w:val="auto"/>
          <w:kern w:val="2"/>
          <w:sz w:val="24"/>
          <w:szCs w:val="24"/>
          <w:highlight w:val="none"/>
          <w:u w:val="single"/>
          <w:lang w:val="en-US" w:eastAsia="zh-CN" w:bidi="ar-SA"/>
        </w:rPr>
        <w:t>06</w:t>
      </w:r>
      <w:r>
        <w:rPr>
          <w:rFonts w:hint="eastAsia" w:ascii="仿宋" w:hAnsi="仿宋" w:eastAsia="仿宋" w:cs="仿宋"/>
          <w:color w:val="auto"/>
          <w:sz w:val="24"/>
          <w:szCs w:val="24"/>
          <w:highlight w:val="none"/>
          <w:u w:val="single"/>
        </w:rPr>
        <w:t>月</w:t>
      </w:r>
      <w:r>
        <w:rPr>
          <w:rFonts w:hint="eastAsia" w:ascii="仿宋" w:hAnsi="仿宋" w:eastAsia="仿宋" w:cs="仿宋"/>
          <w:b w:val="0"/>
          <w:i w:val="0"/>
          <w:color w:val="auto"/>
          <w:kern w:val="2"/>
          <w:sz w:val="24"/>
          <w:szCs w:val="24"/>
          <w:highlight w:val="none"/>
          <w:u w:val="single"/>
          <w:lang w:val="en-US" w:eastAsia="zh-CN" w:bidi="ar-SA"/>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lang w:val="en-US" w:eastAsia="zh-CN"/>
        </w:rPr>
        <w:t>10:00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13:30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lang w:val="en-US" w:eastAsia="zh-CN"/>
        </w:rPr>
        <w:t>15:30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19：30</w:t>
      </w:r>
      <w:r>
        <w:rPr>
          <w:rFonts w:hint="eastAsia" w:ascii="仿宋" w:hAnsi="仿宋" w:eastAsia="仿宋" w:cs="仿宋"/>
          <w:color w:val="auto"/>
          <w:sz w:val="24"/>
          <w:szCs w:val="24"/>
          <w:highlight w:val="none"/>
        </w:rPr>
        <w:t>（北京时间，法定节假日除外）</w:t>
      </w:r>
    </w:p>
    <w:p w14:paraId="72455CB6">
      <w:pPr>
        <w:pStyle w:val="23"/>
        <w:shd w:val="clear"/>
        <w:spacing w:before="0" w:beforeAutospacing="0" w:after="0" w:afterAutospacing="0" w:line="360" w:lineRule="auto"/>
        <w:ind w:firstLine="480" w:firstLineChars="200"/>
        <w:rPr>
          <w:rFonts w:hint="eastAsia" w:ascii="仿宋" w:hAnsi="仿宋" w:eastAsia="仿宋" w:cs="仿宋"/>
          <w:color w:val="auto"/>
          <w:kern w:val="2"/>
          <w:highlight w:val="none"/>
        </w:rPr>
      </w:pPr>
      <w:bookmarkStart w:id="13" w:name="_Toc28359015"/>
      <w:bookmarkStart w:id="14" w:name="_Toc35393801"/>
      <w:bookmarkStart w:id="15" w:name="_Toc28359092"/>
      <w:bookmarkStart w:id="16" w:name="_Toc35393632"/>
      <w:r>
        <w:rPr>
          <w:rFonts w:hint="eastAsia" w:ascii="仿宋" w:hAnsi="仿宋" w:eastAsia="仿宋" w:cs="仿宋"/>
          <w:color w:val="auto"/>
          <w:kern w:val="2"/>
          <w:highlight w:val="none"/>
        </w:rPr>
        <w:t>地点：新疆政府采购网政采云平台（www.zcygov.cn）</w:t>
      </w:r>
    </w:p>
    <w:p w14:paraId="59A34054">
      <w:pPr>
        <w:pStyle w:val="23"/>
        <w:shd w:val="clear"/>
        <w:spacing w:before="0" w:beforeAutospacing="0" w:after="0" w:afterAutospacing="0" w:line="36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highlight w:val="none"/>
        </w:rPr>
        <w:t>方式：</w:t>
      </w:r>
      <w:r>
        <w:rPr>
          <w:rFonts w:hint="eastAsia" w:ascii="仿宋" w:hAnsi="仿宋" w:eastAsia="仿宋" w:cs="仿宋"/>
          <w:color w:val="auto"/>
          <w:kern w:val="2"/>
          <w:highlight w:val="none"/>
        </w:rPr>
        <w:t>供应商登录政采云平台https://www.zcygov.cn/在线申请获取采购文件（进入“项目采购”应用，在获取采购文件菜单中选择项目，申请获取采购文件） </w:t>
      </w:r>
    </w:p>
    <w:p w14:paraId="78B259A5">
      <w:pPr>
        <w:shd w:val="clea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售价：0.00元</w:t>
      </w:r>
    </w:p>
    <w:p w14:paraId="6CACB7A2">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bCs/>
          <w:i w:val="0"/>
          <w:color w:val="auto"/>
          <w:kern w:val="2"/>
          <w:sz w:val="24"/>
          <w:szCs w:val="24"/>
          <w:highlight w:val="none"/>
          <w:lang w:val="en-US" w:eastAsia="zh-CN" w:bidi="ar-SA"/>
        </w:rPr>
        <w:t>四、响应文件提交</w:t>
      </w:r>
      <w:bookmarkEnd w:id="13"/>
      <w:bookmarkEnd w:id="14"/>
      <w:bookmarkEnd w:id="15"/>
      <w:bookmarkEnd w:id="16"/>
    </w:p>
    <w:p w14:paraId="220EA9F0">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14:paraId="2C461D73">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17" w:name="_Toc28359016"/>
      <w:bookmarkStart w:id="18" w:name="_Toc35393802"/>
      <w:bookmarkStart w:id="19" w:name="_Toc35393633"/>
      <w:bookmarkStart w:id="20" w:name="_Toc28359093"/>
      <w:r>
        <w:rPr>
          <w:rFonts w:hint="eastAsia" w:ascii="仿宋" w:hAnsi="仿宋" w:eastAsia="仿宋" w:cs="仿宋"/>
          <w:color w:val="auto"/>
          <w:sz w:val="24"/>
          <w:highlight w:val="none"/>
        </w:rPr>
        <w:t>新疆政府采购网政采云平台（www.zcygov.cn）</w:t>
      </w:r>
    </w:p>
    <w:p w14:paraId="3F36484C">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五、开启</w:t>
      </w:r>
      <w:bookmarkEnd w:id="17"/>
      <w:bookmarkEnd w:id="18"/>
      <w:bookmarkEnd w:id="19"/>
      <w:bookmarkEnd w:id="20"/>
    </w:p>
    <w:p w14:paraId="454F6B14">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时间：2025年06月28日11点00分（北京时间）</w:t>
      </w:r>
    </w:p>
    <w:p w14:paraId="11DFBAFE">
      <w:pPr>
        <w:pStyle w:val="23"/>
        <w:keepLines w:val="0"/>
        <w:pageBreakBefore w:val="0"/>
        <w:shd w:val="clea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30"/>
          <w:rFonts w:hint="default" w:ascii="仿宋" w:hAnsi="仿宋" w:eastAsia="仿宋" w:cs="仿宋"/>
          <w:b w:val="0"/>
          <w:bCs w:val="0"/>
          <w:color w:val="auto"/>
          <w:sz w:val="24"/>
          <w:szCs w:val="24"/>
          <w:highlight w:val="none"/>
          <w:lang w:val="en-US"/>
        </w:rPr>
      </w:pPr>
      <w:r>
        <w:rPr>
          <w:rFonts w:hint="eastAsia" w:ascii="仿宋" w:hAnsi="仿宋" w:eastAsia="仿宋" w:cs="仿宋"/>
          <w:color w:val="auto"/>
          <w:sz w:val="24"/>
          <w:szCs w:val="24"/>
          <w:highlight w:val="none"/>
        </w:rPr>
        <w:t>地点：</w:t>
      </w:r>
      <w:bookmarkStart w:id="21" w:name="_Toc35393634"/>
      <w:bookmarkStart w:id="22" w:name="_Toc28359017"/>
      <w:bookmarkStart w:id="23" w:name="_Toc28359094"/>
      <w:bookmarkStart w:id="24" w:name="_Toc35393803"/>
      <w:r>
        <w:rPr>
          <w:rFonts w:hint="eastAsia" w:ascii="仿宋" w:hAnsi="仿宋" w:eastAsia="仿宋" w:cs="仿宋"/>
          <w:color w:val="auto"/>
          <w:kern w:val="2"/>
          <w:highlight w:val="none"/>
        </w:rPr>
        <w:t>克拉玛依市恒隆广场A座412-1室</w:t>
      </w:r>
    </w:p>
    <w:p w14:paraId="395F0CD3">
      <w:pPr>
        <w:pStyle w:val="23"/>
        <w:keepLines w:val="0"/>
        <w:pageBreakBefore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六、公告期限</w:t>
      </w:r>
      <w:bookmarkEnd w:id="21"/>
      <w:bookmarkEnd w:id="22"/>
      <w:bookmarkEnd w:id="23"/>
      <w:bookmarkEnd w:id="24"/>
    </w:p>
    <w:p w14:paraId="5164515D">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bookmarkStart w:id="25" w:name="_Toc35393635"/>
      <w:bookmarkStart w:id="26" w:name="_Toc35393804"/>
    </w:p>
    <w:p w14:paraId="6EAE984D">
      <w:pPr>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七、其他补充事宜</w:t>
      </w:r>
      <w:bookmarkEnd w:id="25"/>
      <w:bookmarkEnd w:id="26"/>
    </w:p>
    <w:p w14:paraId="40E6C75F">
      <w:pPr>
        <w:shd w:val="clear"/>
        <w:spacing w:line="360" w:lineRule="auto"/>
        <w:ind w:firstLine="480" w:firstLineChars="200"/>
        <w:rPr>
          <w:rFonts w:hint="eastAsia" w:ascii="仿宋" w:hAnsi="仿宋" w:eastAsia="仿宋" w:cs="仿宋"/>
          <w:color w:val="auto"/>
          <w:sz w:val="24"/>
          <w:highlight w:val="none"/>
        </w:rPr>
      </w:pPr>
      <w:bookmarkStart w:id="27" w:name="_Toc35393636"/>
      <w:bookmarkStart w:id="28" w:name="_Toc28359018"/>
      <w:bookmarkStart w:id="29" w:name="_Toc35393805"/>
      <w:bookmarkStart w:id="30" w:name="_Toc28359095"/>
      <w:r>
        <w:rPr>
          <w:rFonts w:hint="eastAsia" w:ascii="仿宋" w:hAnsi="仿宋" w:eastAsia="仿宋" w:cs="仿宋"/>
          <w:color w:val="auto"/>
          <w:sz w:val="24"/>
          <w:highlight w:val="none"/>
        </w:rPr>
        <w:t>1.本项目为电子招投标项目，供应商需要使用CA 加密设备，凡参加本项目供应商可通过新疆数字证书认证中心官网 (https://www.xjca.com.cn/) 或下载“新疆政务通”APP 自行进行线上申领，或前往新疆克拉玛依市克拉玛依区迎宾路75 号(中国银行大厦11楼营业部) 或新疆克拉玛依市独山子区大庆东路 3039号 (市民服务中心三楼大厅) 进行线下办理。如有操作性问题可与政采云在线客服进行咨询，咨询电话：95763。</w:t>
      </w:r>
    </w:p>
    <w:p w14:paraId="5042393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2.本项目实行网上投标，采用电子响应文件，若供应商参与投标，应自行承担投标一切费用。</w:t>
      </w:r>
    </w:p>
    <w:p w14:paraId="0590898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3.供应商应在投标前应确保成为新疆政府采购网正式注册入库供应商，并完成 CA 数字证书申领。因未注册入库、未办理 CA 数字证书等原因造成无法投标或投标失败等后果由供应商自行承担。</w:t>
      </w:r>
    </w:p>
    <w:p w14:paraId="19A5136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4.供应商应使用最新版本的 CA 驱动和政采云投标客户端，客户端下载、安装完成后，可通过账号密码或 CA 登录客户端进行响应文件制作。在使用政采云投标客户端时，建议使用谷歌浏览器，电脑配置满足 win7+64 位以上操作系统 (不能用mac 或者 linux 系统) 。客户端请至新疆政府采购网 (www.ccgp-xinjiang.gov.cn) 下载专区查看，如有问题可拨打政采云客户服务热线95763 进行咨询。</w:t>
      </w:r>
    </w:p>
    <w:p w14:paraId="2D96E9F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5.供应商应当在递交响应文件截止时间前，将生成的“电子加密响应文件”上传递交至“政府采购云平台”，递交响应文件截止时间后上传递交的响应文件将被“政府采购云平台”拒收。</w:t>
      </w:r>
    </w:p>
    <w:p w14:paraId="34CF63E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6.供应商登录政采云平台，在开标时间后30分钟内用“项目采购-开标评标”功能进行解密响应文件。若供应商在规定时间内未按时解密的，视为无效响应。解密与加密响应文件须使用同一个 CA。</w:t>
      </w:r>
    </w:p>
    <w:p w14:paraId="2E237FFE">
      <w:pPr>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八、凡对本次采购提出询问，请按以下方式联系</w:t>
      </w:r>
      <w:bookmarkEnd w:id="27"/>
      <w:bookmarkEnd w:id="28"/>
      <w:bookmarkEnd w:id="29"/>
      <w:bookmarkEnd w:id="30"/>
      <w:bookmarkStart w:id="31" w:name="_Toc35393637"/>
      <w:bookmarkStart w:id="32" w:name="_Toc35393806"/>
      <w:bookmarkStart w:id="33" w:name="_Toc28359096"/>
      <w:bookmarkStart w:id="34" w:name="_Toc28359019"/>
    </w:p>
    <w:bookmarkEnd w:id="31"/>
    <w:bookmarkEnd w:id="32"/>
    <w:bookmarkEnd w:id="33"/>
    <w:bookmarkEnd w:id="34"/>
    <w:p w14:paraId="05471A96">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78FB263B">
      <w:pPr>
        <w:shd w:val="clea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克拉玛依市克拉玛依区工业和信息化局</w:t>
      </w:r>
    </w:p>
    <w:p w14:paraId="4B83FE29">
      <w:pPr>
        <w:shd w:val="clear"/>
        <w:spacing w:line="360" w:lineRule="auto"/>
        <w:ind w:firstLine="480" w:firstLineChars="200"/>
        <w:rPr>
          <w:rFonts w:hint="eastAsia" w:ascii="仿宋" w:hAnsi="仿宋" w:eastAsia="仿宋" w:cs="仿宋"/>
          <w:color w:val="auto"/>
          <w:kern w:val="0"/>
          <w:sz w:val="24"/>
          <w:szCs w:val="24"/>
          <w:highlight w:val="none"/>
        </w:rPr>
      </w:pPr>
      <w:bookmarkStart w:id="35" w:name="_Toc28359097"/>
      <w:bookmarkStart w:id="36" w:name="_Toc35393638"/>
      <w:bookmarkStart w:id="37" w:name="_Toc28359020"/>
      <w:bookmarkStart w:id="38" w:name="_Toc35393807"/>
      <w:r>
        <w:rPr>
          <w:rFonts w:hint="eastAsia" w:ascii="仿宋" w:hAnsi="仿宋" w:eastAsia="仿宋" w:cs="仿宋"/>
          <w:color w:val="auto"/>
          <w:kern w:val="0"/>
          <w:sz w:val="24"/>
          <w:szCs w:val="24"/>
          <w:highlight w:val="none"/>
          <w:lang w:eastAsia="zh-CN"/>
        </w:rPr>
        <w:t>地    址：克拉玛依市克拉玛依区天山路42号</w:t>
      </w:r>
    </w:p>
    <w:p w14:paraId="65F5C3EF">
      <w:pPr>
        <w:shd w:val="clear"/>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联系方式：</w:t>
      </w:r>
      <w:r>
        <w:rPr>
          <w:rFonts w:hint="eastAsia" w:ascii="仿宋" w:hAnsi="仿宋" w:eastAsia="仿宋" w:cs="仿宋"/>
          <w:color w:val="auto"/>
          <w:kern w:val="0"/>
          <w:sz w:val="24"/>
          <w:szCs w:val="24"/>
          <w:highlight w:val="none"/>
          <w:lang w:val="en-US" w:eastAsia="zh-CN"/>
        </w:rPr>
        <w:t>0990-6259126</w:t>
      </w:r>
    </w:p>
    <w:p w14:paraId="6C365459">
      <w:pPr>
        <w:shd w:val="clear"/>
        <w:spacing w:line="360" w:lineRule="auto"/>
        <w:ind w:firstLine="480" w:firstLineChars="200"/>
        <w:rPr>
          <w:rFonts w:hint="eastAsia" w:ascii="仿宋" w:hAnsi="仿宋" w:eastAsia="仿宋" w:cs="仿宋"/>
          <w:color w:val="auto"/>
          <w:kern w:val="0"/>
          <w:sz w:val="24"/>
          <w:szCs w:val="24"/>
          <w:highlight w:val="none"/>
        </w:rPr>
      </w:pPr>
    </w:p>
    <w:p w14:paraId="6DCED8B2">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bookmarkEnd w:id="35"/>
      <w:bookmarkEnd w:id="36"/>
      <w:bookmarkEnd w:id="37"/>
      <w:bookmarkEnd w:id="38"/>
    </w:p>
    <w:p w14:paraId="76D4F619">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sz w:val="24"/>
          <w:szCs w:val="24"/>
          <w:highlight w:val="none"/>
        </w:rPr>
        <w:t>新疆宏宇建设工程项目管理有限责任公司</w:t>
      </w:r>
    </w:p>
    <w:p w14:paraId="692AE266">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址：克拉玛依市恒隆广场A座401-1室</w:t>
      </w:r>
    </w:p>
    <w:p w14:paraId="6290E5F2">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联系方式：0990-6608599</w:t>
      </w:r>
    </w:p>
    <w:p w14:paraId="6800D33B">
      <w:pPr>
        <w:shd w:val="clear"/>
        <w:spacing w:line="360" w:lineRule="auto"/>
        <w:ind w:firstLine="480" w:firstLineChars="200"/>
        <w:rPr>
          <w:rFonts w:hint="eastAsia" w:ascii="仿宋" w:hAnsi="仿宋" w:eastAsia="仿宋" w:cs="仿宋"/>
          <w:color w:val="auto"/>
          <w:kern w:val="0"/>
          <w:sz w:val="24"/>
          <w:szCs w:val="24"/>
          <w:highlight w:val="none"/>
        </w:rPr>
      </w:pPr>
      <w:bookmarkStart w:id="39" w:name="_Toc35393808"/>
      <w:bookmarkStart w:id="40" w:name="_Toc35393639"/>
      <w:bookmarkStart w:id="41" w:name="_Toc28359098"/>
      <w:bookmarkStart w:id="42" w:name="_Toc28359021"/>
    </w:p>
    <w:p w14:paraId="742DD573">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3.项目联系方式</w:t>
      </w:r>
      <w:bookmarkEnd w:id="39"/>
      <w:bookmarkEnd w:id="40"/>
      <w:bookmarkEnd w:id="41"/>
      <w:bookmarkEnd w:id="42"/>
    </w:p>
    <w:p w14:paraId="34FAB9E7">
      <w:pPr>
        <w:shd w:val="clear"/>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color w:val="auto"/>
          <w:kern w:val="0"/>
          <w:sz w:val="24"/>
          <w:szCs w:val="24"/>
          <w:highlight w:val="none"/>
          <w:lang w:eastAsia="zh-CN"/>
        </w:rPr>
        <w:t>迪力亚尔·地里木拉提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王香艳</w:t>
      </w:r>
    </w:p>
    <w:p w14:paraId="4B3B3949">
      <w:pPr>
        <w:shd w:val="clea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lang w:val="en-US" w:eastAsia="zh-CN"/>
        </w:rPr>
        <w:t>0990-6259126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0990-6608599 </w:t>
      </w:r>
    </w:p>
    <w:p w14:paraId="0DD1B17B">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　</w:t>
      </w:r>
      <w:r>
        <w:rPr>
          <w:rFonts w:hint="eastAsia" w:ascii="仿宋" w:hAnsi="仿宋" w:eastAsia="仿宋" w:cs="仿宋"/>
          <w:b w:val="0"/>
          <w:i w:val="0"/>
          <w:color w:val="auto"/>
          <w:kern w:val="0"/>
          <w:sz w:val="24"/>
          <w:szCs w:val="24"/>
          <w:highlight w:val="none"/>
          <w:lang w:val="en-US" w:eastAsia="zh-CN" w:bidi="ar-SA"/>
        </w:rPr>
        <w:t>　　　　</w:t>
      </w:r>
    </w:p>
    <w:p w14:paraId="13D8986E">
      <w:pPr>
        <w:shd w:val="clear"/>
        <w:rPr>
          <w:rStyle w:val="30"/>
          <w:rFonts w:hint="eastAsia" w:ascii="仿宋" w:hAnsi="仿宋" w:eastAsia="仿宋" w:cs="仿宋"/>
          <w:color w:val="auto"/>
          <w:sz w:val="30"/>
          <w:szCs w:val="30"/>
          <w:highlight w:val="none"/>
        </w:rPr>
      </w:pPr>
      <w:bookmarkStart w:id="43" w:name="_Toc415483389"/>
      <w:r>
        <w:rPr>
          <w:rStyle w:val="30"/>
          <w:rFonts w:hint="eastAsia" w:ascii="仿宋" w:hAnsi="仿宋" w:eastAsia="仿宋" w:cs="仿宋"/>
          <w:color w:val="auto"/>
          <w:sz w:val="30"/>
          <w:szCs w:val="30"/>
          <w:highlight w:val="none"/>
        </w:rPr>
        <w:br w:type="page"/>
      </w:r>
    </w:p>
    <w:p w14:paraId="63A13C7A">
      <w:pPr>
        <w:pStyle w:val="23"/>
        <w:pageBreakBefore w:val="0"/>
        <w:shd w:val="clear"/>
        <w:kinsoku/>
        <w:overflowPunct/>
        <w:topLinePunct w:val="0"/>
        <w:autoSpaceDE/>
        <w:autoSpaceDN/>
        <w:bidi w:val="0"/>
        <w:spacing w:before="75" w:beforeAutospacing="0" w:after="0" w:afterAutospacing="0" w:line="360" w:lineRule="auto"/>
        <w:jc w:val="center"/>
        <w:rPr>
          <w:rStyle w:val="30"/>
          <w:rFonts w:hint="eastAsia" w:ascii="仿宋" w:hAnsi="仿宋" w:eastAsia="仿宋" w:cs="仿宋"/>
          <w:color w:val="auto"/>
          <w:sz w:val="30"/>
          <w:szCs w:val="30"/>
          <w:highlight w:val="none"/>
        </w:rPr>
      </w:pPr>
      <w:r>
        <w:rPr>
          <w:rStyle w:val="30"/>
          <w:rFonts w:hint="eastAsia" w:ascii="仿宋" w:hAnsi="仿宋" w:eastAsia="仿宋" w:cs="仿宋"/>
          <w:color w:val="auto"/>
          <w:sz w:val="30"/>
          <w:szCs w:val="30"/>
          <w:highlight w:val="none"/>
        </w:rPr>
        <w:t xml:space="preserve">第二章 </w:t>
      </w:r>
      <w:bookmarkEnd w:id="43"/>
      <w:r>
        <w:rPr>
          <w:rStyle w:val="30"/>
          <w:rFonts w:hint="eastAsia" w:ascii="仿宋" w:hAnsi="仿宋" w:eastAsia="仿宋" w:cs="仿宋"/>
          <w:color w:val="auto"/>
          <w:sz w:val="30"/>
          <w:szCs w:val="30"/>
          <w:highlight w:val="none"/>
        </w:rPr>
        <w:t>竞争性谈判须知</w:t>
      </w:r>
    </w:p>
    <w:p w14:paraId="3D19A86B">
      <w:pPr>
        <w:pStyle w:val="23"/>
        <w:pageBreakBefore w:val="0"/>
        <w:shd w:val="clear"/>
        <w:kinsoku/>
        <w:overflowPunct/>
        <w:topLinePunct w:val="0"/>
        <w:autoSpaceDE/>
        <w:autoSpaceDN/>
        <w:bidi w:val="0"/>
        <w:spacing w:before="75" w:beforeAutospacing="0" w:after="0" w:afterAutospacing="0" w:line="360" w:lineRule="auto"/>
        <w:jc w:val="center"/>
        <w:rPr>
          <w:rStyle w:val="30"/>
          <w:rFonts w:hint="eastAsia" w:ascii="仿宋" w:hAnsi="仿宋" w:eastAsia="仿宋" w:cs="仿宋"/>
          <w:color w:val="auto"/>
          <w:sz w:val="28"/>
          <w:szCs w:val="28"/>
          <w:highlight w:val="none"/>
        </w:rPr>
      </w:pPr>
      <w:r>
        <w:rPr>
          <w:rStyle w:val="30"/>
          <w:rFonts w:hint="eastAsia" w:ascii="仿宋" w:hAnsi="仿宋" w:eastAsia="仿宋" w:cs="仿宋"/>
          <w:color w:val="auto"/>
          <w:sz w:val="28"/>
          <w:szCs w:val="28"/>
          <w:highlight w:val="none"/>
        </w:rPr>
        <w:t>一、投标人须知前附表</w:t>
      </w:r>
    </w:p>
    <w:tbl>
      <w:tblPr>
        <w:tblStyle w:val="27"/>
        <w:tblW w:w="10058"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6"/>
        <w:gridCol w:w="2251"/>
        <w:gridCol w:w="6981"/>
      </w:tblGrid>
      <w:tr w14:paraId="75E19A0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3" w:hRule="atLeast"/>
          <w:tblHeader/>
          <w:jc w:val="center"/>
        </w:trPr>
        <w:tc>
          <w:tcPr>
            <w:tcW w:w="826" w:type="dxa"/>
            <w:noWrap w:val="0"/>
            <w:vAlign w:val="center"/>
          </w:tcPr>
          <w:p w14:paraId="39F7A28B">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251" w:type="dxa"/>
            <w:noWrap w:val="0"/>
            <w:vAlign w:val="center"/>
          </w:tcPr>
          <w:p w14:paraId="11671EEB">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6981" w:type="dxa"/>
            <w:noWrap w:val="0"/>
            <w:vAlign w:val="center"/>
          </w:tcPr>
          <w:p w14:paraId="34D08E34">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说明和要求</w:t>
            </w:r>
          </w:p>
        </w:tc>
      </w:tr>
      <w:tr w14:paraId="0D61FDE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826" w:type="dxa"/>
            <w:noWrap w:val="0"/>
            <w:vAlign w:val="center"/>
          </w:tcPr>
          <w:p w14:paraId="712462CC">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51" w:type="dxa"/>
            <w:noWrap w:val="0"/>
            <w:vAlign w:val="center"/>
          </w:tcPr>
          <w:p w14:paraId="6FCCAEA7">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981" w:type="dxa"/>
            <w:noWrap w:val="0"/>
            <w:vAlign w:val="center"/>
          </w:tcPr>
          <w:p w14:paraId="790176FA">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克拉玛依市克拉玛依区工业和信息化局</w:t>
            </w:r>
          </w:p>
        </w:tc>
      </w:tr>
      <w:tr w14:paraId="1725E49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399" w:hRule="atLeast"/>
          <w:jc w:val="center"/>
        </w:trPr>
        <w:tc>
          <w:tcPr>
            <w:tcW w:w="826" w:type="dxa"/>
            <w:noWrap w:val="0"/>
            <w:vAlign w:val="center"/>
          </w:tcPr>
          <w:p w14:paraId="718579A5">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51" w:type="dxa"/>
            <w:noWrap w:val="0"/>
            <w:vAlign w:val="center"/>
          </w:tcPr>
          <w:p w14:paraId="241CD020">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981" w:type="dxa"/>
            <w:noWrap w:val="0"/>
            <w:vAlign w:val="center"/>
          </w:tcPr>
          <w:p w14:paraId="3CCE0D12">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称：新疆宏宇建设工程项目管理有限责任公司</w:t>
            </w:r>
          </w:p>
          <w:p w14:paraId="08783EBF">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址：克拉玛依市恒隆广场A座401-1室</w:t>
            </w:r>
          </w:p>
          <w:p w14:paraId="080B1D39">
            <w:pPr>
              <w:pageBreakBefore w:val="0"/>
              <w:shd w:val="clear"/>
              <w:kinsoku/>
              <w:overflowPunct/>
              <w:topLinePunct w:val="0"/>
              <w:autoSpaceDE/>
              <w:autoSpaceDN/>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陈晨 王香艳</w:t>
            </w:r>
          </w:p>
          <w:p w14:paraId="50135396">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0990-6608599</w:t>
            </w:r>
          </w:p>
        </w:tc>
      </w:tr>
      <w:tr w14:paraId="008E32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6" w:type="dxa"/>
            <w:noWrap w:val="0"/>
            <w:vAlign w:val="center"/>
          </w:tcPr>
          <w:p w14:paraId="47DEFB0D">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51" w:type="dxa"/>
            <w:noWrap w:val="0"/>
            <w:vAlign w:val="center"/>
          </w:tcPr>
          <w:p w14:paraId="48DA5869">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c>
        <w:tc>
          <w:tcPr>
            <w:tcW w:w="6981" w:type="dxa"/>
            <w:noWrap w:val="0"/>
            <w:vAlign w:val="center"/>
          </w:tcPr>
          <w:p w14:paraId="314E2668">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克拉玛依区各委办局视频监控运维项目</w:t>
            </w:r>
          </w:p>
        </w:tc>
      </w:tr>
      <w:tr w14:paraId="4EAEDE2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8" w:hRule="atLeast"/>
          <w:jc w:val="center"/>
        </w:trPr>
        <w:tc>
          <w:tcPr>
            <w:tcW w:w="826" w:type="dxa"/>
            <w:noWrap w:val="0"/>
            <w:vAlign w:val="center"/>
          </w:tcPr>
          <w:p w14:paraId="6155D5A7">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251" w:type="dxa"/>
            <w:noWrap w:val="0"/>
            <w:vAlign w:val="center"/>
          </w:tcPr>
          <w:p w14:paraId="2DFBB504">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采购文件编号</w:t>
            </w:r>
          </w:p>
        </w:tc>
        <w:tc>
          <w:tcPr>
            <w:tcW w:w="6981" w:type="dxa"/>
            <w:noWrap w:val="0"/>
            <w:vAlign w:val="center"/>
          </w:tcPr>
          <w:p w14:paraId="2667C677">
            <w:pPr>
              <w:pageBreakBefore w:val="0"/>
              <w:shd w:val="clear"/>
              <w:kinsoku/>
              <w:overflowPunct/>
              <w:topLinePunct w:val="0"/>
              <w:autoSpaceDE/>
              <w:autoSpaceDN/>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HYGS-ZC-2025-69</w:t>
            </w:r>
          </w:p>
        </w:tc>
      </w:tr>
      <w:tr w14:paraId="7548874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26" w:type="dxa"/>
            <w:noWrap w:val="0"/>
            <w:vAlign w:val="center"/>
          </w:tcPr>
          <w:p w14:paraId="46B60A01">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251" w:type="dxa"/>
            <w:noWrap w:val="0"/>
            <w:vAlign w:val="center"/>
          </w:tcPr>
          <w:p w14:paraId="638E6658">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最终资金来源</w:t>
            </w:r>
          </w:p>
        </w:tc>
        <w:tc>
          <w:tcPr>
            <w:tcW w:w="6981" w:type="dxa"/>
            <w:noWrap w:val="0"/>
            <w:vAlign w:val="center"/>
          </w:tcPr>
          <w:p w14:paraId="6E118A8A">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财政资金</w:t>
            </w:r>
          </w:p>
        </w:tc>
      </w:tr>
      <w:tr w14:paraId="7DC7CA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826" w:type="dxa"/>
            <w:noWrap w:val="0"/>
            <w:vAlign w:val="center"/>
          </w:tcPr>
          <w:p w14:paraId="55A833FF">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251" w:type="dxa"/>
            <w:noWrap w:val="0"/>
            <w:vAlign w:val="center"/>
          </w:tcPr>
          <w:p w14:paraId="5F5220CB">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采购项目预算金额</w:t>
            </w:r>
          </w:p>
        </w:tc>
        <w:tc>
          <w:tcPr>
            <w:tcW w:w="6981" w:type="dxa"/>
            <w:noWrap w:val="0"/>
            <w:vAlign w:val="center"/>
          </w:tcPr>
          <w:p w14:paraId="5C394B59">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i w:val="0"/>
                <w:color w:val="auto"/>
                <w:kern w:val="2"/>
                <w:sz w:val="24"/>
                <w:szCs w:val="24"/>
                <w:highlight w:val="none"/>
                <w:lang w:val="en-US" w:eastAsia="zh-CN" w:bidi="ar-SA"/>
              </w:rPr>
              <w:t>54.6739</w:t>
            </w:r>
            <w:r>
              <w:rPr>
                <w:rFonts w:hint="eastAsia" w:ascii="仿宋" w:hAnsi="仿宋" w:eastAsia="仿宋" w:cs="仿宋"/>
                <w:color w:val="auto"/>
                <w:sz w:val="24"/>
                <w:highlight w:val="none"/>
                <w:lang w:val="en-US" w:eastAsia="zh-CN"/>
              </w:rPr>
              <w:t>万元</w:t>
            </w:r>
          </w:p>
        </w:tc>
      </w:tr>
      <w:tr w14:paraId="251B6C7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826" w:type="dxa"/>
            <w:noWrap w:val="0"/>
            <w:vAlign w:val="center"/>
          </w:tcPr>
          <w:p w14:paraId="054F1424">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251" w:type="dxa"/>
            <w:noWrap w:val="0"/>
            <w:vAlign w:val="center"/>
          </w:tcPr>
          <w:p w14:paraId="7C17AD2D">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p>
        </w:tc>
        <w:tc>
          <w:tcPr>
            <w:tcW w:w="6981" w:type="dxa"/>
            <w:noWrap w:val="0"/>
            <w:vAlign w:val="center"/>
          </w:tcPr>
          <w:p w14:paraId="5988DD25">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p>
        </w:tc>
      </w:tr>
      <w:tr w14:paraId="15D18B5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26" w:type="dxa"/>
            <w:noWrap w:val="0"/>
            <w:vAlign w:val="center"/>
          </w:tcPr>
          <w:p w14:paraId="5BF11A1F">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251" w:type="dxa"/>
            <w:noWrap w:val="0"/>
            <w:vAlign w:val="center"/>
          </w:tcPr>
          <w:p w14:paraId="2A460EE5">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评审方法</w:t>
            </w:r>
          </w:p>
        </w:tc>
        <w:tc>
          <w:tcPr>
            <w:tcW w:w="6981" w:type="dxa"/>
            <w:noWrap w:val="0"/>
            <w:vAlign w:val="center"/>
          </w:tcPr>
          <w:p w14:paraId="2D262374">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最低评标价法</w:t>
            </w:r>
          </w:p>
        </w:tc>
      </w:tr>
      <w:tr w14:paraId="6448ADF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1" w:hRule="atLeast"/>
          <w:jc w:val="center"/>
        </w:trPr>
        <w:tc>
          <w:tcPr>
            <w:tcW w:w="826" w:type="dxa"/>
            <w:noWrap w:val="0"/>
            <w:vAlign w:val="center"/>
          </w:tcPr>
          <w:p w14:paraId="079AD1F7">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251" w:type="dxa"/>
            <w:noWrap w:val="0"/>
            <w:vAlign w:val="center"/>
          </w:tcPr>
          <w:p w14:paraId="4F20755A">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w:t>
            </w:r>
            <w:r>
              <w:rPr>
                <w:rFonts w:hint="eastAsia" w:ascii="仿宋" w:hAnsi="仿宋" w:eastAsia="仿宋" w:cs="仿宋"/>
                <w:b w:val="0"/>
                <w:bCs w:val="0"/>
                <w:color w:val="auto"/>
                <w:sz w:val="24"/>
                <w:szCs w:val="24"/>
                <w:highlight w:val="none"/>
                <w:lang w:val="en-US" w:eastAsia="zh-CN"/>
              </w:rPr>
              <w:t>履约</w:t>
            </w:r>
            <w:r>
              <w:rPr>
                <w:rFonts w:hint="eastAsia" w:ascii="仿宋" w:hAnsi="仿宋" w:eastAsia="仿宋" w:cs="仿宋"/>
                <w:color w:val="auto"/>
                <w:sz w:val="24"/>
                <w:szCs w:val="24"/>
                <w:highlight w:val="none"/>
              </w:rPr>
              <w:t>期限</w:t>
            </w:r>
          </w:p>
        </w:tc>
        <w:tc>
          <w:tcPr>
            <w:tcW w:w="6981" w:type="dxa"/>
            <w:noWrap w:val="0"/>
            <w:vAlign w:val="center"/>
          </w:tcPr>
          <w:p w14:paraId="26690B69">
            <w:pPr>
              <w:pageBreakBefore w:val="0"/>
              <w:shd w:val="clear"/>
              <w:kinsoku/>
              <w:overflowPunct/>
              <w:topLinePunct w:val="0"/>
              <w:autoSpaceDE/>
              <w:autoSpaceDN/>
              <w:bidi w:val="0"/>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自签订之日起1年</w:t>
            </w:r>
          </w:p>
        </w:tc>
      </w:tr>
      <w:tr w14:paraId="566D0B5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826" w:type="dxa"/>
            <w:noWrap w:val="0"/>
            <w:vAlign w:val="center"/>
          </w:tcPr>
          <w:p w14:paraId="431F1C59">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251" w:type="dxa"/>
            <w:noWrap w:val="0"/>
            <w:vAlign w:val="center"/>
          </w:tcPr>
          <w:p w14:paraId="756268C2">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981" w:type="dxa"/>
            <w:noWrap w:val="0"/>
            <w:vAlign w:val="center"/>
          </w:tcPr>
          <w:p w14:paraId="2D15342A">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竞争性谈判文件</w:t>
            </w:r>
          </w:p>
        </w:tc>
      </w:tr>
      <w:tr w14:paraId="4664986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826" w:type="dxa"/>
            <w:noWrap w:val="0"/>
            <w:vAlign w:val="center"/>
          </w:tcPr>
          <w:p w14:paraId="0EB8DBE0">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251" w:type="dxa"/>
            <w:noWrap w:val="0"/>
            <w:vAlign w:val="center"/>
          </w:tcPr>
          <w:p w14:paraId="57F9EDCF">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6981" w:type="dxa"/>
            <w:noWrap w:val="0"/>
            <w:vAlign w:val="center"/>
          </w:tcPr>
          <w:p w14:paraId="276B8710">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54.6739</w:t>
            </w:r>
            <w:r>
              <w:rPr>
                <w:rFonts w:hint="eastAsia" w:ascii="仿宋" w:hAnsi="仿宋" w:eastAsia="仿宋" w:cs="仿宋"/>
                <w:color w:val="auto"/>
                <w:sz w:val="24"/>
                <w:highlight w:val="none"/>
                <w:lang w:val="en-US" w:eastAsia="zh-CN"/>
              </w:rPr>
              <w:t>万元</w:t>
            </w:r>
          </w:p>
        </w:tc>
      </w:tr>
      <w:tr w14:paraId="64C8665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45" w:hRule="atLeast"/>
          <w:jc w:val="center"/>
        </w:trPr>
        <w:tc>
          <w:tcPr>
            <w:tcW w:w="826" w:type="dxa"/>
            <w:noWrap w:val="0"/>
            <w:vAlign w:val="center"/>
          </w:tcPr>
          <w:p w14:paraId="097F7F48">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251" w:type="dxa"/>
            <w:noWrap w:val="0"/>
            <w:vAlign w:val="center"/>
          </w:tcPr>
          <w:p w14:paraId="500024DE">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6981" w:type="dxa"/>
            <w:noWrap w:val="0"/>
            <w:vAlign w:val="center"/>
          </w:tcPr>
          <w:p w14:paraId="35484EC9">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不允许联合体参加</w:t>
            </w:r>
            <w:r>
              <w:rPr>
                <w:rFonts w:hint="eastAsia" w:ascii="仿宋" w:hAnsi="仿宋" w:eastAsia="仿宋" w:cs="仿宋"/>
                <w:color w:val="auto"/>
                <w:sz w:val="24"/>
                <w:szCs w:val="24"/>
                <w:highlight w:val="none"/>
                <w:lang w:eastAsia="zh-CN"/>
              </w:rPr>
              <w:t>谈判</w:t>
            </w:r>
          </w:p>
        </w:tc>
      </w:tr>
      <w:tr w14:paraId="4273A1E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826" w:type="dxa"/>
            <w:noWrap w:val="0"/>
            <w:vAlign w:val="center"/>
          </w:tcPr>
          <w:p w14:paraId="0EC7CB4C">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251" w:type="dxa"/>
            <w:shd w:val="clear" w:color="auto" w:fill="auto"/>
            <w:noWrap w:val="0"/>
            <w:vAlign w:val="center"/>
          </w:tcPr>
          <w:p w14:paraId="0C5B2ED1">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分包</w:t>
            </w:r>
          </w:p>
        </w:tc>
        <w:tc>
          <w:tcPr>
            <w:tcW w:w="6981" w:type="dxa"/>
            <w:shd w:val="clear" w:color="auto" w:fill="auto"/>
            <w:noWrap w:val="0"/>
            <w:vAlign w:val="center"/>
          </w:tcPr>
          <w:p w14:paraId="5F61BC63">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本项目不允许分包和转包</w:t>
            </w:r>
          </w:p>
        </w:tc>
      </w:tr>
      <w:tr w14:paraId="3D9191C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6" w:type="dxa"/>
            <w:noWrap w:val="0"/>
            <w:vAlign w:val="center"/>
          </w:tcPr>
          <w:p w14:paraId="00AC4FC7">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251" w:type="dxa"/>
            <w:shd w:val="clear" w:color="auto" w:fill="auto"/>
            <w:noWrap w:val="0"/>
            <w:vAlign w:val="center"/>
          </w:tcPr>
          <w:p w14:paraId="4DC469D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构成</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的其他文件</w:t>
            </w:r>
          </w:p>
        </w:tc>
        <w:tc>
          <w:tcPr>
            <w:tcW w:w="6981" w:type="dxa"/>
            <w:shd w:val="clear" w:color="auto" w:fill="auto"/>
            <w:noWrap w:val="0"/>
            <w:vAlign w:val="center"/>
          </w:tcPr>
          <w:p w14:paraId="4DC80C0D">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的澄清、修改书及有关补充通知为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的有效组成部分</w:t>
            </w:r>
          </w:p>
        </w:tc>
      </w:tr>
      <w:tr w14:paraId="4A719CA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04" w:hRule="atLeast"/>
          <w:jc w:val="center"/>
        </w:trPr>
        <w:tc>
          <w:tcPr>
            <w:tcW w:w="826" w:type="dxa"/>
            <w:noWrap w:val="0"/>
            <w:vAlign w:val="center"/>
          </w:tcPr>
          <w:p w14:paraId="79FE3D5D">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251" w:type="dxa"/>
            <w:shd w:val="clear" w:color="auto" w:fill="auto"/>
            <w:noWrap w:val="0"/>
            <w:vAlign w:val="center"/>
          </w:tcPr>
          <w:p w14:paraId="61FBB67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6981" w:type="dxa"/>
            <w:shd w:val="clear" w:color="auto" w:fill="auto"/>
            <w:noWrap w:val="0"/>
            <w:vAlign w:val="center"/>
          </w:tcPr>
          <w:p w14:paraId="347D55F0">
            <w:pPr>
              <w:shd w:val="clea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2025年06月28日11点00分（北京时间）</w:t>
            </w:r>
          </w:p>
        </w:tc>
      </w:tr>
      <w:tr w14:paraId="2CAC3BF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826" w:type="dxa"/>
            <w:noWrap w:val="0"/>
            <w:vAlign w:val="center"/>
          </w:tcPr>
          <w:p w14:paraId="74E004F9">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251" w:type="dxa"/>
            <w:shd w:val="clear" w:color="auto" w:fill="auto"/>
            <w:noWrap w:val="0"/>
            <w:vAlign w:val="center"/>
          </w:tcPr>
          <w:p w14:paraId="1C687B7E">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有效期</w:t>
            </w:r>
          </w:p>
        </w:tc>
        <w:tc>
          <w:tcPr>
            <w:tcW w:w="6981" w:type="dxa"/>
            <w:shd w:val="clear" w:color="auto" w:fill="auto"/>
            <w:noWrap w:val="0"/>
            <w:vAlign w:val="center"/>
          </w:tcPr>
          <w:p w14:paraId="532B64B8">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截止之日起90日历天</w:t>
            </w:r>
          </w:p>
        </w:tc>
      </w:tr>
      <w:tr w14:paraId="72BFDC2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77" w:hRule="atLeast"/>
          <w:jc w:val="center"/>
        </w:trPr>
        <w:tc>
          <w:tcPr>
            <w:tcW w:w="826" w:type="dxa"/>
            <w:noWrap w:val="0"/>
            <w:vAlign w:val="center"/>
          </w:tcPr>
          <w:p w14:paraId="1550D612">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251" w:type="dxa"/>
            <w:shd w:val="clear" w:color="auto" w:fill="auto"/>
            <w:noWrap w:val="0"/>
            <w:vAlign w:val="center"/>
          </w:tcPr>
          <w:p w14:paraId="043319BC">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备选方案</w:t>
            </w:r>
          </w:p>
        </w:tc>
        <w:tc>
          <w:tcPr>
            <w:tcW w:w="6981" w:type="dxa"/>
            <w:shd w:val="clear" w:color="auto" w:fill="auto"/>
            <w:noWrap w:val="0"/>
            <w:vAlign w:val="center"/>
          </w:tcPr>
          <w:p w14:paraId="78DF6315">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不接受备选方案和多个报价</w:t>
            </w:r>
          </w:p>
        </w:tc>
      </w:tr>
      <w:tr w14:paraId="6FADD1E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4" w:hRule="atLeast"/>
          <w:jc w:val="center"/>
        </w:trPr>
        <w:tc>
          <w:tcPr>
            <w:tcW w:w="826" w:type="dxa"/>
            <w:noWrap w:val="0"/>
            <w:vAlign w:val="center"/>
          </w:tcPr>
          <w:p w14:paraId="53780DEA">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251" w:type="dxa"/>
            <w:shd w:val="clear" w:color="auto" w:fill="auto"/>
            <w:noWrap w:val="0"/>
            <w:vAlign w:val="center"/>
          </w:tcPr>
          <w:p w14:paraId="0F0315EC">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签字盖章</w:t>
            </w:r>
          </w:p>
        </w:tc>
        <w:tc>
          <w:tcPr>
            <w:tcW w:w="6981" w:type="dxa"/>
            <w:shd w:val="clear" w:color="auto" w:fill="auto"/>
            <w:noWrap w:val="0"/>
            <w:vAlign w:val="center"/>
          </w:tcPr>
          <w:p w14:paraId="71E23A03">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竞标人必须按照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的规定和要求签字、盖章</w:t>
            </w:r>
          </w:p>
        </w:tc>
      </w:tr>
      <w:tr w14:paraId="6F9E25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1" w:hRule="atLeast"/>
          <w:jc w:val="center"/>
        </w:trPr>
        <w:tc>
          <w:tcPr>
            <w:tcW w:w="826" w:type="dxa"/>
            <w:noWrap w:val="0"/>
            <w:vAlign w:val="center"/>
          </w:tcPr>
          <w:p w14:paraId="3E64F573">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2251" w:type="dxa"/>
            <w:shd w:val="clear" w:color="auto" w:fill="auto"/>
            <w:noWrap w:val="0"/>
            <w:vAlign w:val="center"/>
          </w:tcPr>
          <w:p w14:paraId="5C309E26">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响应文件份数</w:t>
            </w:r>
          </w:p>
        </w:tc>
        <w:tc>
          <w:tcPr>
            <w:tcW w:w="6981" w:type="dxa"/>
            <w:shd w:val="clear" w:color="auto" w:fill="auto"/>
            <w:noWrap w:val="0"/>
            <w:vAlign w:val="center"/>
          </w:tcPr>
          <w:p w14:paraId="02683208">
            <w:pPr>
              <w:pageBreakBefore w:val="0"/>
              <w:shd w:val="clear"/>
              <w:kinsoku/>
              <w:overflowPunct/>
              <w:topLinePunct w:val="0"/>
              <w:autoSpaceDE/>
              <w:autoSpaceDN/>
              <w:bidi w:val="0"/>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5D6B260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82" w:hRule="atLeast"/>
          <w:jc w:val="center"/>
        </w:trPr>
        <w:tc>
          <w:tcPr>
            <w:tcW w:w="826" w:type="dxa"/>
            <w:noWrap w:val="0"/>
            <w:vAlign w:val="center"/>
          </w:tcPr>
          <w:p w14:paraId="76342FC4">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2251" w:type="dxa"/>
            <w:shd w:val="clear" w:color="auto" w:fill="auto"/>
            <w:noWrap w:val="0"/>
            <w:vAlign w:val="center"/>
          </w:tcPr>
          <w:p w14:paraId="1A0331D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响应文件的装订</w:t>
            </w:r>
          </w:p>
        </w:tc>
        <w:tc>
          <w:tcPr>
            <w:tcW w:w="6981" w:type="dxa"/>
            <w:shd w:val="clear" w:color="auto" w:fill="auto"/>
            <w:noWrap w:val="0"/>
            <w:vAlign w:val="center"/>
          </w:tcPr>
          <w:p w14:paraId="168186DE">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22113D3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38" w:hRule="atLeast"/>
          <w:jc w:val="center"/>
        </w:trPr>
        <w:tc>
          <w:tcPr>
            <w:tcW w:w="826" w:type="dxa"/>
            <w:noWrap w:val="0"/>
            <w:vAlign w:val="center"/>
          </w:tcPr>
          <w:p w14:paraId="5D429E7B">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251" w:type="dxa"/>
            <w:shd w:val="clear" w:color="auto" w:fill="auto"/>
            <w:noWrap w:val="0"/>
            <w:vAlign w:val="center"/>
          </w:tcPr>
          <w:p w14:paraId="3B404AA2">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响应文件封面的标注</w:t>
            </w:r>
          </w:p>
        </w:tc>
        <w:tc>
          <w:tcPr>
            <w:tcW w:w="6981" w:type="dxa"/>
            <w:shd w:val="clear" w:color="auto" w:fill="auto"/>
            <w:noWrap w:val="0"/>
            <w:vAlign w:val="center"/>
          </w:tcPr>
          <w:p w14:paraId="73E9C60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1DFB74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17" w:hRule="atLeast"/>
          <w:jc w:val="center"/>
        </w:trPr>
        <w:tc>
          <w:tcPr>
            <w:tcW w:w="826" w:type="dxa"/>
            <w:noWrap w:val="0"/>
            <w:vAlign w:val="center"/>
          </w:tcPr>
          <w:p w14:paraId="661CCAEC">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2251" w:type="dxa"/>
            <w:shd w:val="clear" w:color="auto" w:fill="auto"/>
            <w:noWrap w:val="0"/>
            <w:vAlign w:val="center"/>
          </w:tcPr>
          <w:p w14:paraId="093AA7F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响应文件密封袋的标注</w:t>
            </w:r>
          </w:p>
        </w:tc>
        <w:tc>
          <w:tcPr>
            <w:tcW w:w="6981" w:type="dxa"/>
            <w:shd w:val="clear" w:color="auto" w:fill="auto"/>
            <w:noWrap w:val="0"/>
            <w:vAlign w:val="center"/>
          </w:tcPr>
          <w:p w14:paraId="3AE759B9">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488C534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26" w:type="dxa"/>
            <w:noWrap w:val="0"/>
            <w:vAlign w:val="center"/>
          </w:tcPr>
          <w:p w14:paraId="2620C429">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251" w:type="dxa"/>
            <w:shd w:val="clear" w:color="auto" w:fill="auto"/>
            <w:noWrap w:val="0"/>
            <w:vAlign w:val="center"/>
          </w:tcPr>
          <w:p w14:paraId="421E8FD2">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递交响应文件地点</w:t>
            </w:r>
          </w:p>
        </w:tc>
        <w:tc>
          <w:tcPr>
            <w:tcW w:w="6981" w:type="dxa"/>
            <w:shd w:val="clear" w:color="auto" w:fill="auto"/>
            <w:noWrap w:val="0"/>
            <w:vAlign w:val="center"/>
          </w:tcPr>
          <w:p w14:paraId="5A0CE15D">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Cs/>
                <w:color w:val="auto"/>
                <w:sz w:val="24"/>
                <w:highlight w:val="none"/>
                <w:u w:val="single"/>
              </w:rPr>
              <w:t>新疆政府采购网政采云平台（www.zcygov.cn）</w:t>
            </w:r>
          </w:p>
        </w:tc>
      </w:tr>
      <w:tr w14:paraId="13B03B6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6" w:type="dxa"/>
            <w:noWrap w:val="0"/>
            <w:vAlign w:val="center"/>
          </w:tcPr>
          <w:p w14:paraId="1C6DDA61">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2251" w:type="dxa"/>
            <w:shd w:val="clear" w:color="auto" w:fill="auto"/>
            <w:noWrap w:val="0"/>
            <w:vAlign w:val="center"/>
          </w:tcPr>
          <w:p w14:paraId="774DBB9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时间和地点</w:t>
            </w:r>
          </w:p>
        </w:tc>
        <w:tc>
          <w:tcPr>
            <w:tcW w:w="6981" w:type="dxa"/>
            <w:shd w:val="clear" w:color="auto" w:fill="auto"/>
            <w:noWrap w:val="0"/>
            <w:vAlign w:val="center"/>
          </w:tcPr>
          <w:p w14:paraId="2852A7ED">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时间：2025年06月28日11点00分（北京时间）</w:t>
            </w:r>
          </w:p>
          <w:p w14:paraId="1264E716">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地点：克拉玛依市恒隆广场A座41</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室</w:t>
            </w:r>
          </w:p>
        </w:tc>
      </w:tr>
      <w:tr w14:paraId="6870B42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310CA610">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2251" w:type="dxa"/>
            <w:shd w:val="clear" w:color="auto" w:fill="auto"/>
            <w:noWrap w:val="0"/>
            <w:vAlign w:val="center"/>
          </w:tcPr>
          <w:p w14:paraId="1E663699">
            <w:pPr>
              <w:shd w:val="clea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重要提示</w:t>
            </w:r>
          </w:p>
        </w:tc>
        <w:tc>
          <w:tcPr>
            <w:tcW w:w="6981" w:type="dxa"/>
            <w:shd w:val="clear" w:color="auto" w:fill="auto"/>
            <w:noWrap w:val="0"/>
            <w:vAlign w:val="center"/>
          </w:tcPr>
          <w:p w14:paraId="4B5E1D6F">
            <w:pPr>
              <w:shd w:val="clea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投标人在投标截止时间前若放弃投标的，需将弃标函在开标截止时间前发送至招标代理机构，如影响开、评标工作正常进行的，由投标人自行承担相应责任。</w:t>
            </w:r>
          </w:p>
        </w:tc>
      </w:tr>
      <w:tr w14:paraId="61EC2B6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4ECFFBDD">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2251" w:type="dxa"/>
            <w:shd w:val="clear" w:color="auto" w:fill="auto"/>
            <w:noWrap w:val="0"/>
            <w:vAlign w:val="center"/>
          </w:tcPr>
          <w:p w14:paraId="73AE8D49">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中小企业划分</w:t>
            </w:r>
          </w:p>
        </w:tc>
        <w:tc>
          <w:tcPr>
            <w:tcW w:w="6981" w:type="dxa"/>
            <w:shd w:val="clear" w:color="auto" w:fill="auto"/>
            <w:noWrap w:val="0"/>
            <w:vAlign w:val="center"/>
          </w:tcPr>
          <w:p w14:paraId="2784D0D2">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highlight w:val="none"/>
                <w:lang w:val="en-US" w:eastAsia="zh-CN"/>
              </w:rPr>
              <w:t>本项目专门面向中小企业采购，所有服务内容全部由符合政策要求的中小企业承接，中小企业行业划分为“</w:t>
            </w:r>
            <w:r>
              <w:rPr>
                <w:rFonts w:hint="eastAsia" w:ascii="仿宋" w:hAnsi="仿宋" w:eastAsia="仿宋" w:cs="仿宋"/>
                <w:b/>
                <w:bCs w:val="0"/>
                <w:color w:val="auto"/>
                <w:sz w:val="24"/>
                <w:highlight w:val="none"/>
                <w:u w:val="double"/>
                <w:lang w:val="en-US" w:eastAsia="zh-CN"/>
              </w:rPr>
              <w:t>其他未列明行业</w:t>
            </w:r>
            <w:r>
              <w:rPr>
                <w:rFonts w:hint="eastAsia" w:ascii="仿宋" w:hAnsi="仿宋" w:eastAsia="仿宋" w:cs="仿宋"/>
                <w:b/>
                <w:bCs w:val="0"/>
                <w:color w:val="auto"/>
                <w:sz w:val="24"/>
                <w:highlight w:val="none"/>
                <w:lang w:val="en-US" w:eastAsia="zh-CN"/>
              </w:rPr>
              <w:t>”。</w:t>
            </w:r>
          </w:p>
        </w:tc>
      </w:tr>
      <w:tr w14:paraId="1B2469B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254E316A">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2251" w:type="dxa"/>
            <w:shd w:val="clear" w:color="auto" w:fill="auto"/>
            <w:noWrap w:val="0"/>
            <w:vAlign w:val="center"/>
          </w:tcPr>
          <w:p w14:paraId="786B3E6C">
            <w:pPr>
              <w:shd w:val="clear"/>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招标代理费缴纳账户</w:t>
            </w:r>
          </w:p>
        </w:tc>
        <w:tc>
          <w:tcPr>
            <w:tcW w:w="6981" w:type="dxa"/>
            <w:shd w:val="clear" w:color="auto" w:fill="auto"/>
            <w:noWrap w:val="0"/>
            <w:vAlign w:val="center"/>
          </w:tcPr>
          <w:p w14:paraId="5D4D62F6">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账户名称：新疆宏宇建设工程项目管理有限责任公司克拉玛依咨询分公司</w:t>
            </w:r>
          </w:p>
          <w:p w14:paraId="3B3291C7">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地址：新疆克拉玛依市克拉玛依区新兴路339-401号（四楼）     </w:t>
            </w:r>
          </w:p>
          <w:p w14:paraId="11C9D807">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邮政编码：834000</w:t>
            </w:r>
          </w:p>
          <w:p w14:paraId="6FC6A143">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开户行：昆仑银行股份有限公司克拉玛依分行           </w:t>
            </w:r>
          </w:p>
          <w:p w14:paraId="27731016">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银行账号：88202221188980000027</w:t>
            </w:r>
          </w:p>
          <w:p w14:paraId="6D5E2241">
            <w:pPr>
              <w:shd w:val="clear"/>
              <w:spacing w:line="360" w:lineRule="exac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行号：313882000131</w:t>
            </w:r>
          </w:p>
        </w:tc>
      </w:tr>
      <w:tr w14:paraId="6C52891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73690D5F">
            <w:pPr>
              <w:pageBreakBefore w:val="0"/>
              <w:shd w:val="clear"/>
              <w:kinsoku/>
              <w:overflowPunct/>
              <w:topLinePunct w:val="0"/>
              <w:autoSpaceDE/>
              <w:autoSpaceDN/>
              <w:bidi w:val="0"/>
              <w:spacing w:line="240" w:lineRule="auto"/>
              <w:jc w:val="center"/>
              <w:rPr>
                <w:rFonts w:hint="default" w:ascii="仿宋" w:hAnsi="仿宋" w:eastAsia="仿宋" w:cs="仿宋"/>
                <w:color w:val="auto"/>
                <w:sz w:val="24"/>
                <w:szCs w:val="24"/>
                <w:highlight w:val="none"/>
                <w:lang w:val="en-US" w:eastAsia="zh-CN"/>
              </w:rPr>
            </w:pPr>
            <w:bookmarkStart w:id="44" w:name="_Toc415483390"/>
            <w:r>
              <w:rPr>
                <w:rFonts w:hint="eastAsia" w:ascii="仿宋" w:hAnsi="仿宋" w:eastAsia="仿宋" w:cs="仿宋"/>
                <w:color w:val="auto"/>
                <w:sz w:val="24"/>
                <w:szCs w:val="24"/>
                <w:highlight w:val="none"/>
                <w:lang w:val="en-US" w:eastAsia="zh-CN"/>
              </w:rPr>
              <w:t>28</w:t>
            </w:r>
          </w:p>
        </w:tc>
        <w:tc>
          <w:tcPr>
            <w:tcW w:w="2251" w:type="dxa"/>
            <w:shd w:val="clear" w:color="auto" w:fill="auto"/>
            <w:noWrap w:val="0"/>
            <w:vAlign w:val="center"/>
          </w:tcPr>
          <w:p w14:paraId="1BA997D6">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SA"/>
              </w:rPr>
              <w:t>招标代理服务费</w:t>
            </w:r>
          </w:p>
        </w:tc>
        <w:tc>
          <w:tcPr>
            <w:tcW w:w="6981" w:type="dxa"/>
            <w:shd w:val="clear" w:color="auto" w:fill="auto"/>
            <w:noWrap w:val="0"/>
            <w:vAlign w:val="center"/>
          </w:tcPr>
          <w:p w14:paraId="14F3EB95">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bCs w:val="0"/>
                <w:color w:val="auto"/>
                <w:sz w:val="24"/>
                <w:highlight w:val="none"/>
              </w:rPr>
              <w:t>本项目采购代理费由</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rPr>
              <w:t>供应商进行支付，采购代理费</w:t>
            </w:r>
            <w:r>
              <w:rPr>
                <w:rFonts w:hint="eastAsia" w:ascii="仿宋" w:hAnsi="仿宋" w:eastAsia="仿宋" w:cs="仿宋"/>
                <w:b/>
                <w:bCs w:val="0"/>
                <w:color w:val="auto"/>
                <w:sz w:val="24"/>
                <w:highlight w:val="none"/>
                <w:lang w:val="en-US" w:eastAsia="zh-CN"/>
              </w:rPr>
              <w:t>5000</w:t>
            </w:r>
            <w:r>
              <w:rPr>
                <w:rFonts w:hint="eastAsia" w:ascii="仿宋" w:hAnsi="仿宋" w:eastAsia="仿宋" w:cs="仿宋"/>
                <w:b/>
                <w:bCs w:val="0"/>
                <w:color w:val="auto"/>
                <w:sz w:val="24"/>
                <w:highlight w:val="none"/>
              </w:rPr>
              <w:t>元（大写：人民币</w:t>
            </w:r>
            <w:r>
              <w:rPr>
                <w:rFonts w:hint="eastAsia" w:ascii="仿宋" w:hAnsi="仿宋" w:eastAsia="仿宋" w:cs="仿宋"/>
                <w:b/>
                <w:bCs w:val="0"/>
                <w:color w:val="auto"/>
                <w:sz w:val="24"/>
                <w:highlight w:val="none"/>
                <w:lang w:val="en-US" w:eastAsia="zh-CN"/>
              </w:rPr>
              <w:t>伍仟</w:t>
            </w:r>
            <w:r>
              <w:rPr>
                <w:rFonts w:hint="eastAsia" w:ascii="仿宋" w:hAnsi="仿宋" w:eastAsia="仿宋" w:cs="仿宋"/>
                <w:b/>
                <w:bCs w:val="0"/>
                <w:color w:val="auto"/>
                <w:sz w:val="24"/>
                <w:highlight w:val="none"/>
              </w:rPr>
              <w:t>元整），</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rPr>
              <w:t>供应商领取</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lang w:eastAsia="zh-CN"/>
              </w:rPr>
              <w:t>通知书</w:t>
            </w:r>
            <w:r>
              <w:rPr>
                <w:rFonts w:hint="eastAsia" w:ascii="仿宋" w:hAnsi="仿宋" w:eastAsia="仿宋" w:cs="仿宋"/>
                <w:b/>
                <w:bCs w:val="0"/>
                <w:color w:val="auto"/>
                <w:sz w:val="24"/>
                <w:highlight w:val="none"/>
              </w:rPr>
              <w:t>时支付采购代理费。</w:t>
            </w:r>
          </w:p>
        </w:tc>
      </w:tr>
    </w:tbl>
    <w:p w14:paraId="4271F7B1">
      <w:pPr>
        <w:keepLines w:val="0"/>
        <w:pageBreakBefore w:val="0"/>
        <w:shd w:val="clear"/>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Style w:val="30"/>
          <w:rFonts w:hint="eastAsia" w:ascii="仿宋" w:hAnsi="仿宋" w:eastAsia="仿宋" w:cs="仿宋"/>
          <w:color w:val="auto"/>
          <w:kern w:val="0"/>
          <w:sz w:val="30"/>
          <w:szCs w:val="30"/>
          <w:highlight w:val="none"/>
          <w:lang w:val="en-US" w:eastAsia="zh-CN" w:bidi="ar-SA"/>
        </w:rPr>
        <w:t>二、</w:t>
      </w:r>
      <w:bookmarkEnd w:id="44"/>
      <w:r>
        <w:rPr>
          <w:rStyle w:val="30"/>
          <w:rFonts w:hint="eastAsia" w:ascii="仿宋" w:hAnsi="仿宋" w:eastAsia="仿宋" w:cs="仿宋"/>
          <w:color w:val="auto"/>
          <w:kern w:val="0"/>
          <w:sz w:val="30"/>
          <w:szCs w:val="30"/>
          <w:highlight w:val="none"/>
          <w:lang w:val="en-US" w:eastAsia="zh-CN" w:bidi="ar-SA"/>
        </w:rPr>
        <w:t>投标人须知</w:t>
      </w:r>
    </w:p>
    <w:p w14:paraId="53B2A5EF">
      <w:pPr>
        <w:pStyle w:val="5"/>
        <w:keepNext/>
        <w:keepLines w:val="0"/>
        <w:pageBreakBefore w:val="0"/>
        <w:widowControl/>
        <w:numPr>
          <w:ilvl w:val="0"/>
          <w:numId w:val="0"/>
        </w:numPr>
        <w:shd w:val="clear"/>
        <w:tabs>
          <w:tab w:val="clear" w:pos="720"/>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45" w:name="_Toc460703951"/>
      <w:bookmarkStart w:id="46" w:name="_Toc424211805"/>
      <w:bookmarkStart w:id="47" w:name="_Toc424059475"/>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适用范围</w:t>
      </w:r>
      <w:bookmarkEnd w:id="45"/>
      <w:bookmarkEnd w:id="46"/>
      <w:bookmarkEnd w:id="47"/>
    </w:p>
    <w:p w14:paraId="2BC643D5">
      <w:pPr>
        <w:pStyle w:val="5"/>
        <w:keepNext/>
        <w:keepLines w:val="0"/>
        <w:pageBreakBefore w:val="0"/>
        <w:widowControl/>
        <w:numPr>
          <w:ilvl w:val="0"/>
          <w:numId w:val="0"/>
        </w:numPr>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1、本谈判文件仅适用于本次采购项目。</w:t>
      </w:r>
    </w:p>
    <w:p w14:paraId="6D57D0BB">
      <w:pPr>
        <w:pStyle w:val="5"/>
        <w:keepNext/>
        <w:keepLines w:val="0"/>
        <w:pageBreakBefore w:val="0"/>
        <w:widowControl/>
        <w:numPr>
          <w:ilvl w:val="0"/>
          <w:numId w:val="0"/>
        </w:numPr>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2、本谈判文件是根据《中华人民</w:t>
      </w:r>
      <w:r>
        <w:rPr>
          <w:rFonts w:hint="eastAsia" w:ascii="仿宋" w:hAnsi="仿宋" w:eastAsia="仿宋" w:cs="仿宋"/>
          <w:b w:val="0"/>
          <w:bCs/>
          <w:color w:val="auto"/>
          <w:kern w:val="2"/>
          <w:sz w:val="24"/>
          <w:szCs w:val="24"/>
          <w:highlight w:val="none"/>
        </w:rPr>
        <w:t>共和国政府采购法》、《中华人民共和国政府采购法实施条例》、《政府采购非招标采购方式管理暂行办法》及其他相关法律、法规编制。</w:t>
      </w:r>
      <w:bookmarkStart w:id="48" w:name="_Toc239822484"/>
      <w:bookmarkStart w:id="49" w:name="_Toc239822599"/>
      <w:bookmarkStart w:id="50" w:name="_Toc460703953"/>
      <w:bookmarkStart w:id="51" w:name="_Toc424211807"/>
      <w:bookmarkStart w:id="52" w:name="_Toc424059477"/>
    </w:p>
    <w:p w14:paraId="5F2F85C4">
      <w:pPr>
        <w:pStyle w:val="5"/>
        <w:keepNext/>
        <w:keepLines w:val="0"/>
        <w:pageBreakBefore w:val="0"/>
        <w:widowControl/>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项目概况：</w:t>
      </w:r>
    </w:p>
    <w:p w14:paraId="25DE25E5">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highlight w:val="none"/>
          <w:lang w:eastAsia="zh-CN"/>
        </w:rPr>
        <w:t>克拉玛依区各委办局视频监控运维项目</w:t>
      </w:r>
    </w:p>
    <w:p w14:paraId="4CC50ED8">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SA"/>
        </w:rPr>
        <w:t>采购范围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克拉玛依区各委办局视频监控运维项目</w:t>
      </w:r>
      <w:r>
        <w:rPr>
          <w:rFonts w:hint="eastAsia" w:ascii="仿宋" w:hAnsi="仿宋" w:eastAsia="仿宋" w:cs="仿宋"/>
          <w:color w:val="auto"/>
          <w:sz w:val="24"/>
          <w:highlight w:val="none"/>
        </w:rPr>
        <w:t>应承担的所有工作内容以及合同条款、技术规范及标准、项目采购需求、</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约定的全部内容。</w:t>
      </w:r>
    </w:p>
    <w:p w14:paraId="40953E07">
      <w:pPr>
        <w:shd w:val="clea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bookmarkEnd w:id="48"/>
      <w:bookmarkEnd w:id="49"/>
      <w:r>
        <w:rPr>
          <w:rFonts w:hint="eastAsia" w:ascii="仿宋" w:hAnsi="仿宋" w:eastAsia="仿宋" w:cs="仿宋"/>
          <w:color w:val="auto"/>
          <w:kern w:val="2"/>
          <w:sz w:val="24"/>
          <w:szCs w:val="24"/>
          <w:highlight w:val="none"/>
          <w:lang w:val="en-US" w:eastAsia="zh-CN" w:bidi="ar-SA"/>
        </w:rPr>
        <w:t>合同履约期限：</w:t>
      </w:r>
      <w:r>
        <w:rPr>
          <w:rFonts w:hint="eastAsia" w:ascii="仿宋" w:hAnsi="仿宋" w:eastAsia="仿宋" w:cs="仿宋"/>
          <w:b w:val="0"/>
          <w:i w:val="0"/>
          <w:color w:val="auto"/>
          <w:kern w:val="2"/>
          <w:sz w:val="24"/>
          <w:szCs w:val="24"/>
          <w:highlight w:val="none"/>
          <w:lang w:val="en-US" w:eastAsia="zh-CN" w:bidi="ar-SA"/>
        </w:rPr>
        <w:t>自签订之日起1年</w:t>
      </w:r>
    </w:p>
    <w:p w14:paraId="537938A4">
      <w:pPr>
        <w:pStyle w:val="5"/>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合格的供应商应符合以下条件</w:t>
      </w:r>
      <w:bookmarkEnd w:id="50"/>
      <w:bookmarkEnd w:id="51"/>
      <w:bookmarkEnd w:id="52"/>
    </w:p>
    <w:p w14:paraId="14216A26">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bookmarkStart w:id="53" w:name="_Toc239822600"/>
      <w:bookmarkStart w:id="54" w:name="_Toc239822485"/>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公告”规定的条件；</w:t>
      </w:r>
    </w:p>
    <w:p w14:paraId="01F8B10B">
      <w:pPr>
        <w:pStyle w:val="5"/>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55" w:name="_Toc460703954"/>
      <w:bookmarkStart w:id="56" w:name="_Toc424059478"/>
      <w:bookmarkStart w:id="57" w:name="_Toc424211808"/>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费用</w:t>
      </w:r>
      <w:bookmarkEnd w:id="53"/>
      <w:bookmarkEnd w:id="54"/>
      <w:bookmarkEnd w:id="55"/>
      <w:bookmarkEnd w:id="56"/>
      <w:bookmarkEnd w:id="57"/>
    </w:p>
    <w:p w14:paraId="1B096809">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供应商应自行承担所有与准备和参加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有关的费用。不论采购结果如何，采购单位对上述费用不负任何责任。</w:t>
      </w:r>
    </w:p>
    <w:p w14:paraId="51F64CEA">
      <w:pPr>
        <w:pStyle w:val="5"/>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58" w:name="_Toc424211809"/>
      <w:bookmarkStart w:id="59" w:name="_Toc424059479"/>
      <w:bookmarkStart w:id="60" w:name="_Toc460703955"/>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代理服务费</w:t>
      </w:r>
      <w:bookmarkEnd w:id="58"/>
      <w:bookmarkEnd w:id="59"/>
      <w:r>
        <w:rPr>
          <w:rFonts w:hint="eastAsia" w:ascii="仿宋" w:hAnsi="仿宋" w:eastAsia="仿宋" w:cs="仿宋"/>
          <w:color w:val="auto"/>
          <w:sz w:val="24"/>
          <w:szCs w:val="24"/>
          <w:highlight w:val="none"/>
        </w:rPr>
        <w:t xml:space="preserve"> </w:t>
      </w:r>
      <w:bookmarkEnd w:id="60"/>
    </w:p>
    <w:p w14:paraId="63C03F02">
      <w:pPr>
        <w:pStyle w:val="5"/>
        <w:keepNext/>
        <w:keepLines w:val="0"/>
        <w:pageBreakBefore w:val="0"/>
        <w:widowControl/>
        <w:numPr>
          <w:ilvl w:val="0"/>
          <w:numId w:val="0"/>
        </w:numPr>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bookmarkStart w:id="61" w:name="_Toc424059480"/>
      <w:bookmarkStart w:id="62" w:name="_Toc460703956"/>
      <w:bookmarkStart w:id="63" w:name="_Toc424211810"/>
      <w:r>
        <w:rPr>
          <w:rFonts w:hint="eastAsia" w:ascii="仿宋" w:hAnsi="仿宋" w:eastAsia="仿宋" w:cs="仿宋"/>
          <w:b w:val="0"/>
          <w:color w:val="auto"/>
          <w:kern w:val="2"/>
          <w:sz w:val="24"/>
          <w:szCs w:val="24"/>
          <w:highlight w:val="none"/>
          <w:lang w:val="en-US" w:eastAsia="zh-CN" w:bidi="ar-SA"/>
        </w:rPr>
        <w:t>本项目采购代理费由成交供应商进行支付，采购代理费5000元（大写：人民币伍仟元整），成交供应商领取成交通知书时支付采购代理费。</w:t>
      </w:r>
    </w:p>
    <w:p w14:paraId="11E3F1FD">
      <w:pPr>
        <w:pStyle w:val="5"/>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竞争性</w:t>
      </w:r>
      <w:bookmarkEnd w:id="61"/>
      <w:bookmarkEnd w:id="62"/>
      <w:bookmarkEnd w:id="63"/>
      <w:r>
        <w:rPr>
          <w:rFonts w:hint="eastAsia" w:ascii="仿宋" w:hAnsi="仿宋" w:eastAsia="仿宋" w:cs="仿宋"/>
          <w:color w:val="auto"/>
          <w:sz w:val="24"/>
          <w:szCs w:val="24"/>
          <w:highlight w:val="none"/>
          <w:lang w:eastAsia="zh-CN"/>
        </w:rPr>
        <w:t>谈判</w:t>
      </w:r>
    </w:p>
    <w:p w14:paraId="5E09CB7D">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是指采购人、政府采购代理机构通过组建竞争性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小组与符合条件的供应商就采购服务事宜进行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，供应商按照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的要求提交响应文件和报价，采购人从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小组评审后提出的候选供应商名单中确定成交供应商的采购方式。</w:t>
      </w:r>
      <w:bookmarkStart w:id="64" w:name="_Toc460703957"/>
      <w:bookmarkStart w:id="65" w:name="_Toc239822487"/>
      <w:bookmarkStart w:id="66" w:name="_Toc239822602"/>
    </w:p>
    <w:p w14:paraId="5C722A52">
      <w:pPr>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（七）采购有关规定</w:t>
      </w:r>
    </w:p>
    <w:p w14:paraId="02791B8E">
      <w:pPr>
        <w:keepLines w:val="0"/>
        <w:pageBreakBefore w:val="0"/>
        <w:numPr>
          <w:ilvl w:val="0"/>
          <w:numId w:val="0"/>
        </w:numPr>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1、供应商负责人为同一人或者存在直接控股、管理关系的不同供应商，不得参加同一合同项下的政府采购活动。</w:t>
      </w:r>
    </w:p>
    <w:p w14:paraId="00E7295A">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2、为采购项目提供整体设计、规范编制或者项目管理、监理、检测等服务的供应商，不得再参加该采购项目的其他采购活动。</w:t>
      </w:r>
    </w:p>
    <w:p w14:paraId="1826D5A6">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3、在单一品目的货物采购中，同一品牌同一型号的产品有多家供应商参加采购，只能按照一家供应商计算。</w:t>
      </w:r>
    </w:p>
    <w:p w14:paraId="55C57DD9">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4、同一分包的货物，制造商参与采购的，不得再委托代理商参与采购。</w:t>
      </w:r>
    </w:p>
    <w:p w14:paraId="7C0595E2">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5、回避。政府采购活动中，采购人员及相关人员与供应商有下列利害关系之一的，应当回避：</w:t>
      </w:r>
    </w:p>
    <w:p w14:paraId="68EAD273">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5.1参加采购活动前3年内与供应商存在劳动关系；</w:t>
      </w:r>
    </w:p>
    <w:p w14:paraId="74646C19">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5.2参加采购活动前3年内担任供应商的董事、监事；</w:t>
      </w:r>
    </w:p>
    <w:p w14:paraId="03559CF8">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5.3参加采购活动前3年内是供应商的控股股东或者实际控制人；</w:t>
      </w:r>
    </w:p>
    <w:p w14:paraId="368A718B">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5.4与供应商的法定代表人或者负责人有夫妻、直系血亲、三代以内旁系血亲或者近姻亲关系；</w:t>
      </w:r>
    </w:p>
    <w:p w14:paraId="457592BA">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5.5与供应商有其他可能影响政府采购活动公平、公正进行的关系。</w:t>
      </w:r>
    </w:p>
    <w:p w14:paraId="3FB78DED">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小组成员。</w:t>
      </w:r>
    </w:p>
    <w:p w14:paraId="78E936F9">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56026297">
      <w:pPr>
        <w:keepLines w:val="0"/>
        <w:pageBreakBefore w:val="0"/>
        <w:shd w:val="clear"/>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三、谈判文件说明</w:t>
      </w:r>
      <w:bookmarkEnd w:id="64"/>
      <w:bookmarkEnd w:id="65"/>
      <w:bookmarkEnd w:id="66"/>
    </w:p>
    <w:p w14:paraId="3A6D5987">
      <w:pPr>
        <w:pStyle w:val="5"/>
        <w:keepLines w:val="0"/>
        <w:pageBreakBefore w:val="0"/>
        <w:numPr>
          <w:ilvl w:val="0"/>
          <w:numId w:val="0"/>
        </w:numPr>
        <w:shd w:val="clear"/>
        <w:kinsoku/>
        <w:wordWrap/>
        <w:overflowPunct/>
        <w:topLinePunct w:val="0"/>
        <w:autoSpaceDE/>
        <w:autoSpaceDN/>
        <w:bidi w:val="0"/>
        <w:adjustRightInd/>
        <w:spacing w:line="360" w:lineRule="auto"/>
        <w:ind w:leftChars="0"/>
        <w:textAlignment w:val="auto"/>
        <w:rPr>
          <w:rFonts w:hint="eastAsia" w:ascii="仿宋" w:hAnsi="仿宋" w:eastAsia="仿宋" w:cs="仿宋"/>
          <w:color w:val="auto"/>
          <w:sz w:val="24"/>
          <w:szCs w:val="24"/>
          <w:highlight w:val="none"/>
        </w:rPr>
      </w:pPr>
      <w:bookmarkStart w:id="67" w:name="_Toc239822488"/>
      <w:bookmarkStart w:id="68" w:name="_Toc424059482"/>
      <w:bookmarkStart w:id="69" w:name="_Toc239822603"/>
      <w:bookmarkStart w:id="70" w:name="_Toc460703958"/>
      <w:bookmarkStart w:id="71" w:name="_Toc424211812"/>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概述</w:t>
      </w:r>
      <w:bookmarkEnd w:id="67"/>
      <w:bookmarkEnd w:id="68"/>
      <w:bookmarkEnd w:id="69"/>
      <w:bookmarkEnd w:id="70"/>
      <w:bookmarkEnd w:id="71"/>
    </w:p>
    <w:p w14:paraId="5F17247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阐明了供应商所需提供项目范围和项目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的程序，是本次采购活动具有法律效力的文件。</w:t>
      </w:r>
    </w:p>
    <w:p w14:paraId="29BBB124">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供应商应认真阅读</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中所有的事项、格式条款和规范等要求。供应商没有按照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要求提交资料，或者响应文件没有对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做出实质性响应而导致发生影响竞争、响应文件被拒绝或按照无效标处理的不利后果，由供应商自行承担相关风险。</w:t>
      </w:r>
      <w:bookmarkStart w:id="72" w:name="_Toc239649748"/>
      <w:bookmarkStart w:id="73" w:name="_Toc239822489"/>
      <w:bookmarkStart w:id="74" w:name="_Toc424059483"/>
      <w:bookmarkStart w:id="75" w:name="_Toc239648850"/>
      <w:bookmarkStart w:id="76" w:name="_Toc239650584"/>
      <w:bookmarkStart w:id="77" w:name="_Toc460703959"/>
      <w:bookmarkStart w:id="78" w:name="_Toc239649296"/>
      <w:bookmarkStart w:id="79" w:name="_Toc239822604"/>
      <w:bookmarkStart w:id="80" w:name="_Toc239648584"/>
      <w:bookmarkStart w:id="81" w:name="_Toc239651303"/>
      <w:bookmarkStart w:id="82" w:name="_Toc424211813"/>
      <w:bookmarkStart w:id="83" w:name="_Toc239649372"/>
    </w:p>
    <w:p w14:paraId="65D43115">
      <w:pPr>
        <w:keepLines w:val="0"/>
        <w:pageBreakBefore w:val="0"/>
        <w:shd w:val="clear"/>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（二）谈判文件</w:t>
      </w:r>
      <w:r>
        <w:rPr>
          <w:rFonts w:hint="eastAsia" w:ascii="仿宋" w:hAnsi="仿宋" w:eastAsia="仿宋" w:cs="仿宋"/>
          <w:b/>
          <w:bCs/>
          <w:color w:val="auto"/>
          <w:sz w:val="24"/>
          <w:szCs w:val="24"/>
          <w:highlight w:val="none"/>
        </w:rPr>
        <w:t>的构成</w:t>
      </w:r>
      <w:bookmarkEnd w:id="72"/>
      <w:bookmarkEnd w:id="73"/>
      <w:bookmarkEnd w:id="74"/>
      <w:bookmarkEnd w:id="75"/>
      <w:bookmarkEnd w:id="76"/>
      <w:bookmarkEnd w:id="77"/>
      <w:bookmarkEnd w:id="78"/>
      <w:bookmarkEnd w:id="79"/>
      <w:bookmarkEnd w:id="80"/>
      <w:bookmarkEnd w:id="81"/>
      <w:bookmarkEnd w:id="82"/>
      <w:bookmarkEnd w:id="83"/>
    </w:p>
    <w:p w14:paraId="7FAA33AC">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总目录所列内容组成（不限于）：</w:t>
      </w:r>
    </w:p>
    <w:p w14:paraId="08E008F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84" w:name="_Toc239822490"/>
      <w:bookmarkStart w:id="85" w:name="_Toc239651304"/>
      <w:bookmarkStart w:id="86" w:name="_Toc239648851"/>
      <w:bookmarkStart w:id="87" w:name="_Toc239649749"/>
      <w:bookmarkStart w:id="88" w:name="_Toc239649373"/>
      <w:bookmarkStart w:id="89" w:name="_Toc239648585"/>
      <w:bookmarkStart w:id="90" w:name="_Toc239822605"/>
      <w:bookmarkStart w:id="91" w:name="_Toc239650585"/>
      <w:bookmarkStart w:id="92" w:name="_Toc239649297"/>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公告；</w:t>
      </w:r>
    </w:p>
    <w:p w14:paraId="3CFA31C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0336D8F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采购项目需求书；</w:t>
      </w:r>
    </w:p>
    <w:p w14:paraId="7605141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合同主要条款；</w:t>
      </w:r>
    </w:p>
    <w:p w14:paraId="5FB69EAC">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附件。</w:t>
      </w:r>
      <w:bookmarkStart w:id="93" w:name="_Toc424211814"/>
      <w:bookmarkStart w:id="94" w:name="_Toc424059484"/>
      <w:bookmarkStart w:id="95" w:name="_Toc460703960"/>
    </w:p>
    <w:p w14:paraId="1E1E43AA">
      <w:pPr>
        <w:keepLines w:val="0"/>
        <w:pageBreakBefore w:val="0"/>
        <w:shd w:val="clear"/>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（三）谈判文件</w:t>
      </w:r>
      <w:r>
        <w:rPr>
          <w:rFonts w:hint="eastAsia" w:ascii="仿宋" w:hAnsi="仿宋" w:eastAsia="仿宋" w:cs="仿宋"/>
          <w:b/>
          <w:bCs/>
          <w:color w:val="auto"/>
          <w:sz w:val="24"/>
          <w:szCs w:val="24"/>
          <w:highlight w:val="none"/>
        </w:rPr>
        <w:t>的澄清或修改</w:t>
      </w:r>
      <w:bookmarkEnd w:id="84"/>
      <w:bookmarkEnd w:id="85"/>
      <w:bookmarkEnd w:id="86"/>
      <w:bookmarkEnd w:id="87"/>
      <w:bookmarkEnd w:id="88"/>
      <w:bookmarkEnd w:id="89"/>
      <w:bookmarkEnd w:id="90"/>
      <w:bookmarkEnd w:id="91"/>
      <w:bookmarkEnd w:id="92"/>
      <w:bookmarkEnd w:id="93"/>
      <w:bookmarkEnd w:id="94"/>
      <w:bookmarkEnd w:id="95"/>
    </w:p>
    <w:p w14:paraId="17A3865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提交首次响应文件截止之日前，采购人、采购代理机构或者</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小组可以对已发出的</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进行必要的澄清或者修改，澄清或者修改的内容作为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的组成部分。澄清或者修改的内容影响响应文件编制的，采购人、采购代理机构应当在提交首次响应文件截止时间至少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日前，通知所有获取</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的供应商；不足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日的，采购人、采购代理机构应当顺延提交首次响应文件截止时间。</w:t>
      </w:r>
    </w:p>
    <w:p w14:paraId="2D8ABD3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的澄清或修改将以发布澄清或变更公告为准（同招标公告发布网站），所有供应商应关注网站及时查看，采购人不再进行书面或其他形式通知，未看变更或澄清公告并由此导致的一切后果均由投标供应商自负。</w:t>
      </w:r>
    </w:p>
    <w:p w14:paraId="58B09E2D">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有多次澄清或修改时，以最后发出的澄清或修改公告为准。</w:t>
      </w:r>
    </w:p>
    <w:p w14:paraId="71A7B562">
      <w:pPr>
        <w:keepLines w:val="0"/>
        <w:pageBreakBefore w:val="0"/>
        <w:shd w:val="clear"/>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bookmarkStart w:id="96" w:name="_Toc460703961"/>
      <w:bookmarkStart w:id="97" w:name="_Toc239822606"/>
      <w:bookmarkStart w:id="98" w:name="_Toc239822491"/>
      <w:bookmarkStart w:id="99" w:name="_Toc239649299"/>
      <w:bookmarkStart w:id="100" w:name="_Toc239649751"/>
      <w:bookmarkStart w:id="101" w:name="_Toc239649375"/>
      <w:bookmarkStart w:id="102" w:name="_Toc239648587"/>
      <w:bookmarkStart w:id="103" w:name="_Toc239650587"/>
      <w:bookmarkStart w:id="104" w:name="_Toc239822492"/>
      <w:bookmarkStart w:id="105" w:name="_Toc239648853"/>
      <w:bookmarkStart w:id="106" w:name="_Toc239822607"/>
      <w:bookmarkStart w:id="107" w:name="_Toc239651306"/>
      <w:r>
        <w:rPr>
          <w:rStyle w:val="30"/>
          <w:rFonts w:hint="eastAsia" w:ascii="仿宋" w:hAnsi="仿宋" w:eastAsia="仿宋" w:cs="仿宋"/>
          <w:color w:val="auto"/>
          <w:kern w:val="0"/>
          <w:sz w:val="30"/>
          <w:szCs w:val="30"/>
          <w:highlight w:val="none"/>
          <w:lang w:val="en-US" w:eastAsia="zh-CN" w:bidi="ar-SA"/>
        </w:rPr>
        <w:t>四、响应文件的编写与递交</w:t>
      </w:r>
      <w:bookmarkEnd w:id="96"/>
      <w:bookmarkEnd w:id="97"/>
      <w:bookmarkEnd w:id="98"/>
    </w:p>
    <w:p w14:paraId="2E837565">
      <w:pPr>
        <w:pStyle w:val="5"/>
        <w:keepLines w:val="0"/>
        <w:pageBreakBefore w:val="0"/>
        <w:numPr>
          <w:ilvl w:val="0"/>
          <w:numId w:val="0"/>
        </w:numPr>
        <w:shd w:val="clear"/>
        <w:kinsoku/>
        <w:wordWrap/>
        <w:overflowPunct/>
        <w:topLinePunct w:val="0"/>
        <w:autoSpaceDE/>
        <w:autoSpaceDN/>
        <w:bidi w:val="0"/>
        <w:adjustRightInd/>
        <w:spacing w:line="360" w:lineRule="auto"/>
        <w:ind w:leftChars="0"/>
        <w:textAlignment w:val="auto"/>
        <w:rPr>
          <w:rFonts w:hint="eastAsia" w:ascii="仿宋" w:hAnsi="仿宋" w:eastAsia="仿宋" w:cs="仿宋"/>
          <w:color w:val="auto"/>
          <w:sz w:val="24"/>
          <w:szCs w:val="24"/>
          <w:highlight w:val="none"/>
        </w:rPr>
      </w:pPr>
      <w:bookmarkStart w:id="108" w:name="_Toc460703962"/>
      <w:bookmarkStart w:id="109" w:name="_Toc424211816"/>
      <w:bookmarkStart w:id="110" w:name="_Toc424059486"/>
      <w:r>
        <w:rPr>
          <w:rFonts w:hint="eastAsia" w:ascii="仿宋" w:hAnsi="仿宋" w:eastAsia="仿宋" w:cs="仿宋"/>
          <w:color w:val="auto"/>
          <w:sz w:val="24"/>
          <w:szCs w:val="24"/>
          <w:highlight w:val="none"/>
          <w:lang w:eastAsia="zh-CN"/>
        </w:rPr>
        <w:t>（一）</w:t>
      </w:r>
      <w:bookmarkEnd w:id="99"/>
      <w:bookmarkEnd w:id="100"/>
      <w:bookmarkEnd w:id="101"/>
      <w:bookmarkEnd w:id="102"/>
      <w:bookmarkEnd w:id="103"/>
      <w:bookmarkEnd w:id="104"/>
      <w:bookmarkEnd w:id="105"/>
      <w:bookmarkEnd w:id="106"/>
      <w:bookmarkEnd w:id="107"/>
      <w:bookmarkEnd w:id="108"/>
      <w:bookmarkEnd w:id="109"/>
      <w:bookmarkEnd w:id="110"/>
      <w:r>
        <w:rPr>
          <w:rFonts w:hint="eastAsia" w:ascii="仿宋" w:hAnsi="仿宋" w:eastAsia="仿宋" w:cs="仿宋"/>
          <w:b/>
          <w:bCs/>
          <w:color w:val="auto"/>
          <w:sz w:val="24"/>
          <w:highlight w:val="none"/>
        </w:rPr>
        <w:t>响应文件的组成</w:t>
      </w:r>
    </w:p>
    <w:p w14:paraId="043EDA49">
      <w:pPr>
        <w:keepLines w:val="0"/>
        <w:pageBreakBefore w:val="0"/>
        <w:shd w:val="clear"/>
        <w:kinsoku/>
        <w:wordWrap/>
        <w:overflowPunct/>
        <w:topLinePunct w:val="0"/>
        <w:autoSpaceDE/>
        <w:autoSpaceDN/>
        <w:bidi w:val="0"/>
        <w:adjustRightInd/>
        <w:spacing w:line="36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供应商必须严格按下列内容和顺序自编目录并标注响应文件页码后装订成册，响应文件应包括以下部分（缺少任何一项证明文件，供应商将承担其响应文件无效的风险：</w:t>
      </w:r>
    </w:p>
    <w:p w14:paraId="65512B21">
      <w:pPr>
        <w:shd w:val="clear"/>
        <w:spacing w:line="360" w:lineRule="auto"/>
        <w:ind w:firstLine="482" w:firstLineChars="200"/>
        <w:rPr>
          <w:rFonts w:hint="eastAsia" w:ascii="仿宋" w:hAnsi="仿宋" w:eastAsia="仿宋" w:cs="仿宋"/>
          <w:b/>
          <w:color w:val="auto"/>
          <w:sz w:val="24"/>
          <w:szCs w:val="24"/>
          <w:highlight w:val="none"/>
        </w:rPr>
      </w:pPr>
      <w:bookmarkStart w:id="111" w:name="_Toc239822493"/>
      <w:bookmarkStart w:id="112" w:name="_Toc239649300"/>
      <w:bookmarkStart w:id="113" w:name="_Toc239651307"/>
      <w:bookmarkStart w:id="114" w:name="_Toc239650588"/>
      <w:bookmarkStart w:id="115" w:name="_Toc239822608"/>
      <w:bookmarkStart w:id="116" w:name="_Toc239649752"/>
      <w:bookmarkStart w:id="117" w:name="_Toc239648588"/>
      <w:bookmarkStart w:id="118" w:name="_Toc239648854"/>
      <w:bookmarkStart w:id="119" w:name="_Toc239649376"/>
      <w:r>
        <w:rPr>
          <w:rFonts w:hint="eastAsia" w:ascii="仿宋" w:hAnsi="仿宋" w:eastAsia="仿宋" w:cs="仿宋"/>
          <w:b/>
          <w:color w:val="auto"/>
          <w:sz w:val="24"/>
          <w:szCs w:val="24"/>
          <w:highlight w:val="none"/>
        </w:rPr>
        <w:t>1、商务文件：</w:t>
      </w:r>
    </w:p>
    <w:p w14:paraId="76497B4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（1）响应函（详见格式1）；</w:t>
      </w:r>
    </w:p>
    <w:p w14:paraId="46BF2E00">
      <w:pPr>
        <w:shd w:val="clea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商务报价一览表（首次）（详见格式2）；</w:t>
      </w:r>
    </w:p>
    <w:p w14:paraId="38D129B6">
      <w:pPr>
        <w:shd w:val="clea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2、技术文件：</w:t>
      </w:r>
    </w:p>
    <w:p w14:paraId="614BFB7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（1）中小企业声明函（详见格式3）</w:t>
      </w:r>
    </w:p>
    <w:p w14:paraId="1AEA7CC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（2）法定代表人资格证明书（详见格式4）；</w:t>
      </w:r>
    </w:p>
    <w:p w14:paraId="76EC370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（3）法定代表人授权书（详见格式5）；</w:t>
      </w:r>
    </w:p>
    <w:p w14:paraId="2036696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（4）供应商资格声明（详见格式6）；</w:t>
      </w:r>
    </w:p>
    <w:p w14:paraId="3DEBD84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（5）项目管理、服务及其它人员情况表（详见格式7）；</w:t>
      </w:r>
      <w:r>
        <w:rPr>
          <w:rFonts w:hint="eastAsia" w:ascii="仿宋" w:hAnsi="仿宋" w:eastAsia="仿宋" w:cs="仿宋"/>
          <w:b/>
          <w:bCs/>
          <w:color w:val="auto"/>
          <w:sz w:val="24"/>
          <w:szCs w:val="24"/>
          <w:highlight w:val="none"/>
        </w:rPr>
        <w:t>根据采购人提供的项目立项及验收技术服务内容、标准和本项目实际情况拟配置人员的具体情况。</w:t>
      </w:r>
    </w:p>
    <w:p w14:paraId="35CE7D7A">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（6）近三年（</w:t>
      </w:r>
      <w:r>
        <w:rPr>
          <w:rFonts w:hint="eastAsia" w:ascii="仿宋" w:hAnsi="仿宋" w:eastAsia="仿宋" w:cs="仿宋"/>
          <w:color w:val="auto"/>
          <w:sz w:val="24"/>
          <w:highlight w:val="none"/>
          <w:lang w:eastAsia="zh-CN"/>
        </w:rPr>
        <w:t>2022年6月1日</w:t>
      </w:r>
      <w:r>
        <w:rPr>
          <w:rFonts w:hint="eastAsia" w:ascii="仿宋" w:hAnsi="仿宋" w:eastAsia="仿宋" w:cs="仿宋"/>
          <w:color w:val="auto"/>
          <w:sz w:val="24"/>
          <w:highlight w:val="none"/>
        </w:rPr>
        <w:t>至今）同类项目业绩表（详见格式8）；</w:t>
      </w:r>
    </w:p>
    <w:p w14:paraId="72E444C9">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）资格性/符合性自查表（详见文件格式</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p>
    <w:p w14:paraId="32EDC36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）政府采购领域诚信承诺书（详见文件格式</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p>
    <w:p w14:paraId="4DDD63D5">
      <w:pPr>
        <w:shd w:val="clea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）投标人关联声明函（详见文件格式</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5D41410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）供应商根据政府采购公告中提供相应的证明材料；</w:t>
      </w:r>
    </w:p>
    <w:p w14:paraId="5CD22542">
      <w:pPr>
        <w:pStyle w:val="23"/>
        <w:shd w:val="clear" w:color="auto"/>
        <w:spacing w:before="75" w:beforeAutospacing="0" w:after="75" w:afterAutospacing="0" w:line="36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SA"/>
        </w:rPr>
        <w:t>①提供投标截止日前六个月任意一个月依法缴纳税收和社会保障资金的良好记录的证明材料（附复印件）；（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4443593A">
      <w:pPr>
        <w:pStyle w:val="23"/>
        <w:shd w:val="clear" w:color="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提供（2023或2024年度）经审计财务会计报告或企业财务报表（至少包括包资产负债表）或基本开户银行出具的资信证明。供应商注册时间截至响应文件递交截止日不足一年的，也可提供在相关主管部门备案的公司章程复印件；</w:t>
      </w:r>
    </w:p>
    <w:p w14:paraId="1B550762">
      <w:pPr>
        <w:pStyle w:val="23"/>
        <w:shd w:val="clear" w:color="auto"/>
        <w:spacing w:before="75" w:beforeAutospacing="0" w:after="75" w:afterAutospacing="0"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③</w:t>
      </w:r>
      <w:bookmarkStart w:id="216" w:name="_GoBack"/>
      <w:bookmarkEnd w:id="216"/>
      <w:r>
        <w:rPr>
          <w:rFonts w:hint="eastAsia" w:ascii="仿宋" w:hAnsi="仿宋" w:eastAsia="仿宋" w:cs="仿宋"/>
          <w:color w:val="auto"/>
          <w:kern w:val="2"/>
          <w:sz w:val="24"/>
          <w:szCs w:val="24"/>
          <w:highlight w:val="none"/>
          <w:lang w:val="en-US" w:eastAsia="zh-CN" w:bidi="ar-SA"/>
        </w:rPr>
        <w:t>法律、行政法规、本采购文件规定的其他条件。</w:t>
      </w:r>
      <w:r>
        <w:rPr>
          <w:rFonts w:hint="eastAsia" w:ascii="仿宋" w:hAnsi="仿宋" w:eastAsia="仿宋" w:cs="仿宋"/>
          <w:b/>
          <w:bCs/>
          <w:color w:val="auto"/>
          <w:sz w:val="24"/>
          <w:highlight w:val="none"/>
          <w:lang w:eastAsia="zh-CN"/>
        </w:rPr>
        <w:t>）</w:t>
      </w:r>
    </w:p>
    <w:p w14:paraId="6E1A333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lang w:eastAsia="zh-CN"/>
        </w:rPr>
        <w:t>方案</w:t>
      </w:r>
      <w:r>
        <w:rPr>
          <w:rFonts w:hint="eastAsia" w:ascii="仿宋" w:hAnsi="仿宋" w:eastAsia="仿宋" w:cs="仿宋"/>
          <w:color w:val="auto"/>
          <w:sz w:val="24"/>
          <w:highlight w:val="none"/>
        </w:rPr>
        <w:t>；</w:t>
      </w:r>
    </w:p>
    <w:p w14:paraId="61B2644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）体现企业组织能力、管理水平、技术力量、设备配备的相关证明资料；</w:t>
      </w:r>
    </w:p>
    <w:p w14:paraId="01D7772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）其它与本项目有关的能证明企业实力的各项证明资料。</w:t>
      </w:r>
    </w:p>
    <w:p w14:paraId="356F7667">
      <w:pPr>
        <w:pStyle w:val="15"/>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（14）谈判</w:t>
      </w:r>
      <w:r>
        <w:rPr>
          <w:rFonts w:hint="eastAsia" w:ascii="仿宋" w:hAnsi="仿宋" w:eastAsia="仿宋" w:cs="仿宋"/>
          <w:color w:val="auto"/>
          <w:sz w:val="24"/>
          <w:szCs w:val="24"/>
          <w:highlight w:val="none"/>
        </w:rPr>
        <w:t>文件要求提供的其它材料以及供应商认为需要提交的材料。</w:t>
      </w:r>
    </w:p>
    <w:p w14:paraId="3CFC4442">
      <w:pPr>
        <w:shd w:val="clear"/>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特别说明：①上述各种证件、证书复印件须加盖供应商公章。如未按要求加盖供应商公</w:t>
      </w:r>
      <w:r>
        <w:rPr>
          <w:rFonts w:hint="eastAsia" w:ascii="仿宋" w:hAnsi="仿宋" w:eastAsia="仿宋" w:cs="仿宋"/>
          <w:b/>
          <w:bCs/>
          <w:color w:val="auto"/>
          <w:sz w:val="24"/>
          <w:szCs w:val="24"/>
          <w:highlight w:val="none"/>
        </w:rPr>
        <w:t>章者，可能导致其响应文件无效。</w:t>
      </w:r>
    </w:p>
    <w:p w14:paraId="343BB57D">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②供应商应如实提供资料，并保证真实可靠，不得弄虚作假。如供应商隐瞒事实真相、弄虚作假，一经查实，取消该供应商的谈判资格，若成交的，取消其成交资格。</w:t>
      </w:r>
    </w:p>
    <w:p w14:paraId="5E171EA9">
      <w:pPr>
        <w:shd w:val="clear"/>
        <w:spacing w:line="360" w:lineRule="auto"/>
        <w:ind w:firstLine="482" w:firstLineChars="200"/>
        <w:jc w:val="left"/>
        <w:rPr>
          <w:rFonts w:hint="eastAsia" w:ascii="仿宋" w:hAnsi="仿宋" w:eastAsia="仿宋" w:cs="仿宋"/>
          <w:b/>
          <w:bCs/>
          <w:color w:val="auto"/>
          <w:sz w:val="24"/>
          <w:szCs w:val="24"/>
          <w:highlight w:val="none"/>
        </w:rPr>
      </w:pPr>
      <w:bookmarkStart w:id="120" w:name="_Toc424059487"/>
      <w:bookmarkStart w:id="121" w:name="_Toc460703963"/>
      <w:bookmarkStart w:id="122" w:name="_Toc424211817"/>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响应文件格式</w:t>
      </w:r>
      <w:bookmarkEnd w:id="111"/>
      <w:bookmarkEnd w:id="112"/>
      <w:bookmarkEnd w:id="113"/>
      <w:bookmarkEnd w:id="114"/>
      <w:bookmarkEnd w:id="115"/>
      <w:bookmarkEnd w:id="116"/>
      <w:bookmarkEnd w:id="117"/>
      <w:bookmarkEnd w:id="118"/>
      <w:bookmarkEnd w:id="119"/>
      <w:bookmarkEnd w:id="120"/>
      <w:bookmarkEnd w:id="121"/>
      <w:bookmarkEnd w:id="122"/>
    </w:p>
    <w:p w14:paraId="0DDB00C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本章“1、响应文件的组成”中的要求提供响应文件，文件格式可参考第五部分“响应文件格式”。若表格的栏目设计不够，供应商可按照同一格式自制表格填写；未提出的格式，供应商应自行拟定格式佐证响应。</w:t>
      </w:r>
    </w:p>
    <w:p w14:paraId="4139F231">
      <w:pPr>
        <w:shd w:val="clear"/>
        <w:spacing w:line="360" w:lineRule="auto"/>
        <w:ind w:firstLine="482" w:firstLineChars="200"/>
        <w:jc w:val="left"/>
        <w:rPr>
          <w:rFonts w:hint="eastAsia" w:ascii="仿宋" w:hAnsi="仿宋" w:eastAsia="仿宋" w:cs="仿宋"/>
          <w:b/>
          <w:bCs/>
          <w:color w:val="auto"/>
          <w:sz w:val="24"/>
          <w:szCs w:val="24"/>
          <w:highlight w:val="none"/>
        </w:rPr>
      </w:pPr>
      <w:bookmarkStart w:id="123" w:name="_Toc424211818"/>
      <w:bookmarkStart w:id="124" w:name="_Toc239649377"/>
      <w:bookmarkStart w:id="125" w:name="_Toc239648589"/>
      <w:bookmarkStart w:id="126" w:name="_Toc424059488"/>
      <w:bookmarkStart w:id="127" w:name="_Toc239648855"/>
      <w:bookmarkStart w:id="128" w:name="_Toc239649301"/>
      <w:bookmarkStart w:id="129" w:name="_Toc239649753"/>
      <w:bookmarkStart w:id="130" w:name="_Toc239822609"/>
      <w:bookmarkStart w:id="131" w:name="_Toc239822494"/>
      <w:bookmarkStart w:id="132" w:name="_Toc239651308"/>
      <w:bookmarkStart w:id="133" w:name="_Toc460703964"/>
      <w:bookmarkStart w:id="134" w:name="_Toc239650589"/>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竞争性</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报价</w:t>
      </w:r>
      <w:bookmarkEnd w:id="123"/>
      <w:bookmarkEnd w:id="124"/>
      <w:bookmarkEnd w:id="125"/>
      <w:bookmarkEnd w:id="126"/>
      <w:bookmarkEnd w:id="127"/>
      <w:bookmarkEnd w:id="128"/>
      <w:bookmarkEnd w:id="129"/>
      <w:bookmarkEnd w:id="130"/>
      <w:bookmarkEnd w:id="131"/>
      <w:bookmarkEnd w:id="132"/>
      <w:bookmarkEnd w:id="133"/>
      <w:bookmarkEnd w:id="134"/>
    </w:p>
    <w:p w14:paraId="004B61F9">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bookmarkStart w:id="135" w:name="_Toc239822497"/>
      <w:bookmarkStart w:id="136" w:name="_Toc239649380"/>
      <w:bookmarkStart w:id="137" w:name="_Toc239648858"/>
      <w:bookmarkStart w:id="138" w:name="_Toc239822612"/>
      <w:bookmarkStart w:id="139" w:name="_Toc239648592"/>
      <w:bookmarkStart w:id="140" w:name="_Toc239651311"/>
      <w:bookmarkStart w:id="141" w:name="_Toc239650592"/>
      <w:bookmarkStart w:id="142" w:name="_Toc239649304"/>
      <w:bookmarkStart w:id="143" w:name="_Toc239649756"/>
      <w:r>
        <w:rPr>
          <w:rFonts w:hint="eastAsia" w:ascii="仿宋" w:hAnsi="仿宋" w:eastAsia="仿宋" w:cs="仿宋"/>
          <w:color w:val="auto"/>
          <w:sz w:val="24"/>
          <w:szCs w:val="24"/>
          <w:highlight w:val="none"/>
          <w:lang w:val="en-US" w:eastAsia="zh-CN"/>
        </w:rPr>
        <w:t>谈判轮数和最后报价的其他要求：</w:t>
      </w:r>
    </w:p>
    <w:p w14:paraId="6E118461">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4.1、本项目采用最低价成交方式,并经谈判小组提问及投标人解答。</w:t>
      </w:r>
    </w:p>
    <w:p w14:paraId="13D8E0EC">
      <w:pPr>
        <w:keepLines w:val="0"/>
        <w:pageBreakBefore w:val="0"/>
        <w:numPr>
          <w:ilvl w:val="0"/>
          <w:numId w:val="0"/>
        </w:numPr>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谈判小组应当从质量和服务均能满足谈判文件实质性响应要求的投标人中，按照报价由低至高推选出前三名为成交候选人，第一名为成交供应商。若供应商第二次最低报价并列第一时，所有投标人再次进行报价，直至最</w:t>
      </w:r>
      <w:r>
        <w:rPr>
          <w:rFonts w:hint="eastAsia" w:eastAsia="宋体"/>
          <w:color w:val="auto"/>
          <w:highlight w:val="none"/>
          <w:lang w:eastAsia="zh-CN"/>
        </w:rPr>
        <w:t>低</w:t>
      </w:r>
      <w:r>
        <w:rPr>
          <w:rFonts w:hint="eastAsia" w:ascii="仿宋" w:hAnsi="仿宋" w:eastAsia="仿宋" w:cs="仿宋"/>
          <w:color w:val="auto"/>
          <w:sz w:val="24"/>
          <w:szCs w:val="24"/>
          <w:highlight w:val="none"/>
          <w:lang w:val="en-US" w:eastAsia="zh-CN"/>
        </w:rPr>
        <w:t>报价只有一名供应商为止；</w:t>
      </w:r>
    </w:p>
    <w:p w14:paraId="30F394E2">
      <w:pPr>
        <w:keepLines w:val="0"/>
        <w:pageBreakBefore w:val="0"/>
        <w:numPr>
          <w:ilvl w:val="0"/>
          <w:numId w:val="0"/>
        </w:numPr>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4.2、最后一轮谈判结束后，所有仍在参加谈判的供应商按照谈判小组的要求做最后报价（含修正的响应文件，如有）。</w:t>
      </w:r>
    </w:p>
    <w:p w14:paraId="68D7D32C">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4.3第一次报价为投标书书面报价；第二次报价在谈判时供应商可根据谈判</w:t>
      </w:r>
    </w:p>
    <w:p w14:paraId="42F8482B">
      <w:pPr>
        <w:keepLines w:val="0"/>
        <w:pageBreakBefore w:val="0"/>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情况给予让利优惠，也可以保持不变。</w:t>
      </w:r>
    </w:p>
    <w:p w14:paraId="4A8FBF79">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的商务报价应是为采购人提供全部合同服务，并保证货物验收合格并正常使用以及质量保修期内的维保、售后服务等以及合同条款、技术规范及标准、项目采购需求、本竞争性谈判文件约定的所有费用的总和（包括：项目所涉及的现场调研、技术支持、售后服务、质保及相关劳务支出、利润、税金、保险、专家评审费及政策性规定等所有相关费用）。</w:t>
      </w:r>
    </w:p>
    <w:p w14:paraId="23F6AFE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任何因供应商忽视或误解</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范围、技术规范及标准、项目采购需求、合同条款和项目现场情况，若成交，采购人将不予批准由此而产生的索赔或服务期限延长申请。</w:t>
      </w:r>
    </w:p>
    <w:p w14:paraId="140658D5">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商务报价中不得包含合同条款、技术规范及标准、项目采购需求、本竞争性谈判文件要求以外的其他内容。</w:t>
      </w:r>
    </w:p>
    <w:p w14:paraId="42A414F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商务报价总价应包括的内容和计价因素</w:t>
      </w:r>
    </w:p>
    <w:p w14:paraId="7A4731CF">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（1）报价包含的内容： 配合采购人完成与此服务相关的全部工作及采购需求约定的全部内容涉及的费用。</w:t>
      </w:r>
    </w:p>
    <w:p w14:paraId="1D057474">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根据对本竞争性谈判文件、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14:paraId="1A501E0F">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（3）供应商认为需包含的其它费用。</w:t>
      </w:r>
    </w:p>
    <w:p w14:paraId="6A7C6FB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供应商应按照竞争性谈判文件所附的格式完整地填写商务报价一览表。供应商应对服务范围内的全部内容进行报价。</w:t>
      </w:r>
    </w:p>
    <w:p w14:paraId="795DDC45">
      <w:pPr>
        <w:keepLines w:val="0"/>
        <w:pageBreakBefore w:val="0"/>
        <w:shd w:val="clear"/>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供应商</w:t>
      </w:r>
      <w:bookmarkStart w:id="144" w:name="_Toc460703965"/>
      <w:bookmarkStart w:id="145" w:name="_Toc424059489"/>
      <w:bookmarkStart w:id="146" w:name="_Toc424211819"/>
      <w:r>
        <w:rPr>
          <w:rFonts w:hint="eastAsia" w:ascii="仿宋" w:hAnsi="仿宋" w:eastAsia="仿宋" w:cs="仿宋"/>
          <w:b/>
          <w:bCs/>
          <w:color w:val="auto"/>
          <w:sz w:val="24"/>
          <w:szCs w:val="24"/>
          <w:highlight w:val="none"/>
          <w:lang w:eastAsia="zh-CN"/>
        </w:rPr>
        <w:t>响应文件的编写</w:t>
      </w:r>
      <w:bookmarkEnd w:id="135"/>
      <w:bookmarkEnd w:id="136"/>
      <w:bookmarkEnd w:id="137"/>
      <w:bookmarkEnd w:id="138"/>
      <w:bookmarkEnd w:id="139"/>
      <w:bookmarkEnd w:id="140"/>
      <w:bookmarkEnd w:id="141"/>
      <w:bookmarkEnd w:id="142"/>
      <w:bookmarkEnd w:id="143"/>
      <w:bookmarkEnd w:id="144"/>
      <w:bookmarkEnd w:id="145"/>
      <w:bookmarkEnd w:id="146"/>
    </w:p>
    <w:p w14:paraId="0AF05165">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供应商应按本谈判文件所规定的格式、内容等编制响应文件。</w:t>
      </w:r>
    </w:p>
    <w:p w14:paraId="40201493">
      <w:pPr>
        <w:keepLines w:val="0"/>
        <w:pageBreakBefore w:val="0"/>
        <w:shd w:val="clear"/>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eastAsia="zh-CN"/>
        </w:rPr>
      </w:pPr>
      <w:bookmarkStart w:id="147" w:name="_Toc239650593"/>
      <w:bookmarkStart w:id="148" w:name="_Toc239649757"/>
      <w:bookmarkStart w:id="149" w:name="_Toc239651312"/>
      <w:bookmarkStart w:id="150" w:name="_Toc239648593"/>
      <w:bookmarkStart w:id="151" w:name="_Toc460703966"/>
      <w:bookmarkStart w:id="152" w:name="_Toc239648859"/>
      <w:bookmarkStart w:id="153" w:name="_Toc239649381"/>
      <w:bookmarkStart w:id="154" w:name="_Toc239822498"/>
      <w:bookmarkStart w:id="155" w:name="_Toc424059490"/>
      <w:bookmarkStart w:id="156" w:name="_Toc424211820"/>
      <w:bookmarkStart w:id="157" w:name="_Toc239649305"/>
      <w:bookmarkStart w:id="158" w:name="_Toc239822613"/>
      <w:r>
        <w:rPr>
          <w:rFonts w:hint="eastAsia" w:ascii="仿宋" w:hAnsi="仿宋" w:eastAsia="仿宋" w:cs="仿宋"/>
          <w:b/>
          <w:bCs/>
          <w:color w:val="auto"/>
          <w:sz w:val="24"/>
          <w:szCs w:val="24"/>
          <w:highlight w:val="none"/>
          <w:lang w:val="en-US" w:eastAsia="zh-CN"/>
        </w:rPr>
        <w:t>6、响</w:t>
      </w:r>
      <w:r>
        <w:rPr>
          <w:rFonts w:hint="eastAsia" w:ascii="仿宋" w:hAnsi="仿宋" w:eastAsia="仿宋" w:cs="仿宋"/>
          <w:b/>
          <w:bCs/>
          <w:color w:val="auto"/>
          <w:sz w:val="24"/>
          <w:szCs w:val="24"/>
          <w:highlight w:val="none"/>
          <w:lang w:eastAsia="zh-CN"/>
        </w:rPr>
        <w:t>应文件的递交</w:t>
      </w:r>
      <w:bookmarkEnd w:id="147"/>
      <w:bookmarkEnd w:id="148"/>
      <w:bookmarkEnd w:id="149"/>
      <w:bookmarkEnd w:id="150"/>
      <w:bookmarkEnd w:id="151"/>
      <w:bookmarkEnd w:id="152"/>
      <w:bookmarkEnd w:id="153"/>
      <w:bookmarkEnd w:id="154"/>
      <w:bookmarkEnd w:id="155"/>
      <w:bookmarkEnd w:id="156"/>
      <w:bookmarkEnd w:id="157"/>
      <w:bookmarkEnd w:id="158"/>
    </w:p>
    <w:p w14:paraId="389D1B78">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.1 各供应商应在谈判当日并在本谈判文件“第一部分 竞争性谈判公告”规定的响应文件递交截止时间前，将响应文件送达谈判地点。</w:t>
      </w:r>
    </w:p>
    <w:p w14:paraId="113B4078">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递交截止时间后递交的响应文件，采购人将依法拒绝接收。</w:t>
      </w:r>
      <w:bookmarkStart w:id="159" w:name="_Toc239822614"/>
      <w:bookmarkStart w:id="160" w:name="_Toc239822499"/>
      <w:bookmarkStart w:id="161" w:name="_Toc460703967"/>
    </w:p>
    <w:p w14:paraId="6B410D5D">
      <w:pPr>
        <w:keepLines w:val="0"/>
        <w:pageBreakBefore w:val="0"/>
        <w:shd w:val="clear"/>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五、竞争性</w:t>
      </w:r>
      <w:bookmarkEnd w:id="159"/>
      <w:bookmarkEnd w:id="160"/>
      <w:r>
        <w:rPr>
          <w:rStyle w:val="30"/>
          <w:rFonts w:hint="eastAsia" w:ascii="仿宋" w:hAnsi="仿宋" w:eastAsia="仿宋" w:cs="仿宋"/>
          <w:color w:val="auto"/>
          <w:kern w:val="0"/>
          <w:sz w:val="30"/>
          <w:szCs w:val="30"/>
          <w:highlight w:val="none"/>
          <w:lang w:val="en-US" w:eastAsia="zh-CN" w:bidi="ar-SA"/>
        </w:rPr>
        <w:t>谈判程序和成交标准</w:t>
      </w:r>
      <w:bookmarkEnd w:id="161"/>
    </w:p>
    <w:p w14:paraId="5BA86CC8">
      <w:pPr>
        <w:keepLines w:val="0"/>
        <w:pageBreakBefore w:val="0"/>
        <w:shd w:val="clear"/>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（一）谈判小组</w:t>
      </w:r>
    </w:p>
    <w:p w14:paraId="1A78FBC3">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根据本项目的特点，依照《中华人民共和国政府采购法》、《中华人民共和国政府采购法实施条例》、《政府采购非招标采购方式管理暂行办法》（中华人民共和国财政部令第74号）的有关规定组建谈判小组，成员人数为3人（含）以上单数，包括技术、经济（金融）、法律等相关专业专家。</w:t>
      </w:r>
    </w:p>
    <w:p w14:paraId="362897EF">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2、谈判小组将在谈判文件规定的时间和地点集中与供应商分别进行谈判。并给予所有参加谈判的供应商平等的谈判机会。</w:t>
      </w:r>
    </w:p>
    <w:p w14:paraId="17A6ED67">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参加谈判的供应商代表应签名报到证明其出席，如未按时签到，将被视为供应商自动放弃竞争性谈判权利。</w:t>
      </w:r>
    </w:p>
    <w:p w14:paraId="35B75D6B">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3、谈判过程中，谈判小组成员不得与供应商私下交换意见，并在谈判工作结束后，不得将谈判情况进行泄露。</w:t>
      </w:r>
    </w:p>
    <w:p w14:paraId="416FF2CD">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4、回避</w:t>
      </w:r>
    </w:p>
    <w:p w14:paraId="03795A70">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评审专家不得参加与自己有利害关系的政府采购项目的评审活动。对与自己有利害关系的评审项目，如受到邀请，应主动提出回避。财政部门、采购人或采购代理机构也可要求该评审专家回避。</w:t>
      </w:r>
    </w:p>
    <w:p w14:paraId="0C7E80D3">
      <w:pPr>
        <w:pStyle w:val="5"/>
        <w:keepLines w:val="0"/>
        <w:pageBreakBefore w:val="0"/>
        <w:numPr>
          <w:ilvl w:val="0"/>
          <w:numId w:val="0"/>
        </w:numPr>
        <w:shd w:val="clear"/>
        <w:kinsoku/>
        <w:wordWrap/>
        <w:overflowPunct/>
        <w:topLinePunct w:val="0"/>
        <w:autoSpaceDE/>
        <w:autoSpaceDN/>
        <w:bidi w:val="0"/>
        <w:adjustRightIn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程序</w:t>
      </w:r>
    </w:p>
    <w:p w14:paraId="77ED37A1">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小组将依照以下程序进行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评审，首先对响应文件进行资格性和符合性的初步审查：</w:t>
      </w:r>
    </w:p>
    <w:p w14:paraId="3C72A65A">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资格性检查</w:t>
      </w:r>
    </w:p>
    <w:p w14:paraId="6B86E5BF">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小组依据法律法规和</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的规定,对响应文件中的资格证明文件是否齐全、以及证件有效性进行审查,以确定供应商是否具合格供应商资格：</w:t>
      </w:r>
    </w:p>
    <w:p w14:paraId="0C41A1D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供应商资料（包括供应商单位基本情况表、企业情况简介等）；</w:t>
      </w:r>
    </w:p>
    <w:p w14:paraId="2341DDD0">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供应商的营业执照副本、组织机构代码证副本、税务登记证副本、基本户开户许可证、授权委托书、行业资质证书；</w:t>
      </w:r>
    </w:p>
    <w:p w14:paraId="059B40C4">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的供应商以他人的名义参加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、串通、以行贿手段谋取成交或者以其他弄虚作假方式参加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的，该参与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的供应商的响应文件将作无效响应文件处理。</w:t>
      </w:r>
    </w:p>
    <w:p w14:paraId="4F321E6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符合性检查</w:t>
      </w:r>
    </w:p>
    <w:p w14:paraId="666B67DC">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的规定，从响应文件的有效性、完整性和对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的响应程度进行审查，以确定是否对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的实质性要求作出响应。符合性审查的内容包括：</w:t>
      </w:r>
    </w:p>
    <w:p w14:paraId="7ACE5D46">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响应文件内容是否齐全；</w:t>
      </w:r>
    </w:p>
    <w:p w14:paraId="3EEB762C">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是否按照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的要求密封、签署、盖章；</w:t>
      </w:r>
    </w:p>
    <w:p w14:paraId="0B1095A8">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响应文件是否有采购人不能接收的条件；</w:t>
      </w:r>
    </w:p>
    <w:p w14:paraId="6F81ACC9">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其他法律、法规及本竞争性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规定的属响应无效的情形。</w:t>
      </w:r>
    </w:p>
    <w:p w14:paraId="1432F4BB">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过程和评标准则</w:t>
      </w:r>
    </w:p>
    <w:p w14:paraId="192A513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val="zh-CN"/>
        </w:rPr>
        <w:t>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lang w:val="zh-CN"/>
        </w:rPr>
        <w:t>开始前，按</w:t>
      </w:r>
      <w:r>
        <w:rPr>
          <w:rFonts w:hint="eastAsia" w:ascii="仿宋" w:hAnsi="仿宋" w:eastAsia="仿宋" w:cs="仿宋"/>
          <w:color w:val="auto"/>
          <w:sz w:val="24"/>
          <w:szCs w:val="24"/>
          <w:highlight w:val="none"/>
        </w:rPr>
        <w:t>签到的逆向</w:t>
      </w:r>
      <w:r>
        <w:rPr>
          <w:rFonts w:hint="eastAsia" w:ascii="仿宋" w:hAnsi="仿宋" w:eastAsia="仿宋" w:cs="仿宋"/>
          <w:color w:val="auto"/>
          <w:spacing w:val="-6"/>
          <w:sz w:val="24"/>
          <w:szCs w:val="24"/>
          <w:highlight w:val="none"/>
        </w:rPr>
        <w:t>顺序确定</w:t>
      </w:r>
      <w:r>
        <w:rPr>
          <w:rFonts w:hint="eastAsia" w:ascii="仿宋" w:hAnsi="仿宋" w:eastAsia="仿宋" w:cs="仿宋"/>
          <w:color w:val="auto"/>
          <w:sz w:val="24"/>
          <w:szCs w:val="24"/>
          <w:highlight w:val="none"/>
          <w:lang w:val="zh-CN"/>
        </w:rPr>
        <w:t>决定谈判顺序。</w:t>
      </w:r>
    </w:p>
    <w:p w14:paraId="51A3D68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zh-CN"/>
        </w:rPr>
        <w:t>谈判过程将按照如下步骤进行：</w:t>
      </w:r>
    </w:p>
    <w:p w14:paraId="073D305A">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第一轮次：评审及应答阶段。</w:t>
      </w:r>
    </w:p>
    <w:p w14:paraId="0D0AA13B">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一，谈判小组从本项目技术方案、实施方案的可行性、先进性、安全性、实用性等方面对用户需求的满意程度（含同类项目业绩，实施本项目的资金能力、技术能力、履约能力和用户信誉等方面的从业表现，及伴随服务等方面）进行评审。</w:t>
      </w:r>
    </w:p>
    <w:p w14:paraId="329995DB">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第二，谈判小组对技术方案与实施方案是否满足用户方要求进行评审。</w:t>
      </w:r>
    </w:p>
    <w:p w14:paraId="41310BDC">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第三，谈判小组根据评审、评议情况，要求谈判供应商就商务、技术、服务等偏离情况做出进一步解释和承诺。</w:t>
      </w:r>
    </w:p>
    <w:p w14:paraId="0DE3584E">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第四，重复上述过程，直至谈判双方均认为准确、完全表达了自身的谈判意向。经此过程后，对于仍不能满足用户需求的供应商将被淘汰，未被淘汰的被认定为候选供应商。</w:t>
      </w:r>
    </w:p>
    <w:p w14:paraId="1BEC4A48">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62" w:name="_Toc243907609"/>
      <w:bookmarkStart w:id="163" w:name="_Toc233274847"/>
      <w:bookmarkStart w:id="164" w:name="_Toc245897308"/>
      <w:bookmarkStart w:id="165" w:name="_Toc243906348"/>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评审</w:t>
      </w:r>
      <w:bookmarkEnd w:id="162"/>
      <w:bookmarkEnd w:id="163"/>
      <w:bookmarkEnd w:id="164"/>
      <w:bookmarkEnd w:id="165"/>
      <w:r>
        <w:rPr>
          <w:rFonts w:hint="eastAsia" w:ascii="仿宋" w:hAnsi="仿宋" w:eastAsia="仿宋" w:cs="仿宋"/>
          <w:color w:val="auto"/>
          <w:sz w:val="24"/>
          <w:szCs w:val="24"/>
          <w:highlight w:val="none"/>
        </w:rPr>
        <w:t>标准</w:t>
      </w:r>
    </w:p>
    <w:p w14:paraId="7EF5A1A6">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本项目评审严格按照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的要求和条件进行。</w:t>
      </w:r>
    </w:p>
    <w:p w14:paraId="675B53F9">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澄清有关问题。对响应文件中含义不明确、同类问题表述不一致或者有明显文字和计算错误的内容，</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小组可以书面形式要求供应商作出必要的澄清、说明或者纠正。供应商的澄清、说明或者补正应当采用书面形式，由其授权的代表签字，并不得超出响应文件的范围或者改变响应文件的实质性内容。</w:t>
      </w:r>
    </w:p>
    <w:p w14:paraId="02331F63">
      <w:pPr>
        <w:shd w:val="clea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F40BEC4">
      <w:pPr>
        <w:shd w:val="clea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评分标准如下：</w:t>
      </w:r>
      <w:bookmarkStart w:id="166" w:name="_Toc415483391"/>
    </w:p>
    <w:p w14:paraId="39944C09">
      <w:pPr>
        <w:pageBreakBefore w:val="0"/>
        <w:shd w:val="clear"/>
        <w:kinsoku/>
        <w:overflowPunct/>
        <w:topLinePunct w:val="0"/>
        <w:autoSpaceDE/>
        <w:autoSpaceDN/>
        <w:bidi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5.1</w:t>
      </w:r>
      <w:r>
        <w:rPr>
          <w:rFonts w:hint="eastAsia" w:ascii="仿宋" w:hAnsi="仿宋" w:eastAsia="仿宋" w:cs="仿宋"/>
          <w:b/>
          <w:bCs/>
          <w:color w:val="auto"/>
          <w:sz w:val="24"/>
          <w:szCs w:val="24"/>
          <w:highlight w:val="none"/>
        </w:rPr>
        <w:t>资格性审查</w:t>
      </w:r>
    </w:p>
    <w:tbl>
      <w:tblPr>
        <w:tblStyle w:val="27"/>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17"/>
        <w:gridCol w:w="7152"/>
      </w:tblGrid>
      <w:tr w14:paraId="3AD0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35" w:type="dxa"/>
            <w:noWrap w:val="0"/>
            <w:vAlign w:val="center"/>
          </w:tcPr>
          <w:p w14:paraId="6BD98E9F">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17" w:type="dxa"/>
            <w:noWrap w:val="0"/>
            <w:vAlign w:val="center"/>
          </w:tcPr>
          <w:p w14:paraId="31C02A4B">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w:t>
            </w:r>
          </w:p>
        </w:tc>
        <w:tc>
          <w:tcPr>
            <w:tcW w:w="7152" w:type="dxa"/>
            <w:noWrap w:val="0"/>
            <w:vAlign w:val="center"/>
          </w:tcPr>
          <w:p w14:paraId="306A99B7">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w:t>
            </w:r>
          </w:p>
        </w:tc>
      </w:tr>
      <w:tr w14:paraId="58D2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35" w:type="dxa"/>
            <w:noWrap w:val="0"/>
            <w:vAlign w:val="center"/>
          </w:tcPr>
          <w:p w14:paraId="6C962EEB">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17" w:type="dxa"/>
            <w:noWrap w:val="0"/>
            <w:vAlign w:val="center"/>
          </w:tcPr>
          <w:p w14:paraId="458E2AF5">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基本条件</w:t>
            </w:r>
          </w:p>
        </w:tc>
        <w:tc>
          <w:tcPr>
            <w:tcW w:w="7152" w:type="dxa"/>
            <w:noWrap w:val="0"/>
            <w:vAlign w:val="center"/>
          </w:tcPr>
          <w:p w14:paraId="22176821">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w:t>
            </w:r>
          </w:p>
        </w:tc>
      </w:tr>
      <w:tr w14:paraId="5A4A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35" w:type="dxa"/>
            <w:noWrap w:val="0"/>
            <w:vAlign w:val="center"/>
          </w:tcPr>
          <w:p w14:paraId="4AC1BD68">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17" w:type="dxa"/>
            <w:noWrap w:val="0"/>
            <w:vAlign w:val="center"/>
          </w:tcPr>
          <w:p w14:paraId="39E2E74B">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w:t>
            </w:r>
          </w:p>
          <w:p w14:paraId="65CD6BC3">
            <w:pPr>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政策</w:t>
            </w:r>
          </w:p>
        </w:tc>
        <w:tc>
          <w:tcPr>
            <w:tcW w:w="7152" w:type="dxa"/>
            <w:noWrap w:val="0"/>
            <w:vAlign w:val="center"/>
          </w:tcPr>
          <w:p w14:paraId="5E1E084A">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b w:val="0"/>
                <w:i w:val="0"/>
                <w:color w:val="auto"/>
                <w:kern w:val="2"/>
                <w:sz w:val="24"/>
                <w:szCs w:val="24"/>
                <w:highlight w:val="none"/>
                <w:lang w:val="en-US" w:eastAsia="zh-CN" w:bidi="ar-SA"/>
              </w:rPr>
              <w:t>本项目专门面向中小企业采购</w:t>
            </w:r>
          </w:p>
        </w:tc>
      </w:tr>
    </w:tbl>
    <w:p w14:paraId="3F388819">
      <w:pPr>
        <w:shd w:val="clea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注：未通过</w:t>
      </w:r>
      <w:r>
        <w:rPr>
          <w:rFonts w:hint="eastAsia" w:ascii="仿宋" w:hAnsi="仿宋" w:eastAsia="仿宋" w:cs="仿宋"/>
          <w:b/>
          <w:color w:val="auto"/>
          <w:sz w:val="24"/>
          <w:szCs w:val="24"/>
          <w:highlight w:val="none"/>
          <w:lang w:eastAsia="zh-CN"/>
        </w:rPr>
        <w:t>资格性审查</w:t>
      </w:r>
      <w:r>
        <w:rPr>
          <w:rFonts w:hint="eastAsia" w:ascii="仿宋" w:hAnsi="仿宋" w:eastAsia="仿宋" w:cs="仿宋"/>
          <w:b/>
          <w:color w:val="auto"/>
          <w:sz w:val="24"/>
          <w:szCs w:val="24"/>
          <w:highlight w:val="none"/>
        </w:rPr>
        <w:t>的其响应文件将按照无效响应处理。</w:t>
      </w:r>
    </w:p>
    <w:p w14:paraId="71D21F0D">
      <w:pPr>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5.2</w:t>
      </w:r>
      <w:r>
        <w:rPr>
          <w:rFonts w:hint="eastAsia" w:ascii="仿宋" w:hAnsi="仿宋" w:eastAsia="仿宋" w:cs="仿宋"/>
          <w:b/>
          <w:bCs/>
          <w:color w:val="auto"/>
          <w:sz w:val="24"/>
          <w:szCs w:val="24"/>
          <w:highlight w:val="none"/>
        </w:rPr>
        <w:t>符合性审查</w:t>
      </w:r>
    </w:p>
    <w:tbl>
      <w:tblPr>
        <w:tblStyle w:val="27"/>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95"/>
        <w:gridCol w:w="2257"/>
        <w:gridCol w:w="5671"/>
      </w:tblGrid>
      <w:tr w14:paraId="1590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72" w:type="dxa"/>
            <w:noWrap w:val="0"/>
            <w:vAlign w:val="center"/>
          </w:tcPr>
          <w:p w14:paraId="6ABE3FE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3452" w:type="dxa"/>
            <w:gridSpan w:val="2"/>
            <w:noWrap w:val="0"/>
            <w:vAlign w:val="center"/>
          </w:tcPr>
          <w:p w14:paraId="3BB8920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评审因素</w:t>
            </w:r>
          </w:p>
        </w:tc>
        <w:tc>
          <w:tcPr>
            <w:tcW w:w="5671" w:type="dxa"/>
            <w:noWrap w:val="0"/>
            <w:vAlign w:val="center"/>
          </w:tcPr>
          <w:p w14:paraId="5E97168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评标方法</w:t>
            </w:r>
          </w:p>
        </w:tc>
      </w:tr>
      <w:tr w14:paraId="44F2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72" w:type="dxa"/>
            <w:vMerge w:val="restart"/>
            <w:noWrap w:val="0"/>
            <w:vAlign w:val="center"/>
          </w:tcPr>
          <w:p w14:paraId="1263DCA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1195" w:type="dxa"/>
            <w:vMerge w:val="restart"/>
            <w:noWrap w:val="0"/>
            <w:vAlign w:val="center"/>
          </w:tcPr>
          <w:p w14:paraId="5B8C81F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有效性审查</w:t>
            </w:r>
          </w:p>
        </w:tc>
        <w:tc>
          <w:tcPr>
            <w:tcW w:w="2257" w:type="dxa"/>
            <w:noWrap w:val="0"/>
            <w:vAlign w:val="center"/>
          </w:tcPr>
          <w:p w14:paraId="44AD499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签署</w:t>
            </w:r>
          </w:p>
        </w:tc>
        <w:tc>
          <w:tcPr>
            <w:tcW w:w="5671" w:type="dxa"/>
            <w:noWrap w:val="0"/>
            <w:vAlign w:val="center"/>
          </w:tcPr>
          <w:p w14:paraId="4712514C">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中法定代表人或其授权代表人的签字齐全。</w:t>
            </w:r>
          </w:p>
        </w:tc>
      </w:tr>
      <w:tr w14:paraId="2361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72" w:type="dxa"/>
            <w:vMerge w:val="continue"/>
            <w:noWrap w:val="0"/>
            <w:vAlign w:val="center"/>
          </w:tcPr>
          <w:p w14:paraId="5CB0F98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7BF459F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5BEC1CD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法定代表人身份证明及授权委托书</w:t>
            </w:r>
          </w:p>
        </w:tc>
        <w:tc>
          <w:tcPr>
            <w:tcW w:w="5671" w:type="dxa"/>
            <w:noWrap w:val="0"/>
            <w:vAlign w:val="center"/>
          </w:tcPr>
          <w:p w14:paraId="2A509FE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法定代表人身份证明及授权委托书有效，且符合采购文件规定的格式。</w:t>
            </w:r>
          </w:p>
        </w:tc>
      </w:tr>
      <w:tr w14:paraId="5F19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72" w:type="dxa"/>
            <w:vMerge w:val="restart"/>
            <w:noWrap w:val="0"/>
            <w:vAlign w:val="center"/>
          </w:tcPr>
          <w:p w14:paraId="44EEE4B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1195" w:type="dxa"/>
            <w:vMerge w:val="restart"/>
            <w:noWrap w:val="0"/>
            <w:vAlign w:val="center"/>
          </w:tcPr>
          <w:p w14:paraId="7EFD064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完整性审查</w:t>
            </w:r>
          </w:p>
        </w:tc>
        <w:tc>
          <w:tcPr>
            <w:tcW w:w="2257" w:type="dxa"/>
            <w:noWrap w:val="0"/>
            <w:vAlign w:val="center"/>
          </w:tcPr>
          <w:p w14:paraId="651F1D44">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响应文件份数</w:t>
            </w:r>
          </w:p>
        </w:tc>
        <w:tc>
          <w:tcPr>
            <w:tcW w:w="5671" w:type="dxa"/>
            <w:noWrap w:val="0"/>
            <w:vAlign w:val="center"/>
          </w:tcPr>
          <w:p w14:paraId="6F76CFF9">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响应文件正本、副本、电子版等响应文件数量符合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lang w:val="zh-CN" w:eastAsia="zh-CN"/>
              </w:rPr>
              <w:t>要求。</w:t>
            </w:r>
          </w:p>
        </w:tc>
      </w:tr>
      <w:tr w14:paraId="1D28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2" w:type="dxa"/>
            <w:vMerge w:val="continue"/>
            <w:noWrap w:val="0"/>
            <w:vAlign w:val="center"/>
          </w:tcPr>
          <w:p w14:paraId="318BA4A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48305BAE">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1444326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响应文件内容</w:t>
            </w:r>
          </w:p>
        </w:tc>
        <w:tc>
          <w:tcPr>
            <w:tcW w:w="5671" w:type="dxa"/>
            <w:noWrap w:val="0"/>
            <w:vAlign w:val="center"/>
          </w:tcPr>
          <w:p w14:paraId="2C15F82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响应文件内容齐全、无遗漏。</w:t>
            </w:r>
          </w:p>
        </w:tc>
      </w:tr>
      <w:tr w14:paraId="6EF1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2" w:type="dxa"/>
            <w:vMerge w:val="restart"/>
            <w:noWrap w:val="0"/>
            <w:vAlign w:val="center"/>
          </w:tcPr>
          <w:p w14:paraId="05E0DAF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1195" w:type="dxa"/>
            <w:vMerge w:val="restart"/>
            <w:noWrap w:val="0"/>
            <w:vAlign w:val="center"/>
          </w:tcPr>
          <w:p w14:paraId="1B09B4F8">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谈判文件的响应程度审查</w:t>
            </w:r>
          </w:p>
        </w:tc>
        <w:tc>
          <w:tcPr>
            <w:tcW w:w="2257" w:type="dxa"/>
            <w:noWrap w:val="0"/>
            <w:vAlign w:val="center"/>
          </w:tcPr>
          <w:p w14:paraId="65515F9C">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内容</w:t>
            </w:r>
          </w:p>
        </w:tc>
        <w:tc>
          <w:tcPr>
            <w:tcW w:w="5671" w:type="dxa"/>
            <w:noWrap w:val="0"/>
            <w:vAlign w:val="center"/>
          </w:tcPr>
          <w:p w14:paraId="52A19EF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对谈判文件规定的内容全部做出响应。</w:t>
            </w:r>
          </w:p>
        </w:tc>
      </w:tr>
      <w:tr w14:paraId="084B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2" w:type="dxa"/>
            <w:vMerge w:val="continue"/>
            <w:noWrap w:val="0"/>
            <w:vAlign w:val="center"/>
          </w:tcPr>
          <w:p w14:paraId="6421379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635F8061">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4BD1051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质量技术</w:t>
            </w:r>
          </w:p>
        </w:tc>
        <w:tc>
          <w:tcPr>
            <w:tcW w:w="5671" w:type="dxa"/>
            <w:noWrap w:val="0"/>
            <w:vAlign w:val="center"/>
          </w:tcPr>
          <w:p w14:paraId="0B967894">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满足谈判文件提出的质量、技术要求。</w:t>
            </w:r>
          </w:p>
        </w:tc>
      </w:tr>
      <w:tr w14:paraId="22FB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2" w:type="dxa"/>
            <w:vMerge w:val="continue"/>
            <w:noWrap w:val="0"/>
            <w:vAlign w:val="center"/>
          </w:tcPr>
          <w:p w14:paraId="1B32A43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111DE0E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3CF343C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合同履约期限</w:t>
            </w:r>
          </w:p>
        </w:tc>
        <w:tc>
          <w:tcPr>
            <w:tcW w:w="5671" w:type="dxa"/>
            <w:noWrap w:val="0"/>
            <w:vAlign w:val="center"/>
          </w:tcPr>
          <w:p w14:paraId="1415F77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w:t>
            </w:r>
            <w:r>
              <w:rPr>
                <w:rFonts w:hint="eastAsia" w:ascii="仿宋" w:hAnsi="仿宋" w:eastAsia="仿宋" w:cs="仿宋"/>
                <w:color w:val="auto"/>
                <w:sz w:val="24"/>
                <w:szCs w:val="24"/>
                <w:highlight w:val="none"/>
                <w:lang w:val="zh-CN" w:eastAsia="zh-CN"/>
              </w:rPr>
              <w:t>规定</w:t>
            </w:r>
            <w:r>
              <w:rPr>
                <w:rFonts w:hint="eastAsia" w:ascii="仿宋" w:hAnsi="仿宋" w:eastAsia="仿宋" w:cs="仿宋"/>
                <w:color w:val="auto"/>
                <w:sz w:val="24"/>
                <w:szCs w:val="24"/>
                <w:highlight w:val="none"/>
                <w:lang w:eastAsia="zh-CN"/>
              </w:rPr>
              <w:t>。</w:t>
            </w:r>
          </w:p>
        </w:tc>
      </w:tr>
      <w:tr w14:paraId="485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72" w:type="dxa"/>
            <w:vMerge w:val="continue"/>
            <w:noWrap w:val="0"/>
            <w:vAlign w:val="center"/>
          </w:tcPr>
          <w:p w14:paraId="7837F0AB">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4A6E185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p>
        </w:tc>
        <w:tc>
          <w:tcPr>
            <w:tcW w:w="2257" w:type="dxa"/>
            <w:noWrap w:val="0"/>
            <w:vAlign w:val="center"/>
          </w:tcPr>
          <w:p w14:paraId="4DF0AC6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有效期</w:t>
            </w:r>
          </w:p>
        </w:tc>
        <w:tc>
          <w:tcPr>
            <w:tcW w:w="5671" w:type="dxa"/>
            <w:noWrap w:val="0"/>
            <w:vAlign w:val="center"/>
          </w:tcPr>
          <w:p w14:paraId="1755330B">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w:t>
            </w:r>
            <w:r>
              <w:rPr>
                <w:rFonts w:hint="eastAsia" w:ascii="仿宋" w:hAnsi="仿宋" w:eastAsia="仿宋" w:cs="仿宋"/>
                <w:color w:val="auto"/>
                <w:sz w:val="24"/>
                <w:szCs w:val="24"/>
                <w:highlight w:val="none"/>
                <w:lang w:val="zh-CN" w:eastAsia="zh-CN"/>
              </w:rPr>
              <w:t>规定。</w:t>
            </w:r>
          </w:p>
        </w:tc>
      </w:tr>
      <w:tr w14:paraId="4290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72" w:type="dxa"/>
            <w:vMerge w:val="continue"/>
            <w:tcBorders>
              <w:bottom w:val="single" w:color="auto" w:sz="4" w:space="0"/>
            </w:tcBorders>
            <w:noWrap w:val="0"/>
            <w:vAlign w:val="center"/>
          </w:tcPr>
          <w:p w14:paraId="7295D7FC">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tcBorders>
              <w:bottom w:val="single" w:color="auto" w:sz="4" w:space="0"/>
            </w:tcBorders>
            <w:noWrap w:val="0"/>
            <w:vAlign w:val="center"/>
          </w:tcPr>
          <w:p w14:paraId="20D08FA9">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p>
        </w:tc>
        <w:tc>
          <w:tcPr>
            <w:tcW w:w="2257" w:type="dxa"/>
            <w:tcBorders>
              <w:bottom w:val="single" w:color="auto" w:sz="4" w:space="0"/>
            </w:tcBorders>
            <w:noWrap w:val="0"/>
            <w:vAlign w:val="center"/>
          </w:tcPr>
          <w:p w14:paraId="13BC2AD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5671" w:type="dxa"/>
            <w:tcBorders>
              <w:bottom w:val="single" w:color="auto" w:sz="4" w:space="0"/>
            </w:tcBorders>
            <w:noWrap w:val="0"/>
            <w:vAlign w:val="center"/>
          </w:tcPr>
          <w:p w14:paraId="460071C6">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满足谈判文件相关</w:t>
            </w:r>
            <w:r>
              <w:rPr>
                <w:rFonts w:hint="eastAsia" w:ascii="仿宋" w:hAnsi="仿宋" w:eastAsia="仿宋" w:cs="仿宋"/>
                <w:color w:val="auto"/>
                <w:sz w:val="24"/>
                <w:szCs w:val="24"/>
                <w:highlight w:val="none"/>
                <w:lang w:val="zh-CN" w:eastAsia="zh-CN"/>
              </w:rPr>
              <w:t>规定。</w:t>
            </w:r>
          </w:p>
        </w:tc>
      </w:tr>
    </w:tbl>
    <w:p w14:paraId="4AF7193A">
      <w:pPr>
        <w:pageBreakBefore w:val="0"/>
        <w:shd w:val="clear"/>
        <w:kinsoku/>
        <w:overflowPunct/>
        <w:topLinePunct w:val="0"/>
        <w:autoSpaceDE/>
        <w:autoSpaceDN/>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注：未通过</w:t>
      </w:r>
      <w:r>
        <w:rPr>
          <w:rFonts w:hint="eastAsia" w:ascii="仿宋" w:hAnsi="仿宋" w:eastAsia="仿宋" w:cs="仿宋"/>
          <w:b/>
          <w:color w:val="auto"/>
          <w:sz w:val="24"/>
          <w:szCs w:val="24"/>
          <w:highlight w:val="none"/>
          <w:lang w:eastAsia="zh-CN"/>
        </w:rPr>
        <w:t>符合性审查</w:t>
      </w:r>
      <w:r>
        <w:rPr>
          <w:rFonts w:hint="eastAsia" w:ascii="仿宋" w:hAnsi="仿宋" w:eastAsia="仿宋" w:cs="仿宋"/>
          <w:b/>
          <w:color w:val="auto"/>
          <w:sz w:val="24"/>
          <w:szCs w:val="24"/>
          <w:highlight w:val="none"/>
        </w:rPr>
        <w:t>的其响应文件将按照无效响应处理。</w:t>
      </w:r>
    </w:p>
    <w:p w14:paraId="30A81C4C">
      <w:pPr>
        <w:pageBreakBefore w:val="0"/>
        <w:shd w:val="clear"/>
        <w:kinsoku/>
        <w:overflowPunct/>
        <w:topLinePunct w:val="0"/>
        <w:autoSpaceDE/>
        <w:autoSpaceDN/>
        <w:bidi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终止竞争性</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采购活动的条款</w:t>
      </w:r>
    </w:p>
    <w:p w14:paraId="13E2B95C">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出现下列情形之一的，采购中心将终止竞争性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采购活动，发布项目终止公告并说明原因，重新开展采购活动：</w:t>
      </w:r>
    </w:p>
    <w:p w14:paraId="32075C19">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因情况变化，不再符合规定的竞争性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采购方式适用情形的；</w:t>
      </w:r>
    </w:p>
    <w:p w14:paraId="652DD7F1">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出现影响采购公正的违法、违规行为的；</w:t>
      </w:r>
    </w:p>
    <w:p w14:paraId="4FADE5D5">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 在采购过程中符合要求的供应商不足3家的。</w:t>
      </w:r>
    </w:p>
    <w:p w14:paraId="5AB32E37">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bookmarkStart w:id="167" w:name="_Toc460703971"/>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评审的纪律与注意事项</w:t>
      </w:r>
      <w:bookmarkEnd w:id="167"/>
    </w:p>
    <w:p w14:paraId="1998F7BC">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ADA2A0">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3B3BCFF8">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情况实质性变动采购需求中的技术、服务要求以及合同草案条款，但不得变动</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中的其他内容。对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作出的实质性变动是</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的有效组成部分，</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小组应当及时以书面形式同时通知所有参加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的供应商。供应商应当按照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的变动情况和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小组的要求重新提交响应文件，并由其法定代表人或授权代表签字或者加盖公章。</w:t>
      </w:r>
    </w:p>
    <w:p w14:paraId="230EF594">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 已提交响应文件的供应商，在提交最后报价之前，可以根据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情况退出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w:t>
      </w:r>
    </w:p>
    <w:p w14:paraId="14E29C7B">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双方可以就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项目所涉价格、服务等进行实质性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，但</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的任何一方不得透露与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有关的其他供应商的资料、价格和其他信息。</w:t>
      </w:r>
    </w:p>
    <w:p w14:paraId="1C251B02">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结果由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小组成员在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记录上签字。</w:t>
      </w:r>
    </w:p>
    <w:p w14:paraId="422D31A0">
      <w:pPr>
        <w:pageBreakBefore w:val="0"/>
        <w:shd w:val="clear"/>
        <w:kinsoku/>
        <w:overflowPunct/>
        <w:topLinePunct w:val="0"/>
        <w:autoSpaceDE/>
        <w:autoSpaceDN/>
        <w:bidi w:val="0"/>
        <w:spacing w:line="360" w:lineRule="auto"/>
        <w:rPr>
          <w:rFonts w:hint="eastAsia" w:ascii="仿宋" w:hAnsi="仿宋" w:eastAsia="仿宋" w:cs="仿宋"/>
          <w:b/>
          <w:bCs/>
          <w:color w:val="auto"/>
          <w:sz w:val="24"/>
          <w:szCs w:val="24"/>
          <w:highlight w:val="none"/>
          <w:lang w:eastAsia="zh-CN"/>
        </w:rPr>
      </w:pPr>
      <w:bookmarkStart w:id="168" w:name="_Toc460703972"/>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成交</w:t>
      </w:r>
      <w:bookmarkEnd w:id="168"/>
    </w:p>
    <w:p w14:paraId="18BA0530">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eastAsia="zh-CN"/>
        </w:rPr>
      </w:pPr>
      <w:bookmarkStart w:id="169" w:name="_Toc460703973"/>
      <w:r>
        <w:rPr>
          <w:rFonts w:hint="eastAsia" w:ascii="仿宋" w:hAnsi="仿宋" w:eastAsia="仿宋" w:cs="仿宋"/>
          <w:color w:val="auto"/>
          <w:sz w:val="24"/>
          <w:szCs w:val="24"/>
          <w:highlight w:val="none"/>
          <w:lang w:val="en-US" w:eastAsia="zh-CN"/>
        </w:rPr>
        <w:t>谈判小组应当从质量和服务均能满足谈判文件实质性响应要求的供应商中，按照报价由低到高的顺序提出3名成交候选供应商。成交供应商在履约过程中不能满足采购单位实际需求，服务不达标、提供项目结果低劣，以次充好或服务不到位，一经发现采购单位可按评标排名顺序选择第二成交候选人提供服务。</w:t>
      </w:r>
    </w:p>
    <w:p w14:paraId="5458A307">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14:paraId="15628B25">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9、供应商需要注意的其它事项</w:t>
      </w:r>
      <w:bookmarkEnd w:id="169"/>
    </w:p>
    <w:p w14:paraId="520CF9E9">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 供应商必须由法定代表人或其代理人参加竞争性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，法定代表人委托代理人参加竞争性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必须提供法定代表人授权委托书（原件）和代理人身份证（复印件）。随时接受</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小组的询问，并予以解答问题。</w:t>
      </w:r>
    </w:p>
    <w:p w14:paraId="3E5581F3">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 供应商应遵守有关法律、法规，不得采取不正当的竞争手段，否则，其后果由供应商自负。</w:t>
      </w:r>
    </w:p>
    <w:p w14:paraId="3A203649">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在谈判会直至宣布结果之前，供应商不得向谈判评审专家询问谈判情况，不得进行旨在影响成交结果的活动，否则，其竞争性谈判无效并追究法律责任。</w:t>
      </w:r>
    </w:p>
    <w:p w14:paraId="5FBAA690">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本谈判文件的未尽事项，按现行的有关法律、法规及规章执行。</w:t>
      </w:r>
    </w:p>
    <w:p w14:paraId="6DC45D31">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bookmarkStart w:id="170" w:name="_Toc239822504"/>
      <w:bookmarkStart w:id="171" w:name="_Toc460703974"/>
      <w:bookmarkStart w:id="172" w:name="_Toc239822619"/>
      <w:r>
        <w:rPr>
          <w:rFonts w:hint="eastAsia" w:ascii="仿宋" w:hAnsi="仿宋" w:eastAsia="仿宋" w:cs="仿宋"/>
          <w:b/>
          <w:bCs/>
          <w:color w:val="auto"/>
          <w:sz w:val="24"/>
          <w:szCs w:val="24"/>
          <w:highlight w:val="none"/>
          <w:lang w:val="en-US" w:eastAsia="zh-CN"/>
        </w:rPr>
        <w:t>10、授予合同</w:t>
      </w:r>
      <w:bookmarkEnd w:id="170"/>
      <w:bookmarkEnd w:id="171"/>
      <w:bookmarkEnd w:id="172"/>
      <w:bookmarkStart w:id="173" w:name="_Toc239649312"/>
      <w:bookmarkStart w:id="174" w:name="_Toc239650600"/>
      <w:bookmarkStart w:id="175" w:name="_Toc460703975"/>
      <w:bookmarkStart w:id="176" w:name="_Toc239648600"/>
      <w:bookmarkStart w:id="177" w:name="_Toc239649388"/>
      <w:bookmarkStart w:id="178" w:name="_Toc424211825"/>
      <w:bookmarkStart w:id="179" w:name="_Toc239648866"/>
      <w:bookmarkStart w:id="180" w:name="_Toc239822505"/>
      <w:bookmarkStart w:id="181" w:name="_Toc239649764"/>
      <w:bookmarkStart w:id="182" w:name="_Toc239822620"/>
      <w:bookmarkStart w:id="183" w:name="_Toc424059497"/>
      <w:bookmarkStart w:id="184" w:name="_Toc239651319"/>
    </w:p>
    <w:p w14:paraId="2D089BBF">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10.1成交通知</w:t>
      </w:r>
      <w:bookmarkEnd w:id="173"/>
      <w:bookmarkEnd w:id="174"/>
      <w:bookmarkEnd w:id="175"/>
      <w:bookmarkEnd w:id="176"/>
      <w:bookmarkEnd w:id="177"/>
      <w:bookmarkEnd w:id="178"/>
      <w:bookmarkEnd w:id="179"/>
      <w:bookmarkEnd w:id="180"/>
      <w:bookmarkEnd w:id="181"/>
      <w:bookmarkEnd w:id="182"/>
      <w:bookmarkEnd w:id="183"/>
      <w:bookmarkEnd w:id="184"/>
    </w:p>
    <w:p w14:paraId="31BE477F">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（1）确定成交供应商后，采购代理机构向供应商发出成交通知书，并将成交结果依法公告。</w:t>
      </w:r>
    </w:p>
    <w:p w14:paraId="36A1CD6F">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（2）成交通知书将作为签订合同的依据。如果成交供应商没有按谈判文件的规定执行，成交供应商的成交资格将被取消，并对由此产生的一切后果负责。</w:t>
      </w:r>
    </w:p>
    <w:p w14:paraId="1164C9DA">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bookmarkStart w:id="185" w:name="_Toc239649313"/>
      <w:bookmarkStart w:id="186" w:name="_Toc239648601"/>
      <w:bookmarkStart w:id="187" w:name="_Toc424059498"/>
      <w:bookmarkStart w:id="188" w:name="_Toc239822621"/>
      <w:bookmarkStart w:id="189" w:name="_Toc460703976"/>
      <w:bookmarkStart w:id="190" w:name="_Toc239651320"/>
      <w:bookmarkStart w:id="191" w:name="_Toc239650601"/>
      <w:bookmarkStart w:id="192" w:name="_Toc239649765"/>
      <w:bookmarkStart w:id="193" w:name="_Toc239649389"/>
      <w:bookmarkStart w:id="194" w:name="_Toc239648867"/>
      <w:bookmarkStart w:id="195" w:name="_Toc424211826"/>
      <w:bookmarkStart w:id="196" w:name="_Toc239822506"/>
      <w:r>
        <w:rPr>
          <w:rFonts w:hint="eastAsia" w:ascii="仿宋" w:hAnsi="仿宋" w:eastAsia="仿宋" w:cs="仿宋"/>
          <w:b/>
          <w:bCs/>
          <w:color w:val="auto"/>
          <w:sz w:val="24"/>
          <w:szCs w:val="24"/>
          <w:highlight w:val="none"/>
          <w:lang w:val="en-US" w:eastAsia="zh-CN"/>
        </w:rPr>
        <w:t>10.2签订合同</w:t>
      </w:r>
      <w:bookmarkEnd w:id="185"/>
      <w:bookmarkEnd w:id="186"/>
      <w:bookmarkEnd w:id="187"/>
      <w:bookmarkEnd w:id="188"/>
      <w:bookmarkEnd w:id="189"/>
      <w:bookmarkEnd w:id="190"/>
      <w:bookmarkEnd w:id="191"/>
      <w:bookmarkEnd w:id="192"/>
      <w:bookmarkEnd w:id="193"/>
      <w:bookmarkEnd w:id="194"/>
      <w:bookmarkEnd w:id="195"/>
      <w:bookmarkEnd w:id="196"/>
    </w:p>
    <w:p w14:paraId="23C97454">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（1）谈判文件、成交供应商的响应文件及修改或澄清文件等，均为签订合同的依据。</w:t>
      </w:r>
    </w:p>
    <w:p w14:paraId="3FF3490A">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（2）采购人与成交供应商应当在成交通知书发出之日起5日内，按照谈判文件确定的合同文本以及采购标的、采购金额、技术和服务要求等事项签订政府采购合同。</w:t>
      </w:r>
    </w:p>
    <w:p w14:paraId="7EBA863F">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（3）采购人不得向成交供应</w:t>
      </w:r>
      <w:r>
        <w:rPr>
          <w:rFonts w:hint="eastAsia" w:ascii="仿宋" w:hAnsi="仿宋" w:eastAsia="仿宋" w:cs="仿宋"/>
          <w:color w:val="auto"/>
          <w:sz w:val="24"/>
          <w:szCs w:val="24"/>
          <w:highlight w:val="none"/>
        </w:rPr>
        <w:t>商提出超出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以外的任何要求作为签订合同的条件，不得与成交供应商订立背离</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确定的合同文本以及采购标的、采购金额、技术和服务要求等实质性内容的协议。</w:t>
      </w:r>
    </w:p>
    <w:p w14:paraId="73720068">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所附《合同主要条款》是采购人与成交供应商签订合同的基本条款，成交供应商应认真阅读，在没有实质性违反</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及响应文件的前提下，采购人有权在合同签订前对合同条款进行适当修改、增加、删除，成交供应商不得以此为由拒绝签订合同。对此，请供应商参加竞争性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前慎重考虑相关商业风险。</w:t>
      </w:r>
    </w:p>
    <w:p w14:paraId="2A45E87F">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合同签订后不允许将合同转与其他单位。</w:t>
      </w:r>
    </w:p>
    <w:p w14:paraId="3A6A5636">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合同履行中，需追加与合同标的相同的货物或者服务的，在不改变合同其他条款的前提下，报财政部门审核、批准后，可与成交供应商协商签订补充合同，但所有补充合同的采购金额按国家相关规定执行。</w:t>
      </w:r>
    </w:p>
    <w:p w14:paraId="72F3DD1A">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成交供应商因不可抗力或者自身原因不能履行政府采购合同的，采购人可以与排位在成交供应商之后第一位的成交候选人签订政府采购合同，或重新组织采购。</w:t>
      </w:r>
    </w:p>
    <w:p w14:paraId="71723E62">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、询问、质疑、投诉</w:t>
      </w:r>
    </w:p>
    <w:p w14:paraId="0F8538BE">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11.1</w:t>
      </w:r>
      <w:r>
        <w:rPr>
          <w:rFonts w:hint="eastAsia" w:ascii="仿宋" w:hAnsi="仿宋" w:eastAsia="仿宋" w:cs="仿宋"/>
          <w:b/>
          <w:bCs/>
          <w:color w:val="auto"/>
          <w:sz w:val="24"/>
          <w:szCs w:val="24"/>
          <w:highlight w:val="none"/>
        </w:rPr>
        <w:t>、询问</w:t>
      </w:r>
    </w:p>
    <w:p w14:paraId="0659ECCB">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12.1</w:t>
      </w:r>
      <w:r>
        <w:rPr>
          <w:rFonts w:hint="eastAsia" w:ascii="仿宋" w:hAnsi="仿宋" w:eastAsia="仿宋" w:cs="仿宋"/>
          <w:color w:val="auto"/>
          <w:sz w:val="24"/>
          <w:szCs w:val="24"/>
          <w:highlight w:val="none"/>
        </w:rPr>
        <w:t>.1供应商对竞争性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活动事项有疑问的，可以向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提出询问，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应当在三个工作日内对供应商依法提出的询问作出答复，但答复的内容不得涉及商业秘密。</w:t>
      </w:r>
    </w:p>
    <w:p w14:paraId="52DE8B8A">
      <w:pPr>
        <w:shd w:val="clea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11.2</w:t>
      </w:r>
      <w:r>
        <w:rPr>
          <w:rFonts w:hint="eastAsia" w:ascii="仿宋" w:hAnsi="仿宋" w:eastAsia="仿宋" w:cs="仿宋"/>
          <w:b/>
          <w:color w:val="auto"/>
          <w:sz w:val="24"/>
          <w:szCs w:val="24"/>
          <w:highlight w:val="none"/>
        </w:rPr>
        <w:t>、质疑</w:t>
      </w:r>
    </w:p>
    <w:p w14:paraId="4A9C7BED">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.1供应商认为竞争性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文件、响应过程和</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结果使自己的合法权益受到损害的，可以在知道或者应知其权益受到损害之日起七个工作日内，将质疑文件原件和必要的证明材料书面送达</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7AB8E571">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.2供应商如对竞争性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文件技术指标、参数、评分标准有质疑，向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按相关规定做出答复或委托</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代为答复。供应商如对响应过程和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结果有质疑，向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按相关规定作出答复。</w:t>
      </w:r>
    </w:p>
    <w:p w14:paraId="1974647F">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3上述应知其权益受到损害之日是指： </w:t>
      </w:r>
    </w:p>
    <w:p w14:paraId="3B2C37DE">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文件提出质疑的，为竞争性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 xml:space="preserve">文件公告期限届满之日起计算； </w:t>
      </w:r>
    </w:p>
    <w:p w14:paraId="5A5A86B0">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（2）对项目过程提出质疑的，自项目程序环节结束之日起计算；</w:t>
      </w:r>
    </w:p>
    <w:p w14:paraId="21731828">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结果提出质疑的，自</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结果公告期限届满之日起计算。</w:t>
      </w:r>
    </w:p>
    <w:p w14:paraId="32AA671D">
      <w:pPr>
        <w:shd w:val="clear"/>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11.2</w:t>
      </w:r>
      <w:r>
        <w:rPr>
          <w:rFonts w:hint="eastAsia" w:ascii="仿宋" w:hAnsi="仿宋" w:eastAsia="仿宋" w:cs="仿宋"/>
          <w:b/>
          <w:bCs/>
          <w:color w:val="auto"/>
          <w:sz w:val="24"/>
          <w:szCs w:val="24"/>
          <w:highlight w:val="none"/>
        </w:rPr>
        <w:t>.4质疑供应商在法定质疑期内应当一次性提出针对同一项目环节提出质疑。</w:t>
      </w:r>
    </w:p>
    <w:p w14:paraId="3FB05044">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.5质疑文件应包括以下主要内容，并按照“谁主张、谁举证”的原则，附上相关证明材料。否则，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40F214F">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（1）供应商的姓名或者名称、地址、邮编、联系人及联系电话（包括座机、手机、传真号码等）； </w:t>
      </w:r>
    </w:p>
    <w:p w14:paraId="0394786D">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（2）质疑项目的名称、项目编号、包号、项目公告发布时间、递交响应文件或响应文件截止时间； </w:t>
      </w:r>
    </w:p>
    <w:p w14:paraId="198DD133">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（3）具体、明确的质疑事项和与质疑事项相关的请求； </w:t>
      </w:r>
    </w:p>
    <w:p w14:paraId="098AD279">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（4）事实依据（具体条款，认为自己合法权益受到损害或可能受到损害的相关证据材料。如涉及到产品功能或技术指标的，应出具相关制造商的证明文件）； </w:t>
      </w:r>
    </w:p>
    <w:p w14:paraId="47CD4D0E">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（5）必要的法律依据； </w:t>
      </w:r>
    </w:p>
    <w:p w14:paraId="6954DEC2">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（6）提起质疑的日期；</w:t>
      </w:r>
    </w:p>
    <w:p w14:paraId="6943FFAE">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（7）质疑文件应当署名，质疑人为自然人的，应当由本人签字并附有效身份证明；质疑人为法人或其他组织的，应当由法定代表人签字并加盖单位公章；</w:t>
      </w:r>
    </w:p>
    <w:p w14:paraId="50DC4393">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（8）供应商委托代理质疑的，应当提交授权委托书，并载明代理人的姓名或者名称、代理事项、具体权限、期限和相关事项。</w:t>
      </w:r>
    </w:p>
    <w:p w14:paraId="360636E1">
      <w:pPr>
        <w:shd w:val="clear"/>
        <w:tabs>
          <w:tab w:val="left" w:pos="4200"/>
        </w:tabs>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.6质疑供应商是指直接参加本项目项活动的供应商，未参加采购活动的供应商或在采购活动中自身权益未受到损害的供应商所提出的质疑不予受理。</w:t>
      </w:r>
    </w:p>
    <w:p w14:paraId="2490D833">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在收到供应商的书面质疑后将及时组织调查核实，在七个工作日内作出答复，并以书面形式通知质疑供应商和其他有关供应商，答复的内容不涉及商业秘密。</w:t>
      </w:r>
    </w:p>
    <w:p w14:paraId="4C4F92C8">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（三）不予受理或暂缓受理</w:t>
      </w:r>
    </w:p>
    <w:p w14:paraId="17D472A2">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1、质疑有下列情形之一的，不予受理：</w:t>
      </w:r>
    </w:p>
    <w:p w14:paraId="46E56ED9">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1.1质疑供应商参与了投标活动后，再对招标文件内容提出质疑的；</w:t>
      </w:r>
    </w:p>
    <w:p w14:paraId="0E1E2A1A">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1.2质疑超过有效期的；</w:t>
      </w:r>
    </w:p>
    <w:p w14:paraId="0809377E">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1.3对同一事项重复质疑时，未提供新的事实证据或法律依据；</w:t>
      </w:r>
    </w:p>
    <w:p w14:paraId="36A0CB47">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1.4质疑人未参与所质疑的政府采购活动的。</w:t>
      </w:r>
    </w:p>
    <w:p w14:paraId="6C02564D">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2、质疑有下列情形之一的，应暂不受理并告知投标人补充材料。投标人及时补充材料的，应予受理；逾期未补充的，不予受理：</w:t>
      </w:r>
    </w:p>
    <w:p w14:paraId="127D81F6">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2.1质疑书内容不符合规定的；</w:t>
      </w:r>
    </w:p>
    <w:p w14:paraId="036AC851">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2.2质疑书提供的依据或证明材料不全的；</w:t>
      </w:r>
    </w:p>
    <w:p w14:paraId="764BFA0B">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2.3质疑书数量不足的。</w:t>
      </w:r>
    </w:p>
    <w:p w14:paraId="07D99C27">
      <w:pPr>
        <w:shd w:val="clea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11.3</w:t>
      </w:r>
      <w:r>
        <w:rPr>
          <w:rFonts w:hint="eastAsia" w:ascii="仿宋" w:hAnsi="仿宋" w:eastAsia="仿宋" w:cs="仿宋"/>
          <w:b/>
          <w:color w:val="auto"/>
          <w:sz w:val="24"/>
          <w:szCs w:val="24"/>
          <w:highlight w:val="none"/>
        </w:rPr>
        <w:t>、投诉</w:t>
      </w:r>
    </w:p>
    <w:p w14:paraId="59C7F429">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r>
        <w:rPr>
          <w:rFonts w:hint="eastAsia" w:ascii="仿宋" w:hAnsi="仿宋" w:eastAsia="仿宋" w:cs="仿宋"/>
          <w:color w:val="auto"/>
          <w:sz w:val="24"/>
          <w:szCs w:val="24"/>
          <w:highlight w:val="none"/>
        </w:rPr>
        <w:t>.1 质疑供应商对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未在规定的时间内作出答复的，可以在答复期满后十五个工作日内向采购项目同级财政部门提起投诉。</w:t>
      </w:r>
    </w:p>
    <w:p w14:paraId="136ADC08">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r>
        <w:rPr>
          <w:rFonts w:hint="eastAsia" w:ascii="仿宋" w:hAnsi="仿宋" w:eastAsia="仿宋" w:cs="仿宋"/>
          <w:color w:val="auto"/>
          <w:sz w:val="24"/>
          <w:szCs w:val="24"/>
          <w:highlight w:val="none"/>
        </w:rPr>
        <w:t>.2供应商投诉的事项不得超出已质疑事项的范围，但基于质疑答复内容提出的投诉事项除外。</w:t>
      </w:r>
    </w:p>
    <w:p w14:paraId="05C15115">
      <w:pPr>
        <w:shd w:val="clea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11.4</w:t>
      </w:r>
      <w:r>
        <w:rPr>
          <w:rFonts w:hint="eastAsia" w:ascii="仿宋" w:hAnsi="仿宋" w:eastAsia="仿宋" w:cs="仿宋"/>
          <w:b/>
          <w:color w:val="auto"/>
          <w:sz w:val="24"/>
          <w:szCs w:val="24"/>
          <w:highlight w:val="none"/>
        </w:rPr>
        <w:t>、诚实信用</w:t>
      </w:r>
    </w:p>
    <w:p w14:paraId="7C363A50">
      <w:pPr>
        <w:shd w:val="clear"/>
        <w:spacing w:beforeAutospacing="0" w:afterAutospacing="0"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12.4.1</w:t>
      </w:r>
      <w:r>
        <w:rPr>
          <w:rFonts w:hint="eastAsia" w:ascii="仿宋" w:hAnsi="仿宋" w:eastAsia="仿宋" w:cs="仿宋"/>
          <w:color w:val="auto"/>
          <w:sz w:val="24"/>
          <w:szCs w:val="24"/>
          <w:highlight w:val="none"/>
        </w:rPr>
        <w:t xml:space="preserve"> 供应商不得虚假承诺，否则，按照提供虚假材料谋取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处理。</w:t>
      </w:r>
    </w:p>
    <w:bookmarkEnd w:id="166"/>
    <w:p w14:paraId="2A4FB6AF">
      <w:pPr>
        <w:keepLines w:val="0"/>
        <w:pageBreakBefore w:val="0"/>
        <w:shd w:val="clear"/>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第三章 采购需求</w:t>
      </w:r>
    </w:p>
    <w:p w14:paraId="3A9E2841">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一、服务内容及要求</w:t>
      </w:r>
      <w:bookmarkStart w:id="197" w:name="_Toc438456195"/>
    </w:p>
    <w:bookmarkEnd w:id="197"/>
    <w:tbl>
      <w:tblPr>
        <w:tblStyle w:val="27"/>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02"/>
        <w:gridCol w:w="2715"/>
        <w:gridCol w:w="2490"/>
      </w:tblGrid>
      <w:tr w14:paraId="25C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18" w:type="dxa"/>
            <w:noWrap w:val="0"/>
            <w:vAlign w:val="center"/>
          </w:tcPr>
          <w:p w14:paraId="786B47FA">
            <w:pPr>
              <w:pStyle w:val="14"/>
              <w:shd w:val="clear"/>
              <w:spacing w:line="400" w:lineRule="exact"/>
              <w:ind w:left="0" w:leftChars="0"/>
              <w:jc w:val="center"/>
              <w:rPr>
                <w:rFonts w:hint="eastAsia" w:ascii="仿宋" w:hAnsi="仿宋" w:eastAsia="仿宋" w:cs="仿宋"/>
                <w:b/>
                <w:color w:val="auto"/>
                <w:kern w:val="0"/>
                <w:sz w:val="24"/>
                <w:szCs w:val="24"/>
                <w:highlight w:val="none"/>
              </w:rPr>
            </w:pPr>
            <w:bookmarkStart w:id="198" w:name="_Toc460703983"/>
            <w:r>
              <w:rPr>
                <w:rFonts w:hint="eastAsia" w:ascii="仿宋" w:hAnsi="仿宋" w:eastAsia="仿宋"/>
                <w:b/>
                <w:color w:val="auto"/>
                <w:szCs w:val="24"/>
                <w:highlight w:val="none"/>
              </w:rPr>
              <w:t>序号</w:t>
            </w:r>
          </w:p>
        </w:tc>
        <w:tc>
          <w:tcPr>
            <w:tcW w:w="3402" w:type="dxa"/>
            <w:noWrap w:val="0"/>
            <w:vAlign w:val="center"/>
          </w:tcPr>
          <w:p w14:paraId="6DCF5AE7">
            <w:pPr>
              <w:pStyle w:val="14"/>
              <w:shd w:val="clear"/>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项目名称</w:t>
            </w:r>
          </w:p>
        </w:tc>
        <w:tc>
          <w:tcPr>
            <w:tcW w:w="2715" w:type="dxa"/>
            <w:noWrap w:val="0"/>
            <w:vAlign w:val="center"/>
          </w:tcPr>
          <w:p w14:paraId="6A329088">
            <w:pPr>
              <w:pStyle w:val="14"/>
              <w:shd w:val="clear"/>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采购预算</w:t>
            </w:r>
          </w:p>
          <w:p w14:paraId="3D25DAD6">
            <w:pPr>
              <w:pStyle w:val="14"/>
              <w:shd w:val="clear"/>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（万元）</w:t>
            </w:r>
          </w:p>
        </w:tc>
        <w:tc>
          <w:tcPr>
            <w:tcW w:w="2490" w:type="dxa"/>
            <w:noWrap w:val="0"/>
            <w:vAlign w:val="center"/>
          </w:tcPr>
          <w:p w14:paraId="55285ABB">
            <w:pPr>
              <w:pStyle w:val="14"/>
              <w:shd w:val="clear"/>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服务期限</w:t>
            </w:r>
          </w:p>
        </w:tc>
      </w:tr>
      <w:tr w14:paraId="414B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8" w:type="dxa"/>
            <w:noWrap w:val="0"/>
            <w:vAlign w:val="center"/>
          </w:tcPr>
          <w:p w14:paraId="7CE5FB9D">
            <w:pPr>
              <w:pStyle w:val="14"/>
              <w:shd w:val="clear"/>
              <w:spacing w:line="400" w:lineRule="exact"/>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3402" w:type="dxa"/>
            <w:noWrap w:val="0"/>
            <w:vAlign w:val="center"/>
          </w:tcPr>
          <w:p w14:paraId="3EF1ABCE">
            <w:pPr>
              <w:pStyle w:val="53"/>
              <w:shd w:val="clear"/>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克拉玛依区各委办局视频监控运维项目</w:t>
            </w:r>
          </w:p>
        </w:tc>
        <w:tc>
          <w:tcPr>
            <w:tcW w:w="2715" w:type="dxa"/>
            <w:noWrap w:val="0"/>
            <w:vAlign w:val="center"/>
          </w:tcPr>
          <w:p w14:paraId="375BA344">
            <w:pPr>
              <w:pStyle w:val="53"/>
              <w:shd w:val="clear"/>
              <w:spacing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54.6739</w:t>
            </w:r>
          </w:p>
        </w:tc>
        <w:tc>
          <w:tcPr>
            <w:tcW w:w="2490" w:type="dxa"/>
            <w:noWrap w:val="0"/>
            <w:vAlign w:val="center"/>
          </w:tcPr>
          <w:p w14:paraId="79A4F0C0">
            <w:pPr>
              <w:pStyle w:val="53"/>
              <w:shd w:val="clear"/>
              <w:spacing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自签订之日起1年</w:t>
            </w:r>
          </w:p>
        </w:tc>
      </w:tr>
    </w:tbl>
    <w:p w14:paraId="2F7A7DEC">
      <w:pPr>
        <w:pStyle w:val="53"/>
        <w:numPr>
          <w:ilvl w:val="0"/>
          <w:numId w:val="0"/>
        </w:numPr>
        <w:shd w:val="clea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（二）项目基本情况和</w:t>
      </w:r>
      <w:r>
        <w:rPr>
          <w:rFonts w:hint="eastAsia" w:cs="仿宋"/>
          <w:b/>
          <w:bCs/>
          <w:color w:val="auto"/>
          <w:sz w:val="24"/>
          <w:szCs w:val="24"/>
          <w:highlight w:val="none"/>
          <w:lang w:val="en-US" w:eastAsia="zh-CN"/>
        </w:rPr>
        <w:t>服务内容</w:t>
      </w:r>
    </w:p>
    <w:p w14:paraId="3D076D4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我区视频监控项目建设历经多年发展，已基本覆盖全区各部门、各单位。随着近年对维稳工作的要求不断提升，上级相关部门也陆续出台不同的监控建设标准，按照现行标准，我区已建部分监控项目存在不符合当前建设标准的情况。</w:t>
      </w:r>
    </w:p>
    <w:p w14:paraId="69C980D8">
      <w:pPr>
        <w:pStyle w:val="53"/>
        <w:keepNext w:val="0"/>
        <w:keepLines w:val="0"/>
        <w:pageBreakBefore w:val="0"/>
        <w:widowControl/>
        <w:numPr>
          <w:ilvl w:val="0"/>
          <w:numId w:val="0"/>
        </w:numPr>
        <w:shd w:val="clear"/>
        <w:kinsoku/>
        <w:wordWrap/>
        <w:overflowPunct/>
        <w:topLinePunct w:val="0"/>
        <w:autoSpaceDE/>
        <w:autoSpaceDN/>
        <w:bidi w:val="0"/>
        <w:adjustRightInd/>
        <w:snapToGrid w:val="0"/>
        <w:spacing w:line="360" w:lineRule="auto"/>
        <w:ind w:firstLine="482" w:firstLineChars="200"/>
        <w:textAlignment w:val="auto"/>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2、服务内容</w:t>
      </w:r>
    </w:p>
    <w:p w14:paraId="341FFBD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定期巡检（每月1次），及时发现潜在风险并采提前规避处理；维护工程师每日按照巡检计划进行常规性巡检，并形成巡检报告。巡检发现异常（设备故障、安全隐患、状态异常等），立即进行排查和处理。做到勤巡检、早发现、早解决，避免因设备在不良状态下运行导致的彻底损坏或者系统服务的中断带来的损失；</w:t>
      </w:r>
    </w:p>
    <w:p w14:paraId="78258E9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2、巡检及资料整理：针对关键系统、关键部位、关键节点依据系统的技术特性或用户的要求建立科学合理的《巡检计划》。《巡检计划》包括巡检周期、巡检内容及巡检标准。技术文档管理：每月巡检提供巡检记录单；每季度提供一份详细的巡检报告，包含本季度的系统运行情况、设备在线情况、故障汇总、修复情况说明和建议；每年提供年度系统运行情况和建议报告；新增业务系统调试、试运行、后期投入生产等各阶段的运行监测报告及配置调试文档收集；故障处理、业务系统调试等技术文档汇总、编制，形成知识库。供应商中标后二月内需依据原建设单位提交的所有项目资料对克区安防系统进行基础资料核对，并将资料中未涉及或有错误的内容根据现场实际情况进行修正。资产管理，建立台账，设备报废流程制定执行，每季度更新台账；系统管理。IP地址变动管理、规划及系统密码管理。</w:t>
      </w:r>
    </w:p>
    <w:p w14:paraId="3511B7E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3、响应支持：7X24小时故障受理，响应时间1小时之内进行故障排查，如涉及硬件故障无法立即解决的，上报安保部门进行采购。突发性故障处理，按故障级别在规定的时间内修复，恢复系统的正常运行。</w:t>
      </w:r>
    </w:p>
    <w:p w14:paraId="7BC9F9B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4、定期保养、优化改善、备份和测试：综合各系统技术特性、环境因素和用户要求，定期对各系统进行保养性维护，调整运行参数、优化和改善运行状态、系统的备份及测试等工作，以保证各系统处于高效运行状态，减少故障率，提高设备使用寿命，通过备份和测试保证系统在出现故障时能够及时恢复，避免数据丢失等事故的出现。</w:t>
      </w:r>
    </w:p>
    <w:p w14:paraId="6936873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5、合理化建议：从专业的角度定期对维护范围内的各系统进行适用性、可操作性、实用性、可改进性、提出改善和优化建议，供用户进行决策，提高服务质量和用户满意度</w:t>
      </w:r>
    </w:p>
    <w:p w14:paraId="2749328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6、重点时段技术保障：根据用户具体要求，保证重点时段关键系统的正常运行。同时保证在出现突发性事故以后能够及时恢复系统的正常运行或者保证基本功能的实现，以免影响用户使用。</w:t>
      </w:r>
      <w:bookmarkStart w:id="199" w:name="_Toc432783622"/>
    </w:p>
    <w:p w14:paraId="462321B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7、备品备件保障</w:t>
      </w:r>
      <w:bookmarkEnd w:id="199"/>
      <w:r>
        <w:rPr>
          <w:rFonts w:hint="eastAsia" w:ascii="仿宋" w:hAnsi="Times New Roman" w:eastAsia="仿宋" w:cs="仿宋"/>
          <w:b w:val="0"/>
          <w:bCs w:val="0"/>
          <w:color w:val="auto"/>
          <w:kern w:val="2"/>
          <w:sz w:val="24"/>
          <w:szCs w:val="24"/>
          <w:highlight w:val="none"/>
          <w:lang w:val="en-US" w:eastAsia="zh-CN" w:bidi="ar-SA"/>
        </w:rPr>
        <w:t>：</w:t>
      </w:r>
      <w:bookmarkStart w:id="200" w:name="_Toc432783623"/>
      <w:r>
        <w:rPr>
          <w:rFonts w:hint="eastAsia" w:ascii="仿宋" w:hAnsi="Times New Roman" w:eastAsia="仿宋" w:cs="仿宋"/>
          <w:b w:val="0"/>
          <w:bCs w:val="0"/>
          <w:color w:val="auto"/>
          <w:kern w:val="2"/>
          <w:sz w:val="24"/>
          <w:szCs w:val="24"/>
          <w:highlight w:val="none"/>
          <w:lang w:val="en-US" w:eastAsia="zh-CN" w:bidi="ar-SA"/>
        </w:rPr>
        <w:t>成交单位提供和原系统兼容的枪机、半球、球机、室内摄像机支架、室外立杆、室外立杆配电箱、室内、外摄像机供电模块、光模块、尾纤等设备，成交单位自行准备上述备品备件（可为非全新设备，但必须正常可用），确保在发生硬件损坏无法及时修复时能够尽快替换故障设备并下架维修，损坏设备如已过质保期则需经安保部门审核后及时采购全新设备并进行更换；如未过质保期则由成交单位将现场维修记录交由安保部门审核后联系原施工建设单位进行售后维修，维修完毕后填写维修记录存档备查。</w:t>
      </w:r>
    </w:p>
    <w:p w14:paraId="2B5E51B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8、针对易损配件（如电源模块、前端五口交换设备、光纤收发器等）优先进行备品、备件；网络枪击摄像头、半球摄像头等进行备品备件，硬件故障后第一时间更换；网络设备、后端存储设备及后台设备，运维工程师在运维过程中根据其运行状态及硬件故障情况向甲方申请采购，经甲方审批同意后采购；设备或配件损坏运维工程师记录存档，按流程申请报废；备品、备件运费、人工费由乙方承担。常用维护耗材提供</w:t>
      </w:r>
      <w:bookmarkEnd w:id="200"/>
      <w:r>
        <w:rPr>
          <w:rFonts w:hint="eastAsia" w:ascii="仿宋" w:hAnsi="Times New Roman" w:eastAsia="仿宋" w:cs="仿宋"/>
          <w:b w:val="0"/>
          <w:bCs w:val="0"/>
          <w:color w:val="auto"/>
          <w:kern w:val="2"/>
          <w:sz w:val="24"/>
          <w:szCs w:val="24"/>
          <w:highlight w:val="none"/>
          <w:lang w:val="en-US" w:eastAsia="zh-CN" w:bidi="ar-SA"/>
        </w:rPr>
        <w:t>：提供维护维修过程发生的各种维护耗材（PVC线槽、网络跳线）、维修配件（空气开关、网线接头、各种监控系统相关的螺丝、膨胀托栓）等。</w:t>
      </w:r>
      <w:bookmarkStart w:id="201" w:name="_Toc432783624"/>
    </w:p>
    <w:p w14:paraId="40500BE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9、故障设备维修或部件更换</w:t>
      </w:r>
      <w:bookmarkEnd w:id="201"/>
      <w:r>
        <w:rPr>
          <w:rFonts w:hint="eastAsia" w:ascii="仿宋" w:hAnsi="Times New Roman" w:eastAsia="仿宋" w:cs="仿宋"/>
          <w:b w:val="0"/>
          <w:bCs w:val="0"/>
          <w:color w:val="auto"/>
          <w:kern w:val="2"/>
          <w:sz w:val="24"/>
          <w:szCs w:val="24"/>
          <w:highlight w:val="none"/>
          <w:lang w:val="en-US" w:eastAsia="zh-CN" w:bidi="ar-SA"/>
        </w:rPr>
        <w:t>：设备出现故障，提供技术人员免费维修、更换设备。每次维修或部件更换填写《设备维修单》，报用户主管人员签字确认后进行维修或者更换操作。</w:t>
      </w:r>
    </w:p>
    <w:p w14:paraId="1E5EE89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10、人员培训：运维工程师入场后对克区安保人员视频监控系统系统的使用定期培训（每季度至少一次），</w:t>
      </w:r>
      <w:bookmarkStart w:id="202" w:name="_Toc28489840"/>
      <w:r>
        <w:rPr>
          <w:rFonts w:hint="eastAsia" w:ascii="仿宋" w:hAnsi="Times New Roman" w:eastAsia="仿宋" w:cs="仿宋"/>
          <w:b w:val="0"/>
          <w:bCs w:val="0"/>
          <w:color w:val="auto"/>
          <w:kern w:val="2"/>
          <w:sz w:val="24"/>
          <w:szCs w:val="24"/>
          <w:highlight w:val="none"/>
          <w:lang w:val="en-US" w:eastAsia="zh-CN" w:bidi="ar-SA"/>
        </w:rPr>
        <w:t>培训内容主要包括各系统基本原理、主要功能、操作管理以及常见故障排查、应急情况处理等。</w:t>
      </w:r>
      <w:bookmarkEnd w:id="202"/>
      <w:r>
        <w:rPr>
          <w:rFonts w:hint="eastAsia" w:ascii="仿宋" w:hAnsi="Times New Roman" w:eastAsia="仿宋" w:cs="仿宋"/>
          <w:b w:val="0"/>
          <w:bCs w:val="0"/>
          <w:color w:val="auto"/>
          <w:kern w:val="2"/>
          <w:sz w:val="24"/>
          <w:szCs w:val="24"/>
          <w:highlight w:val="none"/>
          <w:lang w:val="en-US" w:eastAsia="zh-CN" w:bidi="ar-SA"/>
        </w:rPr>
        <w:t>使安保人员能够熟练的使用、操作视频监控系统；以此确保简单的故障我方运维工程师能够通过电话指导安保人员快速处理，恢复系统运行正常。</w:t>
      </w:r>
    </w:p>
    <w:p w14:paraId="0E55A6B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11、成交单位必须熟练使用克区现有视频监控系统的管理平台。</w:t>
      </w:r>
    </w:p>
    <w:p w14:paraId="1F4155F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12、固定资产管理：成交供应商对克区监控要求进行盘点，并做好资料台账，对需要更换或维修的设备做好台账记录。</w:t>
      </w:r>
    </w:p>
    <w:p w14:paraId="4E5514AD">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二、服务标准及考核办法</w:t>
      </w:r>
    </w:p>
    <w:p w14:paraId="5EE672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（一）服务标准</w:t>
      </w:r>
    </w:p>
    <w:p w14:paraId="3E7E278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 响应时间：接到客户故障报修后，24小时内响应，48小时内上门服务，响应时间1小时之内进行故障排查。</w:t>
      </w:r>
    </w:p>
    <w:p w14:paraId="14D0A29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2. 维修质量：确保维修质量，保证监控系统恢复正常运行。</w:t>
      </w:r>
    </w:p>
    <w:p w14:paraId="7700B69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3. 维护周期：根据客户需求，制定合理的维护周期，确保监控系统稳定运行。</w:t>
      </w:r>
    </w:p>
    <w:p w14:paraId="55A0478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4. 技术支持：提供7×24小时技术支持，解决客户在使用过程中遇到的问题。</w:t>
      </w:r>
    </w:p>
    <w:p w14:paraId="2E80BFF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5. 服务费用：严格按照国家相关规定和收费标准，为客户提供合理的收费服务</w:t>
      </w:r>
    </w:p>
    <w:p w14:paraId="11CF67E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（二）考核原则</w:t>
      </w:r>
    </w:p>
    <w:p w14:paraId="0CC5847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参照《管理办法》由甲方对乙方工作进行年度考核。由乙方出具《克拉玛依区视频监控维护服务项目考核验收评分表》，由区工信局根据工作开展情况，对乙方进行考核，由甲方依据乙方实际技术运维实施结果、用户单位评价数据和监控维修情况进行考核，并进行综合打分评定，并以此考核结果作为付款依据。</w:t>
      </w:r>
    </w:p>
    <w:p w14:paraId="20FA8B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综合打分评定实行百分制评测。根据分值评定服务质量：90—100 分为优秀；80—89 分为良好；70—79 分为合格；70 分以下为不合格。</w:t>
      </w:r>
    </w:p>
    <w:p w14:paraId="2E20C58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（三）考核标准</w:t>
      </w:r>
    </w:p>
    <w:p w14:paraId="0E30685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 乙方年考核在 80 分以上（含 80）分，视为服务优秀或良好，不扣技术服务费；</w:t>
      </w:r>
    </w:p>
    <w:p w14:paraId="7FDE32E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2. 当乙方年考核分低于 80 分，每降低 1 分，扣除当年技术服务费 1‰；</w:t>
      </w:r>
    </w:p>
    <w:p w14:paraId="39751B65">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val="en-US" w:eastAsia="zh-CN"/>
        </w:rPr>
        <w:t>服务地点</w:t>
      </w:r>
    </w:p>
    <w:p w14:paraId="35B42393">
      <w:pPr>
        <w:shd w:val="clear"/>
        <w:spacing w:line="360" w:lineRule="auto"/>
        <w:ind w:firstLine="424" w:firstLineChars="177"/>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克拉玛依区</w:t>
      </w:r>
    </w:p>
    <w:p w14:paraId="10F34ABF">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en-US" w:eastAsia="zh-CN"/>
        </w:rPr>
        <w:t>付款方式</w:t>
      </w:r>
    </w:p>
    <w:p w14:paraId="366EE473">
      <w:pPr>
        <w:shd w:val="clear"/>
        <w:spacing w:line="360" w:lineRule="auto"/>
        <w:ind w:firstLine="424" w:firstLineChars="177"/>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按月付款。经</w:t>
      </w:r>
      <w:r>
        <w:rPr>
          <w:rFonts w:hint="eastAsia" w:ascii="仿宋" w:hAnsi="仿宋" w:eastAsia="仿宋" w:cs="仿宋"/>
          <w:b w:val="0"/>
          <w:bCs/>
          <w:color w:val="auto"/>
          <w:sz w:val="24"/>
          <w:szCs w:val="24"/>
          <w:highlight w:val="none"/>
          <w:lang w:val="en-US" w:eastAsia="zh-CN"/>
        </w:rPr>
        <w:t>业主考核后，</w:t>
      </w:r>
      <w:r>
        <w:rPr>
          <w:rFonts w:hint="eastAsia" w:ascii="仿宋" w:hAnsi="仿宋" w:eastAsia="仿宋" w:cs="仿宋"/>
          <w:b w:val="0"/>
          <w:bCs/>
          <w:color w:val="auto"/>
          <w:sz w:val="24"/>
          <w:szCs w:val="24"/>
          <w:highlight w:val="none"/>
        </w:rPr>
        <w:t>依据考核结果兑现。</w:t>
      </w:r>
    </w:p>
    <w:p w14:paraId="57C85047">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eastAsia" w:hAnsi="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val="en-US" w:eastAsia="zh-CN"/>
        </w:rPr>
        <w:t>监控点位及数量明细</w:t>
      </w:r>
    </w:p>
    <w:p w14:paraId="7FF93D0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现克拉玛依区视屏监控建设范围主要分为三部分：</w:t>
      </w:r>
    </w:p>
    <w:p w14:paraId="1DB1D01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1、区属机关办公场所、街道社区居委会、学校幼儿园（计129家单位，点位7402处，其中一次性建设点位3022处，政府购买服务租代建点位4380处。</w:t>
      </w:r>
    </w:p>
    <w:p w14:paraId="64ECFBE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2、小区物业监控（计点位5294处）</w:t>
      </w:r>
    </w:p>
    <w:p w14:paraId="27A3E84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3、公安安防监控（计点位6656处）</w:t>
      </w:r>
    </w:p>
    <w:p w14:paraId="00D26CED">
      <w:pPr>
        <w:pStyle w:val="53"/>
        <w:keepNext w:val="0"/>
        <w:keepLines w:val="0"/>
        <w:pageBreakBefore w:val="0"/>
        <w:widowControl/>
        <w:numPr>
          <w:ilvl w:val="0"/>
          <w:numId w:val="0"/>
        </w:numPr>
        <w:shd w:val="clear"/>
        <w:kinsoku/>
        <w:wordWrap/>
        <w:overflowPunct/>
        <w:topLinePunct w:val="0"/>
        <w:autoSpaceDE/>
        <w:autoSpaceDN/>
        <w:bidi w:val="0"/>
        <w:adjustRightInd/>
        <w:snapToGrid w:val="0"/>
        <w:spacing w:line="360" w:lineRule="auto"/>
        <w:ind w:firstLine="480" w:firstLineChars="200"/>
        <w:textAlignment w:val="auto"/>
        <w:rPr>
          <w:rFonts w:hint="default" w:cs="仿宋"/>
          <w:b w:val="0"/>
          <w:bCs w:val="0"/>
          <w:color w:val="auto"/>
          <w:sz w:val="24"/>
          <w:szCs w:val="24"/>
          <w:highlight w:val="none"/>
          <w:lang w:val="en-US" w:eastAsia="zh-CN"/>
        </w:rPr>
      </w:pPr>
      <w:r>
        <w:rPr>
          <w:rFonts w:hint="default" w:cs="仿宋"/>
          <w:b w:val="0"/>
          <w:bCs w:val="0"/>
          <w:color w:val="auto"/>
          <w:sz w:val="24"/>
          <w:szCs w:val="24"/>
          <w:highlight w:val="none"/>
          <w:lang w:val="en-US" w:eastAsia="zh-CN"/>
        </w:rPr>
        <w:br w:type="page"/>
      </w:r>
    </w:p>
    <w:bookmarkEnd w:id="198"/>
    <w:p w14:paraId="721C88E3">
      <w:pPr>
        <w:pStyle w:val="50"/>
        <w:numPr>
          <w:ilvl w:val="0"/>
          <w:numId w:val="0"/>
        </w:numPr>
        <w:shd w:val="clea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合同主要条款</w:t>
      </w:r>
    </w:p>
    <w:p w14:paraId="5B28B056">
      <w:pPr>
        <w:pStyle w:val="50"/>
        <w:numPr>
          <w:ilvl w:val="0"/>
          <w:numId w:val="0"/>
        </w:num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此合同为格式范本，最终合同以双方协商为准）</w:t>
      </w:r>
    </w:p>
    <w:p w14:paraId="29733D15">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4A32B74">
      <w:pPr>
        <w:pStyle w:val="23"/>
        <w:shd w:val="clear"/>
        <w:spacing w:before="60" w:beforeAutospacing="0" w:after="60" w:afterAutospacing="0"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p w14:paraId="7DE19A46">
      <w:pPr>
        <w:pStyle w:val="23"/>
        <w:shd w:val="clear"/>
        <w:spacing w:before="60" w:beforeAutospacing="0" w:after="60" w:afterAutospacing="0" w:line="240"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　同　书</w:t>
      </w:r>
    </w:p>
    <w:p w14:paraId="2667FCAE">
      <w:pPr>
        <w:pStyle w:val="23"/>
        <w:shd w:val="clear"/>
        <w:spacing w:before="60" w:beforeAutospacing="0" w:after="60" w:afterAutospacing="0" w:line="240" w:lineRule="auto"/>
        <w:rPr>
          <w:rFonts w:hint="eastAsia" w:ascii="仿宋" w:hAnsi="仿宋" w:eastAsia="仿宋" w:cs="仿宋"/>
          <w:color w:val="auto"/>
          <w:kern w:val="2"/>
          <w:sz w:val="24"/>
          <w:szCs w:val="24"/>
          <w:highlight w:val="none"/>
          <w:lang w:val="en-US" w:eastAsia="zh-CN" w:bidi="ar-SA"/>
        </w:rPr>
      </w:pPr>
    </w:p>
    <w:p w14:paraId="4F2F3EC0">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B0BF8BA">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409C3C8">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14C68CB">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7119C949">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280229C">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221E716">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AA06F83">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采购编号：</w:t>
      </w:r>
    </w:p>
    <w:p w14:paraId="61BC8257">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12F094C">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F09D474">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A926BCD">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11770C01">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739F9D10">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ECC8401">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FE26395">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2D7F30D">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209EAFD">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3DAD312">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5BD4E9D">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0F2B2DFF">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34E66131">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4F8D372F">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379D6B6F">
      <w:pPr>
        <w:shd w:val="clear"/>
        <w:rPr>
          <w:rFonts w:hint="eastAsia" w:ascii="仿宋" w:hAnsi="仿宋" w:eastAsia="仿宋" w:cs="仿宋"/>
          <w:color w:val="auto"/>
          <w:kern w:val="2"/>
          <w:sz w:val="24"/>
          <w:szCs w:val="24"/>
          <w:highlight w:val="none"/>
          <w:lang w:val="en-US" w:eastAsia="zh-CN" w:bidi="ar-SA"/>
        </w:rPr>
      </w:pPr>
    </w:p>
    <w:p w14:paraId="047FE397">
      <w:pPr>
        <w:shd w:val="clear"/>
        <w:rPr>
          <w:rFonts w:hint="eastAsia" w:ascii="仿宋" w:hAnsi="仿宋" w:eastAsia="仿宋" w:cs="仿宋"/>
          <w:color w:val="auto"/>
          <w:kern w:val="2"/>
          <w:sz w:val="24"/>
          <w:szCs w:val="24"/>
          <w:highlight w:val="none"/>
          <w:lang w:val="en-US" w:eastAsia="zh-CN" w:bidi="ar-SA"/>
        </w:rPr>
      </w:pPr>
    </w:p>
    <w:p w14:paraId="43D3354B">
      <w:pPr>
        <w:shd w:val="clear"/>
        <w:rPr>
          <w:rFonts w:hint="eastAsia" w:ascii="仿宋" w:hAnsi="仿宋" w:eastAsia="仿宋" w:cs="仿宋"/>
          <w:color w:val="auto"/>
          <w:kern w:val="2"/>
          <w:sz w:val="24"/>
          <w:szCs w:val="24"/>
          <w:highlight w:val="none"/>
          <w:lang w:val="en-US" w:eastAsia="zh-CN" w:bidi="ar-SA"/>
        </w:rPr>
      </w:pPr>
    </w:p>
    <w:p w14:paraId="5713261E">
      <w:pPr>
        <w:shd w:val="clear"/>
        <w:rPr>
          <w:rFonts w:hint="eastAsia" w:ascii="仿宋" w:hAnsi="仿宋" w:eastAsia="仿宋" w:cs="仿宋"/>
          <w:color w:val="auto"/>
          <w:kern w:val="2"/>
          <w:sz w:val="24"/>
          <w:szCs w:val="24"/>
          <w:highlight w:val="none"/>
          <w:lang w:val="en-US" w:eastAsia="zh-CN" w:bidi="ar-SA"/>
        </w:rPr>
      </w:pPr>
    </w:p>
    <w:p w14:paraId="5B4EF44E">
      <w:pPr>
        <w:shd w:val="clear"/>
        <w:rPr>
          <w:rFonts w:hint="eastAsia" w:ascii="仿宋" w:hAnsi="仿宋" w:eastAsia="仿宋" w:cs="仿宋"/>
          <w:color w:val="auto"/>
          <w:kern w:val="2"/>
          <w:sz w:val="24"/>
          <w:szCs w:val="24"/>
          <w:highlight w:val="none"/>
          <w:lang w:val="en-US" w:eastAsia="zh-CN" w:bidi="ar-SA"/>
        </w:rPr>
      </w:pPr>
    </w:p>
    <w:p w14:paraId="2CD824D5">
      <w:pPr>
        <w:shd w:val="clear"/>
        <w:rPr>
          <w:rFonts w:hint="eastAsia" w:ascii="仿宋" w:hAnsi="仿宋" w:eastAsia="仿宋" w:cs="仿宋"/>
          <w:color w:val="auto"/>
          <w:kern w:val="2"/>
          <w:sz w:val="24"/>
          <w:szCs w:val="24"/>
          <w:highlight w:val="none"/>
          <w:lang w:val="en-US" w:eastAsia="zh-CN" w:bidi="ar-SA"/>
        </w:rPr>
      </w:pPr>
    </w:p>
    <w:p w14:paraId="3E5CD26E">
      <w:pPr>
        <w:shd w:val="clear"/>
        <w:rPr>
          <w:rFonts w:hint="eastAsia" w:ascii="仿宋" w:hAnsi="仿宋" w:eastAsia="仿宋" w:cs="仿宋"/>
          <w:color w:val="auto"/>
          <w:kern w:val="2"/>
          <w:sz w:val="24"/>
          <w:szCs w:val="24"/>
          <w:highlight w:val="none"/>
          <w:lang w:val="en-US" w:eastAsia="zh-CN" w:bidi="ar-SA"/>
        </w:rPr>
      </w:pPr>
    </w:p>
    <w:p w14:paraId="52EC0022">
      <w:pPr>
        <w:shd w:val="clear"/>
        <w:rPr>
          <w:rFonts w:hint="eastAsia" w:ascii="仿宋" w:hAnsi="仿宋" w:eastAsia="仿宋" w:cs="仿宋"/>
          <w:color w:val="auto"/>
          <w:kern w:val="2"/>
          <w:sz w:val="24"/>
          <w:szCs w:val="24"/>
          <w:highlight w:val="none"/>
          <w:lang w:val="en-US" w:eastAsia="zh-CN" w:bidi="ar-SA"/>
        </w:rPr>
      </w:pPr>
    </w:p>
    <w:p w14:paraId="654185A4">
      <w:pPr>
        <w:shd w:val="clear"/>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注：本合同仅为合同的参考文本，合同签订双方可根据项目的具体要求进行修订。</w:t>
      </w:r>
    </w:p>
    <w:p w14:paraId="0716788E">
      <w:pPr>
        <w:shd w:val="clear"/>
        <w:spacing w:line="360" w:lineRule="auto"/>
        <w:ind w:firstLine="420"/>
        <w:rPr>
          <w:rFonts w:hint="eastAsia" w:ascii="仿宋" w:hAnsi="仿宋" w:eastAsia="仿宋" w:cs="仿宋"/>
          <w:color w:val="auto"/>
          <w:sz w:val="24"/>
          <w:szCs w:val="24"/>
          <w:highlight w:val="none"/>
        </w:rPr>
      </w:pPr>
    </w:p>
    <w:p w14:paraId="3F4F8D46">
      <w:pPr>
        <w:shd w:val="clea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u w:val="single"/>
        </w:rPr>
        <w:t>　　　　　　　　　　</w:t>
      </w:r>
    </w:p>
    <w:p w14:paraId="7B4DB833">
      <w:pPr>
        <w:shd w:val="clea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地　　址：</w:t>
      </w:r>
      <w:r>
        <w:rPr>
          <w:rFonts w:hint="eastAsia" w:ascii="仿宋" w:hAnsi="仿宋" w:eastAsia="仿宋" w:cs="仿宋"/>
          <w:b/>
          <w:color w:val="auto"/>
          <w:sz w:val="24"/>
          <w:szCs w:val="24"/>
          <w:highlight w:val="none"/>
          <w:u w:val="single"/>
        </w:rPr>
        <w:t>　　　　　　　　　　</w:t>
      </w:r>
    </w:p>
    <w:p w14:paraId="5CE3731A">
      <w:pPr>
        <w:shd w:val="clear"/>
        <w:spacing w:line="360" w:lineRule="auto"/>
        <w:ind w:firstLine="42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　　方：</w:t>
      </w:r>
      <w:r>
        <w:rPr>
          <w:rFonts w:hint="eastAsia" w:ascii="仿宋" w:hAnsi="仿宋" w:eastAsia="仿宋" w:cs="仿宋"/>
          <w:b/>
          <w:color w:val="auto"/>
          <w:sz w:val="24"/>
          <w:szCs w:val="24"/>
          <w:highlight w:val="none"/>
          <w:u w:val="single"/>
        </w:rPr>
        <w:t>　　　　　　　　　　</w:t>
      </w:r>
    </w:p>
    <w:p w14:paraId="59D90330">
      <w:pPr>
        <w:shd w:val="clea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地　　址：</w:t>
      </w:r>
      <w:r>
        <w:rPr>
          <w:rFonts w:hint="eastAsia" w:ascii="仿宋" w:hAnsi="仿宋" w:eastAsia="仿宋" w:cs="仿宋"/>
          <w:b/>
          <w:color w:val="auto"/>
          <w:sz w:val="24"/>
          <w:szCs w:val="24"/>
          <w:highlight w:val="none"/>
          <w:u w:val="single"/>
        </w:rPr>
        <w:t>　　　　　　　　　　</w:t>
      </w:r>
    </w:p>
    <w:p w14:paraId="012A7C28">
      <w:pPr>
        <w:shd w:val="clea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14:paraId="0E1F4BB2">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rPr>
        <w:t>总则</w:t>
      </w:r>
    </w:p>
    <w:p w14:paraId="5EE0118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 </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的采购结果，按照《中华人民共和国政府采购法》、《合同法》的规定，</w:t>
      </w:r>
      <w:r>
        <w:rPr>
          <w:rFonts w:hint="eastAsia" w:ascii="仿宋" w:hAnsi="仿宋" w:eastAsia="仿宋" w:cs="仿宋"/>
          <w:color w:val="auto"/>
          <w:kern w:val="28"/>
          <w:sz w:val="24"/>
          <w:szCs w:val="24"/>
          <w:highlight w:val="none"/>
        </w:rPr>
        <w:t>经双方协商，</w:t>
      </w:r>
      <w:r>
        <w:rPr>
          <w:rFonts w:hint="eastAsia" w:ascii="仿宋" w:hAnsi="仿宋" w:eastAsia="仿宋" w:cs="仿宋"/>
          <w:color w:val="auto"/>
          <w:sz w:val="24"/>
          <w:szCs w:val="24"/>
          <w:highlight w:val="none"/>
        </w:rPr>
        <w:t>本着平等互利和诚实信用的原则，</w:t>
      </w:r>
      <w:r>
        <w:rPr>
          <w:rFonts w:hint="eastAsia" w:ascii="仿宋" w:hAnsi="仿宋" w:eastAsia="仿宋" w:cs="仿宋"/>
          <w:color w:val="auto"/>
          <w:kern w:val="28"/>
          <w:sz w:val="24"/>
          <w:szCs w:val="24"/>
          <w:highlight w:val="none"/>
        </w:rPr>
        <w:t>一致同意签订本合同如下。</w:t>
      </w:r>
    </w:p>
    <w:p w14:paraId="7A0C5DF1">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二、服务内容、服务方式</w:t>
      </w:r>
    </w:p>
    <w:p w14:paraId="47598E1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1DAF094F">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三、服务期限、服务地点</w:t>
      </w:r>
    </w:p>
    <w:p w14:paraId="31A4A9EB">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服务期限：</w:t>
      </w:r>
    </w:p>
    <w:p w14:paraId="11888A53">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服务地点：</w:t>
      </w:r>
    </w:p>
    <w:p w14:paraId="0AAED553">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四、提供的资料</w:t>
      </w:r>
    </w:p>
    <w:p w14:paraId="4EDAFBBB">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39C648A9">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五、服务要求及标准</w:t>
      </w:r>
    </w:p>
    <w:p w14:paraId="6901587F">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63F5FAC1">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六、验收时间、地点和方式</w:t>
      </w:r>
    </w:p>
    <w:p w14:paraId="62A4FD8C">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76FDABC6">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七、费用和支付方式</w:t>
      </w:r>
    </w:p>
    <w:p w14:paraId="46A91C4D">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合同金额为（大写）：_________________元（￥_______________元）人民币。</w:t>
      </w:r>
    </w:p>
    <w:p w14:paraId="5D249F61">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36F496BA">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八、违约责任与赔偿损失</w:t>
      </w:r>
    </w:p>
    <w:p w14:paraId="045E40E6">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1.XXXXXXXXXXXXXXXXXXXXXXXXXXXXXXXXXXXXXXXXXXXXXXXXXXXX</w:t>
      </w:r>
    </w:p>
    <w:p w14:paraId="41338274">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2.其它违约责任按《中华人民</w:t>
      </w:r>
      <w:r>
        <w:rPr>
          <w:rFonts w:hint="eastAsia" w:ascii="仿宋" w:hAnsi="仿宋" w:eastAsia="仿宋" w:cs="仿宋"/>
          <w:bCs/>
          <w:color w:val="auto"/>
          <w:sz w:val="24"/>
          <w:szCs w:val="24"/>
          <w:highlight w:val="none"/>
        </w:rPr>
        <w:t>共和国合同法》处理。</w:t>
      </w:r>
    </w:p>
    <w:p w14:paraId="02576E38">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九、争议的解决</w:t>
      </w:r>
    </w:p>
    <w:p w14:paraId="13C263F4">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合同执行过程中发生的任何争议，如双方不能通过友好协商解决，按相关法律法规处理(合同双方一致同意提请</w:t>
      </w:r>
      <w:r>
        <w:rPr>
          <w:rFonts w:hint="eastAsia" w:ascii="仿宋" w:hAnsi="仿宋" w:eastAsia="仿宋" w:cs="仿宋"/>
          <w:color w:val="auto"/>
          <w:sz w:val="24"/>
          <w:szCs w:val="24"/>
          <w:highlight w:val="none"/>
          <w:u w:val="single"/>
        </w:rPr>
        <w:t>克拉玛依区仲裁委员会</w:t>
      </w:r>
      <w:r>
        <w:rPr>
          <w:rFonts w:hint="eastAsia" w:ascii="仿宋" w:hAnsi="仿宋" w:eastAsia="仿宋" w:cs="仿宋"/>
          <w:color w:val="auto"/>
          <w:sz w:val="24"/>
          <w:szCs w:val="24"/>
          <w:highlight w:val="none"/>
        </w:rPr>
        <w:t>仲裁或向甲方所在地的人民法院提起诉讼)。</w:t>
      </w:r>
    </w:p>
    <w:p w14:paraId="2F7F97F9">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十、不可抗力</w:t>
      </w:r>
    </w:p>
    <w:p w14:paraId="550E3C19">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834B081">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十一、税费</w:t>
      </w:r>
    </w:p>
    <w:p w14:paraId="4EA6160E">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在中国境内、外发生的与本合同执行有关的一切税费均由乙方负担。</w:t>
      </w:r>
    </w:p>
    <w:p w14:paraId="5E7B6B5A">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十二、其它</w:t>
      </w:r>
    </w:p>
    <w:p w14:paraId="57883154">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1.本合同所有附件、招标文件、投标文件、中标通知书均为合同的有效组成部分，与本合同具有同等法律效力。</w:t>
      </w:r>
    </w:p>
    <w:p w14:paraId="1AEA398A">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2.在执行本合同的过程中，所有经双方签署确认的文件（包括会议纪要、补充协议、往来信函）即成为本合同的有效组成部分。</w:t>
      </w:r>
    </w:p>
    <w:p w14:paraId="1EBD499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3.如一方地址、电话、传真号码有变更，应在变更当日内书面通知对方，否则，应承担相应责任。</w:t>
      </w:r>
    </w:p>
    <w:p w14:paraId="2E213740">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十三、合同生效</w:t>
      </w:r>
    </w:p>
    <w:p w14:paraId="12E8712E">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1.本合同在甲乙双方法人代表或其授权代表签字盖章后生效。</w:t>
      </w:r>
    </w:p>
    <w:p w14:paraId="0B3582C0">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2.合同一式X份。</w:t>
      </w:r>
    </w:p>
    <w:p w14:paraId="24A3A5EE">
      <w:pPr>
        <w:shd w:val="clear"/>
        <w:spacing w:line="360" w:lineRule="auto"/>
        <w:ind w:firstLine="420"/>
        <w:rPr>
          <w:rFonts w:hint="eastAsia" w:ascii="仿宋" w:hAnsi="仿宋" w:eastAsia="仿宋" w:cs="仿宋"/>
          <w:color w:val="auto"/>
          <w:sz w:val="24"/>
          <w:szCs w:val="24"/>
          <w:highlight w:val="none"/>
        </w:rPr>
      </w:pPr>
    </w:p>
    <w:p w14:paraId="13B301BE">
      <w:pPr>
        <w:keepNext w:val="0"/>
        <w:keepLines w:val="0"/>
        <w:pageBreakBefore w:val="0"/>
        <w:shd w:val="clear"/>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3DA97162">
      <w:pPr>
        <w:keepNext w:val="0"/>
        <w:keepLines w:val="0"/>
        <w:pageBreakBefore w:val="0"/>
        <w:shd w:val="clear"/>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                 法定代表人（负责人）：</w:t>
      </w:r>
    </w:p>
    <w:p w14:paraId="04679ABB">
      <w:pPr>
        <w:keepNext w:val="0"/>
        <w:keepLines w:val="0"/>
        <w:pageBreakBefore w:val="0"/>
        <w:shd w:val="clear"/>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授权代表： </w:t>
      </w:r>
    </w:p>
    <w:p w14:paraId="688407B1">
      <w:pPr>
        <w:pStyle w:val="23"/>
        <w:keepNext w:val="0"/>
        <w:keepLines w:val="0"/>
        <w:pageBreakBefore w:val="0"/>
        <w:shd w:val="clear"/>
        <w:kinsoku/>
        <w:wordWrap/>
        <w:overflowPunct/>
        <w:topLinePunct w:val="0"/>
        <w:autoSpaceDE/>
        <w:autoSpaceDN/>
        <w:bidi w:val="0"/>
        <w:adjustRightInd/>
        <w:snapToGrid/>
        <w:spacing w:before="60" w:beforeAutospacing="0" w:after="6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签定日期：　　　年　　月　　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签定日期：　　　年　　月　　日</w:t>
      </w:r>
    </w:p>
    <w:p w14:paraId="3CDDC435">
      <w:pPr>
        <w:pStyle w:val="23"/>
        <w:keepNext w:val="0"/>
        <w:keepLines w:val="0"/>
        <w:pageBreakBefore w:val="0"/>
        <w:shd w:val="clear"/>
        <w:kinsoku/>
        <w:wordWrap/>
        <w:overflowPunct/>
        <w:topLinePunct w:val="0"/>
        <w:autoSpaceDE/>
        <w:autoSpaceDN/>
        <w:bidi w:val="0"/>
        <w:adjustRightInd/>
        <w:snapToGrid/>
        <w:spacing w:before="60" w:beforeAutospacing="0" w:after="60" w:afterAutospacing="0" w:line="240" w:lineRule="auto"/>
        <w:ind w:firstLine="480" w:firstLineChars="200"/>
        <w:textAlignment w:val="auto"/>
        <w:rPr>
          <w:rFonts w:hint="eastAsia" w:ascii="仿宋" w:hAnsi="仿宋" w:eastAsia="仿宋" w:cs="仿宋"/>
          <w:color w:val="auto"/>
          <w:kern w:val="2"/>
          <w:sz w:val="24"/>
          <w:szCs w:val="24"/>
          <w:highlight w:val="none"/>
          <w:lang w:val="en-US" w:eastAsia="zh-CN" w:bidi="ar-SA"/>
        </w:rPr>
      </w:pPr>
    </w:p>
    <w:p w14:paraId="36E46BFB">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6361D6F4">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1DD08552">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0A96F77C">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489E9014">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198B015A">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75671D1E">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56A4773A">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135D7DDB">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5DC276B7">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74060C03">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375E7E5D">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5D7B255F">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7921C634">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009F10F5">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555171B6">
      <w:pPr>
        <w:pStyle w:val="50"/>
        <w:numPr>
          <w:ilvl w:val="0"/>
          <w:numId w:val="0"/>
        </w:numPr>
        <w:shd w:val="clear"/>
        <w:spacing w:line="240" w:lineRule="auto"/>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响应文件格式</w:t>
      </w:r>
    </w:p>
    <w:p w14:paraId="3A5EF3D4">
      <w:pPr>
        <w:shd w:val="clear"/>
        <w:spacing w:line="240" w:lineRule="auto"/>
        <w:rPr>
          <w:rFonts w:hint="eastAsia" w:ascii="仿宋" w:hAnsi="仿宋" w:eastAsia="仿宋" w:cs="仿宋"/>
          <w:color w:val="auto"/>
          <w:sz w:val="24"/>
          <w:szCs w:val="24"/>
          <w:highlight w:val="none"/>
        </w:rPr>
      </w:pPr>
    </w:p>
    <w:p w14:paraId="5BACB073">
      <w:pPr>
        <w:pStyle w:val="34"/>
        <w:shd w:val="clear"/>
        <w:spacing w:line="240" w:lineRule="auto"/>
        <w:rPr>
          <w:rFonts w:hint="eastAsia" w:ascii="仿宋" w:hAnsi="仿宋" w:eastAsia="仿宋" w:cs="仿宋"/>
          <w:color w:val="auto"/>
          <w:sz w:val="24"/>
          <w:szCs w:val="24"/>
          <w:highlight w:val="none"/>
        </w:rPr>
      </w:pPr>
    </w:p>
    <w:p w14:paraId="5E7FF637">
      <w:pPr>
        <w:pStyle w:val="34"/>
        <w:shd w:val="clear"/>
        <w:spacing w:line="240" w:lineRule="auto"/>
        <w:rPr>
          <w:rFonts w:hint="eastAsia" w:ascii="仿宋" w:hAnsi="仿宋" w:eastAsia="仿宋" w:cs="仿宋"/>
          <w:color w:val="auto"/>
          <w:sz w:val="24"/>
          <w:szCs w:val="24"/>
          <w:highlight w:val="none"/>
        </w:rPr>
      </w:pPr>
    </w:p>
    <w:p w14:paraId="345BC6C3">
      <w:pPr>
        <w:pStyle w:val="34"/>
        <w:shd w:val="clear"/>
        <w:spacing w:line="240" w:lineRule="auto"/>
        <w:rPr>
          <w:rFonts w:hint="eastAsia" w:ascii="仿宋" w:hAnsi="仿宋" w:eastAsia="仿宋" w:cs="仿宋"/>
          <w:color w:val="auto"/>
          <w:sz w:val="24"/>
          <w:szCs w:val="24"/>
          <w:highlight w:val="none"/>
        </w:rPr>
      </w:pPr>
    </w:p>
    <w:p w14:paraId="542C8A75">
      <w:pPr>
        <w:shd w:val="clear"/>
        <w:spacing w:line="240" w:lineRule="auto"/>
        <w:rPr>
          <w:rFonts w:hint="eastAsia" w:ascii="仿宋" w:hAnsi="仿宋" w:eastAsia="仿宋" w:cs="仿宋"/>
          <w:b/>
          <w:bCs/>
          <w:color w:val="auto"/>
          <w:sz w:val="24"/>
          <w:szCs w:val="24"/>
          <w:highlight w:val="none"/>
        </w:rPr>
      </w:pPr>
      <w:bookmarkStart w:id="203" w:name="_Toc239648609"/>
      <w:bookmarkStart w:id="204" w:name="_Toc424059521"/>
      <w:bookmarkStart w:id="205" w:name="_Toc424212005"/>
      <w:bookmarkStart w:id="206" w:name="_Toc239649773"/>
      <w:bookmarkStart w:id="207" w:name="_Toc239822629"/>
      <w:bookmarkStart w:id="208" w:name="_Toc239649321"/>
      <w:bookmarkStart w:id="209" w:name="_Toc239648875"/>
      <w:bookmarkStart w:id="210" w:name="_Toc239822514"/>
      <w:bookmarkStart w:id="211" w:name="_Toc239650612"/>
      <w:bookmarkStart w:id="212" w:name="_Toc239651331"/>
      <w:bookmarkStart w:id="213" w:name="_Toc239649397"/>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645795</wp:posOffset>
                </wp:positionV>
                <wp:extent cx="1714500" cy="49530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57CE28">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06pt;margin-top:50.85pt;height:39pt;width:135pt;z-index:251659264;mso-width-relative:page;mso-height-relative:page;" fillcolor="#FFFFFF" filled="t" stroked="t" coordsize="21600,21600" o:gfxdata="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4btnNgAAAALAQAADwAAAAAAAAABACAAAAAiAAAAZHJz&#10;L2Rvd25yZXYueG1sUEsBAhQAFAAAAAgAh07iQLGrqgAEAgAANwQAAA4AAAAAAAAAAQAgAAAAJwEA&#10;AGRycy9lMm9Eb2MueG1sUEsFBgAAAAAGAAYAWQEAAJ0FAAAAAA==&#10;">
                <v:fill on="t" focussize="0,0"/>
                <v:stroke color="#000000" joinstyle="miter"/>
                <v:imagedata o:title=""/>
                <o:lock v:ext="edit" aspectratio="f"/>
                <v:textbox>
                  <w:txbxContent>
                    <w:p w14:paraId="0157CE28">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color w:val="auto"/>
          <w:sz w:val="24"/>
          <w:szCs w:val="24"/>
          <w:highlight w:val="none"/>
        </w:rPr>
        <w:t>封面格式</w:t>
      </w:r>
      <w:bookmarkEnd w:id="203"/>
      <w:bookmarkEnd w:id="204"/>
      <w:bookmarkEnd w:id="205"/>
      <w:bookmarkEnd w:id="206"/>
      <w:bookmarkEnd w:id="207"/>
      <w:bookmarkEnd w:id="208"/>
      <w:bookmarkEnd w:id="209"/>
      <w:bookmarkEnd w:id="210"/>
      <w:bookmarkEnd w:id="211"/>
      <w:bookmarkEnd w:id="212"/>
      <w:bookmarkEnd w:id="213"/>
    </w:p>
    <w:p w14:paraId="29576C68">
      <w:pPr>
        <w:shd w:val="clear"/>
        <w:spacing w:line="240" w:lineRule="auto"/>
        <w:rPr>
          <w:rFonts w:hint="eastAsia" w:ascii="仿宋" w:hAnsi="仿宋" w:eastAsia="仿宋" w:cs="仿宋"/>
          <w:color w:val="auto"/>
          <w:sz w:val="24"/>
          <w:szCs w:val="24"/>
          <w:highlight w:val="none"/>
        </w:rPr>
      </w:pPr>
    </w:p>
    <w:p w14:paraId="61A4F5B3">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  应  文  件 </w:t>
      </w:r>
    </w:p>
    <w:p w14:paraId="699842F8">
      <w:pPr>
        <w:shd w:val="clear"/>
        <w:spacing w:line="240" w:lineRule="auto"/>
        <w:rPr>
          <w:rFonts w:hint="eastAsia" w:ascii="仿宋" w:hAnsi="仿宋" w:eastAsia="仿宋" w:cs="仿宋"/>
          <w:color w:val="auto"/>
          <w:sz w:val="24"/>
          <w:szCs w:val="24"/>
          <w:highlight w:val="none"/>
        </w:rPr>
      </w:pPr>
    </w:p>
    <w:p w14:paraId="5B6B4147">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p w14:paraId="7F4B0A43">
      <w:pPr>
        <w:shd w:val="clear"/>
        <w:spacing w:line="240" w:lineRule="auto"/>
        <w:rPr>
          <w:rFonts w:hint="eastAsia" w:ascii="仿宋" w:hAnsi="仿宋" w:eastAsia="仿宋" w:cs="仿宋"/>
          <w:color w:val="auto"/>
          <w:sz w:val="24"/>
          <w:szCs w:val="24"/>
          <w:highlight w:val="none"/>
        </w:rPr>
      </w:pPr>
    </w:p>
    <w:p w14:paraId="00076317">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032F0352">
      <w:pPr>
        <w:shd w:val="clear"/>
        <w:spacing w:line="240" w:lineRule="auto"/>
        <w:rPr>
          <w:rFonts w:hint="eastAsia" w:ascii="仿宋" w:hAnsi="仿宋" w:eastAsia="仿宋" w:cs="仿宋"/>
          <w:color w:val="auto"/>
          <w:sz w:val="24"/>
          <w:szCs w:val="24"/>
          <w:highlight w:val="none"/>
        </w:rPr>
      </w:pPr>
    </w:p>
    <w:p w14:paraId="560BCC9E">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 应 商：                         </w:t>
      </w:r>
    </w:p>
    <w:p w14:paraId="3F728A79">
      <w:pPr>
        <w:shd w:val="clear"/>
        <w:spacing w:line="240" w:lineRule="auto"/>
        <w:rPr>
          <w:rFonts w:hint="eastAsia" w:ascii="仿宋" w:hAnsi="仿宋" w:eastAsia="仿宋" w:cs="仿宋"/>
          <w:color w:val="auto"/>
          <w:sz w:val="24"/>
          <w:szCs w:val="24"/>
          <w:highlight w:val="none"/>
        </w:rPr>
      </w:pPr>
    </w:p>
    <w:p w14:paraId="7A5E71A3">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法定代表人或其委托代理人签字：       </w:t>
      </w:r>
    </w:p>
    <w:p w14:paraId="404D4F03">
      <w:pPr>
        <w:shd w:val="clear"/>
        <w:spacing w:line="240" w:lineRule="auto"/>
        <w:rPr>
          <w:rFonts w:hint="eastAsia" w:ascii="仿宋" w:hAnsi="仿宋" w:eastAsia="仿宋" w:cs="仿宋"/>
          <w:color w:val="auto"/>
          <w:sz w:val="24"/>
          <w:szCs w:val="24"/>
          <w:highlight w:val="none"/>
        </w:rPr>
      </w:pPr>
    </w:p>
    <w:p w14:paraId="0CE50D09">
      <w:pPr>
        <w:shd w:val="clear"/>
        <w:spacing w:line="240" w:lineRule="auto"/>
        <w:rPr>
          <w:rFonts w:hint="eastAsia" w:ascii="仿宋" w:hAnsi="仿宋" w:eastAsia="仿宋" w:cs="仿宋"/>
          <w:color w:val="auto"/>
          <w:sz w:val="24"/>
          <w:szCs w:val="24"/>
          <w:highlight w:val="none"/>
        </w:rPr>
      </w:pPr>
    </w:p>
    <w:p w14:paraId="1182E059">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2A2B787">
      <w:pPr>
        <w:pStyle w:val="5"/>
        <w:numPr>
          <w:ilvl w:val="0"/>
          <w:numId w:val="0"/>
        </w:numPr>
        <w:shd w:val="clear"/>
        <w:ind w:leftChars="0"/>
        <w:rPr>
          <w:rFonts w:hint="eastAsia" w:ascii="仿宋" w:hAnsi="仿宋" w:eastAsia="仿宋" w:cs="仿宋"/>
          <w:color w:val="auto"/>
          <w:sz w:val="24"/>
          <w:szCs w:val="24"/>
          <w:highlight w:val="none"/>
        </w:rPr>
      </w:pPr>
    </w:p>
    <w:p w14:paraId="6BECB2B9">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格式1  响  应  函</w:t>
      </w:r>
    </w:p>
    <w:p w14:paraId="4A8CFBA0">
      <w:pPr>
        <w:shd w:val="clear"/>
        <w:spacing w:line="240" w:lineRule="auto"/>
        <w:ind w:firstLine="480" w:firstLineChars="200"/>
        <w:rPr>
          <w:rFonts w:hint="eastAsia" w:ascii="仿宋" w:hAnsi="仿宋" w:eastAsia="仿宋" w:cs="仿宋"/>
          <w:color w:val="auto"/>
          <w:kern w:val="0"/>
          <w:sz w:val="24"/>
          <w:szCs w:val="24"/>
          <w:highlight w:val="none"/>
        </w:rPr>
      </w:pPr>
    </w:p>
    <w:p w14:paraId="065A602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u w:val="single"/>
        </w:rPr>
        <w:t xml:space="preserve">   （采购人名称）   </w:t>
      </w:r>
      <w:r>
        <w:rPr>
          <w:rFonts w:hint="eastAsia" w:ascii="仿宋" w:hAnsi="仿宋" w:eastAsia="仿宋" w:cs="仿宋"/>
          <w:bCs/>
          <w:color w:val="auto"/>
          <w:kern w:val="0"/>
          <w:sz w:val="24"/>
          <w:highlight w:val="none"/>
        </w:rPr>
        <w:t>：</w:t>
      </w:r>
    </w:p>
    <w:p w14:paraId="33CE2360">
      <w:pPr>
        <w:pStyle w:val="17"/>
        <w:shd w:val="clear"/>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我方全面研究了 “</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highlight w:val="none"/>
        </w:rPr>
        <w:t>”项目谈判文件（文件编号：），决定参加本项目竞争性</w:t>
      </w:r>
      <w:r>
        <w:rPr>
          <w:rFonts w:hint="eastAsia" w:ascii="仿宋" w:hAnsi="仿宋" w:eastAsia="仿宋" w:cs="仿宋"/>
          <w:b w:val="0"/>
          <w:bCs/>
          <w:color w:val="auto"/>
          <w:highlight w:val="none"/>
          <w:lang w:val="en-US" w:eastAsia="zh-CN"/>
        </w:rPr>
        <w:t>谈判</w:t>
      </w:r>
      <w:r>
        <w:rPr>
          <w:rFonts w:hint="eastAsia" w:ascii="仿宋" w:hAnsi="仿宋" w:eastAsia="仿宋" w:cs="仿宋"/>
          <w:b w:val="0"/>
          <w:bCs/>
          <w:color w:val="auto"/>
          <w:highlight w:val="none"/>
        </w:rPr>
        <w:t>。我方授权</w:t>
      </w:r>
      <w:r>
        <w:rPr>
          <w:rFonts w:hint="eastAsia" w:ascii="仿宋" w:hAnsi="仿宋" w:eastAsia="仿宋" w:cs="仿宋"/>
          <w:b w:val="0"/>
          <w:bCs/>
          <w:color w:val="auto"/>
          <w:highlight w:val="none"/>
          <w:u w:val="single"/>
        </w:rPr>
        <w:t xml:space="preserve">  （姓名、职务）  </w:t>
      </w:r>
      <w:r>
        <w:rPr>
          <w:rFonts w:hint="eastAsia" w:ascii="仿宋" w:hAnsi="仿宋" w:eastAsia="仿宋" w:cs="仿宋"/>
          <w:b w:val="0"/>
          <w:bCs/>
          <w:color w:val="auto"/>
          <w:highlight w:val="none"/>
        </w:rPr>
        <w:t>代表我方</w:t>
      </w:r>
      <w:r>
        <w:rPr>
          <w:rFonts w:hint="eastAsia" w:ascii="仿宋" w:hAnsi="仿宋" w:eastAsia="仿宋" w:cs="仿宋"/>
          <w:b w:val="0"/>
          <w:bCs/>
          <w:color w:val="auto"/>
          <w:highlight w:val="none"/>
          <w:u w:val="single"/>
        </w:rPr>
        <w:t xml:space="preserve">   （供应商的名称）  </w:t>
      </w:r>
      <w:r>
        <w:rPr>
          <w:rFonts w:hint="eastAsia" w:ascii="仿宋" w:hAnsi="仿宋" w:eastAsia="仿宋" w:cs="仿宋"/>
          <w:b w:val="0"/>
          <w:bCs/>
          <w:color w:val="auto"/>
          <w:highlight w:val="none"/>
        </w:rPr>
        <w:t>全权处理本项目谈判的有关事宜。</w:t>
      </w:r>
    </w:p>
    <w:p w14:paraId="72E0CD3D">
      <w:pPr>
        <w:pStyle w:val="17"/>
        <w:shd w:val="clear"/>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1、我方自愿按照谈判文件规定的各项要求向采购人提供所需服务。</w:t>
      </w:r>
      <w:r>
        <w:rPr>
          <w:rFonts w:hint="eastAsia" w:ascii="仿宋" w:hAnsi="仿宋" w:eastAsia="仿宋" w:cs="仿宋"/>
          <w:b w:val="0"/>
          <w:bCs/>
          <w:color w:val="auto"/>
          <w:highlight w:val="none"/>
          <w:lang w:val="en-US" w:eastAsia="zh-CN"/>
        </w:rPr>
        <w:t>投标报价</w:t>
      </w:r>
      <w:r>
        <w:rPr>
          <w:rFonts w:hint="eastAsia" w:ascii="仿宋" w:hAnsi="仿宋" w:eastAsia="仿宋" w:cs="仿宋"/>
          <w:b w:val="0"/>
          <w:bCs/>
          <w:color w:val="auto"/>
          <w:highlight w:val="none"/>
        </w:rPr>
        <w:t>为</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szCs w:val="21"/>
          <w:highlight w:val="none"/>
        </w:rPr>
        <w:t>￥</w:t>
      </w:r>
      <w:r>
        <w:rPr>
          <w:rFonts w:hint="eastAsia" w:ascii="仿宋" w:hAnsi="仿宋" w:eastAsia="仿宋" w:cs="仿宋"/>
          <w:b w:val="0"/>
          <w:bCs/>
          <w:color w:val="auto"/>
          <w:szCs w:val="21"/>
          <w:highlight w:val="none"/>
          <w:lang w:eastAsia="zh-CN"/>
        </w:rPr>
        <w:t>万</w:t>
      </w:r>
      <w:r>
        <w:rPr>
          <w:rFonts w:hint="eastAsia" w:ascii="仿宋" w:hAnsi="仿宋" w:eastAsia="仿宋" w:cs="仿宋"/>
          <w:b w:val="0"/>
          <w:bCs/>
          <w:color w:val="auto"/>
          <w:highlight w:val="none"/>
        </w:rPr>
        <w:t>元（大写：</w:t>
      </w:r>
      <w:r>
        <w:rPr>
          <w:rFonts w:hint="eastAsia" w:ascii="仿宋" w:hAnsi="仿宋" w:eastAsia="仿宋" w:cs="仿宋"/>
          <w:b w:val="0"/>
          <w:bCs/>
          <w:color w:val="auto"/>
          <w:highlight w:val="none"/>
          <w:lang w:val="en-US" w:eastAsia="zh-CN"/>
        </w:rPr>
        <w:t xml:space="preserve">    </w:t>
      </w:r>
      <w:r>
        <w:rPr>
          <w:rFonts w:hint="eastAsia" w:ascii="仿宋" w:hAnsi="仿宋" w:eastAsia="仿宋" w:cs="仿宋"/>
          <w:b w:val="0"/>
          <w:bCs/>
          <w:color w:val="auto"/>
          <w:highlight w:val="none"/>
        </w:rPr>
        <w:t>）。</w:t>
      </w:r>
    </w:p>
    <w:p w14:paraId="653D852D">
      <w:pPr>
        <w:pStyle w:val="17"/>
        <w:shd w:val="clear"/>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2、一旦我方成交，我方将严格履行合同规定的责任和义务，保证按采购人要求及我方承诺完成所需服务及应尽义务。</w:t>
      </w:r>
    </w:p>
    <w:p w14:paraId="4F13CA4D">
      <w:pPr>
        <w:pStyle w:val="17"/>
        <w:shd w:val="clear"/>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3、我方为本项目提交的投标文件电子版一份。</w:t>
      </w:r>
    </w:p>
    <w:p w14:paraId="4A4DA3E5">
      <w:pPr>
        <w:pStyle w:val="17"/>
        <w:shd w:val="clear"/>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4</w:t>
      </w:r>
      <w:r>
        <w:rPr>
          <w:rFonts w:hint="eastAsia" w:ascii="仿宋" w:hAnsi="仿宋" w:eastAsia="仿宋" w:cs="仿宋"/>
          <w:b w:val="0"/>
          <w:bCs/>
          <w:color w:val="auto"/>
          <w:highlight w:val="none"/>
        </w:rPr>
        <w:t>、我方愿意提供采购人可能另外要求的，与谈判有关的文件资料，并保证我方已提供和将要提供的文件资料是真实、准确的。</w:t>
      </w:r>
    </w:p>
    <w:p w14:paraId="78046630">
      <w:pPr>
        <w:pStyle w:val="17"/>
        <w:shd w:val="clear"/>
        <w:spacing w:line="360" w:lineRule="auto"/>
        <w:ind w:left="836" w:leftChars="228" w:hanging="357" w:hangingChars="149"/>
        <w:rPr>
          <w:rFonts w:hint="eastAsia" w:ascii="仿宋" w:hAnsi="仿宋" w:eastAsia="仿宋" w:cs="仿宋"/>
          <w:b w:val="0"/>
          <w:bCs/>
          <w:color w:val="auto"/>
          <w:sz w:val="24"/>
          <w:szCs w:val="24"/>
          <w:highlight w:val="none"/>
        </w:rPr>
      </w:pPr>
      <w:r>
        <w:rPr>
          <w:rFonts w:hint="eastAsia" w:ascii="仿宋" w:hAnsi="仿宋" w:eastAsia="仿宋" w:cs="仿宋"/>
          <w:b w:val="0"/>
          <w:bCs/>
          <w:color w:val="auto"/>
          <w:highlight w:val="none"/>
          <w:lang w:val="en-US" w:eastAsia="zh-CN"/>
        </w:rPr>
        <w:t>5、投标有限期：自投标截止之日起90天。</w:t>
      </w:r>
    </w:p>
    <w:p w14:paraId="166D2537">
      <w:pPr>
        <w:pStyle w:val="17"/>
        <w:shd w:val="clear"/>
        <w:spacing w:line="360" w:lineRule="auto"/>
        <w:ind w:left="838" w:firstLine="480" w:firstLineChars="200"/>
        <w:rPr>
          <w:rFonts w:hint="eastAsia" w:ascii="仿宋" w:hAnsi="仿宋" w:eastAsia="仿宋" w:cs="仿宋"/>
          <w:b w:val="0"/>
          <w:bCs/>
          <w:color w:val="auto"/>
          <w:sz w:val="24"/>
          <w:szCs w:val="24"/>
          <w:highlight w:val="none"/>
        </w:rPr>
      </w:pPr>
    </w:p>
    <w:p w14:paraId="6A7A8F28">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供应商名称：        （盖章）</w:t>
      </w:r>
    </w:p>
    <w:p w14:paraId="27F59C1B">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法定代表人或授权代表（签字）或盖章：</w:t>
      </w:r>
    </w:p>
    <w:p w14:paraId="62EAE53E">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通讯地址：</w:t>
      </w:r>
    </w:p>
    <w:p w14:paraId="20E5A395">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邮政编码：</w:t>
      </w:r>
    </w:p>
    <w:p w14:paraId="6DA5F4E9">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联系电话：</w:t>
      </w:r>
    </w:p>
    <w:p w14:paraId="659C59DB">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传    真：</w:t>
      </w:r>
    </w:p>
    <w:p w14:paraId="7EC55B61">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日    期：</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年  月  日</w:t>
      </w:r>
    </w:p>
    <w:p w14:paraId="02F9DDF8">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0092147B">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28050838">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00769551">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45B41B48">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5235CB69">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28FD0D79">
      <w:pPr>
        <w:widowControl/>
        <w:shd w:val="clear"/>
        <w:spacing w:line="240" w:lineRule="auto"/>
        <w:jc w:val="center"/>
        <w:rPr>
          <w:rFonts w:hint="eastAsia" w:ascii="仿宋" w:hAnsi="仿宋" w:eastAsia="仿宋" w:cs="仿宋"/>
          <w:b/>
          <w:bCs/>
          <w:color w:val="auto"/>
          <w:sz w:val="24"/>
          <w:szCs w:val="24"/>
          <w:highlight w:val="none"/>
        </w:rPr>
      </w:pPr>
    </w:p>
    <w:p w14:paraId="30218DED">
      <w:pPr>
        <w:widowControl/>
        <w:shd w:val="clear"/>
        <w:spacing w:line="240" w:lineRule="auto"/>
        <w:jc w:val="center"/>
        <w:rPr>
          <w:rFonts w:hint="eastAsia" w:ascii="仿宋" w:hAnsi="仿宋" w:eastAsia="仿宋" w:cs="仿宋"/>
          <w:b/>
          <w:bCs/>
          <w:color w:val="auto"/>
          <w:sz w:val="24"/>
          <w:szCs w:val="24"/>
          <w:highlight w:val="none"/>
        </w:rPr>
      </w:pPr>
    </w:p>
    <w:p w14:paraId="3F5DC166">
      <w:pPr>
        <w:widowControl/>
        <w:shd w:val="clear"/>
        <w:spacing w:line="240" w:lineRule="auto"/>
        <w:jc w:val="center"/>
        <w:rPr>
          <w:rFonts w:hint="eastAsia" w:ascii="仿宋" w:hAnsi="仿宋" w:eastAsia="仿宋" w:cs="仿宋"/>
          <w:b/>
          <w:bCs/>
          <w:color w:val="auto"/>
          <w:sz w:val="24"/>
          <w:szCs w:val="24"/>
          <w:highlight w:val="none"/>
        </w:rPr>
      </w:pPr>
    </w:p>
    <w:p w14:paraId="7A31D1D7">
      <w:pPr>
        <w:widowControl/>
        <w:shd w:val="clear"/>
        <w:spacing w:line="240" w:lineRule="auto"/>
        <w:jc w:val="center"/>
        <w:rPr>
          <w:rFonts w:hint="eastAsia" w:ascii="仿宋" w:hAnsi="仿宋" w:eastAsia="仿宋" w:cs="仿宋"/>
          <w:b/>
          <w:bCs/>
          <w:color w:val="auto"/>
          <w:sz w:val="24"/>
          <w:szCs w:val="24"/>
          <w:highlight w:val="none"/>
        </w:rPr>
      </w:pPr>
    </w:p>
    <w:p w14:paraId="109BF8CB">
      <w:pPr>
        <w:widowControl/>
        <w:shd w:val="clear"/>
        <w:spacing w:line="240" w:lineRule="auto"/>
        <w:jc w:val="both"/>
        <w:rPr>
          <w:rFonts w:hint="eastAsia" w:ascii="仿宋" w:hAnsi="仿宋" w:eastAsia="仿宋" w:cs="仿宋"/>
          <w:b/>
          <w:bCs/>
          <w:color w:val="auto"/>
          <w:sz w:val="24"/>
          <w:szCs w:val="24"/>
          <w:highlight w:val="none"/>
        </w:rPr>
      </w:pPr>
    </w:p>
    <w:p w14:paraId="1EAB7514">
      <w:pPr>
        <w:widowControl/>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2 商务报价一览表（首次）</w:t>
      </w:r>
    </w:p>
    <w:p w14:paraId="6D79288D">
      <w:pPr>
        <w:pStyle w:val="34"/>
        <w:shd w:val="clear"/>
        <w:spacing w:line="240" w:lineRule="auto"/>
        <w:rPr>
          <w:rFonts w:hint="eastAsia" w:ascii="仿宋" w:hAnsi="仿宋" w:eastAsia="仿宋" w:cs="仿宋"/>
          <w:color w:val="auto"/>
          <w:sz w:val="24"/>
          <w:szCs w:val="24"/>
          <w:highlight w:val="none"/>
        </w:rPr>
      </w:pPr>
    </w:p>
    <w:p w14:paraId="4EDE0DB4">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克拉玛依区各委办局视频监控运维项目</w:t>
      </w:r>
      <w:r>
        <w:rPr>
          <w:rFonts w:hint="eastAsia" w:ascii="仿宋" w:hAnsi="仿宋" w:eastAsia="仿宋" w:cs="仿宋"/>
          <w:b w:val="0"/>
          <w:i w:val="0"/>
          <w:color w:val="auto"/>
          <w:kern w:val="2"/>
          <w:sz w:val="24"/>
          <w:szCs w:val="24"/>
          <w:highlight w:val="none"/>
          <w:lang w:val="en-US" w:eastAsia="zh-CN" w:bidi="ar-SA"/>
        </w:rPr>
        <w:t xml:space="preserve">                        </w:t>
      </w:r>
      <w:r>
        <w:rPr>
          <w:rFonts w:hint="eastAsia" w:ascii="仿宋" w:hAnsi="仿宋" w:eastAsia="仿宋" w:cs="仿宋"/>
          <w:color w:val="auto"/>
          <w:sz w:val="24"/>
          <w:szCs w:val="24"/>
          <w:highlight w:val="none"/>
        </w:rPr>
        <w:t>币种：人民币</w:t>
      </w:r>
      <w:r>
        <w:rPr>
          <w:rFonts w:hint="eastAsia" w:ascii="仿宋" w:hAnsi="仿宋" w:eastAsia="仿宋" w:cs="仿宋"/>
          <w:color w:val="auto"/>
          <w:sz w:val="24"/>
          <w:szCs w:val="24"/>
          <w:highlight w:val="none"/>
          <w:lang w:val="en-US" w:eastAsia="zh-CN"/>
        </w:rPr>
        <w:t xml:space="preserve">                                                                       </w:t>
      </w:r>
    </w:p>
    <w:tbl>
      <w:tblPr>
        <w:tblStyle w:val="27"/>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3201"/>
        <w:gridCol w:w="5957"/>
      </w:tblGrid>
      <w:tr w14:paraId="064D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8" w:hRule="atLeast"/>
        </w:trPr>
        <w:tc>
          <w:tcPr>
            <w:tcW w:w="841" w:type="dxa"/>
            <w:tcBorders>
              <w:top w:val="single" w:color="000000" w:sz="2" w:space="0"/>
              <w:left w:val="single" w:color="000000" w:sz="2" w:space="0"/>
              <w:right w:val="single" w:color="000000" w:sz="2" w:space="0"/>
            </w:tcBorders>
            <w:noWrap w:val="0"/>
            <w:vAlign w:val="center"/>
          </w:tcPr>
          <w:p w14:paraId="39786A95">
            <w:pPr>
              <w:shd w:val="clear"/>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01" w:type="dxa"/>
            <w:tcBorders>
              <w:top w:val="single" w:color="000000" w:sz="2" w:space="0"/>
              <w:left w:val="single" w:color="auto" w:sz="4" w:space="0"/>
            </w:tcBorders>
            <w:noWrap w:val="0"/>
            <w:vAlign w:val="center"/>
          </w:tcPr>
          <w:p w14:paraId="360AB2DE">
            <w:pPr>
              <w:shd w:val="clear"/>
              <w:spacing w:line="360" w:lineRule="auto"/>
              <w:jc w:val="center"/>
              <w:outlineLvl w:val="9"/>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项目名称</w:t>
            </w:r>
          </w:p>
        </w:tc>
        <w:tc>
          <w:tcPr>
            <w:tcW w:w="5957" w:type="dxa"/>
            <w:tcBorders>
              <w:top w:val="single" w:color="000000" w:sz="2" w:space="0"/>
              <w:left w:val="single" w:color="auto" w:sz="4" w:space="0"/>
            </w:tcBorders>
            <w:noWrap w:val="0"/>
            <w:vAlign w:val="center"/>
          </w:tcPr>
          <w:p w14:paraId="562DB2FB">
            <w:pPr>
              <w:shd w:val="clear"/>
              <w:spacing w:line="240" w:lineRule="atLeast"/>
              <w:jc w:val="center"/>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投标人承诺</w:t>
            </w:r>
          </w:p>
        </w:tc>
      </w:tr>
      <w:tr w14:paraId="020C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trPr>
        <w:tc>
          <w:tcPr>
            <w:tcW w:w="841" w:type="dxa"/>
            <w:tcBorders>
              <w:top w:val="single" w:color="000000" w:sz="2" w:space="0"/>
              <w:left w:val="single" w:color="000000" w:sz="2" w:space="0"/>
              <w:right w:val="single" w:color="000000" w:sz="2" w:space="0"/>
            </w:tcBorders>
            <w:noWrap w:val="0"/>
            <w:vAlign w:val="center"/>
          </w:tcPr>
          <w:p w14:paraId="1B4DEFA7">
            <w:pPr>
              <w:shd w:val="clear"/>
              <w:spacing w:line="240" w:lineRule="atLeas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3201" w:type="dxa"/>
            <w:tcBorders>
              <w:top w:val="single" w:color="000000" w:sz="2" w:space="0"/>
              <w:left w:val="single" w:color="auto" w:sz="4" w:space="0"/>
            </w:tcBorders>
            <w:noWrap w:val="0"/>
            <w:vAlign w:val="center"/>
          </w:tcPr>
          <w:p w14:paraId="5F3F249D">
            <w:pPr>
              <w:keepNext w:val="0"/>
              <w:keepLines w:val="0"/>
              <w:widowControl/>
              <w:suppressLineNumbers w:val="0"/>
              <w:shd w:val="clear"/>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lang w:eastAsia="zh-CN"/>
              </w:rPr>
              <w:t>（万元）</w:t>
            </w:r>
          </w:p>
        </w:tc>
        <w:tc>
          <w:tcPr>
            <w:tcW w:w="5957" w:type="dxa"/>
            <w:tcBorders>
              <w:top w:val="single" w:color="000000" w:sz="2" w:space="0"/>
              <w:left w:val="single" w:color="auto" w:sz="4" w:space="0"/>
            </w:tcBorders>
            <w:noWrap w:val="0"/>
            <w:vAlign w:val="center"/>
          </w:tcPr>
          <w:p w14:paraId="094C31BD">
            <w:pPr>
              <w:keepNext w:val="0"/>
              <w:keepLines w:val="0"/>
              <w:pageBreakBefore w:val="0"/>
              <w:widowControl w:val="0"/>
              <w:shd w:val="clear"/>
              <w:kinsoku/>
              <w:wordWrap w:val="0"/>
              <w:overflowPunct/>
              <w:topLinePunct w:val="0"/>
              <w:autoSpaceDE/>
              <w:autoSpaceDN/>
              <w:bidi w:val="0"/>
              <w:adjustRightInd/>
              <w:snapToGrid/>
              <w:ind w:firstLine="240" w:firstLineChars="100"/>
              <w:jc w:val="left"/>
              <w:textAlignment w:val="auto"/>
              <w:outlineLvl w:val="9"/>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 xml:space="preserve">小写：    </w:t>
            </w:r>
            <w:r>
              <w:rPr>
                <w:rFonts w:hint="eastAsia" w:ascii="仿宋" w:hAnsi="仿宋" w:eastAsia="仿宋" w:cs="仿宋"/>
                <w:color w:val="auto"/>
                <w:kern w:val="2"/>
                <w:sz w:val="24"/>
                <w:szCs w:val="24"/>
                <w:highlight w:val="none"/>
                <w:u w:val="single"/>
                <w:lang w:val="en-US" w:eastAsia="zh-CN" w:bidi="ar-SA"/>
              </w:rPr>
              <w:t xml:space="preserve">        </w:t>
            </w:r>
          </w:p>
          <w:p w14:paraId="2E0DA302">
            <w:pPr>
              <w:shd w:val="clear"/>
              <w:spacing w:line="240" w:lineRule="atLeast"/>
              <w:ind w:firstLine="240" w:firstLineChars="1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大写：</w:t>
            </w:r>
            <w:r>
              <w:rPr>
                <w:rFonts w:hint="eastAsia" w:ascii="仿宋" w:hAnsi="仿宋" w:eastAsia="仿宋" w:cs="仿宋"/>
                <w:color w:val="auto"/>
                <w:kern w:val="2"/>
                <w:sz w:val="24"/>
                <w:szCs w:val="24"/>
                <w:highlight w:val="none"/>
                <w:u w:val="none"/>
                <w:lang w:val="en-US" w:eastAsia="zh-CN" w:bidi="ar-SA"/>
              </w:rPr>
              <w:t xml:space="preserve">人民币 </w:t>
            </w:r>
            <w:r>
              <w:rPr>
                <w:rFonts w:hint="eastAsia" w:ascii="仿宋" w:hAnsi="仿宋" w:eastAsia="仿宋" w:cs="仿宋"/>
                <w:color w:val="auto"/>
                <w:kern w:val="2"/>
                <w:sz w:val="24"/>
                <w:szCs w:val="24"/>
                <w:highlight w:val="none"/>
                <w:u w:val="single"/>
                <w:lang w:val="en-US" w:eastAsia="zh-CN" w:bidi="ar-SA"/>
              </w:rPr>
              <w:t xml:space="preserve">          </w:t>
            </w:r>
          </w:p>
        </w:tc>
      </w:tr>
      <w:tr w14:paraId="54DD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2" w:hRule="atLeast"/>
        </w:trPr>
        <w:tc>
          <w:tcPr>
            <w:tcW w:w="841" w:type="dxa"/>
            <w:tcBorders>
              <w:left w:val="single" w:color="000000" w:sz="2" w:space="0"/>
              <w:bottom w:val="single" w:color="000000" w:sz="2" w:space="0"/>
              <w:right w:val="single" w:color="000000" w:sz="2" w:space="0"/>
            </w:tcBorders>
            <w:noWrap w:val="0"/>
            <w:vAlign w:val="center"/>
          </w:tcPr>
          <w:p w14:paraId="22F09F9C">
            <w:pPr>
              <w:shd w:val="clear"/>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3201" w:type="dxa"/>
            <w:tcBorders>
              <w:top w:val="single" w:color="auto" w:sz="4" w:space="0"/>
              <w:left w:val="single" w:color="auto" w:sz="4" w:space="0"/>
              <w:bottom w:val="single" w:color="000000" w:sz="2" w:space="0"/>
              <w:right w:val="single" w:color="auto" w:sz="4" w:space="0"/>
            </w:tcBorders>
            <w:noWrap w:val="0"/>
            <w:vAlign w:val="center"/>
          </w:tcPr>
          <w:p w14:paraId="41D7614F">
            <w:pPr>
              <w:shd w:val="clear"/>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合同履约</w:t>
            </w:r>
            <w:r>
              <w:rPr>
                <w:rFonts w:hint="eastAsia" w:ascii="仿宋" w:hAnsi="仿宋" w:eastAsia="仿宋" w:cs="仿宋"/>
                <w:color w:val="auto"/>
                <w:sz w:val="24"/>
                <w:szCs w:val="24"/>
                <w:highlight w:val="none"/>
                <w:lang w:eastAsia="zh-CN"/>
              </w:rPr>
              <w:t>期限</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1401EFD6">
            <w:pPr>
              <w:shd w:val="clear"/>
              <w:jc w:val="both"/>
              <w:outlineLvl w:val="9"/>
              <w:rPr>
                <w:rFonts w:hint="default" w:ascii="仿宋" w:hAnsi="仿宋" w:eastAsia="仿宋" w:cs="仿宋"/>
                <w:color w:val="auto"/>
                <w:sz w:val="24"/>
                <w:szCs w:val="24"/>
                <w:highlight w:val="none"/>
                <w:lang w:val="en-US" w:eastAsia="zh-CN"/>
              </w:rPr>
            </w:pPr>
          </w:p>
        </w:tc>
      </w:tr>
      <w:tr w14:paraId="33E6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0" w:hRule="atLeast"/>
        </w:trPr>
        <w:tc>
          <w:tcPr>
            <w:tcW w:w="841" w:type="dxa"/>
            <w:tcBorders>
              <w:top w:val="single" w:color="auto" w:sz="4" w:space="0"/>
              <w:left w:val="single" w:color="000000" w:sz="2" w:space="0"/>
              <w:bottom w:val="single" w:color="000000" w:sz="2" w:space="0"/>
              <w:right w:val="single" w:color="000000" w:sz="2" w:space="0"/>
            </w:tcBorders>
            <w:noWrap w:val="0"/>
            <w:vAlign w:val="center"/>
          </w:tcPr>
          <w:p w14:paraId="33FA7C81">
            <w:pPr>
              <w:shd w:val="clear"/>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201" w:type="dxa"/>
            <w:tcBorders>
              <w:top w:val="single" w:color="auto" w:sz="4" w:space="0"/>
              <w:left w:val="single" w:color="auto" w:sz="4" w:space="0"/>
              <w:bottom w:val="single" w:color="000000" w:sz="2" w:space="0"/>
              <w:right w:val="single" w:color="000000" w:sz="2" w:space="0"/>
            </w:tcBorders>
            <w:noWrap w:val="0"/>
            <w:vAlign w:val="center"/>
          </w:tcPr>
          <w:p w14:paraId="50F64D4C">
            <w:pPr>
              <w:shd w:val="clear"/>
              <w:spacing w:line="240" w:lineRule="atLeast"/>
              <w:ind w:firstLine="9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62925EED">
            <w:pPr>
              <w:shd w:val="clear"/>
              <w:spacing w:line="240" w:lineRule="atLeast"/>
              <w:outlineLvl w:val="9"/>
              <w:rPr>
                <w:rFonts w:hint="eastAsia" w:ascii="仿宋" w:hAnsi="仿宋" w:eastAsia="仿宋" w:cs="仿宋"/>
                <w:color w:val="auto"/>
                <w:sz w:val="24"/>
                <w:szCs w:val="24"/>
                <w:highlight w:val="none"/>
              </w:rPr>
            </w:pPr>
          </w:p>
        </w:tc>
      </w:tr>
      <w:tr w14:paraId="2168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8" w:hRule="atLeast"/>
        </w:trPr>
        <w:tc>
          <w:tcPr>
            <w:tcW w:w="841" w:type="dxa"/>
            <w:tcBorders>
              <w:top w:val="single" w:color="auto" w:sz="4" w:space="0"/>
              <w:left w:val="single" w:color="000000" w:sz="2" w:space="0"/>
              <w:bottom w:val="single" w:color="000000" w:sz="2" w:space="0"/>
              <w:right w:val="single" w:color="000000" w:sz="2" w:space="0"/>
            </w:tcBorders>
            <w:noWrap w:val="0"/>
            <w:vAlign w:val="center"/>
          </w:tcPr>
          <w:p w14:paraId="3F757FF3">
            <w:pPr>
              <w:shd w:val="clear"/>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201" w:type="dxa"/>
            <w:tcBorders>
              <w:top w:val="single" w:color="auto" w:sz="4" w:space="0"/>
              <w:left w:val="single" w:color="auto" w:sz="4" w:space="0"/>
              <w:bottom w:val="single" w:color="000000" w:sz="2" w:space="0"/>
              <w:right w:val="single" w:color="000000" w:sz="2" w:space="0"/>
            </w:tcBorders>
            <w:noWrap w:val="0"/>
            <w:vAlign w:val="center"/>
          </w:tcPr>
          <w:p w14:paraId="12F54C24">
            <w:pPr>
              <w:shd w:val="clear"/>
              <w:spacing w:line="240" w:lineRule="atLeast"/>
              <w:ind w:firstLine="9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供应商其它说明（由各供应商根据本采购项目要求自行列出需说明及承诺内容）</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07852BDE">
            <w:pPr>
              <w:shd w:val="clear"/>
              <w:spacing w:line="240" w:lineRule="atLeast"/>
              <w:outlineLvl w:val="9"/>
              <w:rPr>
                <w:rFonts w:hint="eastAsia" w:ascii="仿宋" w:hAnsi="仿宋" w:eastAsia="仿宋" w:cs="仿宋"/>
                <w:color w:val="auto"/>
                <w:sz w:val="24"/>
                <w:szCs w:val="24"/>
                <w:highlight w:val="none"/>
              </w:rPr>
            </w:pPr>
          </w:p>
        </w:tc>
      </w:tr>
      <w:tr w14:paraId="5505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67" w:hRule="exact"/>
        </w:trPr>
        <w:tc>
          <w:tcPr>
            <w:tcW w:w="9999" w:type="dxa"/>
            <w:gridSpan w:val="3"/>
            <w:tcBorders>
              <w:top w:val="single" w:color="auto" w:sz="4" w:space="0"/>
              <w:left w:val="single" w:color="000000" w:sz="2" w:space="0"/>
              <w:bottom w:val="single" w:color="000000" w:sz="2" w:space="0"/>
              <w:right w:val="single" w:color="000000" w:sz="2" w:space="0"/>
            </w:tcBorders>
            <w:noWrap w:val="0"/>
            <w:vAlign w:val="center"/>
          </w:tcPr>
          <w:p w14:paraId="39875E3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rPr>
              <w:t>报价包含的内容：</w:t>
            </w:r>
            <w:r>
              <w:rPr>
                <w:rFonts w:hint="eastAsia" w:ascii="仿宋" w:hAnsi="仿宋" w:eastAsia="仿宋" w:cs="仿宋"/>
                <w:color w:val="auto"/>
                <w:sz w:val="24"/>
                <w:szCs w:val="24"/>
                <w:highlight w:val="none"/>
                <w:lang w:eastAsia="zh-CN"/>
              </w:rPr>
              <w:t>克拉玛依区各委办局视频监控运维项目</w:t>
            </w:r>
            <w:r>
              <w:rPr>
                <w:rFonts w:hint="eastAsia" w:ascii="仿宋" w:hAnsi="仿宋" w:eastAsia="仿宋" w:cs="仿宋"/>
                <w:color w:val="auto"/>
                <w:sz w:val="24"/>
                <w:szCs w:val="24"/>
                <w:highlight w:val="none"/>
              </w:rPr>
              <w:t>合同条款、技术规范及标准、项目采购需求、本采购文件约定的全部内容及保修责任和义务。</w:t>
            </w:r>
          </w:p>
        </w:tc>
      </w:tr>
    </w:tbl>
    <w:p w14:paraId="402FA166">
      <w:pPr>
        <w:widowControl/>
        <w:shd w:val="clear"/>
        <w:spacing w:line="240" w:lineRule="auto"/>
        <w:jc w:val="left"/>
        <w:rPr>
          <w:rFonts w:hint="eastAsia" w:ascii="仿宋" w:hAnsi="仿宋" w:eastAsia="仿宋" w:cs="仿宋"/>
          <w:color w:val="auto"/>
          <w:sz w:val="24"/>
          <w:szCs w:val="24"/>
          <w:highlight w:val="none"/>
        </w:rPr>
      </w:pPr>
    </w:p>
    <w:p w14:paraId="17AAB494">
      <w:pPr>
        <w:widowControl/>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73AEC10C">
      <w:pPr>
        <w:widowControl/>
        <w:shd w:val="clear"/>
        <w:spacing w:line="240" w:lineRule="auto"/>
        <w:jc w:val="left"/>
        <w:rPr>
          <w:rFonts w:hint="eastAsia" w:ascii="仿宋" w:hAnsi="仿宋" w:eastAsia="仿宋" w:cs="仿宋"/>
          <w:color w:val="auto"/>
          <w:sz w:val="24"/>
          <w:szCs w:val="24"/>
          <w:highlight w:val="none"/>
        </w:rPr>
      </w:pPr>
    </w:p>
    <w:p w14:paraId="584A24F7">
      <w:pPr>
        <w:widowControl/>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651DC97B">
      <w:pPr>
        <w:widowControl/>
        <w:shd w:val="clear"/>
        <w:spacing w:line="240" w:lineRule="auto"/>
        <w:jc w:val="left"/>
        <w:rPr>
          <w:rFonts w:hint="eastAsia" w:ascii="仿宋" w:hAnsi="仿宋" w:eastAsia="仿宋" w:cs="仿宋"/>
          <w:color w:val="auto"/>
          <w:sz w:val="24"/>
          <w:szCs w:val="24"/>
          <w:highlight w:val="none"/>
        </w:rPr>
      </w:pPr>
    </w:p>
    <w:p w14:paraId="70A2E117">
      <w:pPr>
        <w:widowControl/>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报价日期：   年  月   日</w:t>
      </w:r>
    </w:p>
    <w:p w14:paraId="6EDC2827">
      <w:pPr>
        <w:widowControl/>
        <w:shd w:val="clear"/>
        <w:spacing w:line="240" w:lineRule="auto"/>
        <w:jc w:val="left"/>
        <w:rPr>
          <w:rFonts w:hint="eastAsia" w:ascii="仿宋" w:hAnsi="仿宋" w:eastAsia="仿宋" w:cs="仿宋"/>
          <w:color w:val="auto"/>
          <w:sz w:val="24"/>
          <w:szCs w:val="24"/>
          <w:highlight w:val="none"/>
        </w:rPr>
      </w:pPr>
    </w:p>
    <w:p w14:paraId="3966544F">
      <w:pPr>
        <w:widowControl/>
        <w:shd w:val="clear"/>
        <w:spacing w:line="360" w:lineRule="auto"/>
        <w:jc w:val="left"/>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color w:val="auto"/>
          <w:sz w:val="24"/>
          <w:szCs w:val="24"/>
          <w:highlight w:val="none"/>
        </w:rPr>
        <w:t>注：1、供应商须按本商务报价一览表格式制作“商务报价一览表（最终）”，经</w:t>
      </w:r>
      <w:r>
        <w:rPr>
          <w:rFonts w:hint="eastAsia" w:ascii="仿宋" w:hAnsi="仿宋" w:eastAsia="仿宋" w:cs="仿宋"/>
          <w:color w:val="auto"/>
          <w:sz w:val="24"/>
          <w:szCs w:val="24"/>
          <w:highlight w:val="none"/>
          <w:lang w:val="en-US" w:eastAsia="zh-CN"/>
        </w:rPr>
        <w:t>谈判</w:t>
      </w:r>
      <w:r>
        <w:rPr>
          <w:rFonts w:hint="eastAsia" w:ascii="仿宋" w:hAnsi="仿宋" w:eastAsia="仿宋" w:cs="仿宋"/>
          <w:b/>
          <w:color w:val="auto"/>
          <w:sz w:val="24"/>
          <w:szCs w:val="24"/>
          <w:highlight w:val="none"/>
        </w:rPr>
        <w:t>后由各供应商填写最后</w:t>
      </w:r>
      <w:r>
        <w:rPr>
          <w:rFonts w:hint="eastAsia" w:ascii="仿宋" w:hAnsi="仿宋" w:eastAsia="仿宋" w:cs="仿宋"/>
          <w:b/>
          <w:bCs/>
          <w:color w:val="auto"/>
          <w:sz w:val="24"/>
          <w:szCs w:val="24"/>
          <w:highlight w:val="none"/>
        </w:rPr>
        <w:t>报价一览表</w:t>
      </w:r>
      <w:r>
        <w:rPr>
          <w:rFonts w:hint="eastAsia" w:ascii="仿宋" w:hAnsi="仿宋" w:eastAsia="仿宋" w:cs="仿宋"/>
          <w:b/>
          <w:bCs/>
          <w:color w:val="auto"/>
          <w:sz w:val="24"/>
          <w:szCs w:val="24"/>
          <w:highlight w:val="none"/>
          <w:lang w:eastAsia="zh-CN"/>
        </w:rPr>
        <w:t>，</w:t>
      </w:r>
      <w:r>
        <w:rPr>
          <w:rFonts w:hint="eastAsia" w:ascii="仿宋" w:hAnsi="仿宋" w:eastAsia="仿宋" w:cs="仿宋"/>
          <w:b/>
          <w:color w:val="auto"/>
          <w:sz w:val="24"/>
          <w:szCs w:val="24"/>
          <w:highlight w:val="none"/>
        </w:rPr>
        <w:t>并加盖单位公章后自行</w:t>
      </w:r>
      <w:r>
        <w:rPr>
          <w:rFonts w:hint="eastAsia" w:ascii="仿宋" w:hAnsi="仿宋" w:eastAsia="仿宋" w:cs="仿宋"/>
          <w:b/>
          <w:color w:val="auto"/>
          <w:sz w:val="24"/>
          <w:szCs w:val="24"/>
          <w:highlight w:val="none"/>
          <w:lang w:val="en-US" w:eastAsia="zh-CN"/>
        </w:rPr>
        <w:t>上传至</w:t>
      </w:r>
      <w:r>
        <w:rPr>
          <w:rFonts w:hint="eastAsia" w:ascii="仿宋" w:hAnsi="仿宋" w:eastAsia="仿宋" w:cs="仿宋"/>
          <w:b/>
          <w:bCs w:val="0"/>
          <w:color w:val="auto"/>
          <w:sz w:val="24"/>
          <w:szCs w:val="24"/>
          <w:highlight w:val="none"/>
          <w:lang w:val="en-US" w:eastAsia="zh-CN"/>
        </w:rPr>
        <w:t>政采云。</w:t>
      </w:r>
    </w:p>
    <w:p w14:paraId="780EB11E">
      <w:pPr>
        <w:widowControl/>
        <w:shd w:val="clear"/>
        <w:spacing w:line="360" w:lineRule="auto"/>
        <w:jc w:val="left"/>
        <w:rPr>
          <w:rFonts w:hint="eastAsia" w:ascii="仿宋" w:hAnsi="仿宋" w:eastAsia="仿宋" w:cs="仿宋"/>
          <w:b/>
          <w:color w:val="auto"/>
          <w:sz w:val="24"/>
          <w:szCs w:val="24"/>
          <w:highlight w:val="none"/>
          <w:lang w:eastAsia="zh-CN"/>
        </w:rPr>
      </w:pPr>
    </w:p>
    <w:p w14:paraId="1182A2C0">
      <w:pPr>
        <w:widowControl/>
        <w:shd w:val="clear"/>
        <w:spacing w:line="24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格式3  </w:t>
      </w:r>
      <w:r>
        <w:rPr>
          <w:rFonts w:hint="eastAsia" w:ascii="仿宋" w:hAnsi="仿宋" w:eastAsia="仿宋" w:cs="仿宋"/>
          <w:b/>
          <w:color w:val="auto"/>
          <w:sz w:val="24"/>
          <w:szCs w:val="24"/>
          <w:highlight w:val="none"/>
        </w:rPr>
        <w:t xml:space="preserve"> 中小企业声明函</w:t>
      </w:r>
    </w:p>
    <w:p w14:paraId="411971B4">
      <w:pPr>
        <w:pStyle w:val="34"/>
        <w:shd w:val="clear"/>
        <w:spacing w:line="240" w:lineRule="auto"/>
        <w:rPr>
          <w:rFonts w:hint="eastAsia" w:ascii="仿宋" w:hAnsi="仿宋" w:eastAsia="仿宋" w:cs="仿宋"/>
          <w:color w:val="auto"/>
          <w:sz w:val="24"/>
          <w:szCs w:val="24"/>
          <w:highlight w:val="none"/>
        </w:rPr>
      </w:pPr>
    </w:p>
    <w:p w14:paraId="7D46402D">
      <w:pPr>
        <w:pStyle w:val="23"/>
        <w:shd w:val="clear"/>
        <w:spacing w:before="0" w:beforeAutospacing="0" w:after="0" w:afterAutospacing="0" w:line="480" w:lineRule="auto"/>
        <w:ind w:firstLine="480" w:firstLineChars="200"/>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本公司郑重声明，根据《政府采购促进中小企业发展管理办法》（财库﹝2020﹞46 号）的规定，本公司参加</w:t>
      </w:r>
      <w:r>
        <w:rPr>
          <w:rFonts w:hint="eastAsia" w:ascii="仿宋" w:hAnsi="仿宋" w:eastAsia="仿宋" w:cs="仿宋"/>
          <w:color w:val="auto"/>
          <w:kern w:val="2"/>
          <w:highlight w:val="none"/>
          <w:u w:val="single"/>
        </w:rPr>
        <w:t>（单位名称）</w:t>
      </w:r>
      <w:r>
        <w:rPr>
          <w:rFonts w:hint="eastAsia" w:ascii="仿宋" w:hAnsi="仿宋" w:eastAsia="仿宋" w:cs="仿宋"/>
          <w:color w:val="auto"/>
          <w:kern w:val="2"/>
          <w:highlight w:val="none"/>
        </w:rPr>
        <w:t>的</w:t>
      </w:r>
      <w:r>
        <w:rPr>
          <w:rFonts w:hint="eastAsia" w:ascii="仿宋" w:hAnsi="仿宋" w:eastAsia="仿宋" w:cs="仿宋"/>
          <w:color w:val="auto"/>
          <w:kern w:val="2"/>
          <w:highlight w:val="none"/>
          <w:u w:val="single"/>
        </w:rPr>
        <w:t>（项目名称）</w:t>
      </w:r>
      <w:r>
        <w:rPr>
          <w:rFonts w:hint="eastAsia" w:ascii="仿宋" w:hAnsi="仿宋" w:eastAsia="仿宋" w:cs="仿宋"/>
          <w:color w:val="auto"/>
          <w:kern w:val="2"/>
          <w:highlight w:val="none"/>
        </w:rPr>
        <w:t>采购活动，服务全部由符合政策要求的中小企业承接。相关企业（含联合体中的中小</w:t>
      </w:r>
      <w:r>
        <w:rPr>
          <w:rFonts w:hint="eastAsia" w:ascii="仿宋" w:hAnsi="仿宋" w:eastAsia="仿宋" w:cs="仿宋"/>
          <w:color w:val="auto"/>
          <w:kern w:val="2"/>
          <w:highlight w:val="none"/>
          <w:u w:val="none"/>
        </w:rPr>
        <w:t>企业、签订分包意向协议的中小企业）的具体情况如下：</w:t>
      </w:r>
    </w:p>
    <w:p w14:paraId="0B22FA5B">
      <w:pPr>
        <w:pStyle w:val="23"/>
        <w:numPr>
          <w:ilvl w:val="0"/>
          <w:numId w:val="5"/>
        </w:numPr>
        <w:shd w:val="clea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u w:val="single"/>
        </w:rPr>
        <w:t xml:space="preserve">（标的名称）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eastAsia="zh-CN"/>
        </w:rPr>
        <w:t>其他未列明行业</w:t>
      </w:r>
      <w:r>
        <w:rPr>
          <w:rFonts w:hint="eastAsia" w:ascii="仿宋" w:hAnsi="仿宋" w:eastAsia="仿宋" w:cs="仿宋"/>
          <w:color w:val="auto"/>
          <w:kern w:val="2"/>
          <w:highlight w:val="none"/>
        </w:rPr>
        <w:t>（采购文件中明确的所属行业）；承建（承接）企业为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33841DB9">
      <w:pPr>
        <w:pStyle w:val="23"/>
        <w:numPr>
          <w:ilvl w:val="0"/>
          <w:numId w:val="5"/>
        </w:numPr>
        <w:shd w:val="clea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u w:val="single"/>
        </w:rPr>
        <w:t xml:space="preserve">（标的名称）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eastAsia="zh-CN"/>
        </w:rPr>
        <w:t>其他未列明行业</w:t>
      </w:r>
      <w:r>
        <w:rPr>
          <w:rFonts w:hint="eastAsia" w:ascii="仿宋" w:hAnsi="仿宋" w:eastAsia="仿宋" w:cs="仿宋"/>
          <w:color w:val="auto"/>
          <w:kern w:val="2"/>
          <w:highlight w:val="none"/>
        </w:rPr>
        <w:t>（采购文件中明确的所属行业）；承建（承接）企业为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09076125">
      <w:pPr>
        <w:pStyle w:val="23"/>
        <w:shd w:val="clea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以上企业，不属于大企业的分支机构，不存在控股股东为大企业的情形，也不存在与大企业的负责人为同一人的情形。</w:t>
      </w:r>
    </w:p>
    <w:p w14:paraId="6B78325A">
      <w:pPr>
        <w:pStyle w:val="23"/>
        <w:shd w:val="clear"/>
        <w:spacing w:before="0" w:beforeAutospacing="0" w:after="0" w:afterAutospacing="0" w:line="480" w:lineRule="auto"/>
        <w:ind w:left="420" w:left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 xml:space="preserve">本企业对上述声明内容的真实性负责。如有虚假，将依法承担相应责任。 </w:t>
      </w:r>
    </w:p>
    <w:p w14:paraId="4C44130E">
      <w:pPr>
        <w:shd w:val="clear"/>
        <w:spacing w:line="240" w:lineRule="auto"/>
        <w:jc w:val="right"/>
        <w:rPr>
          <w:rFonts w:hint="eastAsia" w:ascii="仿宋" w:hAnsi="仿宋" w:eastAsia="仿宋" w:cs="仿宋"/>
          <w:b/>
          <w:bCs/>
          <w:color w:val="auto"/>
          <w:sz w:val="24"/>
          <w:szCs w:val="24"/>
          <w:highlight w:val="none"/>
        </w:rPr>
      </w:pPr>
    </w:p>
    <w:p w14:paraId="7421EF29">
      <w:pPr>
        <w:shd w:val="clear"/>
        <w:spacing w:line="240" w:lineRule="auto"/>
        <w:jc w:val="center"/>
        <w:rPr>
          <w:rFonts w:hint="eastAsia" w:ascii="仿宋" w:hAnsi="仿宋" w:eastAsia="仿宋" w:cs="仿宋"/>
          <w:b/>
          <w:bCs/>
          <w:color w:val="auto"/>
          <w:sz w:val="24"/>
          <w:szCs w:val="24"/>
          <w:highlight w:val="none"/>
        </w:rPr>
      </w:pPr>
    </w:p>
    <w:p w14:paraId="351364B2">
      <w:pPr>
        <w:shd w:val="clear"/>
        <w:spacing w:line="240" w:lineRule="auto"/>
        <w:jc w:val="center"/>
        <w:rPr>
          <w:rFonts w:hint="eastAsia" w:ascii="仿宋" w:hAnsi="仿宋" w:eastAsia="仿宋" w:cs="仿宋"/>
          <w:b/>
          <w:bCs/>
          <w:color w:val="auto"/>
          <w:sz w:val="24"/>
          <w:szCs w:val="24"/>
          <w:highlight w:val="none"/>
        </w:rPr>
      </w:pPr>
    </w:p>
    <w:p w14:paraId="3A555E2B">
      <w:pPr>
        <w:shd w:val="clear"/>
        <w:spacing w:line="240" w:lineRule="auto"/>
        <w:jc w:val="center"/>
        <w:rPr>
          <w:rFonts w:hint="eastAsia" w:ascii="仿宋" w:hAnsi="仿宋" w:eastAsia="仿宋" w:cs="仿宋"/>
          <w:b/>
          <w:bCs/>
          <w:color w:val="auto"/>
          <w:sz w:val="24"/>
          <w:szCs w:val="24"/>
          <w:highlight w:val="none"/>
        </w:rPr>
      </w:pPr>
    </w:p>
    <w:p w14:paraId="360D8C81">
      <w:pPr>
        <w:shd w:val="clear"/>
        <w:spacing w:line="240" w:lineRule="auto"/>
        <w:jc w:val="center"/>
        <w:rPr>
          <w:rFonts w:hint="eastAsia" w:ascii="仿宋" w:hAnsi="仿宋" w:eastAsia="仿宋" w:cs="仿宋"/>
          <w:b/>
          <w:bCs/>
          <w:color w:val="auto"/>
          <w:sz w:val="24"/>
          <w:szCs w:val="24"/>
          <w:highlight w:val="none"/>
        </w:rPr>
      </w:pPr>
    </w:p>
    <w:p w14:paraId="1CDBFF97">
      <w:pPr>
        <w:pStyle w:val="26"/>
        <w:shd w:val="clear"/>
        <w:spacing w:line="240" w:lineRule="auto"/>
        <w:rPr>
          <w:rFonts w:hint="eastAsia" w:ascii="仿宋" w:hAnsi="仿宋" w:eastAsia="仿宋" w:cs="仿宋"/>
          <w:b/>
          <w:bCs/>
          <w:color w:val="auto"/>
          <w:sz w:val="24"/>
          <w:szCs w:val="24"/>
          <w:highlight w:val="none"/>
        </w:rPr>
      </w:pPr>
    </w:p>
    <w:p w14:paraId="0BC57B3F">
      <w:pPr>
        <w:shd w:val="clea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企业名称（盖章）：</w:t>
      </w:r>
    </w:p>
    <w:p w14:paraId="569EF907">
      <w:pPr>
        <w:pStyle w:val="26"/>
        <w:shd w:val="clear"/>
        <w:spacing w:line="36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日期：</w:t>
      </w:r>
    </w:p>
    <w:p w14:paraId="566E0ED3">
      <w:pPr>
        <w:pStyle w:val="26"/>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val="0"/>
          <w:bCs w:val="0"/>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  法定代表人资格证明书</w:t>
      </w:r>
    </w:p>
    <w:p w14:paraId="7B030423">
      <w:pPr>
        <w:shd w:val="clear"/>
        <w:tabs>
          <w:tab w:val="left" w:pos="360"/>
          <w:tab w:val="left" w:pos="1800"/>
        </w:tabs>
        <w:spacing w:line="240" w:lineRule="auto"/>
        <w:ind w:left="540"/>
        <w:rPr>
          <w:rFonts w:hint="eastAsia" w:ascii="仿宋" w:hAnsi="仿宋" w:eastAsia="仿宋" w:cs="仿宋"/>
          <w:bCs/>
          <w:color w:val="auto"/>
          <w:sz w:val="24"/>
          <w:szCs w:val="24"/>
          <w:highlight w:val="none"/>
        </w:rPr>
      </w:pPr>
    </w:p>
    <w:p w14:paraId="53C5AE1A">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02588E05">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392165A">
      <w:pPr>
        <w:shd w:val="clear"/>
        <w:tabs>
          <w:tab w:val="left" w:pos="360"/>
          <w:tab w:val="left" w:pos="720"/>
          <w:tab w:val="left" w:pos="90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姓名：        性别：       年龄：         职务： </w:t>
      </w:r>
    </w:p>
    <w:p w14:paraId="4F913217">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单位）的法定代表人。为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的服务，签署上述项目的响应文件、进行合同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、签署合同和处理与之有关的一切事务。</w:t>
      </w:r>
    </w:p>
    <w:p w14:paraId="26F22391">
      <w:pPr>
        <w:shd w:val="clear"/>
        <w:tabs>
          <w:tab w:val="left" w:pos="360"/>
          <w:tab w:val="left" w:pos="1800"/>
        </w:tabs>
        <w:spacing w:line="360" w:lineRule="auto"/>
        <w:rPr>
          <w:rFonts w:hint="eastAsia" w:ascii="仿宋" w:hAnsi="仿宋" w:eastAsia="仿宋" w:cs="仿宋"/>
          <w:color w:val="auto"/>
          <w:sz w:val="24"/>
          <w:szCs w:val="24"/>
          <w:highlight w:val="none"/>
        </w:rPr>
      </w:pPr>
    </w:p>
    <w:p w14:paraId="5AFE3095">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6B5DBFF">
      <w:pPr>
        <w:shd w:val="clear"/>
        <w:tabs>
          <w:tab w:val="left" w:pos="360"/>
          <w:tab w:val="left" w:pos="1800"/>
        </w:tabs>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7B21F976">
      <w:pPr>
        <w:shd w:val="clear"/>
        <w:tabs>
          <w:tab w:val="left" w:pos="360"/>
          <w:tab w:val="left" w:pos="1800"/>
        </w:tabs>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D64A0E1">
      <w:pPr>
        <w:shd w:val="clear"/>
        <w:tabs>
          <w:tab w:val="left" w:pos="360"/>
          <w:tab w:val="left" w:pos="1800"/>
        </w:tabs>
        <w:spacing w:line="240" w:lineRule="auto"/>
        <w:ind w:firstLine="6000" w:firstLineChars="2500"/>
        <w:rPr>
          <w:rFonts w:hint="eastAsia" w:ascii="仿宋" w:hAnsi="仿宋" w:eastAsia="仿宋" w:cs="仿宋"/>
          <w:bCs/>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76740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val="0"/>
            <w:vAlign w:val="top"/>
          </w:tcPr>
          <w:p w14:paraId="4417E862">
            <w:pPr>
              <w:shd w:val="clear"/>
              <w:tabs>
                <w:tab w:val="left" w:pos="360"/>
                <w:tab w:val="left" w:pos="1800"/>
              </w:tabs>
              <w:spacing w:line="240" w:lineRule="auto"/>
              <w:jc w:val="center"/>
              <w:rPr>
                <w:rFonts w:hint="eastAsia" w:ascii="仿宋" w:hAnsi="仿宋" w:eastAsia="仿宋" w:cs="仿宋"/>
                <w:color w:val="auto"/>
                <w:sz w:val="24"/>
                <w:szCs w:val="24"/>
                <w:highlight w:val="none"/>
              </w:rPr>
            </w:pPr>
          </w:p>
          <w:p w14:paraId="362CA65C">
            <w:pPr>
              <w:shd w:val="clear"/>
              <w:tabs>
                <w:tab w:val="left" w:pos="360"/>
                <w:tab w:val="left" w:pos="1800"/>
              </w:tabs>
              <w:spacing w:line="240" w:lineRule="auto"/>
              <w:jc w:val="center"/>
              <w:rPr>
                <w:rFonts w:hint="eastAsia" w:ascii="仿宋" w:hAnsi="仿宋" w:eastAsia="仿宋" w:cs="仿宋"/>
                <w:color w:val="auto"/>
                <w:sz w:val="24"/>
                <w:szCs w:val="24"/>
                <w:highlight w:val="none"/>
              </w:rPr>
            </w:pPr>
          </w:p>
          <w:p w14:paraId="44AC3F63">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法定代表人身份证复印件或扫描件（正、反两面）</w:t>
            </w:r>
          </w:p>
        </w:tc>
      </w:tr>
    </w:tbl>
    <w:p w14:paraId="0D4A54CB">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注：法定代表人身份证复印件或扫描件应反映出证件有效期等所载内容。</w:t>
      </w:r>
    </w:p>
    <w:p w14:paraId="630B13CB">
      <w:pPr>
        <w:shd w:val="clear"/>
        <w:tabs>
          <w:tab w:val="left" w:pos="360"/>
          <w:tab w:val="left" w:pos="1800"/>
        </w:tabs>
        <w:spacing w:line="240" w:lineRule="auto"/>
        <w:ind w:left="1980" w:firstLine="1080"/>
        <w:rPr>
          <w:rFonts w:hint="eastAsia" w:ascii="仿宋" w:hAnsi="仿宋" w:eastAsia="仿宋" w:cs="仿宋"/>
          <w:bCs/>
          <w:color w:val="auto"/>
          <w:sz w:val="24"/>
          <w:szCs w:val="24"/>
          <w:highlight w:val="none"/>
        </w:rPr>
      </w:pPr>
    </w:p>
    <w:p w14:paraId="1C4A9BD5">
      <w:pPr>
        <w:shd w:val="clear"/>
        <w:tabs>
          <w:tab w:val="left" w:pos="360"/>
          <w:tab w:val="left" w:pos="1800"/>
        </w:tabs>
        <w:spacing w:line="240" w:lineRule="auto"/>
        <w:rPr>
          <w:rFonts w:hint="eastAsia" w:ascii="仿宋" w:hAnsi="仿宋" w:eastAsia="仿宋" w:cs="仿宋"/>
          <w:bCs/>
          <w:color w:val="auto"/>
          <w:sz w:val="24"/>
          <w:szCs w:val="24"/>
          <w:highlight w:val="none"/>
        </w:rPr>
      </w:pPr>
    </w:p>
    <w:p w14:paraId="50F4F2DD">
      <w:pPr>
        <w:shd w:val="clear"/>
        <w:tabs>
          <w:tab w:val="left" w:pos="360"/>
          <w:tab w:val="left" w:pos="1800"/>
        </w:tabs>
        <w:spacing w:line="240" w:lineRule="auto"/>
        <w:rPr>
          <w:rFonts w:hint="eastAsia" w:ascii="仿宋" w:hAnsi="仿宋" w:eastAsia="仿宋" w:cs="仿宋"/>
          <w:bCs/>
          <w:color w:val="auto"/>
          <w:sz w:val="24"/>
          <w:szCs w:val="24"/>
          <w:highlight w:val="none"/>
        </w:rPr>
      </w:pPr>
    </w:p>
    <w:p w14:paraId="30CE8A48">
      <w:pPr>
        <w:shd w:val="clear"/>
        <w:tabs>
          <w:tab w:val="left" w:pos="360"/>
          <w:tab w:val="left" w:pos="1800"/>
        </w:tabs>
        <w:spacing w:line="240" w:lineRule="auto"/>
        <w:rPr>
          <w:rFonts w:hint="eastAsia" w:ascii="仿宋" w:hAnsi="仿宋" w:eastAsia="仿宋" w:cs="仿宋"/>
          <w:bCs/>
          <w:color w:val="auto"/>
          <w:sz w:val="24"/>
          <w:szCs w:val="24"/>
          <w:highlight w:val="none"/>
        </w:rPr>
      </w:pPr>
    </w:p>
    <w:p w14:paraId="05B745FB">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6F487A4F">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525B9C6E">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0B5CFE4F">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03396114">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67AFE71F">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125AC185">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 xml:space="preserve">  法定代表人授权书</w:t>
      </w:r>
    </w:p>
    <w:p w14:paraId="7EEC5C83">
      <w:pPr>
        <w:shd w:val="clear"/>
        <w:tabs>
          <w:tab w:val="left" w:pos="360"/>
          <w:tab w:val="left" w:pos="1800"/>
        </w:tabs>
        <w:spacing w:line="240" w:lineRule="auto"/>
        <w:ind w:left="239" w:leftChars="114" w:firstLine="240" w:firstLineChars="100"/>
        <w:rPr>
          <w:rFonts w:hint="eastAsia" w:ascii="仿宋" w:hAnsi="仿宋" w:eastAsia="仿宋" w:cs="仿宋"/>
          <w:color w:val="auto"/>
          <w:sz w:val="24"/>
          <w:szCs w:val="24"/>
          <w:highlight w:val="none"/>
        </w:rPr>
      </w:pPr>
    </w:p>
    <w:p w14:paraId="65392D77">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供应商名称）的法定代表人，现授权委托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姓名），其身份证号为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为我供应商代理人，以本供应商的名义参加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活动。</w:t>
      </w:r>
    </w:p>
    <w:p w14:paraId="2B112474">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代理人在递交响应文件、</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过程中所签署的一切文件和处理与之有关的一切事务，我均予以承认。</w:t>
      </w:r>
    </w:p>
    <w:p w14:paraId="2C0191B7">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本授权委托书期限自</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日止。</w:t>
      </w:r>
    </w:p>
    <w:p w14:paraId="0855C582">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委托代理人无转委权。特此委托。</w:t>
      </w:r>
    </w:p>
    <w:p w14:paraId="25AECC7D">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性别：           年龄：</w:t>
      </w:r>
    </w:p>
    <w:p w14:paraId="278B63CC">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部门：           职务：</w:t>
      </w:r>
    </w:p>
    <w:p w14:paraId="175ADF6C">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p>
    <w:p w14:paraId="43ED81DD">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p>
    <w:p w14:paraId="5C64719D">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0096A60C">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7CF09216">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638E9217">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BC0FA46">
      <w:pPr>
        <w:shd w:val="clear"/>
        <w:tabs>
          <w:tab w:val="left" w:pos="360"/>
          <w:tab w:val="left" w:pos="1800"/>
        </w:tabs>
        <w:spacing w:line="240" w:lineRule="auto"/>
        <w:ind w:firstLine="3600"/>
        <w:rPr>
          <w:rFonts w:hint="eastAsia" w:ascii="仿宋" w:hAnsi="仿宋" w:eastAsia="仿宋" w:cs="仿宋"/>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6A86E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9" w:hRule="atLeast"/>
          <w:jc w:val="center"/>
        </w:trPr>
        <w:tc>
          <w:tcPr>
            <w:tcW w:w="6952" w:type="dxa"/>
            <w:noWrap w:val="0"/>
            <w:vAlign w:val="top"/>
          </w:tcPr>
          <w:p w14:paraId="3C04DED2">
            <w:pPr>
              <w:shd w:val="clear"/>
              <w:tabs>
                <w:tab w:val="left" w:pos="360"/>
                <w:tab w:val="left" w:pos="1800"/>
              </w:tabs>
              <w:spacing w:line="240" w:lineRule="auto"/>
              <w:jc w:val="center"/>
              <w:rPr>
                <w:rFonts w:hint="eastAsia" w:ascii="仿宋" w:hAnsi="仿宋" w:eastAsia="仿宋" w:cs="仿宋"/>
                <w:color w:val="auto"/>
                <w:sz w:val="24"/>
                <w:szCs w:val="24"/>
                <w:highlight w:val="none"/>
              </w:rPr>
            </w:pPr>
          </w:p>
          <w:p w14:paraId="1B39BF92">
            <w:pPr>
              <w:shd w:val="clear"/>
              <w:tabs>
                <w:tab w:val="left" w:pos="360"/>
                <w:tab w:val="left" w:pos="1800"/>
              </w:tabs>
              <w:spacing w:line="240" w:lineRule="auto"/>
              <w:jc w:val="center"/>
              <w:rPr>
                <w:rFonts w:hint="eastAsia" w:ascii="仿宋" w:hAnsi="仿宋" w:eastAsia="仿宋" w:cs="仿宋"/>
                <w:color w:val="auto"/>
                <w:sz w:val="24"/>
                <w:szCs w:val="24"/>
                <w:highlight w:val="none"/>
              </w:rPr>
            </w:pPr>
          </w:p>
          <w:p w14:paraId="40B298DB">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委托代理人身份证复印件或扫描件（正、反两面）</w:t>
            </w:r>
          </w:p>
        </w:tc>
      </w:tr>
    </w:tbl>
    <w:p w14:paraId="54C39654">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注：委托代理人身份证复印件或扫描件应反映出证件有效期等所载内容。</w:t>
      </w:r>
    </w:p>
    <w:p w14:paraId="5B57FC2E">
      <w:pPr>
        <w:shd w:val="clea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格式6  供应商资格声明</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14:paraId="61E5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28" w:type="dxa"/>
            <w:noWrap w:val="0"/>
            <w:vAlign w:val="center"/>
          </w:tcPr>
          <w:p w14:paraId="2AA06A8F">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tc>
        <w:tc>
          <w:tcPr>
            <w:tcW w:w="7668" w:type="dxa"/>
            <w:gridSpan w:val="5"/>
            <w:noWrap w:val="0"/>
            <w:vAlign w:val="center"/>
          </w:tcPr>
          <w:p w14:paraId="13EC8459">
            <w:pPr>
              <w:shd w:val="clear"/>
              <w:spacing w:line="360" w:lineRule="auto"/>
              <w:rPr>
                <w:rFonts w:hint="eastAsia" w:ascii="仿宋" w:hAnsi="仿宋" w:eastAsia="仿宋" w:cs="仿宋"/>
                <w:bCs/>
                <w:color w:val="auto"/>
                <w:sz w:val="24"/>
                <w:highlight w:val="none"/>
              </w:rPr>
            </w:pPr>
          </w:p>
        </w:tc>
      </w:tr>
      <w:tr w14:paraId="367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728" w:type="dxa"/>
            <w:noWrap w:val="0"/>
            <w:vAlign w:val="center"/>
          </w:tcPr>
          <w:p w14:paraId="181D757F">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      址</w:t>
            </w:r>
          </w:p>
        </w:tc>
        <w:tc>
          <w:tcPr>
            <w:tcW w:w="7668" w:type="dxa"/>
            <w:gridSpan w:val="5"/>
            <w:noWrap w:val="0"/>
            <w:vAlign w:val="center"/>
          </w:tcPr>
          <w:p w14:paraId="3A31A1CF">
            <w:pPr>
              <w:shd w:val="clear"/>
              <w:spacing w:line="360" w:lineRule="auto"/>
              <w:rPr>
                <w:rFonts w:hint="eastAsia" w:ascii="仿宋" w:hAnsi="仿宋" w:eastAsia="仿宋" w:cs="仿宋"/>
                <w:bCs/>
                <w:color w:val="auto"/>
                <w:sz w:val="24"/>
                <w:highlight w:val="none"/>
              </w:rPr>
            </w:pPr>
          </w:p>
        </w:tc>
      </w:tr>
      <w:tr w14:paraId="5283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noWrap w:val="0"/>
            <w:vAlign w:val="center"/>
          </w:tcPr>
          <w:p w14:paraId="3DC82800">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主管部门</w:t>
            </w:r>
          </w:p>
        </w:tc>
        <w:tc>
          <w:tcPr>
            <w:tcW w:w="1380" w:type="dxa"/>
            <w:noWrap w:val="0"/>
            <w:vAlign w:val="center"/>
          </w:tcPr>
          <w:p w14:paraId="4D9FEFD6">
            <w:pPr>
              <w:shd w:val="clear"/>
              <w:spacing w:line="360" w:lineRule="auto"/>
              <w:rPr>
                <w:rFonts w:hint="eastAsia" w:ascii="仿宋" w:hAnsi="仿宋" w:eastAsia="仿宋" w:cs="仿宋"/>
                <w:bCs/>
                <w:color w:val="auto"/>
                <w:sz w:val="24"/>
                <w:highlight w:val="none"/>
              </w:rPr>
            </w:pPr>
          </w:p>
        </w:tc>
        <w:tc>
          <w:tcPr>
            <w:tcW w:w="1549" w:type="dxa"/>
            <w:noWrap w:val="0"/>
            <w:vAlign w:val="center"/>
          </w:tcPr>
          <w:p w14:paraId="31A04A9F">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w:t>
            </w:r>
          </w:p>
        </w:tc>
        <w:tc>
          <w:tcPr>
            <w:tcW w:w="1549" w:type="dxa"/>
            <w:noWrap w:val="0"/>
            <w:vAlign w:val="center"/>
          </w:tcPr>
          <w:p w14:paraId="352C7B10">
            <w:pPr>
              <w:shd w:val="clear"/>
              <w:spacing w:line="360" w:lineRule="auto"/>
              <w:rPr>
                <w:rFonts w:hint="eastAsia" w:ascii="仿宋" w:hAnsi="仿宋" w:eastAsia="仿宋" w:cs="仿宋"/>
                <w:bCs/>
                <w:color w:val="auto"/>
                <w:sz w:val="24"/>
                <w:highlight w:val="none"/>
              </w:rPr>
            </w:pPr>
          </w:p>
        </w:tc>
        <w:tc>
          <w:tcPr>
            <w:tcW w:w="1583" w:type="dxa"/>
            <w:noWrap w:val="0"/>
            <w:vAlign w:val="center"/>
          </w:tcPr>
          <w:p w14:paraId="4C1DB9E2">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职 务</w:t>
            </w:r>
          </w:p>
        </w:tc>
        <w:tc>
          <w:tcPr>
            <w:tcW w:w="1607" w:type="dxa"/>
            <w:noWrap w:val="0"/>
            <w:vAlign w:val="top"/>
          </w:tcPr>
          <w:p w14:paraId="210D4A2E">
            <w:pPr>
              <w:shd w:val="clear"/>
              <w:spacing w:line="360" w:lineRule="auto"/>
              <w:rPr>
                <w:rFonts w:hint="eastAsia" w:ascii="仿宋" w:hAnsi="仿宋" w:eastAsia="仿宋" w:cs="仿宋"/>
                <w:bCs/>
                <w:color w:val="auto"/>
                <w:sz w:val="24"/>
                <w:highlight w:val="none"/>
              </w:rPr>
            </w:pPr>
          </w:p>
        </w:tc>
      </w:tr>
      <w:tr w14:paraId="605E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noWrap w:val="0"/>
            <w:vAlign w:val="center"/>
          </w:tcPr>
          <w:p w14:paraId="0FFA01D6">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注册时间</w:t>
            </w:r>
          </w:p>
        </w:tc>
        <w:tc>
          <w:tcPr>
            <w:tcW w:w="2929" w:type="dxa"/>
            <w:gridSpan w:val="2"/>
            <w:noWrap w:val="0"/>
            <w:vAlign w:val="top"/>
          </w:tcPr>
          <w:p w14:paraId="7F4651F1">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083B8CCB">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经济类型</w:t>
            </w:r>
          </w:p>
        </w:tc>
        <w:tc>
          <w:tcPr>
            <w:tcW w:w="3190" w:type="dxa"/>
            <w:gridSpan w:val="2"/>
            <w:noWrap w:val="0"/>
            <w:vAlign w:val="top"/>
          </w:tcPr>
          <w:p w14:paraId="1FEE6094">
            <w:pPr>
              <w:shd w:val="clear"/>
              <w:spacing w:line="360" w:lineRule="auto"/>
              <w:rPr>
                <w:rFonts w:hint="eastAsia" w:ascii="仿宋" w:hAnsi="仿宋" w:eastAsia="仿宋" w:cs="仿宋"/>
                <w:bCs/>
                <w:color w:val="auto"/>
                <w:sz w:val="24"/>
                <w:highlight w:val="none"/>
              </w:rPr>
            </w:pPr>
          </w:p>
        </w:tc>
      </w:tr>
      <w:tr w14:paraId="318D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728" w:type="dxa"/>
            <w:noWrap w:val="0"/>
            <w:vAlign w:val="center"/>
          </w:tcPr>
          <w:p w14:paraId="47A9A538">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营业执照号</w:t>
            </w:r>
          </w:p>
        </w:tc>
        <w:tc>
          <w:tcPr>
            <w:tcW w:w="7668" w:type="dxa"/>
            <w:gridSpan w:val="5"/>
            <w:noWrap w:val="0"/>
            <w:vAlign w:val="center"/>
          </w:tcPr>
          <w:p w14:paraId="7A813E45">
            <w:pPr>
              <w:shd w:val="clear"/>
              <w:spacing w:line="360" w:lineRule="auto"/>
              <w:rPr>
                <w:rFonts w:hint="eastAsia" w:ascii="仿宋" w:hAnsi="仿宋" w:eastAsia="仿宋" w:cs="仿宋"/>
                <w:bCs/>
                <w:color w:val="auto"/>
                <w:sz w:val="24"/>
                <w:highlight w:val="none"/>
              </w:rPr>
            </w:pPr>
          </w:p>
        </w:tc>
      </w:tr>
      <w:tr w14:paraId="4010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0"/>
            <w:vAlign w:val="center"/>
          </w:tcPr>
          <w:p w14:paraId="744DC1EA">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近三年内（20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1月1日至今</w:t>
            </w:r>
            <w:r>
              <w:rPr>
                <w:rFonts w:hint="eastAsia" w:ascii="仿宋" w:hAnsi="仿宋" w:eastAsia="仿宋" w:cs="仿宋"/>
                <w:bCs/>
                <w:color w:val="auto"/>
                <w:sz w:val="24"/>
                <w:highlight w:val="none"/>
              </w:rPr>
              <w:t>）在经营活动中有无重大违法纪录</w:t>
            </w:r>
          </w:p>
        </w:tc>
        <w:tc>
          <w:tcPr>
            <w:tcW w:w="4739" w:type="dxa"/>
            <w:gridSpan w:val="3"/>
            <w:noWrap w:val="0"/>
            <w:vAlign w:val="center"/>
          </w:tcPr>
          <w:p w14:paraId="77FD165D">
            <w:pPr>
              <w:shd w:val="clear"/>
              <w:spacing w:line="360" w:lineRule="auto"/>
              <w:rPr>
                <w:rFonts w:hint="eastAsia" w:ascii="仿宋" w:hAnsi="仿宋" w:eastAsia="仿宋" w:cs="仿宋"/>
                <w:bCs/>
                <w:color w:val="auto"/>
                <w:sz w:val="24"/>
                <w:highlight w:val="none"/>
              </w:rPr>
            </w:pPr>
          </w:p>
        </w:tc>
      </w:tr>
      <w:tr w14:paraId="264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0"/>
            <w:vAlign w:val="center"/>
          </w:tcPr>
          <w:p w14:paraId="33F13625">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是否依法缴纳税收</w:t>
            </w:r>
          </w:p>
        </w:tc>
        <w:tc>
          <w:tcPr>
            <w:tcW w:w="2929" w:type="dxa"/>
            <w:gridSpan w:val="2"/>
            <w:noWrap w:val="0"/>
            <w:vAlign w:val="top"/>
          </w:tcPr>
          <w:p w14:paraId="3FBF684B">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0AF70F74">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是否依法缴纳社会保障资金</w:t>
            </w:r>
          </w:p>
        </w:tc>
        <w:tc>
          <w:tcPr>
            <w:tcW w:w="3190" w:type="dxa"/>
            <w:gridSpan w:val="2"/>
            <w:noWrap w:val="0"/>
            <w:vAlign w:val="top"/>
          </w:tcPr>
          <w:p w14:paraId="26F25B20">
            <w:pPr>
              <w:shd w:val="clear"/>
              <w:spacing w:line="360" w:lineRule="auto"/>
              <w:rPr>
                <w:rFonts w:hint="eastAsia" w:ascii="仿宋" w:hAnsi="仿宋" w:eastAsia="仿宋" w:cs="仿宋"/>
                <w:bCs/>
                <w:color w:val="auto"/>
                <w:sz w:val="24"/>
                <w:highlight w:val="none"/>
              </w:rPr>
            </w:pPr>
          </w:p>
        </w:tc>
      </w:tr>
      <w:tr w14:paraId="5EE0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728" w:type="dxa"/>
            <w:vMerge w:val="restart"/>
            <w:noWrap w:val="0"/>
            <w:vAlign w:val="top"/>
          </w:tcPr>
          <w:p w14:paraId="5A6250ED">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w:t>
            </w:r>
          </w:p>
          <w:p w14:paraId="61D6E2C0">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位</w:t>
            </w:r>
          </w:p>
          <w:p w14:paraId="07B71379">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概</w:t>
            </w:r>
          </w:p>
          <w:p w14:paraId="0596BFA5">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况</w:t>
            </w:r>
          </w:p>
        </w:tc>
        <w:tc>
          <w:tcPr>
            <w:tcW w:w="1380" w:type="dxa"/>
            <w:noWrap w:val="0"/>
            <w:vAlign w:val="center"/>
          </w:tcPr>
          <w:p w14:paraId="21022C63">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注册资本</w:t>
            </w:r>
          </w:p>
        </w:tc>
        <w:tc>
          <w:tcPr>
            <w:tcW w:w="1549" w:type="dxa"/>
            <w:noWrap w:val="0"/>
            <w:vAlign w:val="top"/>
          </w:tcPr>
          <w:p w14:paraId="57A81CFF">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万元</w:t>
            </w:r>
          </w:p>
        </w:tc>
        <w:tc>
          <w:tcPr>
            <w:tcW w:w="1549" w:type="dxa"/>
            <w:noWrap w:val="0"/>
            <w:vAlign w:val="top"/>
          </w:tcPr>
          <w:p w14:paraId="317567C1">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占地面积</w:t>
            </w:r>
          </w:p>
        </w:tc>
        <w:tc>
          <w:tcPr>
            <w:tcW w:w="3190" w:type="dxa"/>
            <w:gridSpan w:val="2"/>
            <w:noWrap w:val="0"/>
            <w:vAlign w:val="top"/>
          </w:tcPr>
          <w:p w14:paraId="627FA510">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平方米</w:t>
            </w:r>
          </w:p>
        </w:tc>
      </w:tr>
      <w:tr w14:paraId="5912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noWrap w:val="0"/>
            <w:vAlign w:val="top"/>
          </w:tcPr>
          <w:p w14:paraId="79B5A29E">
            <w:pPr>
              <w:shd w:val="clear"/>
              <w:spacing w:line="360" w:lineRule="auto"/>
              <w:rPr>
                <w:rFonts w:hint="eastAsia" w:ascii="仿宋" w:hAnsi="仿宋" w:eastAsia="仿宋" w:cs="仿宋"/>
                <w:bCs/>
                <w:color w:val="auto"/>
                <w:sz w:val="24"/>
                <w:highlight w:val="none"/>
              </w:rPr>
            </w:pPr>
          </w:p>
        </w:tc>
        <w:tc>
          <w:tcPr>
            <w:tcW w:w="1380" w:type="dxa"/>
            <w:noWrap w:val="0"/>
            <w:vAlign w:val="center"/>
          </w:tcPr>
          <w:p w14:paraId="2FEB00C9">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职工总数</w:t>
            </w:r>
          </w:p>
        </w:tc>
        <w:tc>
          <w:tcPr>
            <w:tcW w:w="1549" w:type="dxa"/>
            <w:noWrap w:val="0"/>
            <w:vAlign w:val="top"/>
          </w:tcPr>
          <w:p w14:paraId="3946D025">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人</w:t>
            </w:r>
          </w:p>
        </w:tc>
        <w:tc>
          <w:tcPr>
            <w:tcW w:w="1549" w:type="dxa"/>
            <w:noWrap w:val="0"/>
            <w:vAlign w:val="top"/>
          </w:tcPr>
          <w:p w14:paraId="599F05D7">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建筑面积</w:t>
            </w:r>
          </w:p>
        </w:tc>
        <w:tc>
          <w:tcPr>
            <w:tcW w:w="3190" w:type="dxa"/>
            <w:gridSpan w:val="2"/>
            <w:noWrap w:val="0"/>
            <w:vAlign w:val="top"/>
          </w:tcPr>
          <w:p w14:paraId="175A5039">
            <w:pPr>
              <w:shd w:val="clear"/>
              <w:spacing w:line="360" w:lineRule="auto"/>
              <w:ind w:firstLine="1800" w:firstLineChars="7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平方米</w:t>
            </w:r>
          </w:p>
        </w:tc>
      </w:tr>
      <w:tr w14:paraId="3FCB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noWrap w:val="0"/>
            <w:vAlign w:val="top"/>
          </w:tcPr>
          <w:p w14:paraId="34348CBD">
            <w:pPr>
              <w:shd w:val="clear"/>
              <w:spacing w:line="360" w:lineRule="auto"/>
              <w:rPr>
                <w:rFonts w:hint="eastAsia" w:ascii="仿宋" w:hAnsi="仿宋" w:eastAsia="仿宋" w:cs="仿宋"/>
                <w:bCs/>
                <w:color w:val="auto"/>
                <w:sz w:val="24"/>
                <w:highlight w:val="none"/>
              </w:rPr>
            </w:pPr>
          </w:p>
        </w:tc>
        <w:tc>
          <w:tcPr>
            <w:tcW w:w="1380" w:type="dxa"/>
            <w:vMerge w:val="restart"/>
            <w:noWrap w:val="0"/>
            <w:vAlign w:val="center"/>
          </w:tcPr>
          <w:p w14:paraId="73F8614D">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资产</w:t>
            </w:r>
          </w:p>
          <w:p w14:paraId="406E2A7E">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情况</w:t>
            </w:r>
          </w:p>
        </w:tc>
        <w:tc>
          <w:tcPr>
            <w:tcW w:w="3098" w:type="dxa"/>
            <w:gridSpan w:val="2"/>
            <w:noWrap w:val="0"/>
            <w:vAlign w:val="center"/>
          </w:tcPr>
          <w:p w14:paraId="361FB2F3">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净资产：        万元</w:t>
            </w:r>
          </w:p>
        </w:tc>
        <w:tc>
          <w:tcPr>
            <w:tcW w:w="3190" w:type="dxa"/>
            <w:gridSpan w:val="2"/>
            <w:vMerge w:val="restart"/>
            <w:noWrap w:val="0"/>
            <w:vAlign w:val="top"/>
          </w:tcPr>
          <w:p w14:paraId="31F592B2">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固定资产原值 ：      万元</w:t>
            </w:r>
          </w:p>
          <w:p w14:paraId="5DB71079">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固定资产净值：       万元</w:t>
            </w:r>
          </w:p>
        </w:tc>
      </w:tr>
      <w:tr w14:paraId="087F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noWrap w:val="0"/>
            <w:vAlign w:val="top"/>
          </w:tcPr>
          <w:p w14:paraId="2E813EC7">
            <w:pPr>
              <w:shd w:val="clear"/>
              <w:spacing w:line="360" w:lineRule="auto"/>
              <w:rPr>
                <w:rFonts w:hint="eastAsia" w:ascii="仿宋" w:hAnsi="仿宋" w:eastAsia="仿宋" w:cs="仿宋"/>
                <w:bCs/>
                <w:color w:val="auto"/>
                <w:sz w:val="24"/>
                <w:highlight w:val="none"/>
              </w:rPr>
            </w:pPr>
          </w:p>
        </w:tc>
        <w:tc>
          <w:tcPr>
            <w:tcW w:w="1380" w:type="dxa"/>
            <w:vMerge w:val="continue"/>
            <w:noWrap w:val="0"/>
            <w:vAlign w:val="top"/>
          </w:tcPr>
          <w:p w14:paraId="1F5A5CD1">
            <w:pPr>
              <w:shd w:val="clear"/>
              <w:spacing w:line="360" w:lineRule="auto"/>
              <w:rPr>
                <w:rFonts w:hint="eastAsia" w:ascii="仿宋" w:hAnsi="仿宋" w:eastAsia="仿宋" w:cs="仿宋"/>
                <w:bCs/>
                <w:color w:val="auto"/>
                <w:sz w:val="24"/>
                <w:highlight w:val="none"/>
              </w:rPr>
            </w:pPr>
          </w:p>
        </w:tc>
        <w:tc>
          <w:tcPr>
            <w:tcW w:w="3098" w:type="dxa"/>
            <w:gridSpan w:val="2"/>
            <w:noWrap w:val="0"/>
            <w:vAlign w:val="center"/>
          </w:tcPr>
          <w:p w14:paraId="6CF60546">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负 债：         万元</w:t>
            </w:r>
          </w:p>
        </w:tc>
        <w:tc>
          <w:tcPr>
            <w:tcW w:w="3190" w:type="dxa"/>
            <w:gridSpan w:val="2"/>
            <w:vMerge w:val="continue"/>
            <w:noWrap w:val="0"/>
            <w:vAlign w:val="top"/>
          </w:tcPr>
          <w:p w14:paraId="4FBC99BC">
            <w:pPr>
              <w:shd w:val="clear"/>
              <w:spacing w:line="360" w:lineRule="auto"/>
              <w:rPr>
                <w:rFonts w:hint="eastAsia" w:ascii="仿宋" w:hAnsi="仿宋" w:eastAsia="仿宋" w:cs="仿宋"/>
                <w:bCs/>
                <w:color w:val="auto"/>
                <w:sz w:val="24"/>
                <w:highlight w:val="none"/>
              </w:rPr>
            </w:pPr>
          </w:p>
        </w:tc>
      </w:tr>
      <w:tr w14:paraId="2544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0"/>
            <w:vAlign w:val="center"/>
          </w:tcPr>
          <w:p w14:paraId="3B8E9FD2">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财务状况</w:t>
            </w:r>
          </w:p>
          <w:p w14:paraId="7CF40FB7">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（最近三年20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1月1日至今</w:t>
            </w:r>
            <w:r>
              <w:rPr>
                <w:rFonts w:hint="eastAsia" w:ascii="仿宋" w:hAnsi="仿宋" w:eastAsia="仿宋" w:cs="仿宋"/>
                <w:bCs/>
                <w:color w:val="auto"/>
                <w:sz w:val="24"/>
                <w:highlight w:val="none"/>
              </w:rPr>
              <w:t>）</w:t>
            </w:r>
          </w:p>
        </w:tc>
        <w:tc>
          <w:tcPr>
            <w:tcW w:w="1380" w:type="dxa"/>
            <w:noWrap w:val="0"/>
            <w:vAlign w:val="top"/>
          </w:tcPr>
          <w:p w14:paraId="2678F7A8">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年份</w:t>
            </w:r>
          </w:p>
        </w:tc>
        <w:tc>
          <w:tcPr>
            <w:tcW w:w="1549" w:type="dxa"/>
            <w:noWrap w:val="0"/>
            <w:vAlign w:val="center"/>
          </w:tcPr>
          <w:p w14:paraId="59C1A1CD">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主营收入</w:t>
            </w:r>
          </w:p>
          <w:p w14:paraId="04EAA97F">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549" w:type="dxa"/>
            <w:noWrap w:val="0"/>
            <w:vAlign w:val="center"/>
          </w:tcPr>
          <w:p w14:paraId="4105ACBA">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收入总额</w:t>
            </w:r>
          </w:p>
          <w:p w14:paraId="779580BA">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583" w:type="dxa"/>
            <w:noWrap w:val="0"/>
            <w:vAlign w:val="center"/>
          </w:tcPr>
          <w:p w14:paraId="2D010BC6">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利润总额</w:t>
            </w:r>
          </w:p>
          <w:p w14:paraId="600BA50D">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607" w:type="dxa"/>
            <w:noWrap w:val="0"/>
            <w:vAlign w:val="center"/>
          </w:tcPr>
          <w:p w14:paraId="2BEB119C">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净利润</w:t>
            </w:r>
          </w:p>
          <w:p w14:paraId="0EB7A916">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r>
      <w:tr w14:paraId="1BFC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728" w:type="dxa"/>
            <w:vMerge w:val="continue"/>
            <w:noWrap w:val="0"/>
            <w:vAlign w:val="center"/>
          </w:tcPr>
          <w:p w14:paraId="465678CF">
            <w:pPr>
              <w:shd w:val="clear"/>
              <w:spacing w:line="360" w:lineRule="auto"/>
              <w:rPr>
                <w:rFonts w:hint="eastAsia" w:ascii="仿宋" w:hAnsi="仿宋" w:eastAsia="仿宋" w:cs="仿宋"/>
                <w:bCs/>
                <w:color w:val="auto"/>
                <w:sz w:val="24"/>
                <w:highlight w:val="none"/>
              </w:rPr>
            </w:pPr>
          </w:p>
        </w:tc>
        <w:tc>
          <w:tcPr>
            <w:tcW w:w="1380" w:type="dxa"/>
            <w:noWrap w:val="0"/>
            <w:vAlign w:val="center"/>
          </w:tcPr>
          <w:p w14:paraId="3DC4E184">
            <w:pPr>
              <w:shd w:val="clear"/>
              <w:spacing w:line="360" w:lineRule="auto"/>
              <w:rPr>
                <w:rFonts w:hint="eastAsia" w:ascii="仿宋" w:hAnsi="仿宋" w:eastAsia="仿宋" w:cs="仿宋"/>
                <w:bCs/>
                <w:color w:val="auto"/>
                <w:sz w:val="24"/>
                <w:highlight w:val="none"/>
              </w:rPr>
            </w:pPr>
          </w:p>
        </w:tc>
        <w:tc>
          <w:tcPr>
            <w:tcW w:w="1549" w:type="dxa"/>
            <w:noWrap w:val="0"/>
            <w:vAlign w:val="center"/>
          </w:tcPr>
          <w:p w14:paraId="3AB7CFA8">
            <w:pPr>
              <w:shd w:val="clear"/>
              <w:spacing w:line="360" w:lineRule="auto"/>
              <w:rPr>
                <w:rFonts w:hint="eastAsia" w:ascii="仿宋" w:hAnsi="仿宋" w:eastAsia="仿宋" w:cs="仿宋"/>
                <w:bCs/>
                <w:color w:val="auto"/>
                <w:sz w:val="24"/>
                <w:highlight w:val="none"/>
              </w:rPr>
            </w:pPr>
          </w:p>
        </w:tc>
        <w:tc>
          <w:tcPr>
            <w:tcW w:w="1549" w:type="dxa"/>
            <w:noWrap w:val="0"/>
            <w:vAlign w:val="center"/>
          </w:tcPr>
          <w:p w14:paraId="211B7ADD">
            <w:pPr>
              <w:shd w:val="clear"/>
              <w:spacing w:line="360" w:lineRule="auto"/>
              <w:rPr>
                <w:rFonts w:hint="eastAsia" w:ascii="仿宋" w:hAnsi="仿宋" w:eastAsia="仿宋" w:cs="仿宋"/>
                <w:bCs/>
                <w:color w:val="auto"/>
                <w:sz w:val="24"/>
                <w:highlight w:val="none"/>
              </w:rPr>
            </w:pPr>
          </w:p>
        </w:tc>
        <w:tc>
          <w:tcPr>
            <w:tcW w:w="1583" w:type="dxa"/>
            <w:noWrap w:val="0"/>
            <w:vAlign w:val="center"/>
          </w:tcPr>
          <w:p w14:paraId="2B1A626D">
            <w:pPr>
              <w:shd w:val="clear"/>
              <w:spacing w:line="360" w:lineRule="auto"/>
              <w:rPr>
                <w:rFonts w:hint="eastAsia" w:ascii="仿宋" w:hAnsi="仿宋" w:eastAsia="仿宋" w:cs="仿宋"/>
                <w:bCs/>
                <w:color w:val="auto"/>
                <w:sz w:val="24"/>
                <w:highlight w:val="none"/>
              </w:rPr>
            </w:pPr>
          </w:p>
        </w:tc>
        <w:tc>
          <w:tcPr>
            <w:tcW w:w="1607" w:type="dxa"/>
            <w:noWrap w:val="0"/>
            <w:vAlign w:val="center"/>
          </w:tcPr>
          <w:p w14:paraId="49B0C772">
            <w:pPr>
              <w:shd w:val="clear"/>
              <w:spacing w:line="360" w:lineRule="auto"/>
              <w:rPr>
                <w:rFonts w:hint="eastAsia" w:ascii="仿宋" w:hAnsi="仿宋" w:eastAsia="仿宋" w:cs="仿宋"/>
                <w:bCs/>
                <w:color w:val="auto"/>
                <w:sz w:val="24"/>
                <w:highlight w:val="none"/>
              </w:rPr>
            </w:pPr>
          </w:p>
        </w:tc>
      </w:tr>
      <w:tr w14:paraId="78A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728" w:type="dxa"/>
            <w:vMerge w:val="continue"/>
            <w:noWrap w:val="0"/>
            <w:vAlign w:val="top"/>
          </w:tcPr>
          <w:p w14:paraId="4F1D8A6E">
            <w:pPr>
              <w:shd w:val="clear"/>
              <w:spacing w:line="360" w:lineRule="auto"/>
              <w:rPr>
                <w:rFonts w:hint="eastAsia" w:ascii="仿宋" w:hAnsi="仿宋" w:eastAsia="仿宋" w:cs="仿宋"/>
                <w:bCs/>
                <w:color w:val="auto"/>
                <w:sz w:val="24"/>
                <w:highlight w:val="none"/>
              </w:rPr>
            </w:pPr>
          </w:p>
        </w:tc>
        <w:tc>
          <w:tcPr>
            <w:tcW w:w="1380" w:type="dxa"/>
            <w:noWrap w:val="0"/>
            <w:vAlign w:val="center"/>
          </w:tcPr>
          <w:p w14:paraId="55F16CD3">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68536DA0">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46BD8D82">
            <w:pPr>
              <w:shd w:val="clear"/>
              <w:spacing w:line="360" w:lineRule="auto"/>
              <w:rPr>
                <w:rFonts w:hint="eastAsia" w:ascii="仿宋" w:hAnsi="仿宋" w:eastAsia="仿宋" w:cs="仿宋"/>
                <w:bCs/>
                <w:color w:val="auto"/>
                <w:sz w:val="24"/>
                <w:highlight w:val="none"/>
              </w:rPr>
            </w:pPr>
          </w:p>
        </w:tc>
        <w:tc>
          <w:tcPr>
            <w:tcW w:w="1583" w:type="dxa"/>
            <w:noWrap w:val="0"/>
            <w:vAlign w:val="top"/>
          </w:tcPr>
          <w:p w14:paraId="6AA0DB06">
            <w:pPr>
              <w:shd w:val="clear"/>
              <w:spacing w:line="360" w:lineRule="auto"/>
              <w:rPr>
                <w:rFonts w:hint="eastAsia" w:ascii="仿宋" w:hAnsi="仿宋" w:eastAsia="仿宋" w:cs="仿宋"/>
                <w:bCs/>
                <w:color w:val="auto"/>
                <w:sz w:val="24"/>
                <w:highlight w:val="none"/>
              </w:rPr>
            </w:pPr>
          </w:p>
        </w:tc>
        <w:tc>
          <w:tcPr>
            <w:tcW w:w="1607" w:type="dxa"/>
            <w:noWrap w:val="0"/>
            <w:vAlign w:val="top"/>
          </w:tcPr>
          <w:p w14:paraId="228A127F">
            <w:pPr>
              <w:shd w:val="clear"/>
              <w:spacing w:line="360" w:lineRule="auto"/>
              <w:rPr>
                <w:rFonts w:hint="eastAsia" w:ascii="仿宋" w:hAnsi="仿宋" w:eastAsia="仿宋" w:cs="仿宋"/>
                <w:bCs/>
                <w:color w:val="auto"/>
                <w:sz w:val="24"/>
                <w:highlight w:val="none"/>
              </w:rPr>
            </w:pPr>
          </w:p>
        </w:tc>
      </w:tr>
      <w:tr w14:paraId="12C6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728" w:type="dxa"/>
            <w:vMerge w:val="continue"/>
            <w:noWrap w:val="0"/>
            <w:vAlign w:val="top"/>
          </w:tcPr>
          <w:p w14:paraId="6BAF01BD">
            <w:pPr>
              <w:shd w:val="clear"/>
              <w:spacing w:line="360" w:lineRule="auto"/>
              <w:rPr>
                <w:rFonts w:hint="eastAsia" w:ascii="仿宋" w:hAnsi="仿宋" w:eastAsia="仿宋" w:cs="仿宋"/>
                <w:bCs/>
                <w:color w:val="auto"/>
                <w:sz w:val="24"/>
                <w:highlight w:val="none"/>
              </w:rPr>
            </w:pPr>
          </w:p>
        </w:tc>
        <w:tc>
          <w:tcPr>
            <w:tcW w:w="1380" w:type="dxa"/>
            <w:noWrap w:val="0"/>
            <w:vAlign w:val="center"/>
          </w:tcPr>
          <w:p w14:paraId="24F10728">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76EB0687">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03EA852E">
            <w:pPr>
              <w:shd w:val="clear"/>
              <w:spacing w:line="360" w:lineRule="auto"/>
              <w:rPr>
                <w:rFonts w:hint="eastAsia" w:ascii="仿宋" w:hAnsi="仿宋" w:eastAsia="仿宋" w:cs="仿宋"/>
                <w:bCs/>
                <w:color w:val="auto"/>
                <w:sz w:val="24"/>
                <w:highlight w:val="none"/>
              </w:rPr>
            </w:pPr>
          </w:p>
        </w:tc>
        <w:tc>
          <w:tcPr>
            <w:tcW w:w="1583" w:type="dxa"/>
            <w:noWrap w:val="0"/>
            <w:vAlign w:val="top"/>
          </w:tcPr>
          <w:p w14:paraId="57F80E42">
            <w:pPr>
              <w:shd w:val="clear"/>
              <w:spacing w:line="360" w:lineRule="auto"/>
              <w:rPr>
                <w:rFonts w:hint="eastAsia" w:ascii="仿宋" w:hAnsi="仿宋" w:eastAsia="仿宋" w:cs="仿宋"/>
                <w:bCs/>
                <w:color w:val="auto"/>
                <w:sz w:val="24"/>
                <w:highlight w:val="none"/>
              </w:rPr>
            </w:pPr>
          </w:p>
        </w:tc>
        <w:tc>
          <w:tcPr>
            <w:tcW w:w="1607" w:type="dxa"/>
            <w:noWrap w:val="0"/>
            <w:vAlign w:val="top"/>
          </w:tcPr>
          <w:p w14:paraId="09551837">
            <w:pPr>
              <w:shd w:val="clear"/>
              <w:spacing w:line="360" w:lineRule="auto"/>
              <w:rPr>
                <w:rFonts w:hint="eastAsia" w:ascii="仿宋" w:hAnsi="仿宋" w:eastAsia="仿宋" w:cs="仿宋"/>
                <w:bCs/>
                <w:color w:val="auto"/>
                <w:sz w:val="24"/>
                <w:highlight w:val="none"/>
              </w:rPr>
            </w:pPr>
          </w:p>
        </w:tc>
      </w:tr>
      <w:tr w14:paraId="35B9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728" w:type="dxa"/>
            <w:noWrap w:val="0"/>
            <w:vAlign w:val="top"/>
          </w:tcPr>
          <w:p w14:paraId="259D36A1">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经营范围</w:t>
            </w:r>
          </w:p>
        </w:tc>
        <w:tc>
          <w:tcPr>
            <w:tcW w:w="7668" w:type="dxa"/>
            <w:gridSpan w:val="5"/>
            <w:noWrap w:val="0"/>
            <w:vAlign w:val="center"/>
          </w:tcPr>
          <w:p w14:paraId="32767F98">
            <w:pPr>
              <w:shd w:val="clear"/>
              <w:spacing w:line="360" w:lineRule="auto"/>
              <w:rPr>
                <w:rFonts w:hint="eastAsia" w:ascii="仿宋" w:hAnsi="仿宋" w:eastAsia="仿宋" w:cs="仿宋"/>
                <w:bCs/>
                <w:color w:val="auto"/>
                <w:sz w:val="24"/>
                <w:highlight w:val="none"/>
              </w:rPr>
            </w:pPr>
          </w:p>
        </w:tc>
      </w:tr>
      <w:tr w14:paraId="3C6F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728" w:type="dxa"/>
            <w:noWrap w:val="0"/>
            <w:vAlign w:val="top"/>
          </w:tcPr>
          <w:p w14:paraId="034B2D95">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备注 </w:t>
            </w:r>
          </w:p>
        </w:tc>
        <w:tc>
          <w:tcPr>
            <w:tcW w:w="7668" w:type="dxa"/>
            <w:gridSpan w:val="5"/>
            <w:noWrap w:val="0"/>
            <w:vAlign w:val="center"/>
          </w:tcPr>
          <w:p w14:paraId="244EEFB9">
            <w:pPr>
              <w:shd w:val="clear"/>
              <w:spacing w:line="360" w:lineRule="auto"/>
              <w:rPr>
                <w:rFonts w:hint="eastAsia" w:ascii="仿宋" w:hAnsi="仿宋" w:eastAsia="仿宋" w:cs="仿宋"/>
                <w:bCs/>
                <w:color w:val="auto"/>
                <w:sz w:val="24"/>
                <w:highlight w:val="none"/>
              </w:rPr>
            </w:pPr>
          </w:p>
        </w:tc>
      </w:tr>
    </w:tbl>
    <w:p w14:paraId="5EC9D61A">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我们保证上述声明中的资料和数据是真实的、正确的，我们同意如贵方要求，可以出示相关证明文件。</w:t>
      </w:r>
    </w:p>
    <w:p w14:paraId="2CDECEB9">
      <w:pPr>
        <w:shd w:val="clea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供应商（单位公章）：</w:t>
      </w:r>
    </w:p>
    <w:p w14:paraId="19E74025">
      <w:pPr>
        <w:shd w:val="clea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授权代表签字或盖章：</w:t>
      </w:r>
    </w:p>
    <w:p w14:paraId="69268B71">
      <w:pPr>
        <w:shd w:val="clea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电话号和传真号：</w:t>
      </w:r>
    </w:p>
    <w:p w14:paraId="41932AD0">
      <w:pPr>
        <w:shd w:val="clear"/>
        <w:wordWrap w:val="0"/>
        <w:spacing w:line="360" w:lineRule="auto"/>
        <w:ind w:firstLine="120" w:firstLineChars="50"/>
        <w:jc w:val="righ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日期：</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 xml:space="preserve">  </w:t>
      </w:r>
    </w:p>
    <w:p w14:paraId="59D81FB6">
      <w:pPr>
        <w:pStyle w:val="2"/>
        <w:shd w:val="clear"/>
        <w:spacing w:line="240" w:lineRule="auto"/>
        <w:ind w:firstLine="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 xml:space="preserve">  项目管理、服务及其它人员情况表</w:t>
      </w:r>
    </w:p>
    <w:p w14:paraId="5C0047BC">
      <w:pPr>
        <w:pStyle w:val="2"/>
        <w:shd w:val="clear"/>
        <w:spacing w:line="240" w:lineRule="auto"/>
        <w:ind w:firstLine="0"/>
        <w:jc w:val="center"/>
        <w:rPr>
          <w:rFonts w:hint="eastAsia" w:ascii="仿宋" w:hAnsi="仿宋" w:eastAsia="仿宋" w:cs="仿宋"/>
          <w:b/>
          <w:bCs/>
          <w:color w:val="auto"/>
          <w:sz w:val="24"/>
          <w:szCs w:val="24"/>
          <w:highlight w:val="none"/>
        </w:rPr>
      </w:pPr>
    </w:p>
    <w:tbl>
      <w:tblPr>
        <w:tblStyle w:val="27"/>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14:paraId="5230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17884923">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23CFFD2">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8487348">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5147EEB">
            <w:pPr>
              <w:shd w:val="clear"/>
              <w:tabs>
                <w:tab w:val="left" w:pos="360"/>
                <w:tab w:val="left" w:pos="1800"/>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E8E6AA3">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D6E46FF">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4169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114414F">
            <w:pPr>
              <w:shd w:val="clear"/>
              <w:tabs>
                <w:tab w:val="left" w:pos="360"/>
                <w:tab w:val="left" w:pos="1800"/>
              </w:tabs>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41FC7CA">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CED81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3BC701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0254679">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54B3CFB0">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307C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B11D38F">
            <w:pPr>
              <w:shd w:val="clear"/>
              <w:tabs>
                <w:tab w:val="left" w:pos="360"/>
                <w:tab w:val="left" w:pos="1800"/>
              </w:tabs>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B846F1A">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636039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0CC716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5EF77C">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CFCD9E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428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24DF8B7F">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1F26727">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C5C8FA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8A44DD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8AC311C">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26F14014">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08BB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164A887">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2BCD50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5947FF7">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D65AA95">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430305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71D92C73">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CF0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15A57F9">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5331C9D">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891A7E3">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29A1067">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22BB79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B5CFB1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2535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E1702A2">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4D9AC24">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67A2D6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684867B">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CAA824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77ACEA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29DA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F6364EE">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E5B2035">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E16DE3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0373A95">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F881A1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7AD3E6E">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7EA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71E71843">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76276D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699DEDE">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547F44E">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34931F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293FCAD">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6A61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387FFC5">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FC7094E">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529DF7">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AB0722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07ED24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6EF02D4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9E3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822911B">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FDE6D3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6856D54">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F32F2D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76DB4D1">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2908AB00">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6C0B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14:paraId="4A09DACB">
            <w:pPr>
              <w:shd w:val="clear"/>
              <w:tabs>
                <w:tab w:val="left" w:pos="360"/>
                <w:tab w:val="left" w:pos="1800"/>
              </w:tabs>
              <w:spacing w:line="24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注：需完整反映本项目要求的所有拟派人员信息，并提供相应证书，所提供的资料均附于本表后作为本表的附件。</w:t>
            </w:r>
          </w:p>
        </w:tc>
      </w:tr>
    </w:tbl>
    <w:p w14:paraId="10594AE0">
      <w:pPr>
        <w:shd w:val="clear"/>
        <w:snapToGrid w:val="0"/>
        <w:spacing w:line="240" w:lineRule="auto"/>
        <w:rPr>
          <w:rFonts w:hint="eastAsia" w:ascii="仿宋" w:hAnsi="仿宋" w:eastAsia="仿宋" w:cs="仿宋"/>
          <w:bCs/>
          <w:color w:val="auto"/>
          <w:sz w:val="24"/>
          <w:szCs w:val="24"/>
          <w:highlight w:val="none"/>
        </w:rPr>
      </w:pPr>
    </w:p>
    <w:p w14:paraId="3C9A43B9">
      <w:pPr>
        <w:shd w:val="clea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供应商（盖章）：</w:t>
      </w:r>
    </w:p>
    <w:p w14:paraId="2C66CA05">
      <w:pPr>
        <w:shd w:val="clear"/>
        <w:snapToGrid w:val="0"/>
        <w:spacing w:line="240" w:lineRule="auto"/>
        <w:ind w:firstLine="480" w:firstLineChars="200"/>
        <w:rPr>
          <w:rFonts w:hint="eastAsia" w:ascii="仿宋" w:hAnsi="仿宋" w:eastAsia="仿宋" w:cs="仿宋"/>
          <w:bCs/>
          <w:color w:val="auto"/>
          <w:sz w:val="24"/>
          <w:szCs w:val="24"/>
          <w:highlight w:val="none"/>
        </w:rPr>
      </w:pPr>
    </w:p>
    <w:p w14:paraId="22533964">
      <w:pPr>
        <w:shd w:val="clea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法人代表人或委托代理人签字或盖章：</w:t>
      </w:r>
    </w:p>
    <w:p w14:paraId="518A1756">
      <w:pPr>
        <w:shd w:val="clear"/>
        <w:snapToGrid w:val="0"/>
        <w:spacing w:line="240" w:lineRule="auto"/>
        <w:jc w:val="center"/>
        <w:rPr>
          <w:rFonts w:hint="eastAsia" w:ascii="仿宋" w:hAnsi="仿宋" w:eastAsia="仿宋" w:cs="仿宋"/>
          <w:bCs/>
          <w:color w:val="auto"/>
          <w:sz w:val="24"/>
          <w:szCs w:val="24"/>
          <w:highlight w:val="none"/>
        </w:rPr>
      </w:pPr>
    </w:p>
    <w:p w14:paraId="26E1E49A">
      <w:pPr>
        <w:shd w:val="clear"/>
        <w:spacing w:line="24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年  月</w:t>
      </w:r>
      <w:r>
        <w:rPr>
          <w:rFonts w:hint="eastAsia" w:ascii="仿宋" w:hAnsi="仿宋" w:eastAsia="仿宋" w:cs="仿宋"/>
          <w:color w:val="auto"/>
          <w:sz w:val="24"/>
          <w:szCs w:val="24"/>
          <w:highlight w:val="none"/>
        </w:rPr>
        <w:t xml:space="preserve">  日    </w:t>
      </w:r>
    </w:p>
    <w:p w14:paraId="37A59F3D">
      <w:pPr>
        <w:shd w:val="clear"/>
        <w:spacing w:line="240" w:lineRule="auto"/>
        <w:jc w:val="center"/>
        <w:rPr>
          <w:rFonts w:hint="eastAsia" w:ascii="仿宋" w:hAnsi="仿宋" w:eastAsia="仿宋" w:cs="仿宋"/>
          <w:b/>
          <w:color w:val="auto"/>
          <w:sz w:val="24"/>
          <w:szCs w:val="24"/>
          <w:highlight w:val="none"/>
        </w:rPr>
      </w:pPr>
    </w:p>
    <w:p w14:paraId="68A6D681">
      <w:pPr>
        <w:shd w:val="clear"/>
        <w:spacing w:line="240" w:lineRule="auto"/>
        <w:jc w:val="center"/>
        <w:rPr>
          <w:rFonts w:hint="eastAsia" w:ascii="仿宋" w:hAnsi="仿宋" w:eastAsia="仿宋" w:cs="仿宋"/>
          <w:b/>
          <w:color w:val="auto"/>
          <w:sz w:val="24"/>
          <w:szCs w:val="24"/>
          <w:highlight w:val="none"/>
        </w:rPr>
      </w:pPr>
    </w:p>
    <w:p w14:paraId="3A922399">
      <w:pPr>
        <w:shd w:val="clear"/>
        <w:spacing w:line="240" w:lineRule="auto"/>
        <w:jc w:val="center"/>
        <w:rPr>
          <w:rFonts w:hint="eastAsia" w:ascii="仿宋" w:hAnsi="仿宋" w:eastAsia="仿宋" w:cs="仿宋"/>
          <w:b/>
          <w:color w:val="auto"/>
          <w:sz w:val="24"/>
          <w:szCs w:val="24"/>
          <w:highlight w:val="none"/>
        </w:rPr>
      </w:pPr>
    </w:p>
    <w:p w14:paraId="2F9A4FA6">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近三年（自</w:t>
      </w:r>
      <w:r>
        <w:rPr>
          <w:rFonts w:hint="eastAsia" w:ascii="仿宋" w:hAnsi="仿宋" w:eastAsia="仿宋" w:cs="仿宋"/>
          <w:b/>
          <w:color w:val="auto"/>
          <w:sz w:val="24"/>
          <w:szCs w:val="24"/>
          <w:highlight w:val="none"/>
          <w:lang w:eastAsia="zh-CN"/>
        </w:rPr>
        <w:t>2022年6月1日</w:t>
      </w:r>
      <w:r>
        <w:rPr>
          <w:rFonts w:hint="eastAsia" w:ascii="仿宋" w:hAnsi="仿宋" w:eastAsia="仿宋" w:cs="仿宋"/>
          <w:b/>
          <w:color w:val="auto"/>
          <w:sz w:val="24"/>
          <w:szCs w:val="24"/>
          <w:highlight w:val="none"/>
        </w:rPr>
        <w:t>至今）同类项目业绩表</w:t>
      </w:r>
    </w:p>
    <w:p w14:paraId="113A0DE7">
      <w:pPr>
        <w:shd w:val="clear"/>
        <w:spacing w:line="240" w:lineRule="auto"/>
        <w:jc w:val="center"/>
        <w:rPr>
          <w:rFonts w:hint="eastAsia" w:ascii="仿宋" w:hAnsi="仿宋" w:eastAsia="仿宋" w:cs="仿宋"/>
          <w:b/>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189"/>
        <w:gridCol w:w="1257"/>
        <w:gridCol w:w="1327"/>
        <w:gridCol w:w="1269"/>
        <w:gridCol w:w="1685"/>
        <w:gridCol w:w="1638"/>
        <w:gridCol w:w="800"/>
      </w:tblGrid>
      <w:tr w14:paraId="78B97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0"/>
            <w:vAlign w:val="center"/>
          </w:tcPr>
          <w:p w14:paraId="2589A265">
            <w:pPr>
              <w:shd w:val="clear"/>
              <w:spacing w:line="240" w:lineRule="auto"/>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年份</w:t>
            </w:r>
          </w:p>
        </w:tc>
        <w:tc>
          <w:tcPr>
            <w:tcW w:w="1189" w:type="dxa"/>
            <w:noWrap w:val="0"/>
            <w:vAlign w:val="center"/>
          </w:tcPr>
          <w:p w14:paraId="1FAC736E">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257" w:type="dxa"/>
            <w:noWrap w:val="0"/>
            <w:vAlign w:val="center"/>
          </w:tcPr>
          <w:p w14:paraId="711DCD21">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用户名称</w:t>
            </w:r>
          </w:p>
        </w:tc>
        <w:tc>
          <w:tcPr>
            <w:tcW w:w="1327" w:type="dxa"/>
            <w:noWrap w:val="0"/>
            <w:vAlign w:val="center"/>
          </w:tcPr>
          <w:p w14:paraId="2548BAF0">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完成时间</w:t>
            </w:r>
          </w:p>
        </w:tc>
        <w:tc>
          <w:tcPr>
            <w:tcW w:w="1269" w:type="dxa"/>
            <w:noWrap w:val="0"/>
            <w:vAlign w:val="center"/>
          </w:tcPr>
          <w:p w14:paraId="56E76799">
            <w:pPr>
              <w:shd w:val="clear"/>
              <w:spacing w:line="240" w:lineRule="auto"/>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tc>
        <w:tc>
          <w:tcPr>
            <w:tcW w:w="1685" w:type="dxa"/>
            <w:tcBorders>
              <w:right w:val="single" w:color="auto" w:sz="4" w:space="0"/>
            </w:tcBorders>
            <w:noWrap w:val="0"/>
            <w:vAlign w:val="center"/>
          </w:tcPr>
          <w:p w14:paraId="413D4322">
            <w:pPr>
              <w:shd w:val="clea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完成项目质量</w:t>
            </w:r>
          </w:p>
        </w:tc>
        <w:tc>
          <w:tcPr>
            <w:tcW w:w="1638" w:type="dxa"/>
            <w:tcBorders>
              <w:left w:val="single" w:color="auto" w:sz="4" w:space="0"/>
            </w:tcBorders>
            <w:noWrap w:val="0"/>
            <w:vAlign w:val="center"/>
          </w:tcPr>
          <w:p w14:paraId="24F59955">
            <w:pPr>
              <w:shd w:val="clea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用户联系电话</w:t>
            </w:r>
          </w:p>
        </w:tc>
        <w:tc>
          <w:tcPr>
            <w:tcW w:w="800" w:type="dxa"/>
            <w:tcBorders>
              <w:left w:val="single" w:color="auto" w:sz="4" w:space="0"/>
            </w:tcBorders>
            <w:noWrap w:val="0"/>
            <w:vAlign w:val="center"/>
          </w:tcPr>
          <w:p w14:paraId="637B0F3B">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B8E5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CA55A70">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B3CC308">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34BA14F1">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6115BA76">
            <w:pPr>
              <w:shd w:val="clea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019D78E6">
            <w:pPr>
              <w:shd w:val="clea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753524E3">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66976ED8">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2A9980C8">
            <w:pPr>
              <w:shd w:val="clear"/>
              <w:spacing w:line="240" w:lineRule="auto"/>
              <w:jc w:val="center"/>
              <w:rPr>
                <w:rFonts w:hint="eastAsia" w:ascii="仿宋" w:hAnsi="仿宋" w:eastAsia="仿宋" w:cs="仿宋"/>
                <w:color w:val="auto"/>
                <w:sz w:val="24"/>
                <w:szCs w:val="24"/>
                <w:highlight w:val="none"/>
              </w:rPr>
            </w:pPr>
          </w:p>
        </w:tc>
      </w:tr>
      <w:tr w14:paraId="3E39F6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463EEA75">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86B27E3">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777781F7">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3EA9420C">
            <w:pPr>
              <w:shd w:val="clea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50DE2F53">
            <w:pPr>
              <w:shd w:val="clea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0BD98896">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405CAB6E">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2AB37E3D">
            <w:pPr>
              <w:shd w:val="clear"/>
              <w:spacing w:line="240" w:lineRule="auto"/>
              <w:jc w:val="center"/>
              <w:rPr>
                <w:rFonts w:hint="eastAsia" w:ascii="仿宋" w:hAnsi="仿宋" w:eastAsia="仿宋" w:cs="仿宋"/>
                <w:color w:val="auto"/>
                <w:sz w:val="24"/>
                <w:szCs w:val="24"/>
                <w:highlight w:val="none"/>
              </w:rPr>
            </w:pPr>
          </w:p>
        </w:tc>
      </w:tr>
      <w:tr w14:paraId="0C86B5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CB86BFA">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211E885">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05C3A09D">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0A783BCB">
            <w:pPr>
              <w:shd w:val="clea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1A85E052">
            <w:pPr>
              <w:shd w:val="clea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47A8888F">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5C5B5959">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096EEDB1">
            <w:pPr>
              <w:shd w:val="clear"/>
              <w:spacing w:line="240" w:lineRule="auto"/>
              <w:jc w:val="center"/>
              <w:rPr>
                <w:rFonts w:hint="eastAsia" w:ascii="仿宋" w:hAnsi="仿宋" w:eastAsia="仿宋" w:cs="仿宋"/>
                <w:color w:val="auto"/>
                <w:sz w:val="24"/>
                <w:szCs w:val="24"/>
                <w:highlight w:val="none"/>
              </w:rPr>
            </w:pPr>
          </w:p>
        </w:tc>
      </w:tr>
      <w:tr w14:paraId="4457A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60D8C8DC">
            <w:pPr>
              <w:shd w:val="clear"/>
              <w:spacing w:line="240" w:lineRule="auto"/>
              <w:jc w:val="center"/>
              <w:rPr>
                <w:rFonts w:hint="eastAsia" w:ascii="仿宋" w:hAnsi="仿宋" w:eastAsia="仿宋" w:cs="仿宋"/>
                <w:color w:val="auto"/>
                <w:sz w:val="24"/>
                <w:szCs w:val="24"/>
                <w:highlight w:val="none"/>
              </w:rPr>
            </w:pPr>
          </w:p>
        </w:tc>
        <w:tc>
          <w:tcPr>
            <w:tcW w:w="1189" w:type="dxa"/>
            <w:tcBorders>
              <w:right w:val="single" w:color="auto" w:sz="4" w:space="0"/>
            </w:tcBorders>
            <w:noWrap w:val="0"/>
            <w:vAlign w:val="center"/>
          </w:tcPr>
          <w:p w14:paraId="4816C660">
            <w:pPr>
              <w:shd w:val="clear"/>
              <w:spacing w:line="240" w:lineRule="auto"/>
              <w:jc w:val="center"/>
              <w:rPr>
                <w:rFonts w:hint="eastAsia" w:ascii="仿宋" w:hAnsi="仿宋" w:eastAsia="仿宋" w:cs="仿宋"/>
                <w:color w:val="auto"/>
                <w:sz w:val="24"/>
                <w:szCs w:val="24"/>
                <w:highlight w:val="none"/>
              </w:rPr>
            </w:pPr>
          </w:p>
        </w:tc>
        <w:tc>
          <w:tcPr>
            <w:tcW w:w="1257" w:type="dxa"/>
            <w:tcBorders>
              <w:left w:val="single" w:color="auto" w:sz="4" w:space="0"/>
            </w:tcBorders>
            <w:noWrap w:val="0"/>
            <w:vAlign w:val="center"/>
          </w:tcPr>
          <w:p w14:paraId="748C8C05">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1AD5AC1D">
            <w:pPr>
              <w:shd w:val="clea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46C06AE9">
            <w:pPr>
              <w:shd w:val="clea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34369761">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14E07D42">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47ABBEFF">
            <w:pPr>
              <w:shd w:val="clear"/>
              <w:spacing w:line="240" w:lineRule="auto"/>
              <w:jc w:val="center"/>
              <w:rPr>
                <w:rFonts w:hint="eastAsia" w:ascii="仿宋" w:hAnsi="仿宋" w:eastAsia="仿宋" w:cs="仿宋"/>
                <w:color w:val="auto"/>
                <w:sz w:val="24"/>
                <w:szCs w:val="24"/>
                <w:highlight w:val="none"/>
              </w:rPr>
            </w:pPr>
          </w:p>
        </w:tc>
      </w:tr>
      <w:tr w14:paraId="2B593B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right w:val="single" w:color="auto" w:sz="4" w:space="0"/>
            </w:tcBorders>
            <w:noWrap w:val="0"/>
            <w:vAlign w:val="center"/>
          </w:tcPr>
          <w:p w14:paraId="197D78EF">
            <w:pPr>
              <w:shd w:val="clear"/>
              <w:spacing w:line="240" w:lineRule="auto"/>
              <w:rPr>
                <w:rFonts w:hint="eastAsia" w:ascii="仿宋" w:hAnsi="仿宋" w:eastAsia="仿宋" w:cs="仿宋"/>
                <w:color w:val="auto"/>
                <w:sz w:val="24"/>
                <w:szCs w:val="24"/>
                <w:highlight w:val="none"/>
              </w:rPr>
            </w:pPr>
          </w:p>
        </w:tc>
        <w:tc>
          <w:tcPr>
            <w:tcW w:w="1189" w:type="dxa"/>
            <w:tcBorders>
              <w:left w:val="single" w:color="auto" w:sz="4" w:space="0"/>
              <w:right w:val="single" w:color="auto" w:sz="4" w:space="0"/>
            </w:tcBorders>
            <w:noWrap w:val="0"/>
            <w:vAlign w:val="center"/>
          </w:tcPr>
          <w:p w14:paraId="7F3CA533">
            <w:pPr>
              <w:shd w:val="clear"/>
              <w:spacing w:line="240" w:lineRule="auto"/>
              <w:rPr>
                <w:rFonts w:hint="eastAsia" w:ascii="仿宋" w:hAnsi="仿宋" w:eastAsia="仿宋" w:cs="仿宋"/>
                <w:color w:val="auto"/>
                <w:sz w:val="24"/>
                <w:szCs w:val="24"/>
                <w:highlight w:val="none"/>
              </w:rPr>
            </w:pPr>
          </w:p>
        </w:tc>
        <w:tc>
          <w:tcPr>
            <w:tcW w:w="1257" w:type="dxa"/>
            <w:tcBorders>
              <w:left w:val="single" w:color="auto" w:sz="4" w:space="0"/>
              <w:right w:val="single" w:color="auto" w:sz="4" w:space="0"/>
            </w:tcBorders>
            <w:noWrap w:val="0"/>
            <w:vAlign w:val="center"/>
          </w:tcPr>
          <w:p w14:paraId="73B0480C">
            <w:pPr>
              <w:shd w:val="clear"/>
              <w:spacing w:line="240" w:lineRule="auto"/>
              <w:rPr>
                <w:rFonts w:hint="eastAsia" w:ascii="仿宋" w:hAnsi="仿宋" w:eastAsia="仿宋" w:cs="仿宋"/>
                <w:color w:val="auto"/>
                <w:sz w:val="24"/>
                <w:szCs w:val="24"/>
                <w:highlight w:val="none"/>
              </w:rPr>
            </w:pPr>
          </w:p>
        </w:tc>
        <w:tc>
          <w:tcPr>
            <w:tcW w:w="1327" w:type="dxa"/>
            <w:tcBorders>
              <w:left w:val="single" w:color="auto" w:sz="4" w:space="0"/>
              <w:right w:val="single" w:color="auto" w:sz="4" w:space="0"/>
            </w:tcBorders>
            <w:noWrap w:val="0"/>
            <w:vAlign w:val="center"/>
          </w:tcPr>
          <w:p w14:paraId="1C8CECEC">
            <w:pPr>
              <w:shd w:val="clear"/>
              <w:spacing w:line="240" w:lineRule="auto"/>
              <w:rPr>
                <w:rFonts w:hint="eastAsia" w:ascii="仿宋" w:hAnsi="仿宋" w:eastAsia="仿宋" w:cs="仿宋"/>
                <w:color w:val="auto"/>
                <w:sz w:val="24"/>
                <w:szCs w:val="24"/>
                <w:highlight w:val="none"/>
              </w:rPr>
            </w:pPr>
          </w:p>
        </w:tc>
        <w:tc>
          <w:tcPr>
            <w:tcW w:w="1269" w:type="dxa"/>
            <w:tcBorders>
              <w:left w:val="single" w:color="auto" w:sz="4" w:space="0"/>
              <w:right w:val="single" w:color="auto" w:sz="4" w:space="0"/>
            </w:tcBorders>
            <w:noWrap w:val="0"/>
            <w:vAlign w:val="center"/>
          </w:tcPr>
          <w:p w14:paraId="25DDDFC0">
            <w:pPr>
              <w:shd w:val="clear"/>
              <w:spacing w:line="240" w:lineRule="auto"/>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6BC717A8">
            <w:pPr>
              <w:shd w:val="clear"/>
              <w:spacing w:line="240" w:lineRule="auto"/>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5D5F338A">
            <w:pPr>
              <w:shd w:val="clear"/>
              <w:spacing w:line="240" w:lineRule="auto"/>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6BD5C7A2">
            <w:pPr>
              <w:shd w:val="clear"/>
              <w:spacing w:line="240" w:lineRule="auto"/>
              <w:rPr>
                <w:rFonts w:hint="eastAsia" w:ascii="仿宋" w:hAnsi="仿宋" w:eastAsia="仿宋" w:cs="仿宋"/>
                <w:color w:val="auto"/>
                <w:sz w:val="24"/>
                <w:szCs w:val="24"/>
                <w:highlight w:val="none"/>
              </w:rPr>
            </w:pPr>
          </w:p>
        </w:tc>
      </w:tr>
      <w:tr w14:paraId="0A1A49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27154A16">
            <w:pPr>
              <w:shd w:val="clear"/>
              <w:spacing w:line="240" w:lineRule="auto"/>
              <w:rPr>
                <w:rFonts w:hint="eastAsia" w:ascii="仿宋" w:hAnsi="仿宋" w:eastAsia="仿宋" w:cs="仿宋"/>
                <w:color w:val="auto"/>
                <w:sz w:val="24"/>
                <w:szCs w:val="24"/>
                <w:highlight w:val="none"/>
              </w:rPr>
            </w:pPr>
          </w:p>
        </w:tc>
        <w:tc>
          <w:tcPr>
            <w:tcW w:w="1189" w:type="dxa"/>
            <w:noWrap w:val="0"/>
            <w:vAlign w:val="center"/>
          </w:tcPr>
          <w:p w14:paraId="70025C6E">
            <w:pPr>
              <w:shd w:val="clear"/>
              <w:spacing w:line="240" w:lineRule="auto"/>
              <w:rPr>
                <w:rFonts w:hint="eastAsia" w:ascii="仿宋" w:hAnsi="仿宋" w:eastAsia="仿宋" w:cs="仿宋"/>
                <w:color w:val="auto"/>
                <w:sz w:val="24"/>
                <w:szCs w:val="24"/>
                <w:highlight w:val="none"/>
              </w:rPr>
            </w:pPr>
          </w:p>
        </w:tc>
        <w:tc>
          <w:tcPr>
            <w:tcW w:w="1257" w:type="dxa"/>
            <w:noWrap w:val="0"/>
            <w:vAlign w:val="center"/>
          </w:tcPr>
          <w:p w14:paraId="72A219F9">
            <w:pPr>
              <w:shd w:val="clear"/>
              <w:spacing w:line="240" w:lineRule="auto"/>
              <w:rPr>
                <w:rFonts w:hint="eastAsia" w:ascii="仿宋" w:hAnsi="仿宋" w:eastAsia="仿宋" w:cs="仿宋"/>
                <w:color w:val="auto"/>
                <w:sz w:val="24"/>
                <w:szCs w:val="24"/>
                <w:highlight w:val="none"/>
              </w:rPr>
            </w:pPr>
          </w:p>
        </w:tc>
        <w:tc>
          <w:tcPr>
            <w:tcW w:w="1327" w:type="dxa"/>
            <w:noWrap w:val="0"/>
            <w:vAlign w:val="center"/>
          </w:tcPr>
          <w:p w14:paraId="3888CCA1">
            <w:pPr>
              <w:shd w:val="clear"/>
              <w:spacing w:line="240" w:lineRule="auto"/>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628668C8">
            <w:pPr>
              <w:shd w:val="clear"/>
              <w:spacing w:line="240" w:lineRule="auto"/>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7C73D3B0">
            <w:pPr>
              <w:shd w:val="clear"/>
              <w:spacing w:line="240" w:lineRule="auto"/>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08166FC8">
            <w:pPr>
              <w:shd w:val="clear"/>
              <w:spacing w:line="240" w:lineRule="auto"/>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52C28F37">
            <w:pPr>
              <w:shd w:val="clear"/>
              <w:spacing w:line="240" w:lineRule="auto"/>
              <w:rPr>
                <w:rFonts w:hint="eastAsia" w:ascii="仿宋" w:hAnsi="仿宋" w:eastAsia="仿宋" w:cs="仿宋"/>
                <w:color w:val="auto"/>
                <w:sz w:val="24"/>
                <w:szCs w:val="24"/>
                <w:highlight w:val="none"/>
              </w:rPr>
            </w:pPr>
          </w:p>
        </w:tc>
      </w:tr>
      <w:tr w14:paraId="350691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78FC21C5">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6212E77A">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6A0CB30F">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1FBA1787">
            <w:pPr>
              <w:shd w:val="clear"/>
              <w:spacing w:line="240" w:lineRule="auto"/>
              <w:jc w:val="center"/>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102807DA">
            <w:pPr>
              <w:shd w:val="clea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724DB6FC">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34E05D85">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0261A3C9">
            <w:pPr>
              <w:shd w:val="clear"/>
              <w:spacing w:line="240" w:lineRule="auto"/>
              <w:jc w:val="center"/>
              <w:rPr>
                <w:rFonts w:hint="eastAsia" w:ascii="仿宋" w:hAnsi="仿宋" w:eastAsia="仿宋" w:cs="仿宋"/>
                <w:color w:val="auto"/>
                <w:sz w:val="24"/>
                <w:szCs w:val="24"/>
                <w:highlight w:val="none"/>
              </w:rPr>
            </w:pPr>
          </w:p>
        </w:tc>
      </w:tr>
      <w:tr w14:paraId="350608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97A6926">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438A4644">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596CF1BC">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73D2B5B0">
            <w:pPr>
              <w:shd w:val="clear"/>
              <w:spacing w:line="240" w:lineRule="auto"/>
              <w:jc w:val="center"/>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5952AB46">
            <w:pPr>
              <w:shd w:val="clea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0E576318">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35A3412B">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68E2E146">
            <w:pPr>
              <w:shd w:val="clear"/>
              <w:spacing w:line="240" w:lineRule="auto"/>
              <w:jc w:val="center"/>
              <w:rPr>
                <w:rFonts w:hint="eastAsia" w:ascii="仿宋" w:hAnsi="仿宋" w:eastAsia="仿宋" w:cs="仿宋"/>
                <w:color w:val="auto"/>
                <w:sz w:val="24"/>
                <w:szCs w:val="24"/>
                <w:highlight w:val="none"/>
              </w:rPr>
            </w:pPr>
          </w:p>
        </w:tc>
      </w:tr>
      <w:tr w14:paraId="3B966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bottom w:val="single" w:color="auto" w:sz="4" w:space="0"/>
            </w:tcBorders>
            <w:noWrap w:val="0"/>
            <w:vAlign w:val="center"/>
          </w:tcPr>
          <w:p w14:paraId="70B423BA">
            <w:pPr>
              <w:shd w:val="clear"/>
              <w:spacing w:line="240" w:lineRule="auto"/>
              <w:jc w:val="center"/>
              <w:rPr>
                <w:rFonts w:hint="eastAsia" w:ascii="仿宋" w:hAnsi="仿宋" w:eastAsia="仿宋" w:cs="仿宋"/>
                <w:color w:val="auto"/>
                <w:sz w:val="24"/>
                <w:szCs w:val="24"/>
                <w:highlight w:val="none"/>
              </w:rPr>
            </w:pPr>
          </w:p>
        </w:tc>
        <w:tc>
          <w:tcPr>
            <w:tcW w:w="1189" w:type="dxa"/>
            <w:tcBorders>
              <w:bottom w:val="single" w:color="auto" w:sz="4" w:space="0"/>
            </w:tcBorders>
            <w:noWrap w:val="0"/>
            <w:vAlign w:val="center"/>
          </w:tcPr>
          <w:p w14:paraId="575FC54B">
            <w:pPr>
              <w:shd w:val="clear"/>
              <w:spacing w:line="240" w:lineRule="auto"/>
              <w:jc w:val="center"/>
              <w:rPr>
                <w:rFonts w:hint="eastAsia" w:ascii="仿宋" w:hAnsi="仿宋" w:eastAsia="仿宋" w:cs="仿宋"/>
                <w:color w:val="auto"/>
                <w:sz w:val="24"/>
                <w:szCs w:val="24"/>
                <w:highlight w:val="none"/>
              </w:rPr>
            </w:pPr>
          </w:p>
        </w:tc>
        <w:tc>
          <w:tcPr>
            <w:tcW w:w="1257" w:type="dxa"/>
            <w:tcBorders>
              <w:bottom w:val="single" w:color="auto" w:sz="4" w:space="0"/>
            </w:tcBorders>
            <w:noWrap w:val="0"/>
            <w:vAlign w:val="center"/>
          </w:tcPr>
          <w:p w14:paraId="61388E01">
            <w:pPr>
              <w:shd w:val="clear"/>
              <w:spacing w:line="240" w:lineRule="auto"/>
              <w:jc w:val="center"/>
              <w:rPr>
                <w:rFonts w:hint="eastAsia" w:ascii="仿宋" w:hAnsi="仿宋" w:eastAsia="仿宋" w:cs="仿宋"/>
                <w:color w:val="auto"/>
                <w:sz w:val="24"/>
                <w:szCs w:val="24"/>
                <w:highlight w:val="none"/>
              </w:rPr>
            </w:pPr>
          </w:p>
        </w:tc>
        <w:tc>
          <w:tcPr>
            <w:tcW w:w="1327" w:type="dxa"/>
            <w:tcBorders>
              <w:bottom w:val="single" w:color="auto" w:sz="4" w:space="0"/>
            </w:tcBorders>
            <w:noWrap w:val="0"/>
            <w:vAlign w:val="center"/>
          </w:tcPr>
          <w:p w14:paraId="5616A41F">
            <w:pPr>
              <w:shd w:val="clear"/>
              <w:spacing w:line="240" w:lineRule="auto"/>
              <w:jc w:val="center"/>
              <w:rPr>
                <w:rFonts w:hint="eastAsia" w:ascii="仿宋" w:hAnsi="仿宋" w:eastAsia="仿宋" w:cs="仿宋"/>
                <w:color w:val="auto"/>
                <w:sz w:val="24"/>
                <w:szCs w:val="24"/>
                <w:highlight w:val="none"/>
              </w:rPr>
            </w:pPr>
          </w:p>
        </w:tc>
        <w:tc>
          <w:tcPr>
            <w:tcW w:w="1269" w:type="dxa"/>
            <w:tcBorders>
              <w:bottom w:val="single" w:color="auto" w:sz="4" w:space="0"/>
              <w:right w:val="single" w:color="auto" w:sz="4" w:space="0"/>
            </w:tcBorders>
            <w:noWrap w:val="0"/>
            <w:vAlign w:val="center"/>
          </w:tcPr>
          <w:p w14:paraId="45316B65">
            <w:pPr>
              <w:shd w:val="clea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bottom w:val="single" w:color="auto" w:sz="4" w:space="0"/>
              <w:right w:val="single" w:color="auto" w:sz="4" w:space="0"/>
            </w:tcBorders>
            <w:noWrap w:val="0"/>
            <w:vAlign w:val="center"/>
          </w:tcPr>
          <w:p w14:paraId="79B80132">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bottom w:val="single" w:color="auto" w:sz="4" w:space="0"/>
            </w:tcBorders>
            <w:noWrap w:val="0"/>
            <w:vAlign w:val="center"/>
          </w:tcPr>
          <w:p w14:paraId="44BFC23D">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bottom w:val="single" w:color="auto" w:sz="4" w:space="0"/>
            </w:tcBorders>
            <w:noWrap w:val="0"/>
            <w:vAlign w:val="top"/>
          </w:tcPr>
          <w:p w14:paraId="37E5DDDE">
            <w:pPr>
              <w:shd w:val="clear"/>
              <w:spacing w:line="240" w:lineRule="auto"/>
              <w:jc w:val="center"/>
              <w:rPr>
                <w:rFonts w:hint="eastAsia" w:ascii="仿宋" w:hAnsi="仿宋" w:eastAsia="仿宋" w:cs="仿宋"/>
                <w:color w:val="auto"/>
                <w:sz w:val="24"/>
                <w:szCs w:val="24"/>
                <w:highlight w:val="none"/>
              </w:rPr>
            </w:pPr>
          </w:p>
        </w:tc>
      </w:tr>
      <w:tr w14:paraId="5E8E27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7CA6C2EF">
            <w:pPr>
              <w:shd w:val="clea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152C8170">
            <w:pPr>
              <w:shd w:val="clea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12667086">
            <w:pPr>
              <w:shd w:val="clea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06352730">
            <w:pPr>
              <w:shd w:val="clea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73053C9F">
            <w:pPr>
              <w:shd w:val="clea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41BDA206">
            <w:pPr>
              <w:shd w:val="clea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172A51B1">
            <w:pPr>
              <w:shd w:val="clea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3E93C6CF">
            <w:pPr>
              <w:shd w:val="clear"/>
              <w:spacing w:line="240" w:lineRule="auto"/>
              <w:jc w:val="center"/>
              <w:rPr>
                <w:rFonts w:hint="eastAsia" w:ascii="仿宋" w:hAnsi="仿宋" w:eastAsia="仿宋" w:cs="仿宋"/>
                <w:color w:val="auto"/>
                <w:sz w:val="24"/>
                <w:szCs w:val="24"/>
                <w:highlight w:val="none"/>
              </w:rPr>
            </w:pPr>
          </w:p>
        </w:tc>
      </w:tr>
      <w:tr w14:paraId="19A7C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2E575DAF">
            <w:pPr>
              <w:shd w:val="clea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605E4EBD">
            <w:pPr>
              <w:shd w:val="clea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1AD014C2">
            <w:pPr>
              <w:shd w:val="clea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3223A108">
            <w:pPr>
              <w:shd w:val="clea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2A00D5B5">
            <w:pPr>
              <w:shd w:val="clea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4C1D9F85">
            <w:pPr>
              <w:shd w:val="clea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757F6CCE">
            <w:pPr>
              <w:shd w:val="clea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69E43B3A">
            <w:pPr>
              <w:shd w:val="clear"/>
              <w:spacing w:line="240" w:lineRule="auto"/>
              <w:jc w:val="center"/>
              <w:rPr>
                <w:rFonts w:hint="eastAsia" w:ascii="仿宋" w:hAnsi="仿宋" w:eastAsia="仿宋" w:cs="仿宋"/>
                <w:color w:val="auto"/>
                <w:sz w:val="24"/>
                <w:szCs w:val="24"/>
                <w:highlight w:val="none"/>
              </w:rPr>
            </w:pPr>
          </w:p>
        </w:tc>
      </w:tr>
      <w:tr w14:paraId="172BB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417794C2">
            <w:pPr>
              <w:shd w:val="clea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02A48660">
            <w:pPr>
              <w:shd w:val="clea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52A5526E">
            <w:pPr>
              <w:shd w:val="clea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00C4CBC4">
            <w:pPr>
              <w:shd w:val="clea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187B4E4C">
            <w:pPr>
              <w:shd w:val="clea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259CCF00">
            <w:pPr>
              <w:shd w:val="clea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208F219C">
            <w:pPr>
              <w:shd w:val="clea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7C118A04">
            <w:pPr>
              <w:shd w:val="clear"/>
              <w:spacing w:line="240" w:lineRule="auto"/>
              <w:jc w:val="center"/>
              <w:rPr>
                <w:rFonts w:hint="eastAsia" w:ascii="仿宋" w:hAnsi="仿宋" w:eastAsia="仿宋" w:cs="仿宋"/>
                <w:color w:val="auto"/>
                <w:sz w:val="24"/>
                <w:szCs w:val="24"/>
                <w:highlight w:val="none"/>
              </w:rPr>
            </w:pPr>
          </w:p>
        </w:tc>
      </w:tr>
      <w:tr w14:paraId="4F194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0"/>
            <w:vAlign w:val="center"/>
          </w:tcPr>
          <w:p w14:paraId="735A5713">
            <w:pPr>
              <w:shd w:val="clea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tcBorders>
            <w:noWrap w:val="0"/>
            <w:vAlign w:val="center"/>
          </w:tcPr>
          <w:p w14:paraId="131A7410">
            <w:pPr>
              <w:shd w:val="clea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tcBorders>
            <w:noWrap w:val="0"/>
            <w:vAlign w:val="center"/>
          </w:tcPr>
          <w:p w14:paraId="323E15DA">
            <w:pPr>
              <w:shd w:val="clea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tcBorders>
            <w:noWrap w:val="0"/>
            <w:vAlign w:val="center"/>
          </w:tcPr>
          <w:p w14:paraId="77264EED">
            <w:pPr>
              <w:shd w:val="clea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right w:val="single" w:color="auto" w:sz="4" w:space="0"/>
            </w:tcBorders>
            <w:noWrap w:val="0"/>
            <w:vAlign w:val="center"/>
          </w:tcPr>
          <w:p w14:paraId="7A02D1CE">
            <w:pPr>
              <w:shd w:val="clea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right w:val="single" w:color="auto" w:sz="4" w:space="0"/>
            </w:tcBorders>
            <w:noWrap w:val="0"/>
            <w:vAlign w:val="center"/>
          </w:tcPr>
          <w:p w14:paraId="197FDE51">
            <w:pPr>
              <w:shd w:val="clea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tcBorders>
            <w:noWrap w:val="0"/>
            <w:vAlign w:val="center"/>
          </w:tcPr>
          <w:p w14:paraId="19E38B5C">
            <w:pPr>
              <w:shd w:val="clea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tcBorders>
            <w:noWrap w:val="0"/>
            <w:vAlign w:val="top"/>
          </w:tcPr>
          <w:p w14:paraId="0D6E0A6B">
            <w:pPr>
              <w:shd w:val="clear"/>
              <w:spacing w:line="240" w:lineRule="auto"/>
              <w:jc w:val="center"/>
              <w:rPr>
                <w:rFonts w:hint="eastAsia" w:ascii="仿宋" w:hAnsi="仿宋" w:eastAsia="仿宋" w:cs="仿宋"/>
                <w:color w:val="auto"/>
                <w:sz w:val="24"/>
                <w:szCs w:val="24"/>
                <w:highlight w:val="none"/>
              </w:rPr>
            </w:pPr>
          </w:p>
        </w:tc>
      </w:tr>
    </w:tbl>
    <w:p w14:paraId="358BAD21">
      <w:pPr>
        <w:shd w:val="clea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注：供应商（仅限于供应商自身实施的）以上业绩需提供有关书面证明材料。“合同金额”需提供合同复印件；“完成项目质量”需提供合同验收合格或用户单位书面证明材料。</w:t>
      </w:r>
    </w:p>
    <w:p w14:paraId="122D166C">
      <w:pPr>
        <w:shd w:val="clear"/>
        <w:spacing w:line="240" w:lineRule="auto"/>
        <w:ind w:left="360"/>
        <w:jc w:val="center"/>
        <w:rPr>
          <w:rFonts w:hint="eastAsia" w:ascii="仿宋" w:hAnsi="仿宋" w:eastAsia="仿宋" w:cs="仿宋"/>
          <w:color w:val="auto"/>
          <w:sz w:val="24"/>
          <w:szCs w:val="24"/>
          <w:highlight w:val="none"/>
        </w:rPr>
      </w:pPr>
    </w:p>
    <w:p w14:paraId="07513936">
      <w:pPr>
        <w:shd w:val="clear"/>
        <w:spacing w:line="240" w:lineRule="auto"/>
        <w:ind w:left="360"/>
        <w:jc w:val="center"/>
        <w:rPr>
          <w:rFonts w:hint="eastAsia" w:ascii="仿宋" w:hAnsi="仿宋" w:eastAsia="仿宋" w:cs="仿宋"/>
          <w:color w:val="auto"/>
          <w:sz w:val="24"/>
          <w:szCs w:val="24"/>
          <w:highlight w:val="none"/>
        </w:rPr>
      </w:pPr>
    </w:p>
    <w:p w14:paraId="39465E5C">
      <w:pPr>
        <w:shd w:val="clear"/>
        <w:adjustRightInd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5FDBCE96">
      <w:pPr>
        <w:shd w:val="clear"/>
        <w:adjustRightInd w:val="0"/>
        <w:spacing w:line="240" w:lineRule="auto"/>
        <w:ind w:firstLine="480" w:firstLineChars="200"/>
        <w:jc w:val="left"/>
        <w:rPr>
          <w:rFonts w:hint="eastAsia" w:ascii="仿宋" w:hAnsi="仿宋" w:eastAsia="仿宋" w:cs="仿宋"/>
          <w:color w:val="auto"/>
          <w:sz w:val="24"/>
          <w:szCs w:val="24"/>
          <w:highlight w:val="none"/>
        </w:rPr>
      </w:pPr>
    </w:p>
    <w:p w14:paraId="5EDF53A8">
      <w:pPr>
        <w:shd w:val="clear"/>
        <w:adjustRightInd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r>
        <w:rPr>
          <w:rFonts w:hint="eastAsia" w:ascii="仿宋" w:hAnsi="仿宋" w:eastAsia="仿宋" w:cs="仿宋"/>
          <w:bCs/>
          <w:color w:val="auto"/>
          <w:sz w:val="24"/>
          <w:szCs w:val="24"/>
          <w:highlight w:val="none"/>
        </w:rPr>
        <w:t>：</w:t>
      </w:r>
    </w:p>
    <w:p w14:paraId="588C9A31">
      <w:pPr>
        <w:shd w:val="clear"/>
        <w:spacing w:line="240" w:lineRule="auto"/>
        <w:ind w:right="480" w:firstLine="480" w:firstLineChars="200"/>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年  月  日</w:t>
      </w:r>
    </w:p>
    <w:p w14:paraId="19081442">
      <w:pPr>
        <w:widowControl/>
        <w:shd w:val="clear"/>
        <w:spacing w:line="240" w:lineRule="auto"/>
        <w:jc w:val="left"/>
        <w:rPr>
          <w:rFonts w:hint="eastAsia" w:ascii="仿宋" w:hAnsi="仿宋" w:eastAsia="仿宋" w:cs="仿宋"/>
          <w:color w:val="auto"/>
          <w:sz w:val="24"/>
          <w:szCs w:val="24"/>
          <w:highlight w:val="none"/>
        </w:rPr>
      </w:pPr>
    </w:p>
    <w:p w14:paraId="7B17DD51">
      <w:pPr>
        <w:shd w:val="clear"/>
        <w:spacing w:line="240" w:lineRule="auto"/>
        <w:rPr>
          <w:rFonts w:hint="eastAsia" w:ascii="仿宋" w:hAnsi="仿宋" w:eastAsia="仿宋" w:cs="仿宋"/>
          <w:b/>
          <w:color w:val="auto"/>
          <w:sz w:val="24"/>
          <w:szCs w:val="24"/>
          <w:highlight w:val="none"/>
        </w:rPr>
      </w:pPr>
    </w:p>
    <w:p w14:paraId="2D8DE581">
      <w:pPr>
        <w:shd w:val="clear"/>
        <w:spacing w:line="240" w:lineRule="auto"/>
        <w:jc w:val="center"/>
        <w:outlineLvl w:val="0"/>
        <w:rPr>
          <w:rFonts w:hint="eastAsia" w:ascii="仿宋" w:hAnsi="仿宋" w:eastAsia="仿宋" w:cs="仿宋"/>
          <w:b/>
          <w:color w:val="auto"/>
          <w:sz w:val="24"/>
          <w:szCs w:val="24"/>
          <w:highlight w:val="none"/>
        </w:rPr>
      </w:pPr>
    </w:p>
    <w:p w14:paraId="30104234">
      <w:pPr>
        <w:shd w:val="clear"/>
        <w:spacing w:line="240" w:lineRule="auto"/>
        <w:jc w:val="center"/>
        <w:outlineLvl w:val="0"/>
        <w:rPr>
          <w:rFonts w:hint="eastAsia" w:ascii="仿宋" w:hAnsi="仿宋" w:eastAsia="仿宋" w:cs="仿宋"/>
          <w:b/>
          <w:color w:val="auto"/>
          <w:sz w:val="24"/>
          <w:szCs w:val="24"/>
          <w:highlight w:val="none"/>
        </w:rPr>
        <w:sectPr>
          <w:footerReference r:id="rId5" w:type="default"/>
          <w:pgSz w:w="11906" w:h="16838"/>
          <w:pgMar w:top="1440" w:right="1080" w:bottom="1440" w:left="1080" w:header="851" w:footer="992" w:gutter="0"/>
          <w:pgNumType w:fmt="decimal"/>
          <w:cols w:space="720" w:num="1"/>
          <w:formProt w:val="1"/>
          <w:docGrid w:type="lines" w:linePitch="312" w:charSpace="0"/>
        </w:sectPr>
      </w:pPr>
    </w:p>
    <w:p w14:paraId="67E66907">
      <w:pPr>
        <w:pStyle w:val="15"/>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lang w:eastAsia="zh-CN"/>
        </w:rPr>
        <w:t>格式</w:t>
      </w:r>
      <w:r>
        <w:rPr>
          <w:rFonts w:hint="eastAsia" w:ascii="仿宋" w:hAnsi="仿宋" w:eastAsia="仿宋" w:cs="仿宋"/>
          <w:b/>
          <w:color w:val="auto"/>
          <w:sz w:val="24"/>
          <w:szCs w:val="24"/>
          <w:highlight w:val="none"/>
          <w:lang w:val="en-US" w:eastAsia="zh-CN"/>
        </w:rPr>
        <w:t xml:space="preserve">9  </w:t>
      </w:r>
      <w:r>
        <w:rPr>
          <w:rFonts w:hint="eastAsia" w:ascii="仿宋" w:hAnsi="仿宋" w:eastAsia="仿宋" w:cs="仿宋"/>
          <w:b/>
          <w:color w:val="auto"/>
          <w:sz w:val="24"/>
          <w:highlight w:val="none"/>
        </w:rPr>
        <w:t>资格性/符合性自查表</w:t>
      </w:r>
    </w:p>
    <w:p w14:paraId="67CA490B">
      <w:pPr>
        <w:shd w:val="clear"/>
        <w:rPr>
          <w:rFonts w:hint="eastAsia"/>
          <w:color w:val="auto"/>
          <w:highlight w:val="none"/>
        </w:rPr>
      </w:pPr>
    </w:p>
    <w:tbl>
      <w:tblPr>
        <w:tblStyle w:val="27"/>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590"/>
      </w:tblGrid>
      <w:tr w14:paraId="30A2BC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tcBorders>
              <w:top w:val="outset" w:color="111111" w:sz="6" w:space="0"/>
              <w:left w:val="outset" w:color="111111" w:sz="6" w:space="0"/>
              <w:bottom w:val="outset" w:color="111111" w:sz="6" w:space="0"/>
              <w:right w:val="outset" w:color="111111" w:sz="6" w:space="0"/>
            </w:tcBorders>
            <w:noWrap w:val="0"/>
            <w:vAlign w:val="center"/>
          </w:tcPr>
          <w:p w14:paraId="027C5F73">
            <w:pPr>
              <w:shd w:val="clea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评审内容</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31CF5242">
            <w:pPr>
              <w:shd w:val="clear"/>
              <w:jc w:val="center"/>
              <w:rPr>
                <w:rFonts w:hint="eastAsia" w:ascii="仿宋" w:hAnsi="仿宋" w:eastAsia="仿宋" w:cs="仿宋"/>
                <w:b/>
                <w:bCs/>
                <w:color w:val="auto"/>
                <w:spacing w:val="10"/>
                <w:sz w:val="24"/>
                <w:highlight w:val="none"/>
              </w:rPr>
            </w:pPr>
            <w:r>
              <w:rPr>
                <w:rFonts w:hint="eastAsia" w:ascii="仿宋" w:hAnsi="仿宋" w:eastAsia="仿宋" w:cs="仿宋"/>
                <w:b/>
                <w:bCs/>
                <w:color w:val="auto"/>
                <w:spacing w:val="10"/>
                <w:sz w:val="24"/>
                <w:highlight w:val="none"/>
              </w:rPr>
              <w:t>采购文件要求</w:t>
            </w:r>
          </w:p>
          <w:p w14:paraId="661CCC9A">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6220D6E6">
            <w:pPr>
              <w:shd w:val="clea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自查结论</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E565D9E">
            <w:pPr>
              <w:shd w:val="clea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证明资料</w:t>
            </w:r>
          </w:p>
        </w:tc>
      </w:tr>
      <w:tr w14:paraId="0702D0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outset" w:color="111111" w:sz="6" w:space="0"/>
              <w:left w:val="outset" w:color="111111" w:sz="6" w:space="0"/>
              <w:right w:val="outset" w:color="111111" w:sz="6" w:space="0"/>
            </w:tcBorders>
            <w:noWrap w:val="0"/>
            <w:vAlign w:val="center"/>
          </w:tcPr>
          <w:p w14:paraId="0315A225">
            <w:pPr>
              <w:widowControl/>
              <w:shd w:val="clear"/>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资格性审查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5B3DECD9">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B7E8CE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3A8D321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2AFEB8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EFCD862">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D50D87D">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F0F76D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10C50E9">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13DC3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7B3D4BD3">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52056350">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7498C6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152F0765">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105C5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2B0C943">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C69F92F">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44CF069C">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C742500">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6038B9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outset" w:color="111111" w:sz="6" w:space="0"/>
              <w:left w:val="outset" w:color="111111" w:sz="6" w:space="0"/>
              <w:right w:val="outset" w:color="111111" w:sz="6" w:space="0"/>
            </w:tcBorders>
            <w:noWrap w:val="0"/>
            <w:vAlign w:val="center"/>
          </w:tcPr>
          <w:p w14:paraId="2AFDA5A5">
            <w:pPr>
              <w:widowControl/>
              <w:shd w:val="clear"/>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81954C6">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EC365CB">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4E70392">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61F418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7621AA2B">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D51F1F6">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2F179E6A">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71A1FDD">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4B9808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17ABD8DD">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47DFFC8">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3F82F262">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6AA913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B02686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2C49942C">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F174C4D">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1D8880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0619BB6">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04BF358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A60130F">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70A3E3E6">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1CE33C55">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984BD8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11E313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EBC3961">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3C3F1DD">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2D26AAD9">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15D6844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CF43A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68814B83">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2C5747C4">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8459CA0">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F5DE1A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3449F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738220B">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0235CA8">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B103F2B">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8DB421E">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033FA36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679F476F">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3D93DCDE">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8F97607">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3707499E">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1BFDCF0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04F3BA5F">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22E9D779">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63AE37AD">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402A7C1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B7014D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9DAE30D">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9FBCE77">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E91E7F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280EBC25">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bl>
    <w:p w14:paraId="70C8D6D0">
      <w:pPr>
        <w:shd w:val="clear"/>
        <w:tabs>
          <w:tab w:val="left" w:pos="360"/>
          <w:tab w:val="left" w:pos="1800"/>
        </w:tabs>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以上材料将作为投标供应商有效性审核的重要内容之一，供应商必须严格按照其内容及序列要求在响应文件中对应如实提供，对资格性和符合性证明文件的任何缺漏和不符合项将会直接导致无效投标！供应商根据自查结论在对应的□打“√”。</w:t>
      </w:r>
    </w:p>
    <w:p w14:paraId="72592FBA">
      <w:pPr>
        <w:shd w:val="clear"/>
        <w:tabs>
          <w:tab w:val="left" w:pos="360"/>
          <w:tab w:val="left" w:pos="1800"/>
        </w:tabs>
        <w:spacing w:line="360" w:lineRule="auto"/>
        <w:ind w:firstLine="325" w:firstLineChars="150"/>
        <w:jc w:val="left"/>
        <w:rPr>
          <w:rFonts w:hint="eastAsia" w:ascii="仿宋" w:hAnsi="仿宋" w:eastAsia="仿宋" w:cs="仿宋"/>
          <w:b/>
          <w:color w:val="auto"/>
          <w:w w:val="90"/>
          <w:sz w:val="24"/>
          <w:highlight w:val="none"/>
        </w:rPr>
      </w:pPr>
    </w:p>
    <w:p w14:paraId="6ED6DC6B">
      <w:pPr>
        <w:shd w:val="clear"/>
        <w:tabs>
          <w:tab w:val="left" w:pos="6300"/>
        </w:tabs>
        <w:snapToGrid w:val="0"/>
        <w:spacing w:line="36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b/>
          <w:color w:val="auto"/>
          <w:w w:val="90"/>
          <w:sz w:val="24"/>
          <w:highlight w:val="none"/>
        </w:rPr>
        <w:br w:type="page"/>
      </w:r>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eastAsia="zh-CN"/>
        </w:rPr>
        <w:t>政府采购领域诚信承诺书</w:t>
      </w:r>
    </w:p>
    <w:p w14:paraId="161C58D1">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(单位名称或个人)，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统一社会信用代码（个人身份证号）是具备《政府采购法》第二十二条件的供应商，本单位在参加克拉玛依地区政府采购活动时，承诺如下：</w:t>
      </w:r>
    </w:p>
    <w:p w14:paraId="11A801D4">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（一）严格遵守国家法律、法规和规章，全面履行应尽的责任和义务。</w:t>
      </w:r>
    </w:p>
    <w:p w14:paraId="07BABDE6">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参加政府采购活动时所提供资料均合法、真实、有效，并对所提供资料的真实性负责；我单位（个人）在参加政府采购活动前三年在经营活动中没有《政府采购法》第第二十二条第一款第（五项）所称重大违法记录。</w:t>
      </w:r>
    </w:p>
    <w:p w14:paraId="18E50870">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（三）承诺本单位（个人）自觉接受行政管理部门、行业组织、社会公众、新闻舆论的监督。</w:t>
      </w:r>
    </w:p>
    <w:p w14:paraId="63B2D34F">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（四）承诺本单位（个人）将按照信用管理要求，按照规定通过克拉玛依诚信网向社会公示信用信息。</w:t>
      </w:r>
    </w:p>
    <w:p w14:paraId="6B055ECC">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（五）承诺本单位（个人）不制假售假、商标侵权、虚假宣传、违约毁约、价格欺诈、垄断和不正当竞争，守合同、重信用，维护经营者、消费者的合法权益。</w:t>
      </w:r>
    </w:p>
    <w:p w14:paraId="64E89ED9">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（六）失信主体承诺本单位（个人）依法依规接受处罚、主动积极整改、不再触犯相关法律法规、今后全面做到履约守信等。</w:t>
      </w:r>
    </w:p>
    <w:p w14:paraId="0672C9E0">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七）承诺本单位（个人）同意将以上承诺上网公示。若违背承诺约定，经查实，愿意接受行业主管部门和信用管理部门相应的规定处罚，承担违约责任，并依法承担相应的法律责任。自愿按照信用管理相关规定，违背承诺约定行为作为失信信息，记录到市公共信用信息管理系统平台，并予以公开。</w:t>
      </w:r>
    </w:p>
    <w:p w14:paraId="0558F6D4">
      <w:pPr>
        <w:shd w:val="clear"/>
        <w:tabs>
          <w:tab w:val="left" w:pos="6300"/>
        </w:tabs>
        <w:snapToGrid w:val="0"/>
        <w:spacing w:line="500" w:lineRule="exact"/>
        <w:ind w:firstLine="570"/>
        <w:rPr>
          <w:rFonts w:hint="eastAsia" w:ascii="仿宋" w:hAnsi="仿宋" w:eastAsia="仿宋" w:cs="仿宋"/>
          <w:color w:val="auto"/>
          <w:sz w:val="24"/>
          <w:highlight w:val="none"/>
        </w:rPr>
      </w:pPr>
    </w:p>
    <w:p w14:paraId="071A6287">
      <w:pPr>
        <w:shd w:val="clear"/>
        <w:tabs>
          <w:tab w:val="left" w:pos="6300"/>
        </w:tabs>
        <w:snapToGrid w:val="0"/>
        <w:spacing w:line="500" w:lineRule="exact"/>
        <w:ind w:firstLine="570"/>
        <w:rPr>
          <w:rFonts w:hint="eastAsia" w:ascii="仿宋" w:hAnsi="仿宋" w:eastAsia="仿宋" w:cs="仿宋"/>
          <w:color w:val="auto"/>
          <w:sz w:val="24"/>
          <w:highlight w:val="none"/>
        </w:rPr>
      </w:pPr>
    </w:p>
    <w:p w14:paraId="14A49B65">
      <w:pPr>
        <w:shd w:val="clear"/>
        <w:tabs>
          <w:tab w:val="left" w:pos="6300"/>
        </w:tabs>
        <w:snapToGrid w:val="0"/>
        <w:spacing w:line="50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单位名称或个人(公章或签名)</w:t>
      </w:r>
    </w:p>
    <w:p w14:paraId="127A583F">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07ED756D">
      <w:pPr>
        <w:shd w:val="clear"/>
        <w:tabs>
          <w:tab w:val="left" w:pos="6300"/>
        </w:tabs>
        <w:snapToGrid w:val="0"/>
        <w:spacing w:line="360" w:lineRule="auto"/>
        <w:ind w:right="480"/>
        <w:jc w:val="center"/>
        <w:rPr>
          <w:rFonts w:hint="eastAsia" w:ascii="仿宋" w:hAnsi="仿宋" w:eastAsia="仿宋" w:cs="仿宋"/>
          <w:color w:val="auto"/>
          <w:szCs w:val="21"/>
          <w:highlight w:val="none"/>
        </w:rPr>
      </w:pPr>
    </w:p>
    <w:p w14:paraId="5474E619">
      <w:pPr>
        <w:pStyle w:val="26"/>
        <w:shd w:val="clear"/>
        <w:ind w:firstLine="480"/>
        <w:rPr>
          <w:rFonts w:hint="eastAsia" w:ascii="仿宋" w:hAnsi="仿宋" w:eastAsia="仿宋" w:cs="仿宋"/>
          <w:color w:val="auto"/>
          <w:highlight w:val="none"/>
        </w:rPr>
      </w:pPr>
    </w:p>
    <w:p w14:paraId="6A81C8F9">
      <w:pPr>
        <w:shd w:val="clear"/>
        <w:tabs>
          <w:tab w:val="left" w:pos="360"/>
          <w:tab w:val="left" w:pos="1800"/>
        </w:tabs>
        <w:spacing w:line="240" w:lineRule="auto"/>
        <w:jc w:val="left"/>
        <w:rPr>
          <w:rFonts w:hint="eastAsia" w:ascii="仿宋" w:hAnsi="仿宋" w:eastAsia="仿宋" w:cs="仿宋"/>
          <w:b/>
          <w:color w:val="auto"/>
          <w:w w:val="90"/>
          <w:sz w:val="24"/>
          <w:szCs w:val="24"/>
          <w:highlight w:val="none"/>
          <w:lang w:val="en-US" w:eastAsia="zh-CN"/>
        </w:rPr>
      </w:pPr>
    </w:p>
    <w:p w14:paraId="2D199BB8">
      <w:pPr>
        <w:pStyle w:val="13"/>
        <w:shd w:val="clear"/>
        <w:rPr>
          <w:rFonts w:hint="eastAsia" w:ascii="仿宋" w:hAnsi="仿宋" w:eastAsia="仿宋" w:cs="仿宋"/>
          <w:b/>
          <w:color w:val="auto"/>
          <w:w w:val="90"/>
          <w:sz w:val="24"/>
          <w:szCs w:val="24"/>
          <w:highlight w:val="none"/>
          <w:lang w:val="en-US" w:eastAsia="zh-CN"/>
        </w:rPr>
      </w:pPr>
    </w:p>
    <w:p w14:paraId="571CF25A">
      <w:pPr>
        <w:pStyle w:val="25"/>
        <w:shd w:val="clear"/>
        <w:rPr>
          <w:rFonts w:hint="eastAsia" w:ascii="仿宋" w:hAnsi="仿宋" w:eastAsia="仿宋" w:cs="仿宋"/>
          <w:b/>
          <w:color w:val="auto"/>
          <w:w w:val="90"/>
          <w:sz w:val="24"/>
          <w:szCs w:val="24"/>
          <w:highlight w:val="none"/>
          <w:lang w:val="en-US" w:eastAsia="zh-CN"/>
        </w:rPr>
      </w:pPr>
    </w:p>
    <w:p w14:paraId="4EBB9D8B">
      <w:pPr>
        <w:pStyle w:val="2"/>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0" w:firstLineChars="0"/>
        <w:jc w:val="center"/>
        <w:textAlignment w:val="baseline"/>
        <w:outlineLvl w:val="0"/>
        <w:rPr>
          <w:rFonts w:hint="eastAsia" w:ascii="仿宋" w:hAnsi="仿宋" w:eastAsia="仿宋" w:cs="仿宋"/>
          <w:b/>
          <w:color w:val="auto"/>
          <w:sz w:val="24"/>
          <w:szCs w:val="24"/>
          <w:highlight w:val="none"/>
          <w:lang w:val="en-US" w:eastAsia="zh-CN"/>
        </w:rPr>
      </w:pPr>
      <w:bookmarkStart w:id="214" w:name="_Toc12691"/>
      <w:r>
        <w:rPr>
          <w:rFonts w:hint="eastAsia" w:ascii="仿宋" w:hAnsi="仿宋" w:eastAsia="仿宋" w:cs="仿宋"/>
          <w:b/>
          <w:color w:val="auto"/>
          <w:sz w:val="24"/>
          <w:szCs w:val="24"/>
          <w:highlight w:val="none"/>
        </w:rPr>
        <w:t>格式</w:t>
      </w:r>
      <w:bookmarkStart w:id="215" w:name="OLE_LINK18"/>
      <w:r>
        <w:rPr>
          <w:rFonts w:hint="eastAsia" w:ascii="仿宋" w:hAnsi="仿宋" w:eastAsia="仿宋" w:cs="仿宋"/>
          <w:b/>
          <w:color w:val="auto"/>
          <w:sz w:val="24"/>
          <w:szCs w:val="24"/>
          <w:highlight w:val="none"/>
          <w:lang w:val="en-US" w:eastAsia="zh-CN"/>
        </w:rPr>
        <w:t>11  投标人关联声明函</w:t>
      </w:r>
      <w:bookmarkEnd w:id="214"/>
      <w:bookmarkEnd w:id="215"/>
    </w:p>
    <w:p w14:paraId="4B8D6719">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08E72D7B">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项目名称： </w:t>
      </w:r>
    </w:p>
    <w:p w14:paraId="0F6A87DF">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u w:val="single"/>
          <w:lang w:val="en-US" w:eastAsia="zh-CN"/>
        </w:rPr>
      </w:pPr>
    </w:p>
    <w:p w14:paraId="203361BF">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u w:val="single"/>
          <w:lang w:val="en-US" w:eastAsia="zh-CN"/>
        </w:rPr>
        <w:t>致 （</w:t>
      </w:r>
      <w:r>
        <w:rPr>
          <w:rFonts w:hint="eastAsia" w:ascii="仿宋" w:hAnsi="仿宋" w:eastAsia="仿宋" w:cs="仿宋"/>
          <w:color w:val="auto"/>
          <w:sz w:val="24"/>
          <w:szCs w:val="24"/>
          <w:highlight w:val="none"/>
          <w:u w:val="single"/>
          <w:lang w:val="en-US" w:eastAsia="zh-CN"/>
        </w:rPr>
        <w:t>采购人</w:t>
      </w:r>
      <w:r>
        <w:rPr>
          <w:rFonts w:hint="default" w:ascii="仿宋" w:hAnsi="仿宋" w:eastAsia="仿宋" w:cs="仿宋"/>
          <w:color w:val="auto"/>
          <w:sz w:val="24"/>
          <w:szCs w:val="24"/>
          <w:highlight w:val="none"/>
          <w:u w:val="single"/>
          <w:lang w:val="en-US" w:eastAsia="zh-CN"/>
        </w:rPr>
        <w:t>和</w:t>
      </w:r>
      <w:r>
        <w:rPr>
          <w:rFonts w:hint="eastAsia" w:ascii="仿宋" w:hAnsi="仿宋" w:eastAsia="仿宋" w:cs="仿宋"/>
          <w:color w:val="auto"/>
          <w:sz w:val="24"/>
          <w:szCs w:val="24"/>
          <w:highlight w:val="none"/>
          <w:u w:val="single"/>
          <w:lang w:val="en-US" w:eastAsia="zh-CN"/>
        </w:rPr>
        <w:t>采购</w:t>
      </w:r>
      <w:r>
        <w:rPr>
          <w:rFonts w:hint="default" w:ascii="仿宋" w:hAnsi="仿宋" w:eastAsia="仿宋" w:cs="仿宋"/>
          <w:color w:val="auto"/>
          <w:sz w:val="24"/>
          <w:szCs w:val="24"/>
          <w:highlight w:val="none"/>
          <w:u w:val="single"/>
          <w:lang w:val="en-US" w:eastAsia="zh-CN"/>
        </w:rPr>
        <w:t>代理机构）</w:t>
      </w:r>
      <w:r>
        <w:rPr>
          <w:rFonts w:hint="default" w:ascii="仿宋" w:hAnsi="仿宋" w:eastAsia="仿宋" w:cs="仿宋"/>
          <w:color w:val="auto"/>
          <w:sz w:val="24"/>
          <w:szCs w:val="24"/>
          <w:highlight w:val="none"/>
          <w:lang w:val="en-US" w:eastAsia="zh-CN"/>
        </w:rPr>
        <w:t xml:space="preserve"> ： </w:t>
      </w:r>
    </w:p>
    <w:p w14:paraId="3D1FFACB">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我公司自愿参加由贵单位组织的</w:t>
      </w:r>
      <w:r>
        <w:rPr>
          <w:rFonts w:hint="default" w:ascii="仿宋" w:hAnsi="仿宋" w:eastAsia="仿宋" w:cs="仿宋"/>
          <w:color w:val="auto"/>
          <w:sz w:val="24"/>
          <w:szCs w:val="24"/>
          <w:highlight w:val="none"/>
          <w:u w:val="single"/>
          <w:lang w:val="en-US" w:eastAsia="zh-CN"/>
        </w:rPr>
        <w:t>（项目编号）（项目名称）</w:t>
      </w:r>
      <w:r>
        <w:rPr>
          <w:rFonts w:hint="default" w:ascii="仿宋" w:hAnsi="仿宋" w:eastAsia="仿宋" w:cs="仿宋"/>
          <w:color w:val="auto"/>
          <w:sz w:val="24"/>
          <w:szCs w:val="24"/>
          <w:highlight w:val="none"/>
          <w:lang w:val="en-US" w:eastAsia="zh-CN"/>
        </w:rPr>
        <w:t xml:space="preserve">采购活动，在此郑重承诺： </w:t>
      </w:r>
    </w:p>
    <w:p w14:paraId="25EB5540">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我公司遵守《中华人民共和国</w:t>
      </w:r>
      <w:r>
        <w:rPr>
          <w:rFonts w:hint="eastAsia" w:ascii="仿宋" w:hAnsi="仿宋" w:eastAsia="仿宋" w:cs="仿宋"/>
          <w:color w:val="auto"/>
          <w:sz w:val="24"/>
          <w:szCs w:val="24"/>
          <w:highlight w:val="none"/>
          <w:lang w:val="en-US" w:eastAsia="zh-CN"/>
        </w:rPr>
        <w:t>政府采购</w:t>
      </w:r>
      <w:r>
        <w:rPr>
          <w:rFonts w:hint="default" w:ascii="仿宋" w:hAnsi="仿宋" w:eastAsia="仿宋" w:cs="仿宋"/>
          <w:color w:val="auto"/>
          <w:sz w:val="24"/>
          <w:szCs w:val="24"/>
          <w:highlight w:val="none"/>
          <w:lang w:val="en-US" w:eastAsia="zh-CN"/>
        </w:rPr>
        <w:t>法实施条例》有关“单位负责人为同一人或者存在</w:t>
      </w:r>
      <w:r>
        <w:rPr>
          <w:rFonts w:hint="eastAsia" w:ascii="仿宋" w:hAnsi="仿宋" w:eastAsia="仿宋" w:cs="仿宋"/>
          <w:color w:val="auto"/>
          <w:sz w:val="24"/>
          <w:szCs w:val="24"/>
          <w:highlight w:val="none"/>
          <w:lang w:val="en-US" w:eastAsia="zh-CN"/>
        </w:rPr>
        <w:t>直接</w:t>
      </w:r>
      <w:r>
        <w:rPr>
          <w:rFonts w:hint="default" w:ascii="仿宋" w:hAnsi="仿宋" w:eastAsia="仿宋" w:cs="仿宋"/>
          <w:color w:val="auto"/>
          <w:sz w:val="24"/>
          <w:szCs w:val="24"/>
          <w:highlight w:val="none"/>
          <w:lang w:val="en-US" w:eastAsia="zh-CN"/>
        </w:rPr>
        <w:t>控股、管理关系的不同</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，不得参加同一</w:t>
      </w:r>
      <w:r>
        <w:rPr>
          <w:rFonts w:hint="eastAsia" w:ascii="仿宋" w:hAnsi="仿宋" w:eastAsia="仿宋" w:cs="仿宋"/>
          <w:color w:val="auto"/>
          <w:sz w:val="24"/>
          <w:szCs w:val="24"/>
          <w:highlight w:val="none"/>
          <w:lang w:val="en-US" w:eastAsia="zh-CN"/>
        </w:rPr>
        <w:t>合同项下的政府采购活动。</w:t>
      </w:r>
    </w:p>
    <w:p w14:paraId="5F143CD8">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关联单位的说明： </w:t>
      </w:r>
    </w:p>
    <w:p w14:paraId="3465D785">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与我公司存在直接控股、管理关系的其他单位为：无。 </w:t>
      </w:r>
    </w:p>
    <w:p w14:paraId="20F37303">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以上声明完全属实，如有瞒报、虚报，我公司自行承担因此产生的所有法律责任。 </w:t>
      </w:r>
    </w:p>
    <w:p w14:paraId="4162E50F">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注：提供从国家企业信用信息查询系统 http://www.gsxt.gov.cn/index.html 打印的本 </w:t>
      </w:r>
    </w:p>
    <w:p w14:paraId="3839688F">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单位的股东及出资信息页面截图，须清晰并加盖单位公章附于本表后。 </w:t>
      </w:r>
    </w:p>
    <w:p w14:paraId="42C72C35">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556D581D">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685CB9D9">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5B10DCDD">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6000" w:firstLineChars="25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投标人（盖章）： </w:t>
      </w:r>
    </w:p>
    <w:p w14:paraId="6BB9D919">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022382B">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6720" w:firstLineChars="28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lang w:val="en-US" w:eastAsia="zh-CN"/>
        </w:rPr>
        <w:t xml:space="preserve">  </w:t>
      </w:r>
      <w:r>
        <w:rPr>
          <w:rFonts w:hint="default" w:ascii="仿宋" w:hAnsi="仿宋" w:eastAsia="仿宋" w:cs="仿宋"/>
          <w:color w:val="auto"/>
          <w:sz w:val="24"/>
          <w:szCs w:val="24"/>
          <w:highlight w:val="none"/>
          <w:lang w:val="en-US" w:eastAsia="zh-CN"/>
        </w:rPr>
        <w:t xml:space="preserve"> 月 </w:t>
      </w:r>
      <w:r>
        <w:rPr>
          <w:rFonts w:hint="eastAsia" w:ascii="仿宋" w:hAnsi="仿宋" w:eastAsia="仿宋" w:cs="仿宋"/>
          <w:color w:val="auto"/>
          <w:sz w:val="24"/>
          <w:szCs w:val="24"/>
          <w:highlight w:val="none"/>
          <w:lang w:val="en-US" w:eastAsia="zh-CN"/>
        </w:rPr>
        <w:t xml:space="preserve">  </w:t>
      </w:r>
      <w:r>
        <w:rPr>
          <w:rFonts w:hint="default" w:ascii="仿宋" w:hAnsi="仿宋" w:eastAsia="仿宋" w:cs="仿宋"/>
          <w:color w:val="auto"/>
          <w:sz w:val="24"/>
          <w:szCs w:val="24"/>
          <w:highlight w:val="none"/>
          <w:lang w:val="en-US" w:eastAsia="zh-CN"/>
        </w:rPr>
        <w:t>日</w:t>
      </w:r>
    </w:p>
    <w:p w14:paraId="5C7389F1">
      <w:pPr>
        <w:shd w:val="clear"/>
        <w:rPr>
          <w:rFonts w:hint="eastAsia" w:ascii="仿宋" w:hAnsi="仿宋" w:eastAsia="仿宋" w:cs="仿宋"/>
          <w:color w:val="auto"/>
          <w:highlight w:val="none"/>
        </w:rPr>
      </w:pPr>
    </w:p>
    <w:p w14:paraId="059F7F87">
      <w:pPr>
        <w:shd w:val="clear"/>
        <w:tabs>
          <w:tab w:val="left" w:pos="360"/>
          <w:tab w:val="left" w:pos="1800"/>
        </w:tabs>
        <w:spacing w:line="240" w:lineRule="auto"/>
        <w:jc w:val="left"/>
        <w:rPr>
          <w:rFonts w:hint="eastAsia" w:ascii="仿宋" w:hAnsi="仿宋" w:eastAsia="仿宋" w:cs="仿宋"/>
          <w:b/>
          <w:color w:val="auto"/>
          <w:w w:val="90"/>
          <w:sz w:val="24"/>
          <w:szCs w:val="24"/>
          <w:highlight w:val="none"/>
          <w:lang w:val="en-US" w:eastAsia="zh-CN"/>
        </w:rPr>
      </w:pPr>
    </w:p>
    <w:p w14:paraId="6AFC3304">
      <w:pPr>
        <w:pStyle w:val="21"/>
        <w:shd w:val="clear"/>
        <w:rPr>
          <w:rFonts w:hint="eastAsia"/>
          <w:color w:val="auto"/>
          <w:highlight w:val="none"/>
          <w:lang w:val="en-US" w:eastAsia="zh-CN"/>
        </w:rPr>
      </w:pPr>
    </w:p>
    <w:p w14:paraId="32BB4DB4">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default" w:ascii="仿宋" w:hAnsi="仿宋" w:eastAsia="仿宋" w:cs="仿宋"/>
          <w:bCs/>
          <w:color w:val="auto"/>
          <w:kern w:val="0"/>
          <w:sz w:val="24"/>
          <w:szCs w:val="24"/>
          <w:highlight w:val="none"/>
          <w:u w:val="none"/>
          <w:lang w:val="en-US" w:eastAsia="zh-CN"/>
        </w:rPr>
      </w:pPr>
    </w:p>
    <w:sectPr>
      <w:footerReference r:id="rId6" w:type="default"/>
      <w:pgSz w:w="11906" w:h="16838"/>
      <w:pgMar w:top="1440" w:right="952" w:bottom="1440" w:left="112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2500">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5A46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75A46A">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5AFE6F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5932">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D153F0">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D153F0">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C1E6">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3B14A">
                          <w:pPr>
                            <w:pStyle w:val="1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B3B14A">
                    <w:pPr>
                      <w:pStyle w:val="18"/>
                    </w:pPr>
                    <w:r>
                      <w:fldChar w:fldCharType="begin"/>
                    </w:r>
                    <w:r>
                      <w:instrText xml:space="preserve"> PAGE  \* MERGEFORMAT </w:instrText>
                    </w:r>
                    <w:r>
                      <w:fldChar w:fldCharType="separate"/>
                    </w:r>
                    <w:r>
                      <w:t>47</w:t>
                    </w:r>
                    <w:r>
                      <w:fldChar w:fldCharType="end"/>
                    </w:r>
                  </w:p>
                </w:txbxContent>
              </v:textbox>
            </v:shape>
          </w:pict>
        </mc:Fallback>
      </mc:AlternateContent>
    </w:r>
  </w:p>
  <w:p w14:paraId="4064EA8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C2A1">
    <w:pPr>
      <w:pStyle w:val="19"/>
      <w:pBdr>
        <w:bottom w:val="none" w:color="auto" w:sz="0" w:space="0"/>
      </w:pBdr>
    </w:pPr>
  </w:p>
  <w:p w14:paraId="1D02CD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81140"/>
    <w:multiLevelType w:val="singleLevel"/>
    <w:tmpl w:val="B9481140"/>
    <w:lvl w:ilvl="0" w:tentative="0">
      <w:start w:val="1"/>
      <w:numFmt w:val="decimal"/>
      <w:suff w:val="space"/>
      <w:lvlText w:val="%1."/>
      <w:lvlJc w:val="left"/>
    </w:lvl>
  </w:abstractNum>
  <w:abstractNum w:abstractNumId="1">
    <w:nsid w:val="00000006"/>
    <w:multiLevelType w:val="multilevel"/>
    <w:tmpl w:val="00000006"/>
    <w:lvl w:ilvl="0" w:tentative="0">
      <w:start w:val="1"/>
      <w:numFmt w:val="chineseCountingThousand"/>
      <w:pStyle w:val="58"/>
      <w:lvlText w:val="%1、"/>
      <w:lvlJc w:val="left"/>
      <w:pPr>
        <w:tabs>
          <w:tab w:val="left" w:pos="567"/>
        </w:tabs>
        <w:ind w:left="567" w:hanging="567"/>
      </w:pPr>
      <w:rPr>
        <w:rFonts w:hint="default"/>
      </w:rPr>
    </w:lvl>
    <w:lvl w:ilvl="1" w:tentative="0">
      <w:start w:val="1"/>
      <w:numFmt w:val="decimal"/>
      <w:pStyle w:val="59"/>
      <w:lvlText w:val="%2."/>
      <w:lvlJc w:val="left"/>
      <w:pPr>
        <w:tabs>
          <w:tab w:val="left" w:pos="1134"/>
        </w:tabs>
        <w:ind w:left="1134"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2">
    <w:nsid w:val="0BB42F20"/>
    <w:multiLevelType w:val="multilevel"/>
    <w:tmpl w:val="0BB42F20"/>
    <w:lvl w:ilvl="0" w:tentative="0">
      <w:start w:val="1"/>
      <w:numFmt w:val="japaneseCounting"/>
      <w:lvlText w:val="第%1章"/>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A591B"/>
    <w:multiLevelType w:val="multilevel"/>
    <w:tmpl w:val="110A591B"/>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5.2.%4"/>
      <w:lvlJc w:val="left"/>
      <w:pPr>
        <w:tabs>
          <w:tab w:val="left" w:pos="1080"/>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183C604A"/>
    <w:multiLevelType w:val="singleLevel"/>
    <w:tmpl w:val="183C604A"/>
    <w:lvl w:ilvl="0" w:tentative="0">
      <w:start w:val="1"/>
      <w:numFmt w:val="japaneseCounting"/>
      <w:pStyle w:val="71"/>
      <w:lvlText w:val="%1、"/>
      <w:lvlJc w:val="left"/>
      <w:pPr>
        <w:tabs>
          <w:tab w:val="left" w:pos="960"/>
        </w:tabs>
        <w:ind w:left="960" w:hanging="480"/>
      </w:pPr>
      <w:rPr>
        <w:rFonts w:hint="eastAsia"/>
        <w:b/>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mRiNzU4NjU3NDdiYTJmZDhiOWI0NDkyMmNhMjQifQ=="/>
  </w:docVars>
  <w:rsids>
    <w:rsidRoot w:val="000126AB"/>
    <w:rsid w:val="00001471"/>
    <w:rsid w:val="000079A0"/>
    <w:rsid w:val="000126AB"/>
    <w:rsid w:val="00037C63"/>
    <w:rsid w:val="000401EA"/>
    <w:rsid w:val="0004063A"/>
    <w:rsid w:val="00043776"/>
    <w:rsid w:val="00054219"/>
    <w:rsid w:val="0006256E"/>
    <w:rsid w:val="000717D9"/>
    <w:rsid w:val="000914D5"/>
    <w:rsid w:val="00092509"/>
    <w:rsid w:val="00097D69"/>
    <w:rsid w:val="000A2E5E"/>
    <w:rsid w:val="000A4479"/>
    <w:rsid w:val="000B09C6"/>
    <w:rsid w:val="000B42CD"/>
    <w:rsid w:val="000C096C"/>
    <w:rsid w:val="000C14CB"/>
    <w:rsid w:val="000D0B6B"/>
    <w:rsid w:val="000D1B83"/>
    <w:rsid w:val="000D7239"/>
    <w:rsid w:val="000F7CAA"/>
    <w:rsid w:val="001172BF"/>
    <w:rsid w:val="001224B7"/>
    <w:rsid w:val="00141A36"/>
    <w:rsid w:val="0014333B"/>
    <w:rsid w:val="00150E25"/>
    <w:rsid w:val="001523E9"/>
    <w:rsid w:val="0016091B"/>
    <w:rsid w:val="0016355C"/>
    <w:rsid w:val="0016410D"/>
    <w:rsid w:val="00165CEB"/>
    <w:rsid w:val="00166614"/>
    <w:rsid w:val="001746EF"/>
    <w:rsid w:val="00174BFD"/>
    <w:rsid w:val="00186164"/>
    <w:rsid w:val="00191534"/>
    <w:rsid w:val="001A10F1"/>
    <w:rsid w:val="001A4E58"/>
    <w:rsid w:val="001A53E0"/>
    <w:rsid w:val="001A6CC5"/>
    <w:rsid w:val="001C0D25"/>
    <w:rsid w:val="001D23CA"/>
    <w:rsid w:val="001D64F6"/>
    <w:rsid w:val="001D7A21"/>
    <w:rsid w:val="001E7508"/>
    <w:rsid w:val="001E7719"/>
    <w:rsid w:val="001F4AF8"/>
    <w:rsid w:val="00207AC3"/>
    <w:rsid w:val="00210F23"/>
    <w:rsid w:val="00220EA0"/>
    <w:rsid w:val="002231E5"/>
    <w:rsid w:val="00224F00"/>
    <w:rsid w:val="00225AB6"/>
    <w:rsid w:val="00230A7B"/>
    <w:rsid w:val="00235A1E"/>
    <w:rsid w:val="00235E05"/>
    <w:rsid w:val="002419E0"/>
    <w:rsid w:val="00260A82"/>
    <w:rsid w:val="002665C9"/>
    <w:rsid w:val="002665F6"/>
    <w:rsid w:val="002806E3"/>
    <w:rsid w:val="00287CDC"/>
    <w:rsid w:val="002A10BC"/>
    <w:rsid w:val="002A2F3F"/>
    <w:rsid w:val="002A2FCB"/>
    <w:rsid w:val="002A3397"/>
    <w:rsid w:val="002B14DA"/>
    <w:rsid w:val="002B504A"/>
    <w:rsid w:val="002B7776"/>
    <w:rsid w:val="002C1256"/>
    <w:rsid w:val="002C1DD8"/>
    <w:rsid w:val="002D12EB"/>
    <w:rsid w:val="002E0916"/>
    <w:rsid w:val="002E5AC2"/>
    <w:rsid w:val="002E7C7C"/>
    <w:rsid w:val="002F0DD4"/>
    <w:rsid w:val="002F440D"/>
    <w:rsid w:val="00303D19"/>
    <w:rsid w:val="00313A4C"/>
    <w:rsid w:val="00321E95"/>
    <w:rsid w:val="00331961"/>
    <w:rsid w:val="0033470B"/>
    <w:rsid w:val="003371B5"/>
    <w:rsid w:val="00341762"/>
    <w:rsid w:val="00346350"/>
    <w:rsid w:val="00347A11"/>
    <w:rsid w:val="00353791"/>
    <w:rsid w:val="003641BD"/>
    <w:rsid w:val="00365575"/>
    <w:rsid w:val="00373408"/>
    <w:rsid w:val="00381695"/>
    <w:rsid w:val="0038506B"/>
    <w:rsid w:val="00390F0E"/>
    <w:rsid w:val="0039475A"/>
    <w:rsid w:val="003D5B81"/>
    <w:rsid w:val="003E1809"/>
    <w:rsid w:val="003F415A"/>
    <w:rsid w:val="003F68E4"/>
    <w:rsid w:val="00403DEA"/>
    <w:rsid w:val="00447741"/>
    <w:rsid w:val="00465B09"/>
    <w:rsid w:val="00474E57"/>
    <w:rsid w:val="00477FEA"/>
    <w:rsid w:val="00491ACD"/>
    <w:rsid w:val="004B70D8"/>
    <w:rsid w:val="004C47E0"/>
    <w:rsid w:val="004C61F6"/>
    <w:rsid w:val="004D07BB"/>
    <w:rsid w:val="004D31AC"/>
    <w:rsid w:val="0050137A"/>
    <w:rsid w:val="00512437"/>
    <w:rsid w:val="005276AC"/>
    <w:rsid w:val="00534CA5"/>
    <w:rsid w:val="00542F69"/>
    <w:rsid w:val="0056398F"/>
    <w:rsid w:val="00581EF8"/>
    <w:rsid w:val="00582F97"/>
    <w:rsid w:val="00590843"/>
    <w:rsid w:val="005914FA"/>
    <w:rsid w:val="005A5877"/>
    <w:rsid w:val="005A62FB"/>
    <w:rsid w:val="005C36B1"/>
    <w:rsid w:val="005C4034"/>
    <w:rsid w:val="005C561C"/>
    <w:rsid w:val="005F3CFA"/>
    <w:rsid w:val="005F4D19"/>
    <w:rsid w:val="00601F9D"/>
    <w:rsid w:val="0061234A"/>
    <w:rsid w:val="00612D19"/>
    <w:rsid w:val="00631377"/>
    <w:rsid w:val="00652050"/>
    <w:rsid w:val="0066564A"/>
    <w:rsid w:val="006719CD"/>
    <w:rsid w:val="0068346A"/>
    <w:rsid w:val="006953D7"/>
    <w:rsid w:val="006B2BEE"/>
    <w:rsid w:val="006D61B6"/>
    <w:rsid w:val="006F1FB4"/>
    <w:rsid w:val="006F26E3"/>
    <w:rsid w:val="006F6DEB"/>
    <w:rsid w:val="00700A5F"/>
    <w:rsid w:val="00701076"/>
    <w:rsid w:val="007075B6"/>
    <w:rsid w:val="007077C9"/>
    <w:rsid w:val="0071033B"/>
    <w:rsid w:val="00711643"/>
    <w:rsid w:val="0071218C"/>
    <w:rsid w:val="00712884"/>
    <w:rsid w:val="00720781"/>
    <w:rsid w:val="00723FEF"/>
    <w:rsid w:val="007277C6"/>
    <w:rsid w:val="0073687E"/>
    <w:rsid w:val="00736C43"/>
    <w:rsid w:val="0074407F"/>
    <w:rsid w:val="007453EE"/>
    <w:rsid w:val="00750845"/>
    <w:rsid w:val="0077044A"/>
    <w:rsid w:val="00770663"/>
    <w:rsid w:val="00770691"/>
    <w:rsid w:val="0078641C"/>
    <w:rsid w:val="00793BA4"/>
    <w:rsid w:val="00797DAD"/>
    <w:rsid w:val="007B38FA"/>
    <w:rsid w:val="007B7C3E"/>
    <w:rsid w:val="007C3F8D"/>
    <w:rsid w:val="007D0D1E"/>
    <w:rsid w:val="007D3744"/>
    <w:rsid w:val="007E35B0"/>
    <w:rsid w:val="008046E4"/>
    <w:rsid w:val="00807CBF"/>
    <w:rsid w:val="00815834"/>
    <w:rsid w:val="00815BAB"/>
    <w:rsid w:val="00821573"/>
    <w:rsid w:val="00821F5D"/>
    <w:rsid w:val="00833AC2"/>
    <w:rsid w:val="008415EB"/>
    <w:rsid w:val="00842462"/>
    <w:rsid w:val="00846485"/>
    <w:rsid w:val="0085119A"/>
    <w:rsid w:val="008620B9"/>
    <w:rsid w:val="008665F2"/>
    <w:rsid w:val="00874CE8"/>
    <w:rsid w:val="00880B12"/>
    <w:rsid w:val="00886A4B"/>
    <w:rsid w:val="008A62FD"/>
    <w:rsid w:val="008A7AFC"/>
    <w:rsid w:val="008B4CDA"/>
    <w:rsid w:val="008C39A5"/>
    <w:rsid w:val="008C44D0"/>
    <w:rsid w:val="008E007A"/>
    <w:rsid w:val="008E00C4"/>
    <w:rsid w:val="008F00C1"/>
    <w:rsid w:val="008F2FC3"/>
    <w:rsid w:val="008F43C2"/>
    <w:rsid w:val="008F77B8"/>
    <w:rsid w:val="009041D5"/>
    <w:rsid w:val="00904AC6"/>
    <w:rsid w:val="0090693E"/>
    <w:rsid w:val="009155EE"/>
    <w:rsid w:val="00922E18"/>
    <w:rsid w:val="00924685"/>
    <w:rsid w:val="00931F8A"/>
    <w:rsid w:val="00942F9C"/>
    <w:rsid w:val="00945D70"/>
    <w:rsid w:val="0095263B"/>
    <w:rsid w:val="009536B7"/>
    <w:rsid w:val="00957333"/>
    <w:rsid w:val="009607D2"/>
    <w:rsid w:val="009735C0"/>
    <w:rsid w:val="00981102"/>
    <w:rsid w:val="00987FB8"/>
    <w:rsid w:val="00992ADA"/>
    <w:rsid w:val="00994D7E"/>
    <w:rsid w:val="009A1355"/>
    <w:rsid w:val="009A6318"/>
    <w:rsid w:val="009B559D"/>
    <w:rsid w:val="009C2CD4"/>
    <w:rsid w:val="009D10CC"/>
    <w:rsid w:val="009E7145"/>
    <w:rsid w:val="009E7711"/>
    <w:rsid w:val="00A06C88"/>
    <w:rsid w:val="00A207AF"/>
    <w:rsid w:val="00A26D8E"/>
    <w:rsid w:val="00A31237"/>
    <w:rsid w:val="00A32D34"/>
    <w:rsid w:val="00A330A9"/>
    <w:rsid w:val="00A44C18"/>
    <w:rsid w:val="00A57A0B"/>
    <w:rsid w:val="00A6471E"/>
    <w:rsid w:val="00A772DD"/>
    <w:rsid w:val="00A96831"/>
    <w:rsid w:val="00AB20B3"/>
    <w:rsid w:val="00AC05D5"/>
    <w:rsid w:val="00AC4202"/>
    <w:rsid w:val="00AC549A"/>
    <w:rsid w:val="00AC63A9"/>
    <w:rsid w:val="00AD20E7"/>
    <w:rsid w:val="00AD2616"/>
    <w:rsid w:val="00AD569C"/>
    <w:rsid w:val="00AE4FDE"/>
    <w:rsid w:val="00AF0942"/>
    <w:rsid w:val="00AF31EE"/>
    <w:rsid w:val="00AF6FDE"/>
    <w:rsid w:val="00B00F36"/>
    <w:rsid w:val="00B07EEE"/>
    <w:rsid w:val="00B17428"/>
    <w:rsid w:val="00B34E76"/>
    <w:rsid w:val="00B622A6"/>
    <w:rsid w:val="00B76C14"/>
    <w:rsid w:val="00B91ED8"/>
    <w:rsid w:val="00B95464"/>
    <w:rsid w:val="00BB6A96"/>
    <w:rsid w:val="00BC427D"/>
    <w:rsid w:val="00BC56AB"/>
    <w:rsid w:val="00BD381D"/>
    <w:rsid w:val="00BE1013"/>
    <w:rsid w:val="00BF1B7D"/>
    <w:rsid w:val="00BF4072"/>
    <w:rsid w:val="00BF6CDF"/>
    <w:rsid w:val="00C02835"/>
    <w:rsid w:val="00C13197"/>
    <w:rsid w:val="00C34712"/>
    <w:rsid w:val="00C36A49"/>
    <w:rsid w:val="00C5402E"/>
    <w:rsid w:val="00C65DED"/>
    <w:rsid w:val="00C814D6"/>
    <w:rsid w:val="00CA6ACE"/>
    <w:rsid w:val="00CB680F"/>
    <w:rsid w:val="00CD2CCE"/>
    <w:rsid w:val="00CD5E82"/>
    <w:rsid w:val="00CE7283"/>
    <w:rsid w:val="00CF3127"/>
    <w:rsid w:val="00CF5E47"/>
    <w:rsid w:val="00D04014"/>
    <w:rsid w:val="00D07857"/>
    <w:rsid w:val="00D15295"/>
    <w:rsid w:val="00D2564F"/>
    <w:rsid w:val="00D42A73"/>
    <w:rsid w:val="00D53AC2"/>
    <w:rsid w:val="00D67C67"/>
    <w:rsid w:val="00D71C5A"/>
    <w:rsid w:val="00D7563E"/>
    <w:rsid w:val="00D850A7"/>
    <w:rsid w:val="00DA121B"/>
    <w:rsid w:val="00DA49F8"/>
    <w:rsid w:val="00DC01FA"/>
    <w:rsid w:val="00DD727E"/>
    <w:rsid w:val="00E0250E"/>
    <w:rsid w:val="00E0358F"/>
    <w:rsid w:val="00E10621"/>
    <w:rsid w:val="00E1437B"/>
    <w:rsid w:val="00E17C75"/>
    <w:rsid w:val="00E26BC9"/>
    <w:rsid w:val="00E30764"/>
    <w:rsid w:val="00E30E37"/>
    <w:rsid w:val="00E31879"/>
    <w:rsid w:val="00E35260"/>
    <w:rsid w:val="00E47AF8"/>
    <w:rsid w:val="00E6026B"/>
    <w:rsid w:val="00E62C8A"/>
    <w:rsid w:val="00E7363A"/>
    <w:rsid w:val="00E86ACD"/>
    <w:rsid w:val="00E93B73"/>
    <w:rsid w:val="00EC1239"/>
    <w:rsid w:val="00EC64E5"/>
    <w:rsid w:val="00EE3AFD"/>
    <w:rsid w:val="00F125A5"/>
    <w:rsid w:val="00F15E73"/>
    <w:rsid w:val="00F24321"/>
    <w:rsid w:val="00F24B86"/>
    <w:rsid w:val="00F27C74"/>
    <w:rsid w:val="00F43EE8"/>
    <w:rsid w:val="00F44123"/>
    <w:rsid w:val="00F663CB"/>
    <w:rsid w:val="00F7303D"/>
    <w:rsid w:val="00F75866"/>
    <w:rsid w:val="00F75A29"/>
    <w:rsid w:val="00F94A6A"/>
    <w:rsid w:val="00FA50D6"/>
    <w:rsid w:val="00FA57A8"/>
    <w:rsid w:val="00FB1EC9"/>
    <w:rsid w:val="00FB275E"/>
    <w:rsid w:val="00FC22BC"/>
    <w:rsid w:val="00FC6BE0"/>
    <w:rsid w:val="00FD6D86"/>
    <w:rsid w:val="00FF109D"/>
    <w:rsid w:val="00FF6118"/>
    <w:rsid w:val="010F1418"/>
    <w:rsid w:val="0127789F"/>
    <w:rsid w:val="014067ED"/>
    <w:rsid w:val="014120A8"/>
    <w:rsid w:val="01465965"/>
    <w:rsid w:val="016A7A05"/>
    <w:rsid w:val="019C22FB"/>
    <w:rsid w:val="01A00C4B"/>
    <w:rsid w:val="01CE2F75"/>
    <w:rsid w:val="01E30F4E"/>
    <w:rsid w:val="021F4265"/>
    <w:rsid w:val="02384623"/>
    <w:rsid w:val="0252665D"/>
    <w:rsid w:val="0261205B"/>
    <w:rsid w:val="02737A43"/>
    <w:rsid w:val="02847D1E"/>
    <w:rsid w:val="02C3529A"/>
    <w:rsid w:val="03271DC4"/>
    <w:rsid w:val="033970B2"/>
    <w:rsid w:val="03664EA1"/>
    <w:rsid w:val="036947C9"/>
    <w:rsid w:val="037D4DCA"/>
    <w:rsid w:val="03AD11EC"/>
    <w:rsid w:val="03DF7CC1"/>
    <w:rsid w:val="03E807A5"/>
    <w:rsid w:val="03EF00F6"/>
    <w:rsid w:val="03F77F39"/>
    <w:rsid w:val="040C218A"/>
    <w:rsid w:val="049C1B9D"/>
    <w:rsid w:val="04BD2C0D"/>
    <w:rsid w:val="05071CB6"/>
    <w:rsid w:val="05077346"/>
    <w:rsid w:val="05241B93"/>
    <w:rsid w:val="053358E8"/>
    <w:rsid w:val="05621912"/>
    <w:rsid w:val="056D3C7B"/>
    <w:rsid w:val="058C2267"/>
    <w:rsid w:val="05923DEA"/>
    <w:rsid w:val="059731F4"/>
    <w:rsid w:val="05D33F4F"/>
    <w:rsid w:val="05E36FE4"/>
    <w:rsid w:val="061D0E3B"/>
    <w:rsid w:val="062A62FB"/>
    <w:rsid w:val="06305AC2"/>
    <w:rsid w:val="063D244B"/>
    <w:rsid w:val="06AC0501"/>
    <w:rsid w:val="06C67145"/>
    <w:rsid w:val="07455FD8"/>
    <w:rsid w:val="07521F93"/>
    <w:rsid w:val="07604740"/>
    <w:rsid w:val="08003000"/>
    <w:rsid w:val="0809222C"/>
    <w:rsid w:val="08683C74"/>
    <w:rsid w:val="086A1371"/>
    <w:rsid w:val="08786E6F"/>
    <w:rsid w:val="08914842"/>
    <w:rsid w:val="09720AF8"/>
    <w:rsid w:val="097D3F57"/>
    <w:rsid w:val="09A2783F"/>
    <w:rsid w:val="09D74819"/>
    <w:rsid w:val="09E368B0"/>
    <w:rsid w:val="09F064E7"/>
    <w:rsid w:val="09FC1F49"/>
    <w:rsid w:val="0A411EA1"/>
    <w:rsid w:val="0A8401E3"/>
    <w:rsid w:val="0AE222D4"/>
    <w:rsid w:val="0AEC6126"/>
    <w:rsid w:val="0AFD06C3"/>
    <w:rsid w:val="0B366B1C"/>
    <w:rsid w:val="0B960B81"/>
    <w:rsid w:val="0BD03C53"/>
    <w:rsid w:val="0BED48A0"/>
    <w:rsid w:val="0C030735"/>
    <w:rsid w:val="0C137F64"/>
    <w:rsid w:val="0C1B4F42"/>
    <w:rsid w:val="0C294AFD"/>
    <w:rsid w:val="0C514E47"/>
    <w:rsid w:val="0CA666F2"/>
    <w:rsid w:val="0D023DD3"/>
    <w:rsid w:val="0D9745C3"/>
    <w:rsid w:val="0D9E39BC"/>
    <w:rsid w:val="0DDD52FC"/>
    <w:rsid w:val="0E487E06"/>
    <w:rsid w:val="0E525439"/>
    <w:rsid w:val="0ED50990"/>
    <w:rsid w:val="0EE4486D"/>
    <w:rsid w:val="0F697594"/>
    <w:rsid w:val="0F7162B4"/>
    <w:rsid w:val="0FD46B38"/>
    <w:rsid w:val="0FE51619"/>
    <w:rsid w:val="105C0D86"/>
    <w:rsid w:val="10817B13"/>
    <w:rsid w:val="10AA4427"/>
    <w:rsid w:val="10E67546"/>
    <w:rsid w:val="10FF765E"/>
    <w:rsid w:val="11602BCB"/>
    <w:rsid w:val="119A2EC2"/>
    <w:rsid w:val="11AB6DBE"/>
    <w:rsid w:val="11F61D14"/>
    <w:rsid w:val="12066A55"/>
    <w:rsid w:val="12284146"/>
    <w:rsid w:val="12306C5F"/>
    <w:rsid w:val="12476022"/>
    <w:rsid w:val="12535283"/>
    <w:rsid w:val="125911B1"/>
    <w:rsid w:val="12C34799"/>
    <w:rsid w:val="13484EA9"/>
    <w:rsid w:val="134C1C46"/>
    <w:rsid w:val="140D0DCF"/>
    <w:rsid w:val="14104F4F"/>
    <w:rsid w:val="142F3AC7"/>
    <w:rsid w:val="143313C5"/>
    <w:rsid w:val="14605DBB"/>
    <w:rsid w:val="14A64372"/>
    <w:rsid w:val="14CF38C9"/>
    <w:rsid w:val="14EF1BF7"/>
    <w:rsid w:val="14F070C8"/>
    <w:rsid w:val="14FD3553"/>
    <w:rsid w:val="15515E69"/>
    <w:rsid w:val="155F4841"/>
    <w:rsid w:val="1580416E"/>
    <w:rsid w:val="15A67587"/>
    <w:rsid w:val="16934899"/>
    <w:rsid w:val="16AE4E44"/>
    <w:rsid w:val="16C05271"/>
    <w:rsid w:val="17180C70"/>
    <w:rsid w:val="17620593"/>
    <w:rsid w:val="181F3A50"/>
    <w:rsid w:val="182B7DBB"/>
    <w:rsid w:val="18C56CA3"/>
    <w:rsid w:val="18C94F95"/>
    <w:rsid w:val="191E36D1"/>
    <w:rsid w:val="19C300B6"/>
    <w:rsid w:val="19C85386"/>
    <w:rsid w:val="19D53132"/>
    <w:rsid w:val="19DD760E"/>
    <w:rsid w:val="19E30E1E"/>
    <w:rsid w:val="1A65539C"/>
    <w:rsid w:val="1AA65DBA"/>
    <w:rsid w:val="1ACA15A5"/>
    <w:rsid w:val="1AD55213"/>
    <w:rsid w:val="1AD97C94"/>
    <w:rsid w:val="1B025C18"/>
    <w:rsid w:val="1B1A0EE4"/>
    <w:rsid w:val="1B360F86"/>
    <w:rsid w:val="1B6F54B3"/>
    <w:rsid w:val="1BE32061"/>
    <w:rsid w:val="1BE452B5"/>
    <w:rsid w:val="1C1578A9"/>
    <w:rsid w:val="1C1B4CBD"/>
    <w:rsid w:val="1C3041CB"/>
    <w:rsid w:val="1C3F6CF1"/>
    <w:rsid w:val="1C4D12AE"/>
    <w:rsid w:val="1C513EFC"/>
    <w:rsid w:val="1C6D52BC"/>
    <w:rsid w:val="1CA052F9"/>
    <w:rsid w:val="1CD031C6"/>
    <w:rsid w:val="1CE831EA"/>
    <w:rsid w:val="1D035C66"/>
    <w:rsid w:val="1D145908"/>
    <w:rsid w:val="1D33037A"/>
    <w:rsid w:val="1D562179"/>
    <w:rsid w:val="1D990F18"/>
    <w:rsid w:val="1DE1754B"/>
    <w:rsid w:val="1DE2466D"/>
    <w:rsid w:val="1E2816D8"/>
    <w:rsid w:val="1E4A36CA"/>
    <w:rsid w:val="1E4B0C15"/>
    <w:rsid w:val="1E57433A"/>
    <w:rsid w:val="1E5B16E3"/>
    <w:rsid w:val="1E9E1EA9"/>
    <w:rsid w:val="1E9F0ACC"/>
    <w:rsid w:val="1EAC3635"/>
    <w:rsid w:val="1FA13035"/>
    <w:rsid w:val="200A44E7"/>
    <w:rsid w:val="20177D4F"/>
    <w:rsid w:val="208C52D0"/>
    <w:rsid w:val="208F03B0"/>
    <w:rsid w:val="20A63420"/>
    <w:rsid w:val="20BB3B10"/>
    <w:rsid w:val="20EC6113"/>
    <w:rsid w:val="214E3799"/>
    <w:rsid w:val="21D73792"/>
    <w:rsid w:val="22033D1C"/>
    <w:rsid w:val="2217626B"/>
    <w:rsid w:val="2233679A"/>
    <w:rsid w:val="224D1A01"/>
    <w:rsid w:val="227F3243"/>
    <w:rsid w:val="22857BB2"/>
    <w:rsid w:val="22A650E4"/>
    <w:rsid w:val="22AE5CB1"/>
    <w:rsid w:val="23023F9E"/>
    <w:rsid w:val="23103FE6"/>
    <w:rsid w:val="23612A60"/>
    <w:rsid w:val="23FF584D"/>
    <w:rsid w:val="24202FA0"/>
    <w:rsid w:val="2425685A"/>
    <w:rsid w:val="2452532C"/>
    <w:rsid w:val="2477022E"/>
    <w:rsid w:val="24A41392"/>
    <w:rsid w:val="24AF79E7"/>
    <w:rsid w:val="24B40F42"/>
    <w:rsid w:val="24BC54EC"/>
    <w:rsid w:val="24EB6AA1"/>
    <w:rsid w:val="25165AC7"/>
    <w:rsid w:val="258D1AFB"/>
    <w:rsid w:val="25BA0E73"/>
    <w:rsid w:val="25CB69FC"/>
    <w:rsid w:val="25D81889"/>
    <w:rsid w:val="26471689"/>
    <w:rsid w:val="265646FE"/>
    <w:rsid w:val="269C36FF"/>
    <w:rsid w:val="26BE34F0"/>
    <w:rsid w:val="26BF7C86"/>
    <w:rsid w:val="26E91234"/>
    <w:rsid w:val="276237A8"/>
    <w:rsid w:val="2776074B"/>
    <w:rsid w:val="27C300CA"/>
    <w:rsid w:val="27E45CB9"/>
    <w:rsid w:val="27F324C1"/>
    <w:rsid w:val="283E3CD4"/>
    <w:rsid w:val="284044D3"/>
    <w:rsid w:val="284C0682"/>
    <w:rsid w:val="286529C9"/>
    <w:rsid w:val="289860E1"/>
    <w:rsid w:val="28FB0F45"/>
    <w:rsid w:val="290441D9"/>
    <w:rsid w:val="294D58D2"/>
    <w:rsid w:val="29CE3CF8"/>
    <w:rsid w:val="2A2950FE"/>
    <w:rsid w:val="2A445D45"/>
    <w:rsid w:val="2A56763C"/>
    <w:rsid w:val="2A5B5463"/>
    <w:rsid w:val="2A847B89"/>
    <w:rsid w:val="2AA250D4"/>
    <w:rsid w:val="2AE41FC4"/>
    <w:rsid w:val="2AF27EE8"/>
    <w:rsid w:val="2B1B18D7"/>
    <w:rsid w:val="2B663EF2"/>
    <w:rsid w:val="2B6A40AD"/>
    <w:rsid w:val="2BB9750B"/>
    <w:rsid w:val="2BBB7DD4"/>
    <w:rsid w:val="2BF109F0"/>
    <w:rsid w:val="2BFA5278"/>
    <w:rsid w:val="2C0244F7"/>
    <w:rsid w:val="2C1365E9"/>
    <w:rsid w:val="2C7D570A"/>
    <w:rsid w:val="2CC51381"/>
    <w:rsid w:val="2CDA5C19"/>
    <w:rsid w:val="2CE42784"/>
    <w:rsid w:val="2D52407D"/>
    <w:rsid w:val="2DA04072"/>
    <w:rsid w:val="2DDC0DA9"/>
    <w:rsid w:val="2E037C76"/>
    <w:rsid w:val="2E1C2D50"/>
    <w:rsid w:val="2EB02B52"/>
    <w:rsid w:val="2F520F27"/>
    <w:rsid w:val="2F666452"/>
    <w:rsid w:val="2FC33F4C"/>
    <w:rsid w:val="2FCF25FE"/>
    <w:rsid w:val="2FFB4F4A"/>
    <w:rsid w:val="301C26FD"/>
    <w:rsid w:val="3028070E"/>
    <w:rsid w:val="302F055E"/>
    <w:rsid w:val="308429AD"/>
    <w:rsid w:val="30BA7258"/>
    <w:rsid w:val="30C12A0F"/>
    <w:rsid w:val="30C85DA1"/>
    <w:rsid w:val="30FF0771"/>
    <w:rsid w:val="3118158E"/>
    <w:rsid w:val="31526DC2"/>
    <w:rsid w:val="31A060DF"/>
    <w:rsid w:val="32002C9E"/>
    <w:rsid w:val="32367F58"/>
    <w:rsid w:val="326F51F6"/>
    <w:rsid w:val="326F73FB"/>
    <w:rsid w:val="32BE3073"/>
    <w:rsid w:val="32EF0D80"/>
    <w:rsid w:val="33042264"/>
    <w:rsid w:val="331D034F"/>
    <w:rsid w:val="334205C2"/>
    <w:rsid w:val="33FA1009"/>
    <w:rsid w:val="34163514"/>
    <w:rsid w:val="341F4EB2"/>
    <w:rsid w:val="34324DB1"/>
    <w:rsid w:val="343764E2"/>
    <w:rsid w:val="34404CA4"/>
    <w:rsid w:val="347E2DBF"/>
    <w:rsid w:val="34802092"/>
    <w:rsid w:val="349415D2"/>
    <w:rsid w:val="350357B6"/>
    <w:rsid w:val="356D4E6F"/>
    <w:rsid w:val="356E6D37"/>
    <w:rsid w:val="358637CB"/>
    <w:rsid w:val="359105E8"/>
    <w:rsid w:val="35BA5E24"/>
    <w:rsid w:val="35E57E6C"/>
    <w:rsid w:val="36086F35"/>
    <w:rsid w:val="369747CC"/>
    <w:rsid w:val="36C10205"/>
    <w:rsid w:val="36C429DD"/>
    <w:rsid w:val="36DB3C99"/>
    <w:rsid w:val="36DE7D61"/>
    <w:rsid w:val="37200048"/>
    <w:rsid w:val="376804C0"/>
    <w:rsid w:val="376D0FF4"/>
    <w:rsid w:val="37BD5176"/>
    <w:rsid w:val="37DD1059"/>
    <w:rsid w:val="381E1465"/>
    <w:rsid w:val="387119F2"/>
    <w:rsid w:val="387D67B2"/>
    <w:rsid w:val="38C45305"/>
    <w:rsid w:val="38DD29E1"/>
    <w:rsid w:val="38DF2326"/>
    <w:rsid w:val="390E33BA"/>
    <w:rsid w:val="39184A89"/>
    <w:rsid w:val="391C7F13"/>
    <w:rsid w:val="3967059A"/>
    <w:rsid w:val="39BE0A21"/>
    <w:rsid w:val="39C3006D"/>
    <w:rsid w:val="3A255080"/>
    <w:rsid w:val="3A422257"/>
    <w:rsid w:val="3A7E5C37"/>
    <w:rsid w:val="3AD51C65"/>
    <w:rsid w:val="3AF86D78"/>
    <w:rsid w:val="3B182C13"/>
    <w:rsid w:val="3B2F0F34"/>
    <w:rsid w:val="3B6563C1"/>
    <w:rsid w:val="3BA35895"/>
    <w:rsid w:val="3BE745AD"/>
    <w:rsid w:val="3C187054"/>
    <w:rsid w:val="3C7428A1"/>
    <w:rsid w:val="3D632815"/>
    <w:rsid w:val="3DF34B41"/>
    <w:rsid w:val="3E435713"/>
    <w:rsid w:val="3E6F38A3"/>
    <w:rsid w:val="3E7554C6"/>
    <w:rsid w:val="3E8072B0"/>
    <w:rsid w:val="3E81380C"/>
    <w:rsid w:val="3E8F544F"/>
    <w:rsid w:val="3EB0176C"/>
    <w:rsid w:val="3EB372B8"/>
    <w:rsid w:val="3EC47A6B"/>
    <w:rsid w:val="3F400D9C"/>
    <w:rsid w:val="3F6F612B"/>
    <w:rsid w:val="3F780868"/>
    <w:rsid w:val="3F9D7827"/>
    <w:rsid w:val="3FB3156E"/>
    <w:rsid w:val="400C3688"/>
    <w:rsid w:val="40301848"/>
    <w:rsid w:val="404D537E"/>
    <w:rsid w:val="407B7353"/>
    <w:rsid w:val="40852F02"/>
    <w:rsid w:val="408C5F1B"/>
    <w:rsid w:val="40AB0497"/>
    <w:rsid w:val="40B9143D"/>
    <w:rsid w:val="40C4642D"/>
    <w:rsid w:val="40D340D2"/>
    <w:rsid w:val="40F650DF"/>
    <w:rsid w:val="412F0974"/>
    <w:rsid w:val="414C1CB1"/>
    <w:rsid w:val="41710BEB"/>
    <w:rsid w:val="41B90F48"/>
    <w:rsid w:val="41BB42A0"/>
    <w:rsid w:val="41BB4416"/>
    <w:rsid w:val="421045E9"/>
    <w:rsid w:val="421E0158"/>
    <w:rsid w:val="42457501"/>
    <w:rsid w:val="424D6740"/>
    <w:rsid w:val="427E301C"/>
    <w:rsid w:val="42982302"/>
    <w:rsid w:val="42B371E2"/>
    <w:rsid w:val="42BE464C"/>
    <w:rsid w:val="42C2790E"/>
    <w:rsid w:val="42D121EE"/>
    <w:rsid w:val="43236469"/>
    <w:rsid w:val="43725E6E"/>
    <w:rsid w:val="43A559D8"/>
    <w:rsid w:val="43A97591"/>
    <w:rsid w:val="43BB0D19"/>
    <w:rsid w:val="43CB7585"/>
    <w:rsid w:val="43DF5027"/>
    <w:rsid w:val="43F74FBC"/>
    <w:rsid w:val="44082614"/>
    <w:rsid w:val="44391EA4"/>
    <w:rsid w:val="443E2003"/>
    <w:rsid w:val="446753C6"/>
    <w:rsid w:val="447545D7"/>
    <w:rsid w:val="44B62156"/>
    <w:rsid w:val="44C74085"/>
    <w:rsid w:val="44E0760E"/>
    <w:rsid w:val="44FD34CC"/>
    <w:rsid w:val="456E5943"/>
    <w:rsid w:val="45B133F9"/>
    <w:rsid w:val="45C14BA3"/>
    <w:rsid w:val="464C6278"/>
    <w:rsid w:val="467341A1"/>
    <w:rsid w:val="46763587"/>
    <w:rsid w:val="46C437D6"/>
    <w:rsid w:val="47104CBC"/>
    <w:rsid w:val="47173339"/>
    <w:rsid w:val="47185C16"/>
    <w:rsid w:val="4730791C"/>
    <w:rsid w:val="474B61E6"/>
    <w:rsid w:val="476301C5"/>
    <w:rsid w:val="478B797B"/>
    <w:rsid w:val="478C2E9C"/>
    <w:rsid w:val="479F5DE4"/>
    <w:rsid w:val="47A62A67"/>
    <w:rsid w:val="482F435B"/>
    <w:rsid w:val="48391CF7"/>
    <w:rsid w:val="48B77E7E"/>
    <w:rsid w:val="48BC2DE1"/>
    <w:rsid w:val="48F90270"/>
    <w:rsid w:val="491F6020"/>
    <w:rsid w:val="4921031A"/>
    <w:rsid w:val="492D15B8"/>
    <w:rsid w:val="4954230A"/>
    <w:rsid w:val="49766EA5"/>
    <w:rsid w:val="49792EDB"/>
    <w:rsid w:val="49B668C0"/>
    <w:rsid w:val="4A57109B"/>
    <w:rsid w:val="4A5B32C8"/>
    <w:rsid w:val="4A5F01BE"/>
    <w:rsid w:val="4A904863"/>
    <w:rsid w:val="4AB65AF9"/>
    <w:rsid w:val="4AD14F9E"/>
    <w:rsid w:val="4AD248C1"/>
    <w:rsid w:val="4AF869CF"/>
    <w:rsid w:val="4B0B04B0"/>
    <w:rsid w:val="4B3D194A"/>
    <w:rsid w:val="4B552E13"/>
    <w:rsid w:val="4B60569D"/>
    <w:rsid w:val="4B6C38AA"/>
    <w:rsid w:val="4B863FDA"/>
    <w:rsid w:val="4B876AE9"/>
    <w:rsid w:val="4BAE0355"/>
    <w:rsid w:val="4BBD6D91"/>
    <w:rsid w:val="4C1E6886"/>
    <w:rsid w:val="4C2C5D3D"/>
    <w:rsid w:val="4C312198"/>
    <w:rsid w:val="4C453E95"/>
    <w:rsid w:val="4C937900"/>
    <w:rsid w:val="4CC612B2"/>
    <w:rsid w:val="4CE0702B"/>
    <w:rsid w:val="4CEB1458"/>
    <w:rsid w:val="4CF12D9A"/>
    <w:rsid w:val="4D0D2BCA"/>
    <w:rsid w:val="4D123D00"/>
    <w:rsid w:val="4D3B592A"/>
    <w:rsid w:val="4D3E72D5"/>
    <w:rsid w:val="4D586129"/>
    <w:rsid w:val="4DB2059E"/>
    <w:rsid w:val="4DBE12BF"/>
    <w:rsid w:val="4DDA7116"/>
    <w:rsid w:val="4DF30E2D"/>
    <w:rsid w:val="4E3B3B02"/>
    <w:rsid w:val="4E4E4320"/>
    <w:rsid w:val="4E66332D"/>
    <w:rsid w:val="4EC93FD2"/>
    <w:rsid w:val="4EDD3C06"/>
    <w:rsid w:val="4EFB714D"/>
    <w:rsid w:val="4F24394F"/>
    <w:rsid w:val="4F8D1359"/>
    <w:rsid w:val="4FAB4C14"/>
    <w:rsid w:val="50025B4C"/>
    <w:rsid w:val="50AE6DAC"/>
    <w:rsid w:val="50BE3EB4"/>
    <w:rsid w:val="50C80BF1"/>
    <w:rsid w:val="510A4C33"/>
    <w:rsid w:val="515B3813"/>
    <w:rsid w:val="51600758"/>
    <w:rsid w:val="51732F43"/>
    <w:rsid w:val="51BC69A8"/>
    <w:rsid w:val="51CC7281"/>
    <w:rsid w:val="51F36B6D"/>
    <w:rsid w:val="523B2E15"/>
    <w:rsid w:val="524C47EB"/>
    <w:rsid w:val="52C63E4A"/>
    <w:rsid w:val="52E24755"/>
    <w:rsid w:val="52F061DD"/>
    <w:rsid w:val="53E83D39"/>
    <w:rsid w:val="53FC0D90"/>
    <w:rsid w:val="541B73F0"/>
    <w:rsid w:val="5432404E"/>
    <w:rsid w:val="54495741"/>
    <w:rsid w:val="545B1EBE"/>
    <w:rsid w:val="54856055"/>
    <w:rsid w:val="54A15EF3"/>
    <w:rsid w:val="54A17AFD"/>
    <w:rsid w:val="5501496A"/>
    <w:rsid w:val="55374EED"/>
    <w:rsid w:val="554161C7"/>
    <w:rsid w:val="55696DDA"/>
    <w:rsid w:val="55A751FA"/>
    <w:rsid w:val="561A51FB"/>
    <w:rsid w:val="564659E8"/>
    <w:rsid w:val="56781A69"/>
    <w:rsid w:val="56B162B8"/>
    <w:rsid w:val="56EF3FEE"/>
    <w:rsid w:val="56F35E44"/>
    <w:rsid w:val="575C6951"/>
    <w:rsid w:val="575D5764"/>
    <w:rsid w:val="578C63DF"/>
    <w:rsid w:val="57B45B76"/>
    <w:rsid w:val="5809536B"/>
    <w:rsid w:val="580D3184"/>
    <w:rsid w:val="58175C92"/>
    <w:rsid w:val="585A5481"/>
    <w:rsid w:val="587773AD"/>
    <w:rsid w:val="58DC2572"/>
    <w:rsid w:val="591405FA"/>
    <w:rsid w:val="59192C0D"/>
    <w:rsid w:val="59674D2C"/>
    <w:rsid w:val="598A533F"/>
    <w:rsid w:val="598E1C83"/>
    <w:rsid w:val="599B6F3C"/>
    <w:rsid w:val="59D33450"/>
    <w:rsid w:val="59FE6474"/>
    <w:rsid w:val="5A030895"/>
    <w:rsid w:val="5A837DE0"/>
    <w:rsid w:val="5A8A7D5E"/>
    <w:rsid w:val="5A9520D9"/>
    <w:rsid w:val="5AD21243"/>
    <w:rsid w:val="5B060FB7"/>
    <w:rsid w:val="5B844516"/>
    <w:rsid w:val="5B930C64"/>
    <w:rsid w:val="5C476EBF"/>
    <w:rsid w:val="5C9636F9"/>
    <w:rsid w:val="5C9A371B"/>
    <w:rsid w:val="5D26661C"/>
    <w:rsid w:val="5D4B2F91"/>
    <w:rsid w:val="5DA03AAA"/>
    <w:rsid w:val="5DD95E65"/>
    <w:rsid w:val="5DEB4E23"/>
    <w:rsid w:val="5E0D22F8"/>
    <w:rsid w:val="5E0F215D"/>
    <w:rsid w:val="5E671402"/>
    <w:rsid w:val="5ED730F4"/>
    <w:rsid w:val="5ED97561"/>
    <w:rsid w:val="5EDA0F44"/>
    <w:rsid w:val="5F051057"/>
    <w:rsid w:val="5F112D8A"/>
    <w:rsid w:val="5F313E26"/>
    <w:rsid w:val="5F3E7E31"/>
    <w:rsid w:val="5F411085"/>
    <w:rsid w:val="5F5C5326"/>
    <w:rsid w:val="606A72AE"/>
    <w:rsid w:val="606B4C2E"/>
    <w:rsid w:val="60D569BD"/>
    <w:rsid w:val="60F5583E"/>
    <w:rsid w:val="61534CCA"/>
    <w:rsid w:val="617838C4"/>
    <w:rsid w:val="61A41C53"/>
    <w:rsid w:val="61B15AAD"/>
    <w:rsid w:val="620E140D"/>
    <w:rsid w:val="62125E70"/>
    <w:rsid w:val="623576AB"/>
    <w:rsid w:val="624E1A7C"/>
    <w:rsid w:val="62E555BB"/>
    <w:rsid w:val="62F00823"/>
    <w:rsid w:val="631A1780"/>
    <w:rsid w:val="633C57D2"/>
    <w:rsid w:val="636B309F"/>
    <w:rsid w:val="63837DF9"/>
    <w:rsid w:val="638A5BE2"/>
    <w:rsid w:val="641B6429"/>
    <w:rsid w:val="642167B4"/>
    <w:rsid w:val="64822B3A"/>
    <w:rsid w:val="649A5F72"/>
    <w:rsid w:val="64B52FB5"/>
    <w:rsid w:val="64C33752"/>
    <w:rsid w:val="64C34B80"/>
    <w:rsid w:val="64D21F6A"/>
    <w:rsid w:val="64E92780"/>
    <w:rsid w:val="64EF2752"/>
    <w:rsid w:val="650B3FD7"/>
    <w:rsid w:val="65160CA9"/>
    <w:rsid w:val="653852A2"/>
    <w:rsid w:val="65B42D25"/>
    <w:rsid w:val="65C71F86"/>
    <w:rsid w:val="6638701E"/>
    <w:rsid w:val="665B1055"/>
    <w:rsid w:val="667A759A"/>
    <w:rsid w:val="66A34FF2"/>
    <w:rsid w:val="66C14058"/>
    <w:rsid w:val="66D17929"/>
    <w:rsid w:val="66F9482E"/>
    <w:rsid w:val="67352BF3"/>
    <w:rsid w:val="67465436"/>
    <w:rsid w:val="6763017E"/>
    <w:rsid w:val="67797E23"/>
    <w:rsid w:val="67822552"/>
    <w:rsid w:val="67DF1219"/>
    <w:rsid w:val="68232EB8"/>
    <w:rsid w:val="683E3A75"/>
    <w:rsid w:val="68AA3A01"/>
    <w:rsid w:val="68E12163"/>
    <w:rsid w:val="68EB6FC1"/>
    <w:rsid w:val="69490748"/>
    <w:rsid w:val="695E7366"/>
    <w:rsid w:val="697BBEB9"/>
    <w:rsid w:val="69CD3ED7"/>
    <w:rsid w:val="6A046C7D"/>
    <w:rsid w:val="6A171B28"/>
    <w:rsid w:val="6A1C601F"/>
    <w:rsid w:val="6A4D269B"/>
    <w:rsid w:val="6A601845"/>
    <w:rsid w:val="6A7A197D"/>
    <w:rsid w:val="6AC4030B"/>
    <w:rsid w:val="6ACF3DC7"/>
    <w:rsid w:val="6AF24656"/>
    <w:rsid w:val="6B1618BB"/>
    <w:rsid w:val="6B272C8C"/>
    <w:rsid w:val="6B4225E2"/>
    <w:rsid w:val="6B441DA0"/>
    <w:rsid w:val="6B8C1A04"/>
    <w:rsid w:val="6BCA5FEB"/>
    <w:rsid w:val="6BCD1C8E"/>
    <w:rsid w:val="6BF90031"/>
    <w:rsid w:val="6C315445"/>
    <w:rsid w:val="6C437B03"/>
    <w:rsid w:val="6C7401C1"/>
    <w:rsid w:val="6C761A2B"/>
    <w:rsid w:val="6C7C2B89"/>
    <w:rsid w:val="6CA31156"/>
    <w:rsid w:val="6CBB3437"/>
    <w:rsid w:val="6CE131BE"/>
    <w:rsid w:val="6CF21B49"/>
    <w:rsid w:val="6CF83DD4"/>
    <w:rsid w:val="6D167F4C"/>
    <w:rsid w:val="6D3632BC"/>
    <w:rsid w:val="6D825CDD"/>
    <w:rsid w:val="6E11085C"/>
    <w:rsid w:val="6E1B3DFB"/>
    <w:rsid w:val="6E3E13A5"/>
    <w:rsid w:val="6E5C6DBE"/>
    <w:rsid w:val="6F321DFD"/>
    <w:rsid w:val="6F4B7442"/>
    <w:rsid w:val="6F9775A3"/>
    <w:rsid w:val="6FEA1AD0"/>
    <w:rsid w:val="6FF735EA"/>
    <w:rsid w:val="701423F0"/>
    <w:rsid w:val="707E2AEB"/>
    <w:rsid w:val="70D3174E"/>
    <w:rsid w:val="70E76A1A"/>
    <w:rsid w:val="70FC7F91"/>
    <w:rsid w:val="7119733B"/>
    <w:rsid w:val="711E699F"/>
    <w:rsid w:val="7173087E"/>
    <w:rsid w:val="719C63DF"/>
    <w:rsid w:val="719F2E42"/>
    <w:rsid w:val="71D96859"/>
    <w:rsid w:val="720C017B"/>
    <w:rsid w:val="727F3840"/>
    <w:rsid w:val="72986411"/>
    <w:rsid w:val="72F15B5D"/>
    <w:rsid w:val="72F9325D"/>
    <w:rsid w:val="7358755E"/>
    <w:rsid w:val="73934A3E"/>
    <w:rsid w:val="73A67A5C"/>
    <w:rsid w:val="73BC23E0"/>
    <w:rsid w:val="73BF08D5"/>
    <w:rsid w:val="744C55F1"/>
    <w:rsid w:val="74502301"/>
    <w:rsid w:val="74614F7E"/>
    <w:rsid w:val="748C590E"/>
    <w:rsid w:val="748E6072"/>
    <w:rsid w:val="749444D3"/>
    <w:rsid w:val="74A86F1C"/>
    <w:rsid w:val="74C347FE"/>
    <w:rsid w:val="75330700"/>
    <w:rsid w:val="755171A3"/>
    <w:rsid w:val="7557416E"/>
    <w:rsid w:val="75BA2E02"/>
    <w:rsid w:val="75D92442"/>
    <w:rsid w:val="75F75C0E"/>
    <w:rsid w:val="761E5DBC"/>
    <w:rsid w:val="76591296"/>
    <w:rsid w:val="766678A5"/>
    <w:rsid w:val="766A7ED1"/>
    <w:rsid w:val="766D3B19"/>
    <w:rsid w:val="767C548D"/>
    <w:rsid w:val="76C13B94"/>
    <w:rsid w:val="775709F6"/>
    <w:rsid w:val="777A05E8"/>
    <w:rsid w:val="77C61D92"/>
    <w:rsid w:val="77D54546"/>
    <w:rsid w:val="77E75CD9"/>
    <w:rsid w:val="77EC5741"/>
    <w:rsid w:val="781B1D11"/>
    <w:rsid w:val="7834538E"/>
    <w:rsid w:val="784E5888"/>
    <w:rsid w:val="78751649"/>
    <w:rsid w:val="78B853B9"/>
    <w:rsid w:val="78BF2301"/>
    <w:rsid w:val="78E375C5"/>
    <w:rsid w:val="78E42B46"/>
    <w:rsid w:val="79287ADB"/>
    <w:rsid w:val="792923D3"/>
    <w:rsid w:val="793D5C03"/>
    <w:rsid w:val="79D815F5"/>
    <w:rsid w:val="79D835F4"/>
    <w:rsid w:val="79FA46C0"/>
    <w:rsid w:val="7A267A49"/>
    <w:rsid w:val="7A3364DC"/>
    <w:rsid w:val="7A346298"/>
    <w:rsid w:val="7A3525A4"/>
    <w:rsid w:val="7A3E5E06"/>
    <w:rsid w:val="7ABF59CF"/>
    <w:rsid w:val="7AC11246"/>
    <w:rsid w:val="7AC714F5"/>
    <w:rsid w:val="7ADC6EC3"/>
    <w:rsid w:val="7B0C233C"/>
    <w:rsid w:val="7B0E12F8"/>
    <w:rsid w:val="7B1E7E1D"/>
    <w:rsid w:val="7B3C3708"/>
    <w:rsid w:val="7B88337E"/>
    <w:rsid w:val="7B93417A"/>
    <w:rsid w:val="7BF662EE"/>
    <w:rsid w:val="7C5949A4"/>
    <w:rsid w:val="7C6E4CB3"/>
    <w:rsid w:val="7CBA6BA0"/>
    <w:rsid w:val="7CF758F8"/>
    <w:rsid w:val="7D374E65"/>
    <w:rsid w:val="7D780418"/>
    <w:rsid w:val="7DB75F0F"/>
    <w:rsid w:val="7DF693B9"/>
    <w:rsid w:val="7E152D0E"/>
    <w:rsid w:val="7E357290"/>
    <w:rsid w:val="7E373D2F"/>
    <w:rsid w:val="7E937D3E"/>
    <w:rsid w:val="7ED632FE"/>
    <w:rsid w:val="7EDB79E6"/>
    <w:rsid w:val="7F360E38"/>
    <w:rsid w:val="7F5F4B19"/>
    <w:rsid w:val="7F607AF5"/>
    <w:rsid w:val="7F631454"/>
    <w:rsid w:val="7F6B68AE"/>
    <w:rsid w:val="7F6C7FA9"/>
    <w:rsid w:val="D70C636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1"/>
    <w:basedOn w:val="1"/>
    <w:next w:val="1"/>
    <w:link w:val="37"/>
    <w:autoRedefine/>
    <w:qFormat/>
    <w:uiPriority w:val="0"/>
    <w:pPr>
      <w:keepNext/>
      <w:keepLines/>
      <w:numPr>
        <w:ilvl w:val="0"/>
        <w:numId w:val="1"/>
      </w:numPr>
      <w:spacing w:before="340" w:after="330" w:line="576" w:lineRule="auto"/>
      <w:outlineLvl w:val="0"/>
    </w:pPr>
    <w:rPr>
      <w:rFonts w:ascii="宋体" w:hAnsi="华文宋体"/>
      <w:b/>
      <w:kern w:val="44"/>
      <w:sz w:val="52"/>
      <w:szCs w:val="20"/>
    </w:rPr>
  </w:style>
  <w:style w:type="paragraph" w:styleId="4">
    <w:name w:val="heading 2"/>
    <w:basedOn w:val="1"/>
    <w:next w:val="1"/>
    <w:link w:val="39"/>
    <w:autoRedefine/>
    <w:qFormat/>
    <w:uiPriority w:val="0"/>
    <w:pPr>
      <w:keepNext/>
      <w:widowControl/>
      <w:numPr>
        <w:ilvl w:val="1"/>
        <w:numId w:val="1"/>
      </w:numPr>
      <w:spacing w:before="240" w:after="60"/>
      <w:jc w:val="left"/>
      <w:outlineLvl w:val="1"/>
    </w:pPr>
    <w:rPr>
      <w:rFonts w:ascii="Arial" w:hAnsi="Arial" w:eastAsia="华文宋体"/>
      <w:b/>
      <w:i/>
      <w:kern w:val="0"/>
      <w:sz w:val="28"/>
      <w:szCs w:val="20"/>
    </w:rPr>
  </w:style>
  <w:style w:type="paragraph" w:styleId="5">
    <w:name w:val="heading 3"/>
    <w:basedOn w:val="1"/>
    <w:next w:val="1"/>
    <w:link w:val="44"/>
    <w:autoRedefine/>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6">
    <w:name w:val="heading 4"/>
    <w:basedOn w:val="1"/>
    <w:next w:val="1"/>
    <w:link w:val="40"/>
    <w:autoRedefine/>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paragraph" w:styleId="7">
    <w:name w:val="heading 5"/>
    <w:basedOn w:val="1"/>
    <w:next w:val="1"/>
    <w:link w:val="35"/>
    <w:autoRedefine/>
    <w:qFormat/>
    <w:uiPriority w:val="0"/>
    <w:pPr>
      <w:widowControl/>
      <w:numPr>
        <w:ilvl w:val="4"/>
        <w:numId w:val="1"/>
      </w:numPr>
      <w:spacing w:before="240" w:after="60"/>
      <w:jc w:val="left"/>
      <w:outlineLvl w:val="4"/>
    </w:pPr>
    <w:rPr>
      <w:rFonts w:ascii="华文宋体" w:hAnsi="华文宋体" w:eastAsia="华文宋体"/>
      <w:b/>
      <w:i/>
      <w:kern w:val="0"/>
      <w:sz w:val="26"/>
      <w:szCs w:val="20"/>
    </w:rPr>
  </w:style>
  <w:style w:type="paragraph" w:styleId="8">
    <w:name w:val="heading 6"/>
    <w:basedOn w:val="1"/>
    <w:next w:val="1"/>
    <w:link w:val="38"/>
    <w:autoRedefine/>
    <w:qFormat/>
    <w:uiPriority w:val="0"/>
    <w:pPr>
      <w:widowControl/>
      <w:numPr>
        <w:ilvl w:val="5"/>
        <w:numId w:val="1"/>
      </w:numPr>
      <w:spacing w:before="240" w:after="60"/>
      <w:jc w:val="left"/>
      <w:outlineLvl w:val="5"/>
    </w:pPr>
    <w:rPr>
      <w:rFonts w:ascii="华文宋体" w:hAnsi="华文宋体" w:eastAsia="华文宋体"/>
      <w:b/>
      <w:kern w:val="0"/>
      <w:sz w:val="22"/>
      <w:szCs w:val="20"/>
    </w:rPr>
  </w:style>
  <w:style w:type="paragraph" w:styleId="9">
    <w:name w:val="heading 7"/>
    <w:basedOn w:val="1"/>
    <w:next w:val="1"/>
    <w:link w:val="36"/>
    <w:autoRedefine/>
    <w:qFormat/>
    <w:uiPriority w:val="0"/>
    <w:pPr>
      <w:widowControl/>
      <w:numPr>
        <w:ilvl w:val="6"/>
        <w:numId w:val="1"/>
      </w:numPr>
      <w:spacing w:before="240" w:after="60"/>
      <w:jc w:val="left"/>
      <w:outlineLvl w:val="6"/>
    </w:pPr>
    <w:rPr>
      <w:rFonts w:ascii="华文宋体" w:hAnsi="华文宋体" w:eastAsia="华文宋体"/>
      <w:kern w:val="0"/>
      <w:sz w:val="24"/>
      <w:szCs w:val="20"/>
    </w:rPr>
  </w:style>
  <w:style w:type="paragraph" w:styleId="10">
    <w:name w:val="heading 8"/>
    <w:basedOn w:val="1"/>
    <w:next w:val="1"/>
    <w:link w:val="42"/>
    <w:autoRedefine/>
    <w:qFormat/>
    <w:uiPriority w:val="0"/>
    <w:pPr>
      <w:widowControl/>
      <w:numPr>
        <w:ilvl w:val="7"/>
        <w:numId w:val="1"/>
      </w:numPr>
      <w:spacing w:before="240" w:after="60"/>
      <w:jc w:val="left"/>
      <w:outlineLvl w:val="7"/>
    </w:pPr>
    <w:rPr>
      <w:rFonts w:ascii="华文宋体" w:hAnsi="华文宋体" w:eastAsia="华文宋体"/>
      <w:i/>
      <w:kern w:val="0"/>
      <w:sz w:val="24"/>
      <w:szCs w:val="20"/>
    </w:rPr>
  </w:style>
  <w:style w:type="paragraph" w:styleId="11">
    <w:name w:val="heading 9"/>
    <w:basedOn w:val="1"/>
    <w:next w:val="1"/>
    <w:link w:val="43"/>
    <w:autoRedefine/>
    <w:qFormat/>
    <w:uiPriority w:val="0"/>
    <w:pPr>
      <w:widowControl/>
      <w:numPr>
        <w:ilvl w:val="8"/>
        <w:numId w:val="1"/>
      </w:numPr>
      <w:spacing w:before="240" w:after="60"/>
      <w:jc w:val="left"/>
      <w:outlineLvl w:val="8"/>
    </w:pPr>
    <w:rPr>
      <w:rFonts w:ascii="Arial" w:hAnsi="Arial" w:eastAsia="华文宋体"/>
      <w:kern w:val="0"/>
      <w:sz w:val="22"/>
      <w:szCs w:val="20"/>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adjustRightInd w:val="0"/>
      <w:spacing w:line="360" w:lineRule="atLeast"/>
      <w:ind w:firstLine="482"/>
      <w:textAlignment w:val="baseline"/>
    </w:pPr>
    <w:rPr>
      <w:rFonts w:eastAsia="宋体"/>
      <w:kern w:val="0"/>
      <w:sz w:val="24"/>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pPr>
      <w:spacing w:after="120"/>
    </w:pPr>
  </w:style>
  <w:style w:type="paragraph" w:styleId="14">
    <w:name w:val="Body Text Indent"/>
    <w:basedOn w:val="1"/>
    <w:next w:val="2"/>
    <w:autoRedefine/>
    <w:qFormat/>
    <w:uiPriority w:val="0"/>
    <w:pPr>
      <w:spacing w:line="520" w:lineRule="exact"/>
      <w:ind w:left="570"/>
    </w:pPr>
    <w:rPr>
      <w:rFonts w:ascii="方正仿宋简体" w:hAnsi="创艺简仿宋" w:eastAsia="方正仿宋简体" w:cs="Times New Roman"/>
      <w:sz w:val="24"/>
      <w:szCs w:val="20"/>
    </w:rPr>
  </w:style>
  <w:style w:type="paragraph" w:styleId="15">
    <w:name w:val="Plain Text"/>
    <w:basedOn w:val="1"/>
    <w:link w:val="41"/>
    <w:autoRedefine/>
    <w:unhideWhenUsed/>
    <w:qFormat/>
    <w:uiPriority w:val="0"/>
    <w:rPr>
      <w:rFonts w:ascii="宋体" w:hAnsi="Courier New"/>
      <w:szCs w:val="20"/>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line="360" w:lineRule="auto"/>
      <w:ind w:left="839" w:hanging="839" w:hangingChars="355"/>
    </w:pPr>
    <w:rPr>
      <w:b/>
      <w:kern w:val="0"/>
      <w:sz w:val="24"/>
    </w:rPr>
  </w:style>
  <w:style w:type="paragraph" w:styleId="18">
    <w:name w:val="footer"/>
    <w:basedOn w:val="1"/>
    <w:next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1">
    <w:name w:val="toc 6"/>
    <w:basedOn w:val="1"/>
    <w:next w:val="1"/>
    <w:qFormat/>
    <w:uiPriority w:val="0"/>
    <w:pPr>
      <w:ind w:left="2100" w:leftChars="1000"/>
    </w:p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autoRedefine/>
    <w:qFormat/>
    <w:uiPriority w:val="0"/>
    <w:pPr>
      <w:spacing w:before="240" w:after="60"/>
      <w:jc w:val="center"/>
      <w:outlineLvl w:val="0"/>
    </w:pPr>
    <w:rPr>
      <w:rFonts w:ascii="Arial" w:hAnsi="Arial" w:cs="Arial"/>
      <w:b/>
      <w:bCs/>
      <w:sz w:val="32"/>
      <w:szCs w:val="32"/>
    </w:rPr>
  </w:style>
  <w:style w:type="paragraph" w:styleId="25">
    <w:name w:val="Body Text First Indent"/>
    <w:basedOn w:val="13"/>
    <w:next w:val="21"/>
    <w:unhideWhenUsed/>
    <w:qFormat/>
    <w:uiPriority w:val="99"/>
    <w:pPr>
      <w:autoSpaceDE/>
      <w:autoSpaceDN/>
      <w:ind w:firstLine="420" w:firstLineChars="100"/>
      <w:jc w:val="both"/>
    </w:pPr>
    <w:rPr>
      <w:rFonts w:ascii="Calibri" w:hAnsi="Calibri" w:eastAsia="宋体" w:cs="Times New Roman"/>
      <w:kern w:val="2"/>
      <w:sz w:val="21"/>
      <w:lang w:val="en-US" w:bidi="ar-SA"/>
    </w:rPr>
  </w:style>
  <w:style w:type="paragraph" w:styleId="26">
    <w:name w:val="Body Text First Indent 2"/>
    <w:basedOn w:val="14"/>
    <w:next w:val="1"/>
    <w:autoRedefine/>
    <w:qFormat/>
    <w:uiPriority w:val="0"/>
    <w:pPr>
      <w:ind w:firstLine="420" w:firstLineChars="200"/>
    </w:pPr>
    <w:rPr>
      <w:rFonts w:ascii="Times New Roman" w:hAnsi="Times New Roman" w:eastAsia="宋体" w:cs="Times New Roman"/>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rFonts w:hint="eastAsia" w:ascii="宋体" w:hAnsi="宋体" w:eastAsia="宋体" w:cs="宋体"/>
      <w:color w:val="252525"/>
      <w:sz w:val="18"/>
      <w:szCs w:val="18"/>
      <w:u w:val="none"/>
    </w:rPr>
  </w:style>
  <w:style w:type="character" w:styleId="33">
    <w:name w:val="Hyperlink"/>
    <w:autoRedefine/>
    <w:qFormat/>
    <w:uiPriority w:val="0"/>
    <w:rPr>
      <w:rFonts w:hint="eastAsia" w:ascii="宋体" w:hAnsi="宋体" w:eastAsia="宋体" w:cs="宋体"/>
      <w:color w:val="252525"/>
      <w:sz w:val="18"/>
      <w:szCs w:val="18"/>
      <w:u w:val="none"/>
    </w:rPr>
  </w:style>
  <w:style w:type="paragraph" w:customStyle="1" w:styleId="34">
    <w:name w:val="表格文字"/>
    <w:basedOn w:val="1"/>
    <w:autoRedefine/>
    <w:qFormat/>
    <w:uiPriority w:val="0"/>
    <w:pPr>
      <w:jc w:val="left"/>
    </w:pPr>
    <w:rPr>
      <w:bCs/>
      <w:spacing w:val="10"/>
      <w:sz w:val="24"/>
    </w:rPr>
  </w:style>
  <w:style w:type="character" w:customStyle="1" w:styleId="35">
    <w:name w:val="标题 5 Char"/>
    <w:link w:val="7"/>
    <w:autoRedefine/>
    <w:semiHidden/>
    <w:qFormat/>
    <w:uiPriority w:val="0"/>
    <w:rPr>
      <w:rFonts w:ascii="华文宋体" w:hAnsi="华文宋体" w:eastAsia="华文宋体" w:cs="宋体"/>
      <w:b/>
      <w:i/>
      <w:sz w:val="26"/>
    </w:rPr>
  </w:style>
  <w:style w:type="character" w:customStyle="1" w:styleId="36">
    <w:name w:val="标题 7 Char"/>
    <w:link w:val="9"/>
    <w:autoRedefine/>
    <w:semiHidden/>
    <w:qFormat/>
    <w:uiPriority w:val="0"/>
    <w:rPr>
      <w:rFonts w:ascii="华文宋体" w:hAnsi="华文宋体" w:eastAsia="华文宋体"/>
      <w:sz w:val="24"/>
    </w:rPr>
  </w:style>
  <w:style w:type="character" w:customStyle="1" w:styleId="37">
    <w:name w:val="标题 1 Char"/>
    <w:link w:val="3"/>
    <w:autoRedefine/>
    <w:qFormat/>
    <w:uiPriority w:val="0"/>
    <w:rPr>
      <w:rFonts w:ascii="宋体" w:hAnsi="华文宋体" w:cs="宋体"/>
      <w:b/>
      <w:kern w:val="44"/>
      <w:sz w:val="52"/>
    </w:rPr>
  </w:style>
  <w:style w:type="character" w:customStyle="1" w:styleId="38">
    <w:name w:val="标题 6 Char"/>
    <w:link w:val="8"/>
    <w:autoRedefine/>
    <w:semiHidden/>
    <w:qFormat/>
    <w:uiPriority w:val="0"/>
    <w:rPr>
      <w:rFonts w:ascii="华文宋体" w:hAnsi="华文宋体" w:eastAsia="华文宋体" w:cs="宋体"/>
      <w:b/>
      <w:sz w:val="22"/>
    </w:rPr>
  </w:style>
  <w:style w:type="character" w:customStyle="1" w:styleId="39">
    <w:name w:val="标题 2 Char"/>
    <w:link w:val="4"/>
    <w:autoRedefine/>
    <w:semiHidden/>
    <w:qFormat/>
    <w:uiPriority w:val="0"/>
    <w:rPr>
      <w:rFonts w:ascii="Arial" w:hAnsi="Arial" w:eastAsia="华文宋体"/>
      <w:b/>
      <w:i/>
      <w:sz w:val="28"/>
    </w:rPr>
  </w:style>
  <w:style w:type="character" w:customStyle="1" w:styleId="40">
    <w:name w:val="标题 4 Char"/>
    <w:link w:val="6"/>
    <w:autoRedefine/>
    <w:semiHidden/>
    <w:qFormat/>
    <w:uiPriority w:val="0"/>
    <w:rPr>
      <w:rFonts w:ascii="华文宋体" w:hAnsi="华文宋体" w:eastAsia="华文宋体" w:cs="宋体"/>
      <w:sz w:val="24"/>
    </w:rPr>
  </w:style>
  <w:style w:type="character" w:customStyle="1" w:styleId="41">
    <w:name w:val="纯文本 Char"/>
    <w:link w:val="15"/>
    <w:autoRedefine/>
    <w:qFormat/>
    <w:uiPriority w:val="0"/>
    <w:rPr>
      <w:rFonts w:ascii="宋体" w:hAnsi="Courier New"/>
      <w:kern w:val="2"/>
      <w:sz w:val="21"/>
    </w:rPr>
  </w:style>
  <w:style w:type="character" w:customStyle="1" w:styleId="42">
    <w:name w:val="标题 8 Char"/>
    <w:link w:val="10"/>
    <w:autoRedefine/>
    <w:semiHidden/>
    <w:qFormat/>
    <w:uiPriority w:val="0"/>
    <w:rPr>
      <w:rFonts w:ascii="华文宋体" w:hAnsi="华文宋体" w:eastAsia="华文宋体"/>
      <w:i/>
      <w:sz w:val="24"/>
    </w:rPr>
  </w:style>
  <w:style w:type="character" w:customStyle="1" w:styleId="43">
    <w:name w:val="标题 9 Char"/>
    <w:link w:val="11"/>
    <w:autoRedefine/>
    <w:semiHidden/>
    <w:qFormat/>
    <w:uiPriority w:val="0"/>
    <w:rPr>
      <w:rFonts w:ascii="Arial" w:hAnsi="Arial" w:eastAsia="华文宋体"/>
      <w:sz w:val="22"/>
    </w:rPr>
  </w:style>
  <w:style w:type="character" w:customStyle="1" w:styleId="44">
    <w:name w:val="标题 3 Char"/>
    <w:link w:val="5"/>
    <w:autoRedefine/>
    <w:semiHidden/>
    <w:qFormat/>
    <w:uiPriority w:val="0"/>
    <w:rPr>
      <w:rFonts w:ascii="Arial" w:hAnsi="Arial" w:eastAsia="华文宋体"/>
      <w:b/>
      <w:sz w:val="26"/>
    </w:rPr>
  </w:style>
  <w:style w:type="paragraph" w:customStyle="1" w:styleId="45">
    <w:name w:val="样式 标题 4 + 行距: 固定值 20 磅"/>
    <w:basedOn w:val="6"/>
    <w:autoRedefine/>
    <w:qFormat/>
    <w:uiPriority w:val="0"/>
    <w:pPr>
      <w:keepNext w:val="0"/>
      <w:keepLines w:val="0"/>
      <w:numPr>
        <w:ilvl w:val="3"/>
        <w:numId w:val="0"/>
      </w:numPr>
      <w:tabs>
        <w:tab w:val="left" w:pos="-854"/>
        <w:tab w:val="left" w:pos="1800"/>
      </w:tabs>
      <w:spacing w:before="0" w:beforeLines="0" w:beforeAutospacing="0" w:after="0" w:afterLines="0" w:afterAutospacing="0" w:line="400" w:lineRule="exact"/>
      <w:ind w:left="540"/>
    </w:pPr>
    <w:rPr>
      <w:rFonts w:ascii="Times New Roman" w:hAnsi="Times New Roman" w:eastAsia="宋体"/>
      <w:color w:val="000000"/>
      <w:sz w:val="24"/>
    </w:rPr>
  </w:style>
  <w:style w:type="paragraph" w:customStyle="1" w:styleId="46">
    <w:name w:val="采购二级"/>
    <w:autoRedefine/>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47">
    <w:name w:val="2级标题"/>
    <w:basedOn w:val="1"/>
    <w:autoRedefine/>
    <w:qFormat/>
    <w:uiPriority w:val="0"/>
    <w:pPr>
      <w:keepLines/>
      <w:widowControl/>
      <w:spacing w:before="240" w:after="120" w:line="360" w:lineRule="auto"/>
      <w:contextualSpacing/>
      <w:jc w:val="left"/>
      <w:outlineLvl w:val="1"/>
    </w:pPr>
    <w:rPr>
      <w:rFonts w:ascii="宋体" w:hAnsi="宋体" w:eastAsia="Times New Roman" w:cs="宋体"/>
      <w:b/>
      <w:kern w:val="0"/>
      <w:sz w:val="32"/>
      <w:szCs w:val="36"/>
      <w:lang w:eastAsia="en-US" w:bidi="en-US"/>
    </w:rPr>
  </w:style>
  <w:style w:type="paragraph" w:customStyle="1" w:styleId="48">
    <w:name w:val="列出段落1"/>
    <w:basedOn w:val="1"/>
    <w:autoRedefine/>
    <w:qFormat/>
    <w:uiPriority w:val="0"/>
    <w:pPr>
      <w:ind w:firstLine="200" w:firstLineChars="200"/>
    </w:pPr>
    <w:rPr>
      <w:szCs w:val="21"/>
    </w:rPr>
  </w:style>
  <w:style w:type="paragraph" w:customStyle="1" w:styleId="49">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styleId="50">
    <w:name w:val="List Paragraph"/>
    <w:basedOn w:val="1"/>
    <w:autoRedefine/>
    <w:qFormat/>
    <w:uiPriority w:val="34"/>
    <w:pPr>
      <w:ind w:firstLine="420" w:firstLineChars="200"/>
    </w:pPr>
  </w:style>
  <w:style w:type="paragraph" w:customStyle="1" w:styleId="51">
    <w:name w:val="Bid_正文"/>
    <w:basedOn w:val="2"/>
    <w:autoRedefine/>
    <w:qFormat/>
    <w:uiPriority w:val="0"/>
    <w:pPr>
      <w:spacing w:line="360" w:lineRule="auto"/>
      <w:ind w:firstLine="480"/>
    </w:pPr>
    <w:rPr>
      <w:rFonts w:ascii="Times New Roman" w:hAnsi="Times New Roman"/>
      <w:sz w:val="24"/>
    </w:rPr>
  </w:style>
  <w:style w:type="paragraph" w:customStyle="1" w:styleId="52">
    <w:name w:val="标准正文样式"/>
    <w:basedOn w:val="1"/>
    <w:autoRedefine/>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53">
    <w:name w:val="采购正文"/>
    <w:basedOn w:val="1"/>
    <w:autoRedefine/>
    <w:qFormat/>
    <w:uiPriority w:val="0"/>
    <w:pPr>
      <w:widowControl/>
      <w:snapToGrid w:val="0"/>
      <w:spacing w:line="560" w:lineRule="exact"/>
      <w:ind w:firstLine="200" w:firstLineChars="200"/>
      <w:jc w:val="left"/>
    </w:pPr>
    <w:rPr>
      <w:rFonts w:ascii="仿宋" w:hAnsi="Times New Roman" w:eastAsia="仿宋"/>
      <w:sz w:val="24"/>
      <w:szCs w:val="24"/>
    </w:rPr>
  </w:style>
  <w:style w:type="paragraph" w:customStyle="1" w:styleId="54">
    <w:name w:val="List Paragraph1"/>
    <w:basedOn w:val="1"/>
    <w:autoRedefine/>
    <w:qFormat/>
    <w:uiPriority w:val="0"/>
    <w:pPr>
      <w:ind w:firstLine="420" w:firstLineChars="200"/>
    </w:pPr>
  </w:style>
  <w:style w:type="paragraph" w:customStyle="1" w:styleId="55">
    <w:name w:val="Default"/>
    <w:autoRedefine/>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character" w:customStyle="1" w:styleId="56">
    <w:name w:val="样式 宋体 四号"/>
    <w:autoRedefine/>
    <w:qFormat/>
    <w:uiPriority w:val="0"/>
    <w:rPr>
      <w:rFonts w:ascii="宋体" w:hAnsi="宋体" w:eastAsia="仿宋_GB2312"/>
      <w:sz w:val="28"/>
    </w:rPr>
  </w:style>
  <w:style w:type="paragraph" w:customStyle="1" w:styleId="57">
    <w:name w:val="Instruction - Caution"/>
    <w:basedOn w:val="13"/>
    <w:autoRedefine/>
    <w:qFormat/>
    <w:uiPriority w:val="0"/>
    <w:pPr>
      <w:widowControl/>
      <w:spacing w:before="60" w:after="60" w:line="200" w:lineRule="atLeast"/>
      <w:jc w:val="left"/>
    </w:pPr>
    <w:rPr>
      <w:rFonts w:ascii="Arial" w:hAnsi="Arial"/>
      <w:color w:val="000000"/>
      <w:kern w:val="0"/>
      <w:sz w:val="16"/>
      <w:szCs w:val="20"/>
      <w:lang w:eastAsia="en-US"/>
    </w:rPr>
  </w:style>
  <w:style w:type="paragraph" w:customStyle="1" w:styleId="58">
    <w:name w:val="K&amp;W heading 1"/>
    <w:basedOn w:val="1"/>
    <w:next w:val="59"/>
    <w:autoRedefine/>
    <w:qFormat/>
    <w:uiPriority w:val="0"/>
    <w:pPr>
      <w:numPr>
        <w:ilvl w:val="0"/>
        <w:numId w:val="2"/>
      </w:numPr>
      <w:spacing w:after="360" w:line="320" w:lineRule="exact"/>
      <w:outlineLvl w:val="0"/>
    </w:pPr>
    <w:rPr>
      <w:rFonts w:ascii="Arial" w:hAnsi="Arial" w:eastAsia="楷体_GB2312"/>
      <w:b/>
      <w:kern w:val="0"/>
      <w:sz w:val="28"/>
      <w:szCs w:val="20"/>
      <w:lang w:eastAsia="en-US"/>
    </w:rPr>
  </w:style>
  <w:style w:type="paragraph" w:customStyle="1" w:styleId="59">
    <w:name w:val="K&amp;W heading 2"/>
    <w:basedOn w:val="1"/>
    <w:autoRedefine/>
    <w:qFormat/>
    <w:uiPriority w:val="0"/>
    <w:pPr>
      <w:numPr>
        <w:ilvl w:val="1"/>
        <w:numId w:val="2"/>
      </w:numPr>
      <w:spacing w:after="360" w:line="320" w:lineRule="exact"/>
      <w:outlineLvl w:val="1"/>
    </w:pPr>
    <w:rPr>
      <w:rFonts w:ascii="Arial" w:hAnsi="Arial" w:eastAsia="楷体_GB2312"/>
      <w:kern w:val="0"/>
      <w:sz w:val="24"/>
      <w:szCs w:val="20"/>
      <w:lang w:eastAsia="en-US"/>
    </w:rPr>
  </w:style>
  <w:style w:type="character" w:customStyle="1" w:styleId="60">
    <w:name w:val="font21"/>
    <w:basedOn w:val="29"/>
    <w:autoRedefine/>
    <w:qFormat/>
    <w:uiPriority w:val="0"/>
    <w:rPr>
      <w:rFonts w:hint="eastAsia" w:ascii="宋体" w:hAnsi="宋体" w:eastAsia="宋体" w:cs="宋体"/>
      <w:color w:val="000000"/>
      <w:sz w:val="24"/>
      <w:szCs w:val="24"/>
      <w:u w:val="none"/>
    </w:rPr>
  </w:style>
  <w:style w:type="character" w:customStyle="1" w:styleId="61">
    <w:name w:val="font31"/>
    <w:basedOn w:val="29"/>
    <w:autoRedefine/>
    <w:qFormat/>
    <w:uiPriority w:val="0"/>
    <w:rPr>
      <w:rFonts w:ascii="仿宋" w:hAnsi="仿宋" w:eastAsia="仿宋" w:cs="仿宋"/>
      <w:color w:val="000000"/>
      <w:sz w:val="24"/>
      <w:szCs w:val="24"/>
      <w:u w:val="none"/>
    </w:rPr>
  </w:style>
  <w:style w:type="character" w:customStyle="1" w:styleId="62">
    <w:name w:val="font101"/>
    <w:basedOn w:val="29"/>
    <w:autoRedefine/>
    <w:qFormat/>
    <w:uiPriority w:val="0"/>
    <w:rPr>
      <w:rFonts w:hint="eastAsia" w:ascii="宋体" w:hAnsi="宋体" w:eastAsia="宋体" w:cs="宋体"/>
      <w:b/>
      <w:bCs/>
      <w:color w:val="000000"/>
      <w:sz w:val="24"/>
      <w:szCs w:val="24"/>
      <w:u w:val="none"/>
    </w:rPr>
  </w:style>
  <w:style w:type="character" w:customStyle="1" w:styleId="63">
    <w:name w:val="font41"/>
    <w:basedOn w:val="29"/>
    <w:autoRedefine/>
    <w:qFormat/>
    <w:uiPriority w:val="0"/>
    <w:rPr>
      <w:rFonts w:hint="eastAsia" w:ascii="宋体" w:hAnsi="宋体" w:eastAsia="宋体" w:cs="宋体"/>
      <w:color w:val="000000"/>
      <w:sz w:val="22"/>
      <w:szCs w:val="22"/>
      <w:u w:val="none"/>
    </w:rPr>
  </w:style>
  <w:style w:type="character" w:customStyle="1" w:styleId="64">
    <w:name w:val="font112"/>
    <w:basedOn w:val="29"/>
    <w:autoRedefine/>
    <w:qFormat/>
    <w:uiPriority w:val="0"/>
    <w:rPr>
      <w:rFonts w:ascii="Arial" w:hAnsi="Arial" w:cs="Arial"/>
      <w:color w:val="000000"/>
      <w:sz w:val="22"/>
      <w:szCs w:val="22"/>
      <w:u w:val="none"/>
    </w:rPr>
  </w:style>
  <w:style w:type="character" w:customStyle="1" w:styleId="65">
    <w:name w:val="font11"/>
    <w:basedOn w:val="29"/>
    <w:autoRedefine/>
    <w:qFormat/>
    <w:uiPriority w:val="0"/>
    <w:rPr>
      <w:rFonts w:hint="eastAsia" w:ascii="宋体" w:hAnsi="宋体" w:eastAsia="宋体" w:cs="宋体"/>
      <w:color w:val="000000"/>
      <w:sz w:val="24"/>
      <w:szCs w:val="24"/>
      <w:u w:val="none"/>
    </w:rPr>
  </w:style>
  <w:style w:type="character" w:customStyle="1" w:styleId="66">
    <w:name w:val="font01"/>
    <w:basedOn w:val="29"/>
    <w:autoRedefine/>
    <w:qFormat/>
    <w:uiPriority w:val="0"/>
    <w:rPr>
      <w:rFonts w:ascii="仿宋" w:hAnsi="仿宋" w:eastAsia="仿宋" w:cs="仿宋"/>
      <w:color w:val="000000"/>
      <w:sz w:val="24"/>
      <w:szCs w:val="24"/>
      <w:u w:val="none"/>
    </w:rPr>
  </w:style>
  <w:style w:type="character" w:customStyle="1" w:styleId="67">
    <w:name w:val="font51"/>
    <w:basedOn w:val="29"/>
    <w:autoRedefine/>
    <w:qFormat/>
    <w:uiPriority w:val="0"/>
    <w:rPr>
      <w:rFonts w:hint="eastAsia" w:ascii="宋体" w:hAnsi="宋体" w:eastAsia="宋体" w:cs="宋体"/>
      <w:color w:val="000000"/>
      <w:sz w:val="22"/>
      <w:szCs w:val="22"/>
      <w:u w:val="none"/>
    </w:rPr>
  </w:style>
  <w:style w:type="character" w:customStyle="1" w:styleId="68">
    <w:name w:val="font121"/>
    <w:basedOn w:val="29"/>
    <w:autoRedefine/>
    <w:qFormat/>
    <w:uiPriority w:val="0"/>
    <w:rPr>
      <w:rFonts w:ascii="Arial" w:hAnsi="Arial" w:cs="Arial"/>
      <w:color w:val="000000"/>
      <w:sz w:val="22"/>
      <w:szCs w:val="22"/>
      <w:u w:val="none"/>
    </w:rPr>
  </w:style>
  <w:style w:type="paragraph" w:customStyle="1" w:styleId="69">
    <w:name w:val="Table Text"/>
    <w:basedOn w:val="1"/>
    <w:semiHidden/>
    <w:qFormat/>
    <w:uiPriority w:val="0"/>
    <w:rPr>
      <w:rFonts w:ascii="仿宋" w:hAnsi="仿宋" w:eastAsia="仿宋" w:cs="仿宋"/>
      <w:sz w:val="23"/>
      <w:szCs w:val="23"/>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Item List in Table"/>
    <w:basedOn w:val="1"/>
    <w:qFormat/>
    <w:uiPriority w:val="0"/>
    <w:pPr>
      <w:numPr>
        <w:ilvl w:val="0"/>
        <w:numId w:val="3"/>
      </w:numPr>
      <w:tabs>
        <w:tab w:val="left" w:pos="420"/>
        <w:tab w:val="clear" w:pos="960"/>
      </w:tabs>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37</Pages>
  <Words>16440</Words>
  <Characters>17458</Characters>
  <Lines>148</Lines>
  <Paragraphs>41</Paragraphs>
  <TotalTime>10</TotalTime>
  <ScaleCrop>false</ScaleCrop>
  <LinksUpToDate>false</LinksUpToDate>
  <CharactersWithSpaces>18565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2015-12-11T19:12:00Z</dcterms:created>
  <dc:creator>Administrator</dc:creator>
  <cp:lastModifiedBy>xqrc</cp:lastModifiedBy>
  <cp:lastPrinted>2024-07-31T02:15:00Z</cp:lastPrinted>
  <dcterms:modified xsi:type="dcterms:W3CDTF">2025-06-24T10:43:20Z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27F1E9FDE8814D68BED9CE2BFEAFFE0E_13</vt:lpwstr>
  </property>
  <property fmtid="{D5CDD505-2E9C-101B-9397-08002B2CF9AE}" pid="4" name="KSOTemplateDocerSaveRecord">
    <vt:lpwstr>eyJoZGlkIjoiZjkwZTlmMjg4ZmVjZDc0ZDdlZTk0MzBiODI4NTMzZTciLCJ1c2VySWQiOiIyMTc1OTk2In0=</vt:lpwstr>
  </property>
</Properties>
</file>