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0"/>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pPr>
        <w:pStyle w:val="18"/>
        <w:ind w:firstLine="0"/>
        <w:rPr>
          <w:rFonts w:hint="eastAsia" w:ascii="宋体" w:hAnsi="宋体" w:eastAsia="宋体" w:cs="宋体"/>
          <w:b/>
          <w:bCs/>
          <w:color w:val="auto"/>
          <w:sz w:val="32"/>
          <w:highlight w:val="none"/>
        </w:rPr>
      </w:pPr>
    </w:p>
    <w:p>
      <w:pPr>
        <w:pStyle w:val="18"/>
        <w:ind w:firstLine="0"/>
        <w:jc w:val="both"/>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项目名称：新疆财经大学（北校区）多媒体教室</w:t>
      </w:r>
      <w:r>
        <w:rPr>
          <w:rFonts w:hint="eastAsia" w:ascii="宋体" w:hAnsi="宋体" w:eastAsia="宋体" w:cs="宋体"/>
          <w:b/>
          <w:bCs/>
          <w:color w:val="auto"/>
          <w:sz w:val="32"/>
          <w:highlight w:val="none"/>
          <w:lang w:val="en-US" w:eastAsia="zh-CN"/>
        </w:rPr>
        <w:t>桌</w:t>
      </w:r>
      <w:r>
        <w:rPr>
          <w:rFonts w:hint="eastAsia" w:ascii="宋体" w:hAnsi="宋体" w:eastAsia="宋体" w:cs="宋体"/>
          <w:b/>
          <w:bCs/>
          <w:color w:val="auto"/>
          <w:sz w:val="32"/>
          <w:highlight w:val="none"/>
        </w:rPr>
        <w:t>椅及讲台采购项目</w:t>
      </w:r>
    </w:p>
    <w:p>
      <w:pPr>
        <w:pStyle w:val="18"/>
        <w:ind w:firstLine="0"/>
        <w:jc w:val="both"/>
        <w:rPr>
          <w:rFonts w:hint="default"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项目编号：GK202</w:t>
      </w:r>
      <w:r>
        <w:rPr>
          <w:rFonts w:hint="eastAsia" w:ascii="宋体" w:hAnsi="宋体" w:eastAsia="宋体" w:cs="宋体"/>
          <w:b/>
          <w:bCs/>
          <w:color w:val="auto"/>
          <w:sz w:val="32"/>
          <w:highlight w:val="none"/>
          <w:lang w:val="en-US" w:eastAsia="zh-CN"/>
        </w:rPr>
        <w:t>5</w:t>
      </w:r>
      <w:r>
        <w:rPr>
          <w:rFonts w:hint="eastAsia" w:ascii="宋体" w:hAnsi="宋体" w:eastAsia="宋体" w:cs="宋体"/>
          <w:b/>
          <w:bCs/>
          <w:color w:val="auto"/>
          <w:sz w:val="32"/>
          <w:highlight w:val="none"/>
        </w:rPr>
        <w:t>-</w:t>
      </w:r>
      <w:r>
        <w:rPr>
          <w:rFonts w:hint="eastAsia" w:ascii="宋体" w:hAnsi="宋体" w:cs="宋体"/>
          <w:b/>
          <w:bCs/>
          <w:color w:val="auto"/>
          <w:sz w:val="32"/>
          <w:highlight w:val="none"/>
          <w:lang w:val="en-US" w:eastAsia="zh-CN"/>
        </w:rPr>
        <w:t>150</w:t>
      </w:r>
    </w:p>
    <w:p>
      <w:pPr>
        <w:pStyle w:val="18"/>
        <w:spacing w:before="0" w:after="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bl>
      <w:tblPr>
        <w:tblStyle w:val="14"/>
        <w:tblpPr w:leftFromText="180" w:rightFromText="180" w:vertAnchor="page" w:horzAnchor="margin" w:tblpY="78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审核意见</w:t>
            </w:r>
          </w:p>
        </w:tc>
        <w:tc>
          <w:tcPr>
            <w:tcW w:w="8161" w:type="dxa"/>
            <w:noWrap w:val="0"/>
            <w:vAlign w:val="top"/>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rPr>
                <w:rFonts w:hint="eastAsia" w:ascii="宋体" w:hAnsi="宋体" w:eastAsia="宋体" w:cs="宋体"/>
                <w:color w:val="auto"/>
                <w:sz w:val="28"/>
                <w:szCs w:val="28"/>
                <w:highlight w:val="none"/>
              </w:rPr>
            </w:pPr>
          </w:p>
          <w:p>
            <w:pPr>
              <w:ind w:firstLine="4620" w:firstLineChars="1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采购人签章：</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现场监督部</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审核意见</w:t>
            </w:r>
          </w:p>
        </w:tc>
        <w:tc>
          <w:tcPr>
            <w:tcW w:w="8161" w:type="dxa"/>
            <w:noWrap w:val="0"/>
            <w:vAlign w:val="top"/>
          </w:tcPr>
          <w:p>
            <w:pPr>
              <w:ind w:firstLine="4620" w:firstLineChars="1650"/>
              <w:rPr>
                <w:rFonts w:hint="eastAsia" w:ascii="宋体" w:hAnsi="宋体" w:eastAsia="宋体" w:cs="宋体"/>
                <w:color w:val="auto"/>
                <w:sz w:val="28"/>
                <w:szCs w:val="28"/>
                <w:highlight w:val="none"/>
              </w:rPr>
            </w:pPr>
          </w:p>
          <w:p>
            <w:pPr>
              <w:ind w:firstLine="4620" w:firstLineChars="1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审核人签章：</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年  月  日</w:t>
            </w:r>
          </w:p>
        </w:tc>
      </w:tr>
    </w:tbl>
    <w:p>
      <w:pPr>
        <w:pStyle w:val="18"/>
        <w:ind w:firstLine="0"/>
        <w:jc w:val="center"/>
        <w:rPr>
          <w:rFonts w:hint="eastAsia" w:ascii="宋体" w:hAnsi="宋体" w:eastAsia="宋体" w:cs="宋体"/>
          <w:b/>
          <w:bCs/>
          <w:color w:val="auto"/>
          <w:sz w:val="32"/>
          <w:highlight w:val="none"/>
        </w:rPr>
      </w:pPr>
    </w:p>
    <w:p>
      <w:pPr>
        <w:pStyle w:val="18"/>
        <w:ind w:firstLine="0"/>
        <w:jc w:val="center"/>
        <w:rPr>
          <w:rFonts w:hint="eastAsia" w:ascii="宋体" w:hAnsi="宋体" w:eastAsia="宋体" w:cs="宋体"/>
          <w:b/>
          <w:bCs/>
          <w:color w:val="auto"/>
          <w:sz w:val="32"/>
          <w:highlight w:val="none"/>
        </w:rPr>
      </w:pPr>
    </w:p>
    <w:p>
      <w:pPr>
        <w:pStyle w:val="18"/>
        <w:ind w:firstLine="0"/>
        <w:jc w:val="center"/>
        <w:rPr>
          <w:rFonts w:hint="eastAsia" w:ascii="宋体" w:hAnsi="宋体" w:eastAsia="宋体" w:cs="宋体"/>
          <w:b/>
          <w:bCs/>
          <w:color w:val="auto"/>
          <w:sz w:val="32"/>
          <w:highlight w:val="none"/>
        </w:rPr>
      </w:pPr>
    </w:p>
    <w:p>
      <w:pPr>
        <w:pStyle w:val="18"/>
        <w:ind w:firstLine="0"/>
        <w:jc w:val="center"/>
        <w:rPr>
          <w:rFonts w:hint="eastAsia" w:ascii="宋体" w:hAnsi="宋体" w:eastAsia="宋体" w:cs="宋体"/>
          <w:b/>
          <w:bCs/>
          <w:color w:val="auto"/>
          <w:sz w:val="32"/>
          <w:highlight w:val="none"/>
        </w:rPr>
      </w:pPr>
    </w:p>
    <w:p>
      <w:pPr>
        <w:pStyle w:val="18"/>
        <w:ind w:firstLine="0"/>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新疆维吾尔自治区政务服务和公共资源交易中心</w:t>
      </w:r>
    </w:p>
    <w:p>
      <w:pPr>
        <w:pStyle w:val="18"/>
        <w:ind w:firstLine="0"/>
        <w:jc w:val="center"/>
        <w:rPr>
          <w:rFonts w:hint="eastAsia" w:ascii="宋体" w:hAnsi="宋体" w:eastAsia="宋体" w:cs="宋体"/>
          <w:color w:val="auto"/>
          <w:highlight w:val="none"/>
        </w:rPr>
      </w:pPr>
      <w:r>
        <w:rPr>
          <w:rFonts w:hint="eastAsia" w:ascii="宋体" w:hAnsi="宋体" w:eastAsia="宋体" w:cs="宋体"/>
          <w:b/>
          <w:bCs/>
          <w:color w:val="auto"/>
          <w:sz w:val="32"/>
          <w:highlight w:val="none"/>
          <w:lang w:val="en-US" w:eastAsia="zh-CN"/>
        </w:rPr>
        <w:t>2025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lang w:val="en-US" w:eastAsia="zh-CN"/>
        </w:rPr>
        <w:t>7</w:t>
      </w:r>
      <w:r>
        <w:rPr>
          <w:rFonts w:hint="eastAsia" w:ascii="宋体" w:hAnsi="宋体" w:eastAsia="宋体" w:cs="宋体"/>
          <w:b/>
          <w:bCs/>
          <w:color w:val="auto"/>
          <w:sz w:val="32"/>
          <w:highlight w:val="none"/>
        </w:rPr>
        <w:t>月</w:t>
      </w:r>
      <w:r>
        <w:rPr>
          <w:rFonts w:hint="eastAsia" w:ascii="宋体" w:hAnsi="宋体" w:cs="宋体"/>
          <w:b/>
          <w:bCs/>
          <w:color w:val="auto"/>
          <w:sz w:val="32"/>
          <w:highlight w:val="none"/>
          <w:lang w:val="en-US" w:eastAsia="zh-CN"/>
        </w:rPr>
        <w:t>7</w:t>
      </w:r>
      <w:r>
        <w:rPr>
          <w:rFonts w:hint="eastAsia" w:ascii="宋体" w:hAnsi="宋体" w:eastAsia="宋体" w:cs="宋体"/>
          <w:b/>
          <w:bCs/>
          <w:color w:val="auto"/>
          <w:sz w:val="32"/>
          <w:highlight w:val="none"/>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0" w:name="_Toc120614210"/>
      <w:bookmarkStart w:id="1" w:name="_Toc494375077"/>
      <w:bookmarkStart w:id="2" w:name="_Toc16938516"/>
      <w:bookmarkStart w:id="3" w:name="_Toc513029200"/>
      <w:bookmarkStart w:id="4" w:name="_Toc20823272"/>
      <w:bookmarkStart w:id="5" w:name="_Toc479757206"/>
      <w:bookmarkStart w:id="6" w:name="_Toc523127445"/>
    </w:p>
    <w:p>
      <w:pPr>
        <w:pStyle w:val="19"/>
        <w:jc w:val="center"/>
        <w:rPr>
          <w:rFonts w:hint="eastAsia" w:ascii="宋体" w:hAnsi="宋体" w:eastAsia="宋体" w:cs="宋体"/>
          <w:b w:val="0"/>
          <w:color w:val="auto"/>
          <w:sz w:val="44"/>
          <w:highlight w:val="none"/>
        </w:rPr>
      </w:pPr>
      <w:r>
        <w:rPr>
          <w:rFonts w:hint="eastAsia" w:ascii="宋体" w:hAnsi="宋体" w:eastAsia="宋体" w:cs="宋体"/>
          <w:b w:val="0"/>
          <w:color w:val="auto"/>
          <w:sz w:val="44"/>
          <w:highlight w:val="none"/>
        </w:rPr>
        <w:t>总  目  录</w:t>
      </w:r>
    </w:p>
    <w:p>
      <w:pPr>
        <w:rPr>
          <w:rFonts w:hint="eastAsia" w:ascii="宋体" w:hAnsi="宋体" w:eastAsia="宋体" w:cs="宋体"/>
          <w:color w:val="auto"/>
          <w:sz w:val="28"/>
          <w:szCs w:val="28"/>
          <w:highlight w:val="none"/>
        </w:rPr>
      </w:pPr>
    </w:p>
    <w:p>
      <w:pPr>
        <w:pStyle w:val="12"/>
        <w:tabs>
          <w:tab w:val="right" w:leader="dot" w:pos="8943"/>
        </w:tabs>
        <w:rPr>
          <w:rFonts w:hint="eastAsia" w:ascii="宋体" w:hAnsi="宋体" w:eastAsia="宋体" w:cs="宋体"/>
          <w:smallCaps w:val="0"/>
          <w:color w:val="auto"/>
          <w:sz w:val="36"/>
          <w:szCs w:val="36"/>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6"/>
          <w:szCs w:val="36"/>
          <w:highlight w:val="none"/>
        </w:rPr>
        <w:fldChar w:fldCharType="begin"/>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instrText xml:space="preserve">HYPERLINK \l "_Toc534816625"</w:instrText>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fldChar w:fldCharType="separate"/>
      </w:r>
      <w:r>
        <w:rPr>
          <w:rStyle w:val="17"/>
          <w:rFonts w:hint="eastAsia" w:ascii="宋体" w:hAnsi="宋体" w:eastAsia="宋体" w:cs="宋体"/>
          <w:color w:val="auto"/>
          <w:sz w:val="36"/>
          <w:szCs w:val="36"/>
          <w:highlight w:val="none"/>
        </w:rPr>
        <w:t>第一章  投标邀请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_Toc534816625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3</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pPr>
        <w:pStyle w:val="12"/>
        <w:tabs>
          <w:tab w:val="right" w:leader="dot" w:pos="8943"/>
        </w:tabs>
        <w:rPr>
          <w:rFonts w:hint="eastAsia" w:ascii="宋体" w:hAnsi="宋体" w:eastAsia="宋体" w:cs="宋体"/>
          <w:smallCaps w:val="0"/>
          <w:color w:val="auto"/>
          <w:sz w:val="36"/>
          <w:szCs w:val="36"/>
          <w:highlight w:val="none"/>
        </w:rPr>
      </w:pPr>
      <w:r>
        <w:rPr>
          <w:rFonts w:hint="eastAsia" w:ascii="宋体" w:hAnsi="宋体" w:eastAsia="宋体" w:cs="宋体"/>
          <w:color w:val="auto"/>
          <w:sz w:val="36"/>
          <w:szCs w:val="36"/>
          <w:highlight w:val="none"/>
        </w:rPr>
        <w:fldChar w:fldCharType="begin"/>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instrText xml:space="preserve">HYPERLINK \l "_Toc534816626"</w:instrText>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fldChar w:fldCharType="separate"/>
      </w:r>
      <w:r>
        <w:rPr>
          <w:rStyle w:val="17"/>
          <w:rFonts w:hint="eastAsia" w:ascii="宋体" w:hAnsi="宋体" w:eastAsia="宋体" w:cs="宋体"/>
          <w:color w:val="auto"/>
          <w:sz w:val="36"/>
          <w:szCs w:val="36"/>
          <w:highlight w:val="none"/>
        </w:rPr>
        <w:t>第二章  投标人须知</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_Toc534816626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7</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pPr>
        <w:pStyle w:val="12"/>
        <w:tabs>
          <w:tab w:val="right" w:leader="dot" w:pos="8943"/>
        </w:tabs>
        <w:rPr>
          <w:rFonts w:hint="eastAsia" w:ascii="宋体" w:hAnsi="宋体" w:eastAsia="宋体" w:cs="宋体"/>
          <w:smallCaps w:val="0"/>
          <w:color w:val="auto"/>
          <w:sz w:val="36"/>
          <w:szCs w:val="36"/>
          <w:highlight w:val="none"/>
        </w:rPr>
      </w:pPr>
      <w:r>
        <w:rPr>
          <w:rFonts w:hint="eastAsia" w:ascii="宋体" w:hAnsi="宋体" w:eastAsia="宋体" w:cs="宋体"/>
          <w:color w:val="auto"/>
          <w:sz w:val="36"/>
          <w:szCs w:val="36"/>
          <w:highlight w:val="none"/>
        </w:rPr>
        <w:fldChar w:fldCharType="begin"/>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instrText xml:space="preserve">HYPERLINK \l "_Toc534816635"</w:instrText>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fldChar w:fldCharType="separate"/>
      </w:r>
      <w:r>
        <w:rPr>
          <w:rStyle w:val="17"/>
          <w:rFonts w:hint="eastAsia" w:ascii="宋体" w:hAnsi="宋体" w:eastAsia="宋体" w:cs="宋体"/>
          <w:color w:val="auto"/>
          <w:sz w:val="36"/>
          <w:szCs w:val="36"/>
          <w:highlight w:val="none"/>
        </w:rPr>
        <w:t xml:space="preserve">第三章  </w:t>
      </w:r>
      <w:r>
        <w:rPr>
          <w:rFonts w:hint="eastAsia" w:ascii="宋体" w:hAnsi="宋体" w:eastAsia="宋体" w:cs="宋体"/>
          <w:color w:val="auto"/>
          <w:sz w:val="36"/>
          <w:szCs w:val="36"/>
          <w:highlight w:val="none"/>
        </w:rPr>
        <w:t>合同条款及格式……………………………</w:t>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_Toc534816635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21</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pPr>
        <w:pStyle w:val="12"/>
        <w:tabs>
          <w:tab w:val="right" w:leader="dot" w:pos="8943"/>
        </w:tabs>
        <w:rPr>
          <w:rFonts w:hint="eastAsia" w:ascii="宋体" w:hAnsi="宋体" w:eastAsia="宋体" w:cs="宋体"/>
          <w:smallCaps w:val="0"/>
          <w:color w:val="auto"/>
          <w:sz w:val="36"/>
          <w:szCs w:val="36"/>
          <w:highlight w:val="none"/>
        </w:rPr>
      </w:pPr>
      <w:r>
        <w:rPr>
          <w:rFonts w:hint="eastAsia" w:ascii="宋体" w:hAnsi="宋体" w:eastAsia="宋体" w:cs="宋体"/>
          <w:color w:val="auto"/>
          <w:sz w:val="36"/>
          <w:szCs w:val="36"/>
          <w:highlight w:val="none"/>
        </w:rPr>
        <w:fldChar w:fldCharType="begin"/>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instrText xml:space="preserve">HYPERLINK \l "_Toc534816636"</w:instrText>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fldChar w:fldCharType="separate"/>
      </w:r>
      <w:r>
        <w:rPr>
          <w:rStyle w:val="17"/>
          <w:rFonts w:hint="eastAsia" w:ascii="宋体" w:hAnsi="宋体" w:eastAsia="宋体" w:cs="宋体"/>
          <w:color w:val="auto"/>
          <w:sz w:val="36"/>
          <w:szCs w:val="36"/>
          <w:highlight w:val="none"/>
        </w:rPr>
        <w:t>第四章  项目需求</w:t>
      </w:r>
      <w:r>
        <w:rPr>
          <w:rFonts w:hint="eastAsia" w:ascii="宋体" w:hAnsi="宋体" w:eastAsia="宋体" w:cs="宋体"/>
          <w:color w:val="auto"/>
          <w:sz w:val="36"/>
          <w:highlight w:val="none"/>
        </w:rPr>
        <w:t>……………………………………</w:t>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_Toc534816636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25</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pPr>
        <w:pStyle w:val="12"/>
        <w:tabs>
          <w:tab w:val="right" w:leader="dot" w:pos="8943"/>
        </w:tabs>
        <w:rPr>
          <w:rFonts w:hint="eastAsia" w:ascii="宋体" w:hAnsi="宋体" w:eastAsia="宋体" w:cs="宋体"/>
          <w:smallCaps w:val="0"/>
          <w:color w:val="auto"/>
          <w:sz w:val="36"/>
          <w:szCs w:val="36"/>
          <w:highlight w:val="none"/>
        </w:rPr>
      </w:pPr>
      <w:r>
        <w:rPr>
          <w:rFonts w:hint="eastAsia" w:ascii="宋体" w:hAnsi="宋体" w:eastAsia="宋体" w:cs="宋体"/>
          <w:color w:val="auto"/>
          <w:sz w:val="36"/>
          <w:szCs w:val="36"/>
          <w:highlight w:val="none"/>
        </w:rPr>
        <w:fldChar w:fldCharType="begin"/>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instrText xml:space="preserve">HYPERLINK \l "_Toc534816639"</w:instrText>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fldChar w:fldCharType="separate"/>
      </w:r>
      <w:r>
        <w:rPr>
          <w:rStyle w:val="17"/>
          <w:rFonts w:hint="eastAsia" w:ascii="宋体" w:hAnsi="宋体" w:eastAsia="宋体" w:cs="宋体"/>
          <w:color w:val="auto"/>
          <w:sz w:val="36"/>
          <w:szCs w:val="36"/>
          <w:highlight w:val="none"/>
        </w:rPr>
        <w:t>第五章  评标方法与评标标准</w:t>
      </w:r>
      <w:r>
        <w:rPr>
          <w:rFonts w:hint="eastAsia" w:ascii="宋体" w:hAnsi="宋体" w:eastAsia="宋体" w:cs="宋体"/>
          <w:color w:val="auto"/>
          <w:sz w:val="36"/>
          <w:highlight w:val="none"/>
        </w:rPr>
        <w:t>………………………</w:t>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_Toc534816639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33</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pPr>
        <w:pStyle w:val="12"/>
        <w:tabs>
          <w:tab w:val="right" w:leader="dot" w:pos="8943"/>
        </w:tabs>
        <w:rPr>
          <w:rFonts w:hint="eastAsia" w:ascii="宋体" w:hAnsi="宋体" w:eastAsia="宋体" w:cs="宋体"/>
          <w:smallCaps w:val="0"/>
          <w:color w:val="auto"/>
          <w:sz w:val="32"/>
          <w:szCs w:val="32"/>
          <w:highlight w:val="none"/>
          <w:lang w:val="en-US" w:eastAsia="zh-CN"/>
        </w:rPr>
      </w:pPr>
      <w:r>
        <w:rPr>
          <w:rFonts w:hint="eastAsia" w:ascii="宋体" w:hAnsi="宋体" w:eastAsia="宋体" w:cs="宋体"/>
          <w:color w:val="auto"/>
          <w:sz w:val="36"/>
          <w:szCs w:val="36"/>
          <w:highlight w:val="none"/>
        </w:rPr>
        <w:fldChar w:fldCharType="begin"/>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instrText xml:space="preserve">HYPERLINK \l "_Toc534816640"</w:instrText>
      </w:r>
      <w:r>
        <w:rPr>
          <w:rStyle w:val="17"/>
          <w:rFonts w:hint="eastAsia" w:ascii="宋体" w:hAnsi="宋体" w:eastAsia="宋体" w:cs="宋体"/>
          <w:color w:val="auto"/>
          <w:sz w:val="36"/>
          <w:szCs w:val="36"/>
          <w:highlight w:val="none"/>
        </w:rPr>
        <w:instrText xml:space="preserve"> </w:instrText>
      </w:r>
      <w:r>
        <w:rPr>
          <w:rFonts w:hint="eastAsia" w:ascii="宋体" w:hAnsi="宋体" w:eastAsia="宋体" w:cs="宋体"/>
          <w:color w:val="auto"/>
          <w:sz w:val="36"/>
          <w:szCs w:val="36"/>
          <w:highlight w:val="none"/>
        </w:rPr>
        <w:fldChar w:fldCharType="separate"/>
      </w:r>
      <w:r>
        <w:rPr>
          <w:rStyle w:val="17"/>
          <w:rFonts w:hint="eastAsia" w:ascii="宋体" w:hAnsi="宋体" w:eastAsia="宋体" w:cs="宋体"/>
          <w:color w:val="auto"/>
          <w:sz w:val="36"/>
          <w:szCs w:val="36"/>
          <w:highlight w:val="none"/>
        </w:rPr>
        <w:t>第六章  投标文件格式</w:t>
      </w:r>
      <w:r>
        <w:rPr>
          <w:rFonts w:hint="eastAsia" w:ascii="宋体" w:hAnsi="宋体" w:eastAsia="宋体" w:cs="宋体"/>
          <w:color w:val="auto"/>
          <w:sz w:val="36"/>
          <w:highlight w:val="none"/>
        </w:rPr>
        <w:t>………………………………</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lang w:val="en-US" w:eastAsia="zh-CN"/>
        </w:rPr>
        <w:t>28</w:t>
      </w:r>
    </w:p>
    <w:p>
      <w:pPr>
        <w:rPr>
          <w:rFonts w:hint="eastAsia" w:ascii="宋体" w:hAnsi="宋体" w:eastAsia="宋体" w:cs="宋体"/>
          <w:color w:val="auto"/>
          <w:highlight w:val="none"/>
        </w:rPr>
      </w:pPr>
      <w:r>
        <w:rPr>
          <w:rFonts w:hint="eastAsia" w:ascii="宋体" w:hAnsi="宋体" w:eastAsia="宋体" w:cs="宋体"/>
          <w:b/>
          <w:bCs/>
          <w:color w:val="auto"/>
          <w:sz w:val="32"/>
          <w:szCs w:val="32"/>
          <w:highlight w:val="none"/>
          <w:lang w:val="zh-CN"/>
        </w:rPr>
        <w:fldChar w:fldCharType="end"/>
      </w:r>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 w:name="_Toc534816625"/>
      <w:bookmarkStart w:id="8" w:name="_Toc534725596"/>
      <w:r>
        <w:rPr>
          <w:rFonts w:hint="eastAsia" w:ascii="宋体" w:hAnsi="宋体" w:eastAsia="宋体" w:cs="宋体"/>
          <w:color w:val="auto"/>
          <w:highlight w:val="none"/>
        </w:rPr>
        <w:t xml:space="preserve">第一章  </w:t>
      </w:r>
      <w:bookmarkEnd w:id="0"/>
      <w:r>
        <w:rPr>
          <w:rFonts w:hint="eastAsia" w:ascii="宋体" w:hAnsi="宋体" w:eastAsia="宋体" w:cs="宋体"/>
          <w:color w:val="auto"/>
          <w:highlight w:val="none"/>
        </w:rPr>
        <w:t>投标邀请</w:t>
      </w:r>
      <w:bookmarkEnd w:id="1"/>
      <w:bookmarkEnd w:id="7"/>
      <w:bookmarkEnd w:id="8"/>
    </w:p>
    <w:p>
      <w:pPr>
        <w:pStyle w:val="18"/>
        <w:rPr>
          <w:rFonts w:hint="eastAsia" w:ascii="宋体" w:hAnsi="宋体" w:eastAsia="宋体" w:cs="宋体"/>
          <w:color w:val="auto"/>
          <w:highlight w:val="none"/>
        </w:rPr>
      </w:pPr>
      <w:r>
        <w:rPr>
          <w:rFonts w:hint="eastAsia" w:ascii="宋体" w:hAnsi="宋体" w:eastAsia="宋体" w:cs="宋体"/>
          <w:color w:val="auto"/>
          <w:highlight w:val="none"/>
        </w:rPr>
        <w:t>新疆维吾尔自治区政务服务和公共资源交易中心现就</w:t>
      </w:r>
      <w:r>
        <w:rPr>
          <w:rFonts w:hint="eastAsia" w:ascii="宋体" w:hAnsi="宋体" w:eastAsia="宋体" w:cs="宋体"/>
          <w:color w:val="auto"/>
          <w:sz w:val="24"/>
          <w:szCs w:val="24"/>
          <w:highlight w:val="none"/>
        </w:rPr>
        <w:t>新疆财经大学（北校区）多媒体教室</w:t>
      </w:r>
      <w:r>
        <w:rPr>
          <w:rFonts w:hint="eastAsia" w:ascii="宋体" w:hAnsi="宋体" w:eastAsia="宋体" w:cs="宋体"/>
          <w:color w:val="auto"/>
          <w:sz w:val="24"/>
          <w:szCs w:val="24"/>
          <w:highlight w:val="none"/>
          <w:lang w:val="en-US" w:eastAsia="zh-CN"/>
        </w:rPr>
        <w:t>桌</w:t>
      </w:r>
      <w:r>
        <w:rPr>
          <w:rFonts w:hint="eastAsia" w:ascii="宋体" w:hAnsi="宋体" w:eastAsia="宋体" w:cs="宋体"/>
          <w:color w:val="auto"/>
          <w:sz w:val="24"/>
          <w:szCs w:val="24"/>
          <w:highlight w:val="none"/>
        </w:rPr>
        <w:t>椅及讲台采购项目</w:t>
      </w:r>
      <w:r>
        <w:rPr>
          <w:rFonts w:hint="eastAsia" w:ascii="宋体" w:hAnsi="宋体" w:eastAsia="宋体" w:cs="宋体"/>
          <w:color w:val="auto"/>
          <w:highlight w:val="none"/>
        </w:rPr>
        <w:t>进行公开招标采购，欢迎符合条件的供应商投标。</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GK2025-150</w:t>
      </w:r>
      <w:r>
        <w:rPr>
          <w:rFonts w:hint="eastAsia" w:ascii="宋体" w:hAnsi="宋体" w:eastAsia="宋体" w:cs="宋体"/>
          <w:color w:val="auto"/>
          <w:sz w:val="24"/>
          <w:szCs w:val="24"/>
          <w:highlight w:val="none"/>
          <w:u w:val="single"/>
        </w:rPr>
        <w:t>新疆财经大学（北校区）多媒体教室</w:t>
      </w:r>
      <w:r>
        <w:rPr>
          <w:rFonts w:hint="eastAsia" w:ascii="宋体" w:hAnsi="宋体" w:eastAsia="宋体" w:cs="宋体"/>
          <w:color w:val="auto"/>
          <w:sz w:val="24"/>
          <w:szCs w:val="24"/>
          <w:highlight w:val="none"/>
          <w:u w:val="single"/>
          <w:lang w:val="en-US" w:eastAsia="zh-CN"/>
        </w:rPr>
        <w:t>桌</w:t>
      </w:r>
      <w:r>
        <w:rPr>
          <w:rFonts w:hint="eastAsia" w:ascii="宋体" w:hAnsi="宋体" w:eastAsia="宋体" w:cs="宋体"/>
          <w:color w:val="auto"/>
          <w:sz w:val="24"/>
          <w:szCs w:val="24"/>
          <w:highlight w:val="none"/>
          <w:u w:val="single"/>
        </w:rPr>
        <w:t>椅及讲台采购项目</w:t>
      </w:r>
      <w:r>
        <w:rPr>
          <w:rFonts w:hint="eastAsia" w:ascii="宋体" w:hAnsi="宋体" w:eastAsia="宋体" w:cs="宋体"/>
          <w:color w:val="auto"/>
          <w:sz w:val="24"/>
          <w:szCs w:val="24"/>
          <w:highlight w:val="none"/>
        </w:rPr>
        <w:t xml:space="preserve"> 招标项目的潜在投标人可在</w:t>
      </w:r>
      <w:r>
        <w:rPr>
          <w:rFonts w:hint="eastAsia" w:ascii="宋体" w:hAnsi="宋体" w:eastAsia="宋体" w:cs="宋体"/>
          <w:color w:val="auto"/>
          <w:sz w:val="24"/>
          <w:szCs w:val="24"/>
          <w:highlight w:val="none"/>
          <w:u w:val="single"/>
        </w:rPr>
        <w:t>“新疆公共资源交易网”或“新疆政府采购网”自行</w:t>
      </w:r>
      <w:r>
        <w:rPr>
          <w:rFonts w:hint="eastAsia" w:ascii="宋体" w:hAnsi="宋体" w:eastAsia="宋体" w:cs="宋体"/>
          <w:color w:val="auto"/>
          <w:sz w:val="24"/>
          <w:szCs w:val="24"/>
          <w:highlight w:val="none"/>
          <w:u w:val="single"/>
          <w:lang w:val="en-US" w:eastAsia="zh-CN"/>
        </w:rPr>
        <w:t>查看</w:t>
      </w:r>
      <w:r>
        <w:rPr>
          <w:rFonts w:hint="eastAsia" w:ascii="宋体" w:hAnsi="宋体" w:eastAsia="宋体" w:cs="宋体"/>
          <w:color w:val="auto"/>
          <w:sz w:val="24"/>
          <w:szCs w:val="24"/>
          <w:highlight w:val="none"/>
          <w:lang w:val="en-US" w:eastAsia="zh-CN"/>
        </w:rPr>
        <w:t>项目公告</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北京时间）前提交投标文件</w:t>
      </w:r>
      <w:r>
        <w:rPr>
          <w:rFonts w:hint="eastAsia" w:ascii="宋体" w:hAnsi="宋体" w:eastAsia="宋体" w:cs="宋体"/>
          <w:color w:val="auto"/>
          <w:sz w:val="24"/>
          <w:szCs w:val="24"/>
          <w:highlight w:val="none"/>
        </w:rPr>
        <w:t>。</w:t>
      </w:r>
    </w:p>
    <w:p>
      <w:pPr>
        <w:pStyle w:val="18"/>
        <w:rPr>
          <w:rFonts w:hint="eastAsia" w:ascii="宋体" w:hAnsi="宋体" w:eastAsia="宋体" w:cs="宋体"/>
          <w:color w:val="auto"/>
          <w:highlight w:val="none"/>
        </w:rPr>
      </w:pPr>
    </w:p>
    <w:p>
      <w:pPr>
        <w:pStyle w:val="4"/>
        <w:ind w:firstLine="482" w:firstLineChars="150"/>
        <w:rPr>
          <w:rFonts w:hint="eastAsia" w:ascii="宋体" w:hAnsi="宋体" w:eastAsia="宋体" w:cs="宋体"/>
          <w:color w:val="auto"/>
          <w:highlight w:val="none"/>
        </w:rPr>
      </w:pPr>
      <w:r>
        <w:rPr>
          <w:rFonts w:hint="eastAsia" w:ascii="宋体" w:hAnsi="宋体" w:eastAsia="宋体" w:cs="宋体"/>
          <w:color w:val="auto"/>
          <w:highlight w:val="none"/>
        </w:rPr>
        <w:t>一、项目基本情况</w:t>
      </w:r>
    </w:p>
    <w:p>
      <w:pPr>
        <w:tabs>
          <w:tab w:val="left" w:pos="90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1.项目名称：新疆财经大学（北校区）多媒体教室</w:t>
      </w:r>
      <w:r>
        <w:rPr>
          <w:rFonts w:hint="eastAsia" w:ascii="宋体" w:hAnsi="宋体" w:eastAsia="宋体" w:cs="宋体"/>
          <w:color w:val="auto"/>
          <w:sz w:val="24"/>
          <w:szCs w:val="24"/>
          <w:highlight w:val="none"/>
          <w:lang w:val="en-US" w:eastAsia="zh-CN"/>
        </w:rPr>
        <w:t>桌</w:t>
      </w:r>
      <w:r>
        <w:rPr>
          <w:rFonts w:hint="eastAsia" w:ascii="宋体" w:hAnsi="宋体" w:eastAsia="宋体" w:cs="宋体"/>
          <w:color w:val="auto"/>
          <w:sz w:val="24"/>
          <w:szCs w:val="24"/>
          <w:highlight w:val="none"/>
        </w:rPr>
        <w:t xml:space="preserve">椅及讲台采购项目       </w:t>
      </w:r>
    </w:p>
    <w:p>
      <w:pPr>
        <w:tabs>
          <w:tab w:val="left" w:pos="900"/>
        </w:tabs>
        <w:spacing w:line="56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2.项目</w:t>
      </w:r>
      <w:r>
        <w:rPr>
          <w:rFonts w:hint="eastAsia" w:ascii="宋体" w:hAnsi="宋体" w:eastAsia="宋体" w:cs="宋体"/>
          <w:color w:val="auto"/>
          <w:sz w:val="24"/>
          <w:highlight w:val="none"/>
        </w:rPr>
        <w:t>编号：GK</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150</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3.预算金额：</w:t>
      </w:r>
      <w:r>
        <w:rPr>
          <w:rFonts w:hint="eastAsia" w:ascii="宋体" w:hAnsi="宋体" w:eastAsia="宋体" w:cs="宋体"/>
          <w:color w:val="auto"/>
          <w:sz w:val="24"/>
          <w:szCs w:val="24"/>
          <w:highlight w:val="none"/>
          <w:lang w:val="en-US" w:eastAsia="zh-CN"/>
        </w:rPr>
        <w:t>2451000.00</w:t>
      </w:r>
      <w:r>
        <w:rPr>
          <w:rFonts w:hint="eastAsia" w:ascii="宋体" w:hAnsi="宋体" w:eastAsia="宋体" w:cs="宋体"/>
          <w:color w:val="auto"/>
          <w:sz w:val="24"/>
          <w:szCs w:val="24"/>
          <w:highlight w:val="none"/>
        </w:rPr>
        <w:t>元</w:t>
      </w:r>
    </w:p>
    <w:p>
      <w:pPr>
        <w:tabs>
          <w:tab w:val="left" w:pos="90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w:t>
      </w:r>
      <w:r>
        <w:rPr>
          <w:rFonts w:hint="eastAsia" w:ascii="宋体" w:hAnsi="宋体" w:eastAsia="宋体" w:cs="宋体"/>
          <w:color w:val="auto"/>
          <w:sz w:val="24"/>
          <w:szCs w:val="24"/>
          <w:highlight w:val="none"/>
          <w:u w:val="single"/>
        </w:rPr>
        <w:t>设定</w:t>
      </w:r>
      <w:r>
        <w:rPr>
          <w:rFonts w:hint="eastAsia" w:ascii="宋体" w:hAnsi="宋体" w:eastAsia="宋体" w:cs="宋体"/>
          <w:color w:val="auto"/>
          <w:sz w:val="24"/>
          <w:szCs w:val="24"/>
          <w:highlight w:val="none"/>
        </w:rPr>
        <w:t>最高限价，最高限价为</w:t>
      </w:r>
      <w:r>
        <w:rPr>
          <w:rFonts w:hint="eastAsia" w:ascii="宋体" w:hAnsi="宋体" w:eastAsia="宋体" w:cs="宋体"/>
          <w:color w:val="auto"/>
          <w:sz w:val="24"/>
          <w:szCs w:val="24"/>
          <w:highlight w:val="none"/>
          <w:u w:val="single"/>
        </w:rPr>
        <w:t>2451000.00</w:t>
      </w:r>
      <w:r>
        <w:rPr>
          <w:rFonts w:hint="eastAsia" w:ascii="宋体" w:hAnsi="宋体" w:eastAsia="宋体" w:cs="宋体"/>
          <w:color w:val="auto"/>
          <w:sz w:val="24"/>
          <w:szCs w:val="24"/>
          <w:highlight w:val="none"/>
        </w:rPr>
        <w:t>元。</w:t>
      </w:r>
    </w:p>
    <w:p>
      <w:pPr>
        <w:tabs>
          <w:tab w:val="left" w:pos="90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采购需求：</w:t>
      </w:r>
    </w:p>
    <w:p>
      <w:p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教室课桌椅、讲台采购及安装</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lang w:val="en-US" w:eastAsia="zh-CN"/>
        </w:rPr>
        <w:t>自合同签订之日起20日内完成交付</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进口产品投标。</w:t>
      </w:r>
    </w:p>
    <w:p>
      <w:pPr>
        <w:tabs>
          <w:tab w:val="left" w:pos="900"/>
        </w:tabs>
        <w:spacing w:line="56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9.本项目属于</w:t>
      </w:r>
      <w:r>
        <w:rPr>
          <w:rFonts w:hint="eastAsia" w:ascii="宋体" w:hAnsi="宋体" w:eastAsia="宋体" w:cs="宋体"/>
          <w:color w:val="auto"/>
          <w:sz w:val="24"/>
          <w:szCs w:val="24"/>
          <w:highlight w:val="none"/>
          <w:u w:val="single"/>
          <w:lang w:val="en-US" w:eastAsia="zh-CN"/>
        </w:rPr>
        <w:t xml:space="preserve">  货物 类      </w:t>
      </w:r>
    </w:p>
    <w:p>
      <w:pPr>
        <w:tabs>
          <w:tab w:val="left" w:pos="900"/>
        </w:tabs>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10.本项目采购标的对应的中小企业划分标准所属行业为“</w:t>
      </w:r>
      <w:r>
        <w:rPr>
          <w:rFonts w:hint="eastAsia" w:ascii="宋体" w:hAnsi="宋体" w:eastAsia="宋体" w:cs="宋体"/>
          <w:color w:val="auto"/>
          <w:sz w:val="24"/>
          <w:szCs w:val="24"/>
          <w:highlight w:val="none"/>
          <w:u w:val="single"/>
          <w:lang w:val="en-US" w:eastAsia="zh-CN"/>
        </w:rPr>
        <w:t xml:space="preserve">   工   </w:t>
      </w:r>
      <w:r>
        <w:rPr>
          <w:rFonts w:hint="eastAsia" w:ascii="宋体" w:hAnsi="宋体" w:eastAsia="宋体" w:cs="宋体"/>
          <w:color w:val="auto"/>
          <w:sz w:val="24"/>
          <w:szCs w:val="24"/>
          <w:highlight w:val="none"/>
          <w:lang w:val="en-US" w:eastAsia="zh-CN"/>
        </w:rPr>
        <w:t>业”。行业划分标准按《国民经济行业分类》执行。中小企业划分标准按《中小企业划型标准规定》（工信部联企业[2011]300号）文件规定执行。</w:t>
      </w:r>
    </w:p>
    <w:p>
      <w:pPr>
        <w:pStyle w:val="4"/>
        <w:spacing w:beforeLines="50" w:afterLines="50" w:line="360" w:lineRule="auto"/>
        <w:ind w:firstLine="498" w:firstLineChars="155"/>
        <w:rPr>
          <w:rFonts w:hint="eastAsia" w:ascii="宋体" w:hAnsi="宋体" w:eastAsia="宋体" w:cs="宋体"/>
          <w:color w:val="auto"/>
          <w:highlight w:val="none"/>
        </w:rPr>
      </w:pPr>
      <w:r>
        <w:rPr>
          <w:rFonts w:hint="eastAsia" w:ascii="宋体" w:hAnsi="宋体" w:eastAsia="宋体" w:cs="宋体"/>
          <w:color w:val="auto"/>
          <w:highlight w:val="none"/>
        </w:rPr>
        <w:t>二、申请人的资格要求：</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1.满足《中华人民共和国政府采购法》第二十二条规定，并提供下列材料：</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1.1法人或者其他组织的营业执照等证明文件，自然人的身份证明；</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1.2最近一个年度的财务状况报告（成立不满一年不需提供）；</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1.4具备履行合同所必需的设备和专业技术能力的证明材料；</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1.5参加政府采购活动前3年内在经营活动中没有重大违法记录的书面声明；</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1.6未被“信用中国”网站（www.creditchina.gov.cn）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列入失信被执行人、重大税收违法案件当事人名单、政府采购严重失信行为记录名单。（提供网页截图</w:t>
      </w:r>
      <w:r>
        <w:rPr>
          <w:rFonts w:hint="eastAsia" w:ascii="宋体" w:hAnsi="宋体" w:eastAsia="宋体" w:cs="宋体"/>
          <w:color w:val="auto"/>
          <w:sz w:val="24"/>
          <w:szCs w:val="24"/>
          <w:highlight w:val="none"/>
          <w:lang w:val="en-US" w:eastAsia="zh-CN"/>
        </w:rPr>
        <w:t>或承诺函</w:t>
      </w:r>
      <w:r>
        <w:rPr>
          <w:rFonts w:hint="eastAsia" w:ascii="宋体" w:hAnsi="宋体" w:eastAsia="宋体" w:cs="宋体"/>
          <w:color w:val="auto"/>
          <w:sz w:val="24"/>
          <w:szCs w:val="24"/>
          <w:highlight w:val="none"/>
        </w:rPr>
        <w:t>）</w:t>
      </w:r>
    </w:p>
    <w:p>
      <w:pPr>
        <w:pStyle w:val="7"/>
        <w:numPr>
          <w:ilvl w:val="0"/>
          <w:numId w:val="1"/>
        </w:numPr>
        <w:ind w:left="0"/>
        <w:rPr>
          <w:rFonts w:ascii="宋体" w:hAnsi="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r>
        <w:rPr>
          <w:rFonts w:ascii="宋体" w:hAnsi="宋体" w:cs="宋体"/>
          <w:color w:val="auto"/>
          <w:sz w:val="24"/>
          <w:szCs w:val="24"/>
          <w:highlight w:val="none"/>
        </w:rPr>
        <w:t xml:space="preserve">本项目预留部分采购项目预算专门面向中 小企业采购。对于预留份额，提供的货物由符合政策要求的中小企业制造。预留份额 通过以下措施进行： </w:t>
      </w:r>
    </w:p>
    <w:p>
      <w:pPr>
        <w:numPr>
          <w:ilvl w:val="0"/>
          <w:numId w:val="2"/>
        </w:numPr>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投标人所提供的货物制造商属于大型企业的，必须将本项目合同分包给一家 或者多家中小企业制造商，中小企业制造商承担的合同份额占合同金额的比例达到30</w:t>
      </w:r>
      <w:r>
        <w:rPr>
          <w:rFonts w:hint="eastAsia" w:ascii="宋体" w:hAnsi="宋体" w:cs="宋体"/>
          <w:color w:val="auto"/>
          <w:sz w:val="24"/>
          <w:szCs w:val="24"/>
          <w:highlight w:val="none"/>
          <w:lang w:val="en-US" w:eastAsia="zh-CN"/>
        </w:rPr>
        <w:t>.6</w:t>
      </w:r>
      <w:r>
        <w:rPr>
          <w:rFonts w:ascii="宋体" w:hAnsi="宋体" w:eastAsia="宋体" w:cs="宋体"/>
          <w:color w:val="auto"/>
          <w:sz w:val="24"/>
          <w:szCs w:val="24"/>
          <w:highlight w:val="none"/>
        </w:rPr>
        <w:t xml:space="preserve">% 以上（其中预留给小微企业制造商的部分不低于合同金额的18%），接受分包合同的中 小企业与分包企业之间不得存在直接控股、管理关系。投标时须按格式提供接受分包 的制造商的《中小企业声明函》以及预留比例说明（格式自拟）。 </w:t>
      </w:r>
    </w:p>
    <w:p>
      <w:pPr>
        <w:numPr>
          <w:ilvl w:val="0"/>
          <w:numId w:val="2"/>
        </w:numPr>
        <w:ind w:left="0" w:leftChars="0"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 xml:space="preserve">投标人所提供的货物制造商属于中型企业的，必须将本项目合同分包给一家 </w:t>
      </w:r>
      <w:bookmarkStart w:id="247" w:name="_GoBack"/>
      <w:bookmarkEnd w:id="247"/>
      <w:r>
        <w:rPr>
          <w:rFonts w:ascii="宋体" w:hAnsi="宋体" w:eastAsia="宋体" w:cs="宋体"/>
          <w:color w:val="auto"/>
          <w:sz w:val="24"/>
          <w:szCs w:val="24"/>
          <w:highlight w:val="none"/>
        </w:rPr>
        <w:t xml:space="preserve">或者多家小微企业制造商，小微企业制造商承担的合同份额不低于合同总金额的18%， 接受分包合同的中小企业与分包企业之间不得存在直接控股、管理关系。投标时须按 格式提供接受分包的制造商《中小企业声明函》以及预留比例说明（格式自拟）。 </w:t>
      </w:r>
      <w:r>
        <w:rPr>
          <w:rFonts w:hint="eastAsia" w:ascii="宋体" w:hAnsi="宋体" w:eastAsia="宋体" w:cs="宋体"/>
          <w:color w:val="auto"/>
          <w:sz w:val="24"/>
          <w:szCs w:val="24"/>
          <w:highlight w:val="none"/>
          <w:lang w:val="en-US" w:eastAsia="zh-CN"/>
        </w:rPr>
        <w:t xml:space="preserve">                                                                                                                                                   （3）</w:t>
      </w:r>
      <w:r>
        <w:rPr>
          <w:rFonts w:ascii="宋体" w:hAnsi="宋体" w:eastAsia="宋体" w:cs="宋体"/>
          <w:color w:val="auto"/>
          <w:sz w:val="24"/>
          <w:szCs w:val="24"/>
          <w:highlight w:val="none"/>
        </w:rPr>
        <w:t>投标人所提供的货物制造商属于小微企业的，不得将合同分包给大中型企业； 是否合同分包给小微企业不作强制要求，投标时须提交制造商《中小企业声明函》（见 投标格式）。</w:t>
      </w:r>
    </w:p>
    <w:p>
      <w:pPr>
        <w:pStyle w:val="7"/>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3.本项目的特定资格要求：</w:t>
      </w:r>
      <w:r>
        <w:rPr>
          <w:rFonts w:hint="eastAsia" w:ascii="宋体" w:hAnsi="宋体" w:eastAsia="宋体" w:cs="宋体"/>
          <w:color w:val="auto"/>
          <w:sz w:val="24"/>
          <w:szCs w:val="24"/>
          <w:highlight w:val="none"/>
        </w:rPr>
        <w:t>无。</w:t>
      </w:r>
    </w:p>
    <w:p>
      <w:pPr>
        <w:pStyle w:val="4"/>
        <w:spacing w:beforeLines="50" w:afterLines="50" w:line="360" w:lineRule="auto"/>
        <w:ind w:firstLine="498" w:firstLineChars="155"/>
        <w:rPr>
          <w:rFonts w:hint="eastAsia" w:ascii="宋体" w:hAnsi="宋体" w:eastAsia="宋体" w:cs="宋体"/>
          <w:color w:val="auto"/>
          <w:highlight w:val="none"/>
        </w:rPr>
      </w:pPr>
      <w:r>
        <w:rPr>
          <w:rFonts w:hint="eastAsia" w:ascii="宋体" w:hAnsi="宋体" w:eastAsia="宋体" w:cs="宋体"/>
          <w:color w:val="auto"/>
          <w:highlight w:val="none"/>
        </w:rPr>
        <w:t>三、获取招标文件</w:t>
      </w:r>
    </w:p>
    <w:p>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1.时间：自招标文件公告发布之日起5个工作日。</w:t>
      </w:r>
    </w:p>
    <w:p>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2.方式：</w:t>
      </w:r>
      <w:r>
        <w:rPr>
          <w:rFonts w:hint="eastAsia" w:ascii="宋体" w:hAnsi="宋体" w:eastAsia="宋体" w:cs="宋体"/>
          <w:color w:val="auto"/>
          <w:sz w:val="24"/>
          <w:szCs w:val="24"/>
          <w:highlight w:val="none"/>
          <w:lang w:val="en-US" w:eastAsia="zh-CN"/>
        </w:rPr>
        <w:t>登录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-“项目采购”-“获取采购文件”中</w:t>
      </w:r>
      <w:r>
        <w:rPr>
          <w:rFonts w:hint="eastAsia" w:ascii="宋体" w:hAnsi="宋体" w:eastAsia="宋体" w:cs="宋体"/>
          <w:color w:val="auto"/>
          <w:sz w:val="24"/>
          <w:szCs w:val="24"/>
          <w:highlight w:val="none"/>
        </w:rPr>
        <w:t>自行免费下载招标文件。</w:t>
      </w:r>
    </w:p>
    <w:p>
      <w:pPr>
        <w:pStyle w:val="4"/>
        <w:ind w:firstLine="482" w:firstLineChars="150"/>
        <w:rPr>
          <w:rFonts w:hint="eastAsia" w:ascii="宋体" w:hAnsi="宋体" w:eastAsia="宋体" w:cs="宋体"/>
          <w:color w:val="auto"/>
          <w:highlight w:val="none"/>
        </w:rPr>
      </w:pPr>
      <w:r>
        <w:rPr>
          <w:rFonts w:hint="eastAsia" w:ascii="宋体" w:hAnsi="宋体" w:eastAsia="宋体" w:cs="宋体"/>
          <w:color w:val="auto"/>
          <w:highlight w:val="none"/>
        </w:rPr>
        <w:t>四、提交投标文件截止时间、开标时间和地点</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1.提交投标文件截止时间、开标时间：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点00分（北京时间）</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highlight w:val="none"/>
          <w:lang w:val="en-US" w:eastAsia="zh-CN"/>
        </w:rPr>
        <w:t>新疆政府采购网</w:t>
      </w:r>
      <w:r>
        <w:rPr>
          <w:rFonts w:hint="eastAsia" w:ascii="宋体" w:hAnsi="宋体" w:eastAsia="宋体" w:cs="宋体"/>
          <w:color w:val="auto"/>
          <w:sz w:val="24"/>
          <w:szCs w:val="24"/>
          <w:highlight w:val="none"/>
        </w:rPr>
        <w:t>。</w:t>
      </w:r>
    </w:p>
    <w:p>
      <w:pPr>
        <w:pStyle w:val="4"/>
        <w:spacing w:beforeLines="50" w:afterLines="50" w:line="360" w:lineRule="auto"/>
        <w:ind w:firstLine="498" w:firstLineChars="155"/>
        <w:rPr>
          <w:rFonts w:hint="eastAsia" w:ascii="宋体" w:hAnsi="宋体" w:eastAsia="宋体" w:cs="宋体"/>
          <w:color w:val="auto"/>
          <w:highlight w:val="none"/>
        </w:rPr>
      </w:pPr>
      <w:bookmarkStart w:id="9" w:name="_Toc28359084"/>
      <w:bookmarkStart w:id="10" w:name="_Toc35393625"/>
      <w:bookmarkStart w:id="11" w:name="_Toc28359007"/>
      <w:bookmarkStart w:id="12" w:name="_Toc35393794"/>
      <w:bookmarkStart w:id="13" w:name="_Toc38985267"/>
      <w:r>
        <w:rPr>
          <w:rFonts w:hint="eastAsia" w:ascii="宋体" w:hAnsi="宋体" w:eastAsia="宋体" w:cs="宋体"/>
          <w:color w:val="auto"/>
          <w:highlight w:val="none"/>
        </w:rPr>
        <w:t>五、公告期限</w:t>
      </w:r>
      <w:bookmarkEnd w:id="9"/>
      <w:bookmarkEnd w:id="10"/>
      <w:bookmarkEnd w:id="11"/>
      <w:bookmarkEnd w:id="12"/>
      <w:bookmarkEnd w:id="13"/>
    </w:p>
    <w:p>
      <w:pPr>
        <w:tabs>
          <w:tab w:val="left" w:pos="900"/>
        </w:tabs>
        <w:spacing w:line="5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招标公告及招标文件公告期限为自本公告发布之日起5个工作日。</w:t>
      </w:r>
    </w:p>
    <w:p>
      <w:pPr>
        <w:pStyle w:val="4"/>
        <w:spacing w:beforeLines="50" w:afterLines="50" w:line="360" w:lineRule="auto"/>
        <w:ind w:firstLine="498" w:firstLineChars="155"/>
        <w:rPr>
          <w:rFonts w:hint="eastAsia" w:ascii="宋体" w:hAnsi="宋体" w:eastAsia="宋体" w:cs="宋体"/>
          <w:color w:val="auto"/>
          <w:highlight w:val="none"/>
        </w:rPr>
      </w:pPr>
      <w:r>
        <w:rPr>
          <w:rFonts w:hint="eastAsia" w:ascii="宋体" w:hAnsi="宋体" w:eastAsia="宋体" w:cs="宋体"/>
          <w:color w:val="auto"/>
          <w:highlight w:val="none"/>
        </w:rPr>
        <w:t>六、其他补充事宜</w:t>
      </w:r>
    </w:p>
    <w:p>
      <w:pPr>
        <w:adjustRightInd w:val="0"/>
        <w:snapToGrid w:val="0"/>
        <w:spacing w:beforeLines="50" w:afterLines="50" w:line="293"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如要求投标人对投标文件内容进行澄清，将通过腾讯视频会议方式进行，请各投标人在开标前做好人员、网络、设备准备工作，视频会议房间信息将适时告知投标授权代表，投标代表务必于开标当日保持手机联系畅通。</w:t>
      </w:r>
    </w:p>
    <w:p>
      <w:pPr>
        <w:pStyle w:val="4"/>
        <w:spacing w:beforeLines="50" w:afterLines="50" w:line="360" w:lineRule="auto"/>
        <w:ind w:firstLine="498" w:firstLineChars="155"/>
        <w:rPr>
          <w:rFonts w:hint="eastAsia" w:ascii="宋体" w:hAnsi="宋体" w:eastAsia="宋体" w:cs="宋体"/>
          <w:color w:val="auto"/>
          <w:highlight w:val="none"/>
        </w:rPr>
      </w:pPr>
      <w:bookmarkStart w:id="14" w:name="_Toc35393796"/>
      <w:bookmarkStart w:id="15" w:name="_Toc28359085"/>
      <w:bookmarkStart w:id="16" w:name="_Toc28359008"/>
      <w:bookmarkStart w:id="17" w:name="_Toc38985269"/>
      <w:bookmarkStart w:id="18" w:name="_Toc35393627"/>
      <w:r>
        <w:rPr>
          <w:rFonts w:hint="eastAsia" w:ascii="宋体" w:hAnsi="宋体" w:eastAsia="宋体" w:cs="宋体"/>
          <w:color w:val="auto"/>
          <w:highlight w:val="none"/>
        </w:rPr>
        <w:t>七、联系</w:t>
      </w:r>
      <w:bookmarkEnd w:id="14"/>
      <w:bookmarkEnd w:id="15"/>
      <w:bookmarkEnd w:id="16"/>
      <w:bookmarkEnd w:id="17"/>
      <w:bookmarkEnd w:id="18"/>
      <w:r>
        <w:rPr>
          <w:rFonts w:hint="eastAsia" w:ascii="宋体" w:hAnsi="宋体" w:eastAsia="宋体" w:cs="宋体"/>
          <w:color w:val="auto"/>
          <w:highlight w:val="none"/>
        </w:rPr>
        <w:t>事项</w:t>
      </w:r>
    </w:p>
    <w:p>
      <w:pPr>
        <w:adjustRightInd w:val="0"/>
        <w:snapToGrid w:val="0"/>
        <w:spacing w:beforeLines="50" w:afterLines="50" w:line="29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名称：新疆财经大学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乌鲁木齐市北京中路449号</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联系人：杜老师</w:t>
      </w:r>
    </w:p>
    <w:p>
      <w:pPr>
        <w:adjustRightInd w:val="0"/>
        <w:snapToGrid w:val="0"/>
        <w:spacing w:beforeLines="50" w:afterLines="50" w:line="29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联系电话：0991-7843541</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 xml:space="preserve"> 新疆维吾尔自治区政务服务和公共资源交易中心</w:t>
      </w:r>
      <w:r>
        <w:rPr>
          <w:rFonts w:hint="eastAsia" w:ascii="宋体" w:hAnsi="宋体" w:eastAsia="宋体" w:cs="宋体"/>
          <w:color w:val="auto"/>
          <w:sz w:val="24"/>
          <w:szCs w:val="24"/>
          <w:highlight w:val="none"/>
        </w:rPr>
        <w:t>信息</w:t>
      </w:r>
    </w:p>
    <w:p>
      <w:pPr>
        <w:adjustRightInd w:val="0"/>
        <w:snapToGrid w:val="0"/>
        <w:spacing w:beforeLines="50" w:afterLines="50" w:line="293"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highlight w:val="none"/>
        </w:rPr>
        <w:t>新疆乌鲁木齐市水磨沟区准噶尔街299号益民大厦4楼A40</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室</w:t>
      </w:r>
    </w:p>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漆老师</w:t>
      </w:r>
    </w:p>
    <w:p>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0991-3550126</w:t>
      </w:r>
    </w:p>
    <w:p>
      <w:pPr>
        <w:pStyle w:val="4"/>
        <w:ind w:firstLine="482" w:firstLineChars="150"/>
        <w:rPr>
          <w:rFonts w:hint="eastAsia" w:ascii="宋体" w:hAnsi="宋体" w:eastAsia="宋体" w:cs="宋体"/>
          <w:color w:val="auto"/>
          <w:highlight w:val="none"/>
        </w:rPr>
      </w:pPr>
      <w:r>
        <w:rPr>
          <w:rFonts w:hint="eastAsia" w:ascii="宋体" w:hAnsi="宋体" w:eastAsia="宋体" w:cs="宋体"/>
          <w:color w:val="auto"/>
          <w:highlight w:val="none"/>
        </w:rPr>
        <w:t>八、其他</w:t>
      </w:r>
    </w:p>
    <w:p>
      <w:pPr>
        <w:tabs>
          <w:tab w:val="left" w:pos="900"/>
        </w:tabs>
        <w:wordWrap w:val="0"/>
        <w:spacing w:line="5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1.本项目实行电子招投标，供应商须登录新疆政府采购云平台申请获取招标文件，并通过新疆政府采购云平台电子投标客户端制作投标文件。</w:t>
      </w:r>
      <w:r>
        <w:rPr>
          <w:rFonts w:hint="eastAsia" w:ascii="宋体" w:hAnsi="宋体" w:eastAsia="宋体" w:cs="宋体"/>
          <w:bCs/>
          <w:color w:val="auto"/>
          <w:sz w:val="24"/>
          <w:szCs w:val="24"/>
          <w:highlight w:val="none"/>
        </w:rPr>
        <w:t>有关本次招标的事项若存在变动或修改，敬请及时关注新疆维吾尔自治区政务服务和公共资源交易中心在“新疆公共资源交易网”和“新疆政府采购</w:t>
      </w:r>
      <w:r>
        <w:rPr>
          <w:rFonts w:hint="eastAsia" w:ascii="宋体" w:hAnsi="宋体" w:eastAsia="宋体" w:cs="宋体"/>
          <w:bCs/>
          <w:color w:val="auto"/>
          <w:sz w:val="24"/>
          <w:szCs w:val="24"/>
          <w:highlight w:val="none"/>
          <w:lang w:val="en-US" w:eastAsia="zh-CN"/>
        </w:rPr>
        <w:t>云平台</w:t>
      </w:r>
      <w:r>
        <w:rPr>
          <w:rFonts w:hint="eastAsia" w:ascii="宋体" w:hAnsi="宋体" w:eastAsia="宋体" w:cs="宋体"/>
          <w:bCs/>
          <w:color w:val="auto"/>
          <w:sz w:val="24"/>
          <w:szCs w:val="24"/>
          <w:highlight w:val="none"/>
        </w:rPr>
        <w:t>”发布的澄清变更公告，网址分别为“</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"http://zwfw.xinjiang.gov.cn/xinjiangggzy"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http://zwfw.xinjiang.gov.cn/xinjiangggzy</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”和“http://www.ccgp-xinjiang.gov.cn”。</w:t>
      </w:r>
    </w:p>
    <w:p>
      <w:pPr>
        <w:tabs>
          <w:tab w:val="left" w:pos="900"/>
        </w:tabs>
        <w:wordWrap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2.各供应商应在开标前确保成为新疆政府采购网正式供应商，并完成CA数字证书（符合国密标准）申领。因未注册入库、未办理CA数字证书等原因造成无法投标或投标失败等后果由供应商自行承担。</w:t>
      </w:r>
    </w:p>
    <w:p>
      <w:pPr>
        <w:tabs>
          <w:tab w:val="left" w:pos="900"/>
        </w:tabs>
        <w:wordWrap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pPr>
        <w:tabs>
          <w:tab w:val="left" w:pos="900"/>
        </w:tabs>
        <w:wordWrap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4.本项目采用不见面开标，供应商须在投标截止时间前通过CA上传加密的电子响应文件。</w:t>
      </w:r>
    </w:p>
    <w:p>
      <w:pPr>
        <w:tabs>
          <w:tab w:val="left" w:pos="900"/>
        </w:tabs>
        <w:wordWrap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pPr>
        <w:tabs>
          <w:tab w:val="left" w:pos="900"/>
        </w:tabs>
        <w:wordWrap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5、供应商应当在递交截止时间前,将生成的“电子加密响应文件”上传递交至“政府采购云平台”,递交截止时间以后上传递交的响应文件将被“政府采购云平台”拒收。</w:t>
      </w:r>
    </w:p>
    <w:p>
      <w:pPr>
        <w:tabs>
          <w:tab w:val="left" w:pos="900"/>
        </w:tabs>
        <w:wordWrap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收取投标保证金</w:t>
      </w:r>
      <w:r>
        <w:rPr>
          <w:rFonts w:hint="eastAsia" w:ascii="宋体" w:hAnsi="宋体" w:eastAsia="宋体" w:cs="宋体"/>
          <w:color w:val="auto"/>
          <w:sz w:val="24"/>
          <w:szCs w:val="24"/>
          <w:highlight w:val="none"/>
          <w:lang w:val="en-US" w:eastAsia="zh-CN"/>
        </w:rPr>
        <w:t>。</w:t>
      </w:r>
    </w:p>
    <w:p>
      <w:pPr>
        <w:tabs>
          <w:tab w:val="left" w:pos="900"/>
        </w:tabs>
        <w:wordWrap w:val="0"/>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8、本项目的中标供应商可以登陆新疆政府采购网,进入“项目采购” 自行打印中标通知书。通过新疆政府采购网下载打印的中标通知书与现场开具的中标通知书具有同等法律效力。</w:t>
      </w:r>
    </w:p>
    <w:p>
      <w:pPr>
        <w:adjustRightInd w:val="0"/>
        <w:snapToGrid w:val="0"/>
        <w:spacing w:beforeLines="50" w:afterLines="50" w:line="293"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9、系统技术支持电话：95763。</w:t>
      </w:r>
    </w:p>
    <w:p>
      <w:pPr>
        <w:spacing w:line="560" w:lineRule="exact"/>
        <w:ind w:firstLine="480" w:firstLineChars="200"/>
        <w:rPr>
          <w:rFonts w:hint="eastAsia" w:ascii="宋体" w:hAnsi="宋体" w:eastAsia="宋体" w:cs="宋体"/>
          <w:color w:val="auto"/>
          <w:sz w:val="24"/>
          <w:highlight w:val="none"/>
          <w:lang w:val="en-US" w:eastAsia="zh-CN"/>
        </w:rPr>
      </w:pPr>
    </w:p>
    <w:bookmarkEnd w:id="2"/>
    <w:bookmarkEnd w:id="3"/>
    <w:bookmarkEnd w:id="4"/>
    <w:bookmarkEnd w:id="5"/>
    <w:bookmarkEnd w:id="6"/>
    <w:p>
      <w:pPr>
        <w:pStyle w:val="3"/>
        <w:ind w:firstLine="2429" w:firstLineChars="550"/>
        <w:jc w:val="both"/>
        <w:rPr>
          <w:rFonts w:hint="eastAsia" w:ascii="宋体" w:hAnsi="宋体" w:eastAsia="宋体" w:cs="宋体"/>
          <w:b w:val="0"/>
          <w:bCs w:val="0"/>
          <w:color w:val="auto"/>
          <w:highlight w:val="none"/>
        </w:rPr>
      </w:pPr>
      <w:bookmarkStart w:id="19" w:name="_Toc120614211"/>
      <w:bookmarkStart w:id="20" w:name="_Toc534725597"/>
      <w:bookmarkStart w:id="21" w:name="_Toc534816626"/>
      <w:bookmarkStart w:id="22" w:name="_Toc479757207"/>
      <w:bookmarkStart w:id="23" w:name="_Toc16938558"/>
      <w:bookmarkStart w:id="24" w:name="_Toc513029242"/>
      <w:bookmarkStart w:id="25" w:name="_Toc20823314"/>
      <w:bookmarkStart w:id="26" w:name="_Toc120614221"/>
      <w:bookmarkStart w:id="27" w:name="_Toc494375079"/>
      <w:r>
        <w:rPr>
          <w:rFonts w:hint="eastAsia" w:ascii="宋体" w:hAnsi="宋体" w:eastAsia="宋体" w:cs="宋体"/>
          <w:color w:val="auto"/>
          <w:highlight w:val="none"/>
        </w:rPr>
        <w:t xml:space="preserve">第二章  </w:t>
      </w:r>
      <w:bookmarkEnd w:id="19"/>
      <w:bookmarkStart w:id="28" w:name="_Toc16938518"/>
      <w:bookmarkStart w:id="29" w:name="_Toc513029202"/>
      <w:bookmarkStart w:id="30" w:name="_Toc120614213"/>
      <w:bookmarkStart w:id="31" w:name="_Toc20823274"/>
      <w:r>
        <w:rPr>
          <w:rFonts w:hint="eastAsia" w:ascii="宋体" w:hAnsi="宋体" w:eastAsia="宋体" w:cs="宋体"/>
          <w:color w:val="auto"/>
          <w:highlight w:val="none"/>
        </w:rPr>
        <w:t>投标人须知</w:t>
      </w:r>
      <w:bookmarkEnd w:id="20"/>
      <w:bookmarkEnd w:id="21"/>
      <w:bookmarkEnd w:id="28"/>
      <w:bookmarkEnd w:id="29"/>
      <w:bookmarkEnd w:id="30"/>
      <w:bookmarkEnd w:id="31"/>
    </w:p>
    <w:p>
      <w:pPr>
        <w:pStyle w:val="4"/>
        <w:spacing w:beforeLines="50" w:afterLines="50" w:line="360" w:lineRule="auto"/>
        <w:ind w:firstLine="498" w:firstLineChars="155"/>
        <w:rPr>
          <w:rFonts w:hint="eastAsia" w:ascii="宋体" w:hAnsi="宋体" w:eastAsia="宋体" w:cs="宋体"/>
          <w:color w:val="auto"/>
          <w:highlight w:val="none"/>
        </w:rPr>
      </w:pPr>
      <w:bookmarkStart w:id="32" w:name="_Toc534816627"/>
      <w:bookmarkStart w:id="33" w:name="_Toc16938519"/>
      <w:bookmarkStart w:id="34" w:name="_Toc513029203"/>
      <w:bookmarkStart w:id="35" w:name="_Toc120614214"/>
      <w:bookmarkStart w:id="36" w:name="_Toc534725598"/>
      <w:bookmarkStart w:id="37" w:name="_Toc20823275"/>
      <w:r>
        <w:rPr>
          <w:rFonts w:hint="eastAsia" w:ascii="宋体" w:hAnsi="宋体" w:eastAsia="宋体" w:cs="宋体"/>
          <w:color w:val="auto"/>
          <w:highlight w:val="none"/>
        </w:rPr>
        <w:t>一、总则</w:t>
      </w:r>
      <w:bookmarkEnd w:id="32"/>
      <w:bookmarkEnd w:id="33"/>
      <w:bookmarkEnd w:id="34"/>
      <w:bookmarkEnd w:id="35"/>
      <w:bookmarkEnd w:id="36"/>
      <w:bookmarkEnd w:id="37"/>
    </w:p>
    <w:p>
      <w:pPr>
        <w:pStyle w:val="5"/>
        <w:rPr>
          <w:rFonts w:hint="eastAsia" w:ascii="宋体" w:hAnsi="宋体" w:eastAsia="宋体" w:cs="宋体"/>
          <w:b w:val="0"/>
          <w:color w:val="auto"/>
          <w:highlight w:val="none"/>
        </w:rPr>
      </w:pPr>
      <w:bookmarkStart w:id="38" w:name="_Hlt16619475"/>
      <w:bookmarkEnd w:id="38"/>
      <w:bookmarkStart w:id="39" w:name="_Toc458694821"/>
      <w:bookmarkStart w:id="40" w:name="_Toc513029204"/>
      <w:bookmarkStart w:id="41" w:name="_Toc20823276"/>
      <w:bookmarkStart w:id="42" w:name="_Toc16938520"/>
      <w:r>
        <w:rPr>
          <w:rFonts w:hint="eastAsia" w:ascii="宋体" w:hAnsi="宋体" w:eastAsia="宋体" w:cs="宋体"/>
          <w:b w:val="0"/>
          <w:bCs/>
          <w:color w:val="auto"/>
          <w:highlight w:val="none"/>
        </w:rPr>
        <w:t>1</w:t>
      </w:r>
      <w:bookmarkEnd w:id="39"/>
      <w:r>
        <w:rPr>
          <w:rFonts w:hint="eastAsia" w:ascii="宋体" w:hAnsi="宋体" w:eastAsia="宋体" w:cs="宋体"/>
          <w:b w:val="0"/>
          <w:bCs/>
          <w:color w:val="auto"/>
          <w:highlight w:val="none"/>
        </w:rPr>
        <w:t>、招标方式</w:t>
      </w:r>
      <w:bookmarkEnd w:id="40"/>
      <w:bookmarkEnd w:id="41"/>
      <w:bookmarkEnd w:id="42"/>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本次招标采取公开招标方式，本招标文件仅适用于招标公告中所述项目。</w:t>
      </w:r>
    </w:p>
    <w:p>
      <w:pPr>
        <w:pStyle w:val="5"/>
        <w:rPr>
          <w:rFonts w:hint="eastAsia" w:ascii="宋体" w:hAnsi="宋体" w:eastAsia="宋体" w:cs="宋体"/>
          <w:b w:val="0"/>
          <w:color w:val="auto"/>
          <w:highlight w:val="none"/>
        </w:rPr>
      </w:pPr>
      <w:bookmarkStart w:id="43" w:name="_Toc513029205"/>
      <w:bookmarkStart w:id="44" w:name="_Toc20823277"/>
      <w:bookmarkStart w:id="45" w:name="_Toc16938521"/>
      <w:r>
        <w:rPr>
          <w:rFonts w:hint="eastAsia" w:ascii="宋体" w:hAnsi="宋体" w:eastAsia="宋体" w:cs="宋体"/>
          <w:b w:val="0"/>
          <w:bCs/>
          <w:color w:val="auto"/>
          <w:highlight w:val="none"/>
        </w:rPr>
        <w:t>2、合格的投标人</w:t>
      </w:r>
      <w:bookmarkEnd w:id="43"/>
      <w:bookmarkEnd w:id="44"/>
      <w:bookmarkEnd w:id="45"/>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2.1满足招标公告中供应商的资格要求的规定。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满足本文件实质性条款的规定。</w:t>
      </w:r>
    </w:p>
    <w:p>
      <w:pPr>
        <w:pStyle w:val="5"/>
        <w:rPr>
          <w:rFonts w:hint="eastAsia" w:ascii="宋体" w:hAnsi="宋体" w:eastAsia="宋体" w:cs="宋体"/>
          <w:b w:val="0"/>
          <w:color w:val="auto"/>
          <w:highlight w:val="none"/>
        </w:rPr>
      </w:pPr>
      <w:bookmarkStart w:id="46" w:name="_Toc513029206"/>
      <w:bookmarkStart w:id="47" w:name="_Toc16938522"/>
      <w:bookmarkStart w:id="48" w:name="_Toc20823278"/>
      <w:r>
        <w:rPr>
          <w:rFonts w:hint="eastAsia" w:ascii="宋体" w:hAnsi="宋体" w:eastAsia="宋体" w:cs="宋体"/>
          <w:b w:val="0"/>
          <w:bCs/>
          <w:color w:val="auto"/>
          <w:highlight w:val="none"/>
        </w:rPr>
        <w:t>3、适用法律</w:t>
      </w:r>
      <w:bookmarkEnd w:id="46"/>
      <w:bookmarkEnd w:id="47"/>
      <w:bookmarkEnd w:id="48"/>
    </w:p>
    <w:p>
      <w:pPr>
        <w:spacing w:line="40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本次招标及由此产生的合同受中华人民共和国有关的法律法规制约和保护。</w:t>
      </w:r>
    </w:p>
    <w:p>
      <w:pPr>
        <w:pStyle w:val="5"/>
        <w:rPr>
          <w:rFonts w:hint="eastAsia" w:ascii="宋体" w:hAnsi="宋体" w:eastAsia="宋体" w:cs="宋体"/>
          <w:b w:val="0"/>
          <w:color w:val="auto"/>
          <w:highlight w:val="none"/>
        </w:rPr>
      </w:pPr>
      <w:bookmarkStart w:id="49" w:name="_Toc20823279"/>
      <w:bookmarkStart w:id="50" w:name="_Toc513029207"/>
      <w:bookmarkStart w:id="51" w:name="_Toc16938523"/>
      <w:bookmarkStart w:id="52" w:name="_Toc462564067"/>
      <w:r>
        <w:rPr>
          <w:rFonts w:hint="eastAsia" w:ascii="宋体" w:hAnsi="宋体" w:eastAsia="宋体" w:cs="宋体"/>
          <w:b w:val="0"/>
          <w:bCs/>
          <w:color w:val="auto"/>
          <w:highlight w:val="none"/>
        </w:rPr>
        <w:t>4、投标费用</w:t>
      </w:r>
      <w:bookmarkEnd w:id="49"/>
      <w:bookmarkEnd w:id="50"/>
      <w:bookmarkEnd w:id="51"/>
      <w:bookmarkEnd w:id="52"/>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4.1</w:t>
      </w:r>
      <w:r>
        <w:rPr>
          <w:rFonts w:hint="eastAsia" w:ascii="宋体" w:hAnsi="宋体" w:eastAsia="宋体" w:cs="宋体"/>
          <w:color w:val="auto"/>
          <w:sz w:val="24"/>
          <w:highlight w:val="none"/>
        </w:rPr>
        <w:t xml:space="preserve"> 投标人应自行承担所有与参加投标有关的费用，无论投标过程中的做法和结果如何，新疆维吾尔自治区政务服务和公共资源交易中心（以下简称“交易中心”）在任何情况下均无义务和责任承担这些费用。</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4.2本次招标交易中心和采购人不收取标书工本费与中标服务费。</w:t>
      </w:r>
    </w:p>
    <w:p>
      <w:pPr>
        <w:pStyle w:val="5"/>
        <w:spacing w:line="480" w:lineRule="exact"/>
        <w:ind w:firstLine="419" w:firstLineChars="139"/>
        <w:rPr>
          <w:rFonts w:hint="eastAsia" w:ascii="宋体" w:hAnsi="宋体" w:eastAsia="宋体" w:cs="宋体"/>
          <w:b w:val="0"/>
          <w:color w:val="auto"/>
          <w:highlight w:val="none"/>
        </w:rPr>
      </w:pPr>
      <w:r>
        <w:rPr>
          <w:rFonts w:hint="eastAsia" w:ascii="宋体" w:hAnsi="宋体" w:eastAsia="宋体" w:cs="宋体"/>
          <w:color w:val="auto"/>
          <w:sz w:val="30"/>
          <w:highlight w:val="none"/>
        </w:rPr>
        <w:t>5、</w:t>
      </w:r>
      <w:r>
        <w:rPr>
          <w:rFonts w:hint="eastAsia" w:ascii="宋体" w:hAnsi="宋体" w:eastAsia="宋体" w:cs="宋体"/>
          <w:b w:val="0"/>
          <w:bCs/>
          <w:color w:val="auto"/>
          <w:highlight w:val="none"/>
        </w:rPr>
        <w:t>招标文件的约束力</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rPr>
        <w:t xml:space="preserve"> 投标人一旦参加本项目采购活动，即被认为接受了本招标文件的规定和约束。</w:t>
      </w:r>
    </w:p>
    <w:p>
      <w:pPr>
        <w:pStyle w:val="4"/>
        <w:spacing w:beforeLines="50" w:afterLines="50" w:line="360" w:lineRule="auto"/>
        <w:ind w:firstLine="321" w:firstLineChars="100"/>
        <w:rPr>
          <w:rFonts w:hint="eastAsia" w:ascii="宋体" w:hAnsi="宋体" w:eastAsia="宋体" w:cs="宋体"/>
          <w:color w:val="auto"/>
          <w:highlight w:val="none"/>
        </w:rPr>
      </w:pPr>
      <w:bookmarkStart w:id="53" w:name="_Toc513029209"/>
      <w:bookmarkStart w:id="54" w:name="_Toc16938525"/>
      <w:bookmarkStart w:id="55" w:name="_Toc534725599"/>
      <w:bookmarkStart w:id="56" w:name="_Toc120614215"/>
      <w:bookmarkStart w:id="57" w:name="_Toc20823281"/>
      <w:bookmarkStart w:id="58" w:name="_Toc534816628"/>
      <w:r>
        <w:rPr>
          <w:rFonts w:hint="eastAsia" w:ascii="宋体" w:hAnsi="宋体" w:eastAsia="宋体" w:cs="宋体"/>
          <w:color w:val="auto"/>
          <w:highlight w:val="none"/>
        </w:rPr>
        <w:t>二、招标文件</w:t>
      </w:r>
      <w:bookmarkEnd w:id="53"/>
      <w:bookmarkEnd w:id="54"/>
      <w:bookmarkEnd w:id="55"/>
      <w:bookmarkEnd w:id="56"/>
      <w:bookmarkEnd w:id="57"/>
      <w:bookmarkEnd w:id="58"/>
    </w:p>
    <w:p>
      <w:pPr>
        <w:pStyle w:val="5"/>
        <w:rPr>
          <w:rFonts w:hint="eastAsia" w:ascii="宋体" w:hAnsi="宋体" w:eastAsia="宋体" w:cs="宋体"/>
          <w:b w:val="0"/>
          <w:color w:val="auto"/>
          <w:highlight w:val="none"/>
        </w:rPr>
      </w:pPr>
      <w:bookmarkStart w:id="59" w:name="_Toc513029210"/>
      <w:bookmarkStart w:id="60" w:name="_Toc20823282"/>
      <w:bookmarkStart w:id="61" w:name="_Toc16938526"/>
      <w:r>
        <w:rPr>
          <w:rFonts w:hint="eastAsia" w:ascii="宋体" w:hAnsi="宋体" w:eastAsia="宋体" w:cs="宋体"/>
          <w:b w:val="0"/>
          <w:bCs/>
          <w:color w:val="auto"/>
          <w:highlight w:val="none"/>
        </w:rPr>
        <w:t>6、招标文件构成</w:t>
      </w:r>
      <w:bookmarkEnd w:id="59"/>
      <w:bookmarkEnd w:id="60"/>
      <w:bookmarkEnd w:id="61"/>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6.1</w:t>
      </w:r>
      <w:r>
        <w:rPr>
          <w:rFonts w:hint="eastAsia" w:ascii="宋体" w:hAnsi="宋体" w:eastAsia="宋体" w:cs="宋体"/>
          <w:color w:val="auto"/>
          <w:sz w:val="24"/>
          <w:highlight w:val="none"/>
        </w:rPr>
        <w:t xml:space="preserve"> 招标文件由以下部分组成：</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（3）合同条款及格式</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p>
    <w:p>
      <w:pPr>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（5）评标方法与评标标准</w:t>
      </w:r>
    </w:p>
    <w:p>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请仔细检查招标文件是否齐全，如有缺漏请立即与交易中心联系解决。</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6.2</w:t>
      </w:r>
      <w:r>
        <w:rPr>
          <w:rFonts w:hint="eastAsia" w:ascii="宋体" w:hAnsi="宋体" w:eastAsia="宋体" w:cs="宋体"/>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16938527"/>
      <w:bookmarkStart w:id="63" w:name="_Toc20823283"/>
      <w:bookmarkStart w:id="64" w:name="_Toc462564070"/>
      <w:bookmarkStart w:id="65" w:name="_Toc513029211"/>
    </w:p>
    <w:p>
      <w:pPr>
        <w:spacing w:line="500" w:lineRule="exact"/>
        <w:ind w:left="0" w:leftChars="0" w:firstLine="420" w:firstLineChars="15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7、招标文件的澄清</w:t>
      </w:r>
      <w:bookmarkEnd w:id="62"/>
      <w:bookmarkEnd w:id="63"/>
      <w:bookmarkEnd w:id="64"/>
      <w:bookmarkEnd w:id="65"/>
    </w:p>
    <w:p>
      <w:pPr>
        <w:spacing w:line="480" w:lineRule="exact"/>
        <w:ind w:left="0" w:leftChars="0" w:firstLine="360"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7.1</w:t>
      </w:r>
      <w:r>
        <w:rPr>
          <w:rFonts w:hint="eastAsia" w:ascii="宋体" w:hAnsi="宋体" w:eastAsia="宋体" w:cs="宋体"/>
          <w:color w:val="auto"/>
          <w:sz w:val="24"/>
          <w:highlight w:val="none"/>
        </w:rPr>
        <w:t xml:space="preserve"> 任何要求对招标文件进行澄清的投标人，应在投标截止期</w:t>
      </w:r>
      <w:r>
        <w:rPr>
          <w:rFonts w:hint="eastAsia" w:ascii="宋体" w:hAnsi="宋体" w:eastAsia="宋体" w:cs="宋体"/>
          <w:b/>
          <w:color w:val="auto"/>
          <w:sz w:val="24"/>
          <w:szCs w:val="24"/>
          <w:highlight w:val="none"/>
          <w:lang w:val="en-US" w:eastAsia="zh-Hans"/>
        </w:rPr>
        <w:t>七</w:t>
      </w:r>
      <w:r>
        <w:rPr>
          <w:rFonts w:hint="eastAsia" w:ascii="宋体" w:hAnsi="宋体" w:eastAsia="宋体" w:cs="宋体"/>
          <w:b/>
          <w:color w:val="auto"/>
          <w:sz w:val="24"/>
          <w:szCs w:val="24"/>
          <w:highlight w:val="none"/>
        </w:rPr>
        <w:t>日</w:t>
      </w:r>
      <w:r>
        <w:rPr>
          <w:rFonts w:hint="eastAsia" w:ascii="宋体" w:hAnsi="宋体" w:eastAsia="宋体" w:cs="宋体"/>
          <w:color w:val="auto"/>
          <w:sz w:val="24"/>
          <w:szCs w:val="24"/>
          <w:highlight w:val="none"/>
        </w:rPr>
        <w:t>前</w:t>
      </w:r>
      <w:r>
        <w:rPr>
          <w:rFonts w:hint="eastAsia" w:ascii="宋体" w:hAnsi="宋体" w:eastAsia="宋体" w:cs="宋体"/>
          <w:color w:val="auto"/>
          <w:sz w:val="24"/>
          <w:highlight w:val="none"/>
        </w:rPr>
        <w:t>按招标公告中的通讯地址，以书面形式通知交易中心。</w:t>
      </w:r>
    </w:p>
    <w:p>
      <w:pPr>
        <w:pStyle w:val="5"/>
        <w:ind w:left="0" w:leftChars="0" w:firstLine="420" w:firstLineChars="150"/>
        <w:rPr>
          <w:rFonts w:hint="eastAsia" w:ascii="宋体" w:hAnsi="宋体" w:eastAsia="宋体" w:cs="宋体"/>
          <w:b w:val="0"/>
          <w:color w:val="auto"/>
          <w:highlight w:val="none"/>
        </w:rPr>
      </w:pPr>
      <w:bookmarkStart w:id="66" w:name="_Toc20823284"/>
      <w:bookmarkStart w:id="67" w:name="_Toc462564071"/>
      <w:bookmarkStart w:id="68" w:name="_Toc16938528"/>
      <w:bookmarkStart w:id="69" w:name="_Toc513029212"/>
      <w:r>
        <w:rPr>
          <w:rFonts w:hint="eastAsia" w:ascii="宋体" w:hAnsi="宋体" w:eastAsia="宋体" w:cs="宋体"/>
          <w:b w:val="0"/>
          <w:bCs/>
          <w:color w:val="auto"/>
          <w:highlight w:val="none"/>
        </w:rPr>
        <w:t>8、招标文件的修改</w:t>
      </w:r>
      <w:bookmarkEnd w:id="66"/>
      <w:bookmarkEnd w:id="67"/>
      <w:bookmarkEnd w:id="68"/>
      <w:bookmarkEnd w:id="69"/>
    </w:p>
    <w:p>
      <w:pPr>
        <w:spacing w:line="50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bCs/>
          <w:color w:val="auto"/>
          <w:sz w:val="24"/>
          <w:highlight w:val="none"/>
        </w:rPr>
        <w:t>8.1</w:t>
      </w:r>
      <w:r>
        <w:rPr>
          <w:rFonts w:hint="eastAsia" w:ascii="宋体" w:hAnsi="宋体" w:eastAsia="宋体" w:cs="宋体"/>
          <w:color w:val="auto"/>
          <w:sz w:val="24"/>
          <w:highlight w:val="none"/>
        </w:rPr>
        <w:t xml:space="preserve"> 在投标截止时间</w:t>
      </w:r>
      <w:r>
        <w:rPr>
          <w:rFonts w:hint="eastAsia" w:ascii="宋体" w:hAnsi="宋体" w:eastAsia="宋体" w:cs="宋体"/>
          <w:color w:val="auto"/>
          <w:sz w:val="24"/>
          <w:highlight w:val="none"/>
          <w:lang w:val="en-US" w:eastAsia="zh-Hans"/>
        </w:rPr>
        <w:t>至少十五日</w:t>
      </w:r>
      <w:r>
        <w:rPr>
          <w:rFonts w:hint="eastAsia" w:ascii="宋体" w:hAnsi="宋体" w:eastAsia="宋体" w:cs="宋体"/>
          <w:color w:val="auto"/>
          <w:sz w:val="24"/>
          <w:highlight w:val="none"/>
        </w:rPr>
        <w:t>前，交易中心可以对招标文件进行修改。</w:t>
      </w:r>
    </w:p>
    <w:p>
      <w:pPr>
        <w:spacing w:line="500" w:lineRule="exact"/>
        <w:ind w:left="0" w:leftChars="0" w:firstLine="360" w:firstLineChars="150"/>
        <w:rPr>
          <w:rFonts w:hint="eastAsia" w:ascii="宋体" w:hAnsi="宋体" w:eastAsia="宋体" w:cs="宋体"/>
          <w:color w:val="auto"/>
          <w:sz w:val="28"/>
          <w:highlight w:val="none"/>
        </w:rPr>
      </w:pPr>
      <w:r>
        <w:rPr>
          <w:rFonts w:hint="eastAsia" w:ascii="宋体" w:hAnsi="宋体" w:eastAsia="宋体" w:cs="宋体"/>
          <w:bCs/>
          <w:color w:val="auto"/>
          <w:sz w:val="24"/>
          <w:highlight w:val="none"/>
        </w:rPr>
        <w:t xml:space="preserve">8.2 </w:t>
      </w:r>
      <w:r>
        <w:rPr>
          <w:rFonts w:hint="eastAsia" w:ascii="宋体" w:hAnsi="宋体" w:eastAsia="宋体" w:cs="宋体"/>
          <w:color w:val="auto"/>
          <w:sz w:val="24"/>
          <w:highlight w:val="none"/>
        </w:rPr>
        <w:t>交易中心</w:t>
      </w:r>
      <w:r>
        <w:rPr>
          <w:rFonts w:hint="eastAsia" w:ascii="宋体" w:hAnsi="宋体" w:eastAsia="宋体" w:cs="宋体"/>
          <w:color w:val="auto"/>
          <w:sz w:val="24"/>
          <w:szCs w:val="24"/>
          <w:highlight w:val="none"/>
        </w:rPr>
        <w:t>有权按照法定的要求</w:t>
      </w:r>
      <w:r>
        <w:rPr>
          <w:rFonts w:hint="eastAsia" w:ascii="宋体" w:hAnsi="宋体" w:eastAsia="宋体" w:cs="宋体"/>
          <w:color w:val="auto"/>
          <w:sz w:val="24"/>
          <w:highlight w:val="none"/>
        </w:rPr>
        <w:t>推迟投标截止日期和开标日期。</w:t>
      </w:r>
    </w:p>
    <w:p>
      <w:pPr>
        <w:spacing w:line="50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8.3 </w:t>
      </w:r>
      <w:r>
        <w:rPr>
          <w:rFonts w:hint="eastAsia" w:ascii="宋体" w:hAnsi="宋体" w:eastAsia="宋体" w:cs="宋体"/>
          <w:color w:val="auto"/>
          <w:sz w:val="24"/>
          <w:highlight w:val="none"/>
        </w:rPr>
        <w:t>招标文件的修改将在“新疆公共资源交易网”和“新疆政府采购网”公布，</w:t>
      </w:r>
      <w:r>
        <w:rPr>
          <w:rFonts w:hint="eastAsia" w:ascii="宋体" w:hAnsi="宋体" w:eastAsia="宋体" w:cs="宋体"/>
          <w:color w:val="auto"/>
          <w:sz w:val="24"/>
          <w:szCs w:val="24"/>
          <w:highlight w:val="none"/>
        </w:rPr>
        <w:t>补充文件将作为招标文件的组成部分，</w:t>
      </w:r>
      <w:r>
        <w:rPr>
          <w:rFonts w:hint="eastAsia" w:ascii="宋体" w:hAnsi="宋体" w:eastAsia="宋体" w:cs="宋体"/>
          <w:color w:val="auto"/>
          <w:sz w:val="24"/>
          <w:highlight w:val="none"/>
        </w:rPr>
        <w:t>并对投标人具有约束力。</w:t>
      </w:r>
    </w:p>
    <w:p>
      <w:pPr>
        <w:pStyle w:val="4"/>
        <w:spacing w:beforeLines="50" w:afterLines="50" w:line="360" w:lineRule="auto"/>
        <w:ind w:left="0" w:leftChars="0" w:firstLine="482" w:firstLineChars="150"/>
        <w:rPr>
          <w:rFonts w:hint="eastAsia" w:ascii="宋体" w:hAnsi="宋体" w:eastAsia="宋体" w:cs="宋体"/>
          <w:color w:val="auto"/>
          <w:highlight w:val="none"/>
        </w:rPr>
      </w:pPr>
      <w:bookmarkStart w:id="70" w:name="_Toc16938529"/>
      <w:bookmarkStart w:id="71" w:name="_Toc513029213"/>
      <w:bookmarkStart w:id="72" w:name="_Toc462564072"/>
      <w:bookmarkStart w:id="73" w:name="_Toc534816629"/>
      <w:bookmarkStart w:id="74" w:name="_Toc120614216"/>
      <w:bookmarkStart w:id="75" w:name="_Toc534725600"/>
      <w:bookmarkStart w:id="76" w:name="_Toc20823285"/>
      <w:r>
        <w:rPr>
          <w:rFonts w:hint="eastAsia" w:ascii="宋体" w:hAnsi="宋体" w:eastAsia="宋体" w:cs="宋体"/>
          <w:color w:val="auto"/>
          <w:highlight w:val="none"/>
        </w:rPr>
        <w:t>三、投标文件的编制</w:t>
      </w:r>
      <w:bookmarkEnd w:id="70"/>
      <w:bookmarkEnd w:id="71"/>
      <w:bookmarkEnd w:id="72"/>
      <w:bookmarkEnd w:id="73"/>
      <w:bookmarkEnd w:id="74"/>
      <w:bookmarkEnd w:id="75"/>
      <w:bookmarkEnd w:id="76"/>
    </w:p>
    <w:p>
      <w:pPr>
        <w:pStyle w:val="5"/>
        <w:ind w:left="0" w:leftChars="0" w:firstLine="420" w:firstLineChars="150"/>
        <w:rPr>
          <w:rFonts w:hint="eastAsia" w:ascii="宋体" w:hAnsi="宋体" w:eastAsia="宋体" w:cs="宋体"/>
          <w:color w:val="auto"/>
          <w:highlight w:val="none"/>
        </w:rPr>
      </w:pPr>
      <w:bookmarkStart w:id="77" w:name="_Toc16938530"/>
      <w:bookmarkStart w:id="78" w:name="_Toc20823286"/>
      <w:bookmarkStart w:id="79" w:name="_Toc513029214"/>
      <w:bookmarkStart w:id="80" w:name="_Toc462564073"/>
      <w:r>
        <w:rPr>
          <w:rFonts w:hint="eastAsia" w:ascii="宋体" w:hAnsi="宋体" w:eastAsia="宋体" w:cs="宋体"/>
          <w:b w:val="0"/>
          <w:bCs/>
          <w:color w:val="auto"/>
          <w:highlight w:val="none"/>
        </w:rPr>
        <w:t>9、投标文件的语言及度量衡单位</w:t>
      </w:r>
      <w:bookmarkEnd w:id="77"/>
      <w:bookmarkEnd w:id="78"/>
      <w:bookmarkEnd w:id="79"/>
      <w:bookmarkEnd w:id="80"/>
    </w:p>
    <w:p>
      <w:pPr>
        <w:spacing w:line="50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bCs/>
          <w:color w:val="auto"/>
          <w:sz w:val="24"/>
          <w:highlight w:val="none"/>
        </w:rPr>
        <w:t>9.1</w:t>
      </w:r>
      <w:r>
        <w:rPr>
          <w:rFonts w:hint="eastAsia" w:ascii="宋体" w:hAnsi="宋体" w:eastAsia="宋体" w:cs="宋体"/>
          <w:color w:val="auto"/>
          <w:sz w:val="24"/>
          <w:highlight w:val="none"/>
        </w:rPr>
        <w:t xml:space="preserve"> 投标人提交的投标文件以及投标人与交易中心就有关投标的所有来往通知、函件和文件均应使用</w:t>
      </w:r>
      <w:r>
        <w:rPr>
          <w:rFonts w:hint="eastAsia" w:ascii="宋体" w:hAnsi="宋体" w:eastAsia="宋体" w:cs="宋体"/>
          <w:b/>
          <w:bCs/>
          <w:color w:val="auto"/>
          <w:sz w:val="24"/>
          <w:highlight w:val="none"/>
        </w:rPr>
        <w:t>简体中文</w:t>
      </w:r>
      <w:r>
        <w:rPr>
          <w:rFonts w:hint="eastAsia" w:ascii="宋体" w:hAnsi="宋体" w:eastAsia="宋体" w:cs="宋体"/>
          <w:color w:val="auto"/>
          <w:sz w:val="24"/>
          <w:highlight w:val="none"/>
        </w:rPr>
        <w:t>。</w:t>
      </w:r>
    </w:p>
    <w:p>
      <w:pPr>
        <w:spacing w:line="50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bCs/>
          <w:color w:val="auto"/>
          <w:sz w:val="24"/>
          <w:highlight w:val="none"/>
        </w:rPr>
        <w:t>9.2</w:t>
      </w:r>
      <w:r>
        <w:rPr>
          <w:rFonts w:hint="eastAsia" w:ascii="宋体" w:hAnsi="宋体" w:eastAsia="宋体" w:cs="宋体"/>
          <w:color w:val="auto"/>
          <w:sz w:val="24"/>
          <w:highlight w:val="none"/>
        </w:rPr>
        <w:t xml:space="preserve"> 除技术性能另有规定外，投标文件所使用的度量衡单位，均须采用国家法定计量单位。</w:t>
      </w:r>
    </w:p>
    <w:p>
      <w:pPr>
        <w:pStyle w:val="5"/>
        <w:ind w:left="0" w:leftChars="0" w:firstLine="420" w:firstLineChars="150"/>
        <w:rPr>
          <w:rFonts w:hint="eastAsia" w:ascii="宋体" w:hAnsi="宋体" w:eastAsia="宋体" w:cs="宋体"/>
          <w:b w:val="0"/>
          <w:color w:val="auto"/>
          <w:highlight w:val="none"/>
        </w:rPr>
      </w:pPr>
      <w:bookmarkStart w:id="81" w:name="_Toc462564074"/>
      <w:bookmarkStart w:id="82" w:name="_Toc513029215"/>
      <w:bookmarkStart w:id="83" w:name="_Toc16938531"/>
      <w:bookmarkStart w:id="84" w:name="_Toc20823287"/>
      <w:r>
        <w:rPr>
          <w:rFonts w:hint="eastAsia" w:ascii="宋体" w:hAnsi="宋体" w:eastAsia="宋体" w:cs="宋体"/>
          <w:b w:val="0"/>
          <w:bCs/>
          <w:color w:val="auto"/>
          <w:highlight w:val="none"/>
        </w:rPr>
        <w:t>10、投标文件构成</w:t>
      </w:r>
      <w:bookmarkEnd w:id="81"/>
      <w:bookmarkEnd w:id="82"/>
      <w:bookmarkEnd w:id="83"/>
      <w:bookmarkEnd w:id="84"/>
    </w:p>
    <w:p>
      <w:pPr>
        <w:spacing w:line="44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10.1</w:t>
      </w:r>
      <w:r>
        <w:rPr>
          <w:rFonts w:hint="eastAsia" w:ascii="宋体" w:hAnsi="宋体" w:eastAsia="宋体" w:cs="宋体"/>
          <w:color w:val="auto"/>
          <w:sz w:val="24"/>
          <w:highlight w:val="none"/>
        </w:rPr>
        <w:t xml:space="preserve"> 投标人编写的投标文件应包括资信证明文件、投标配置与分项报价表、技术参数响应及偏离表、商务条款响应及偏离表、技术及售后服务承诺书、投标函、开标一览表等内容。</w:t>
      </w:r>
    </w:p>
    <w:p>
      <w:pPr>
        <w:pStyle w:val="5"/>
        <w:ind w:left="0" w:leftChars="0" w:firstLine="420" w:firstLineChars="150"/>
        <w:rPr>
          <w:rFonts w:hint="eastAsia" w:ascii="宋体" w:hAnsi="宋体" w:eastAsia="宋体" w:cs="宋体"/>
          <w:b w:val="0"/>
          <w:color w:val="auto"/>
          <w:highlight w:val="none"/>
        </w:rPr>
      </w:pPr>
      <w:bookmarkStart w:id="85" w:name="_Hlt26954838"/>
      <w:bookmarkEnd w:id="85"/>
      <w:bookmarkStart w:id="86" w:name="_Hlt26670360"/>
      <w:bookmarkEnd w:id="86"/>
      <w:bookmarkStart w:id="87" w:name="_Hlt26668975"/>
      <w:bookmarkEnd w:id="87"/>
      <w:bookmarkStart w:id="88" w:name="_Toc14577357"/>
      <w:bookmarkStart w:id="89" w:name="_Toc513029219"/>
      <w:bookmarkStart w:id="90" w:name="_Toc49090509"/>
      <w:bookmarkStart w:id="91" w:name="_Toc49090507"/>
      <w:bookmarkStart w:id="92" w:name="_Toc14577354"/>
      <w:bookmarkStart w:id="93" w:name="_Toc513029216"/>
      <w:r>
        <w:rPr>
          <w:rFonts w:hint="eastAsia" w:ascii="宋体" w:hAnsi="宋体" w:eastAsia="宋体" w:cs="宋体"/>
          <w:b w:val="0"/>
          <w:bCs/>
          <w:color w:val="auto"/>
          <w:highlight w:val="none"/>
        </w:rPr>
        <w:t>11、证明投标人资格及符合招标文件规定的文件</w:t>
      </w:r>
      <w:bookmarkEnd w:id="88"/>
      <w:bookmarkEnd w:id="89"/>
      <w:bookmarkEnd w:id="90"/>
    </w:p>
    <w:p>
      <w:pPr>
        <w:spacing w:line="50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bookmarkStart w:id="94" w:name="_Hlt26668999"/>
      <w:bookmarkEnd w:id="94"/>
      <w:r>
        <w:rPr>
          <w:rFonts w:hint="eastAsia" w:ascii="宋体" w:hAnsi="宋体" w:eastAsia="宋体" w:cs="宋体"/>
          <w:color w:val="auto"/>
          <w:sz w:val="24"/>
          <w:highlight w:val="none"/>
        </w:rPr>
        <w:t>投标人应按要求提交资格证明文件及符合招标文件规定的文件。</w:t>
      </w:r>
    </w:p>
    <w:p>
      <w:pPr>
        <w:spacing w:line="50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11.2投标人应提交证明其有资格参加投标和中标后有能力独立履行合同的文件。</w:t>
      </w:r>
    </w:p>
    <w:p>
      <w:pPr>
        <w:spacing w:line="500" w:lineRule="exact"/>
        <w:ind w:left="0" w:leftChars="0"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11.3投标人除必须具有履行合同所需提供的货物以及服务的能力外，还必须具备相应的财务、技术方面的能力。</w:t>
      </w:r>
    </w:p>
    <w:p>
      <w:pPr>
        <w:spacing w:line="480" w:lineRule="exact"/>
        <w:ind w:left="0" w:leftChars="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11.4投标人应提交根据合同要求提供的证明产品质量合格以及符合招标文件规定的证明文件。</w:t>
      </w:r>
    </w:p>
    <w:p>
      <w:pPr>
        <w:spacing w:line="48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11.5证明投标人所提供产品与招标文件的要求相一致的文件可以是手册、图纸、文字资料和数据</w:t>
      </w:r>
      <w:r>
        <w:rPr>
          <w:rFonts w:hint="eastAsia" w:ascii="宋体" w:hAnsi="宋体" w:eastAsia="宋体" w:cs="宋体"/>
          <w:bCs/>
          <w:color w:val="auto"/>
          <w:sz w:val="24"/>
          <w:highlight w:val="none"/>
        </w:rPr>
        <w:t>。</w:t>
      </w:r>
    </w:p>
    <w:bookmarkEnd w:id="91"/>
    <w:bookmarkEnd w:id="92"/>
    <w:bookmarkEnd w:id="93"/>
    <w:p>
      <w:pPr>
        <w:pStyle w:val="5"/>
        <w:rPr>
          <w:rFonts w:hint="eastAsia" w:ascii="宋体" w:hAnsi="宋体" w:eastAsia="宋体" w:cs="宋体"/>
          <w:b w:val="0"/>
          <w:color w:val="auto"/>
          <w:highlight w:val="none"/>
        </w:rPr>
      </w:pPr>
      <w:bookmarkStart w:id="95" w:name="_Toc14577355"/>
      <w:bookmarkStart w:id="96" w:name="_Toc49090508"/>
      <w:r>
        <w:rPr>
          <w:rFonts w:hint="eastAsia" w:ascii="宋体" w:hAnsi="宋体" w:eastAsia="宋体" w:cs="宋体"/>
          <w:b w:val="0"/>
          <w:bCs/>
          <w:color w:val="auto"/>
          <w:highlight w:val="none"/>
        </w:rPr>
        <w:t>12、投标配置与分项报价</w:t>
      </w:r>
      <w:bookmarkEnd w:id="95"/>
      <w:bookmarkStart w:id="97" w:name="_Hlt26670373"/>
      <w:bookmarkEnd w:id="97"/>
      <w:r>
        <w:rPr>
          <w:rFonts w:hint="eastAsia" w:ascii="宋体" w:hAnsi="宋体" w:eastAsia="宋体" w:cs="宋体"/>
          <w:b w:val="0"/>
          <w:bCs/>
          <w:color w:val="auto"/>
          <w:highlight w:val="none"/>
        </w:rPr>
        <w:t>表</w:t>
      </w:r>
      <w:bookmarkEnd w:id="96"/>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12.1</w:t>
      </w:r>
      <w:r>
        <w:rPr>
          <w:rFonts w:hint="eastAsia" w:ascii="宋体" w:hAnsi="宋体" w:eastAsia="宋体" w:cs="宋体"/>
          <w:color w:val="auto"/>
          <w:sz w:val="24"/>
          <w:highlight w:val="none"/>
        </w:rPr>
        <w:t>投</w:t>
      </w:r>
      <w:bookmarkStart w:id="98" w:name="_Hlt26954840"/>
      <w:bookmarkEnd w:id="98"/>
      <w:r>
        <w:rPr>
          <w:rFonts w:hint="eastAsia" w:ascii="宋体" w:hAnsi="宋体" w:eastAsia="宋体" w:cs="宋体"/>
          <w:color w:val="auto"/>
          <w:sz w:val="24"/>
          <w:highlight w:val="none"/>
        </w:rPr>
        <w:t>标人应按照招标文件规定格式填报投标配置与分项报价表</w:t>
      </w:r>
      <w:bookmarkStart w:id="99" w:name="_Hlt26670399"/>
      <w:bookmarkEnd w:id="99"/>
      <w:r>
        <w:rPr>
          <w:rFonts w:hint="eastAsia" w:ascii="宋体" w:hAnsi="宋体" w:eastAsia="宋体" w:cs="宋体"/>
          <w:color w:val="auto"/>
          <w:sz w:val="24"/>
          <w:highlight w:val="none"/>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12.2</w:t>
      </w:r>
      <w:r>
        <w:rPr>
          <w:rFonts w:hint="eastAsia" w:ascii="宋体" w:hAnsi="宋体" w:eastAsia="宋体" w:cs="宋体"/>
          <w:color w:val="auto"/>
          <w:sz w:val="24"/>
          <w:highlight w:val="none"/>
        </w:rPr>
        <w:t xml:space="preserve"> 标的物</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采购人需求的货物供应、安装，调试及有关技术服务等</w:t>
      </w:r>
      <w:r>
        <w:rPr>
          <w:rFonts w:hint="eastAsia" w:ascii="宋体" w:hAnsi="宋体" w:eastAsia="宋体" w:cs="宋体"/>
          <w:color w:val="auto"/>
          <w:sz w:val="24"/>
          <w:highlight w:val="none"/>
        </w:rPr>
        <w:t>。</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12.3</w:t>
      </w:r>
      <w:r>
        <w:rPr>
          <w:rFonts w:hint="eastAsia" w:ascii="宋体" w:hAnsi="宋体" w:eastAsia="宋体" w:cs="宋体"/>
          <w:bCs/>
          <w:color w:val="auto"/>
          <w:sz w:val="24"/>
          <w:highlight w:val="none"/>
        </w:rPr>
        <w:t>有关费用处理</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12.4</w:t>
      </w:r>
      <w:r>
        <w:rPr>
          <w:rFonts w:hint="eastAsia" w:ascii="宋体" w:hAnsi="宋体" w:eastAsia="宋体" w:cs="宋体"/>
          <w:bCs/>
          <w:color w:val="auto"/>
          <w:sz w:val="24"/>
          <w:highlight w:val="none"/>
        </w:rPr>
        <w:t>其它费用处理</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招标文件未列明，而投标人认为必需的费用也需列入报价。</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12.5</w:t>
      </w:r>
      <w:r>
        <w:rPr>
          <w:rFonts w:hint="eastAsia" w:ascii="宋体" w:hAnsi="宋体" w:eastAsia="宋体" w:cs="宋体"/>
          <w:bCs/>
          <w:color w:val="auto"/>
          <w:sz w:val="24"/>
          <w:highlight w:val="none"/>
        </w:rPr>
        <w:t>投标货币</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投标文件中的货物单价和总价无特殊规定的采用人民币报价，以元为单位标注。</w:t>
      </w:r>
      <w:r>
        <w:rPr>
          <w:rFonts w:hint="eastAsia" w:ascii="宋体" w:hAnsi="宋体" w:eastAsia="宋体" w:cs="宋体"/>
          <w:color w:val="auto"/>
          <w:sz w:val="24"/>
          <w:highlight w:val="none"/>
        </w:rPr>
        <w:t>招标文件中另有规定的按规定执行。</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12.6</w:t>
      </w:r>
      <w:r>
        <w:rPr>
          <w:rFonts w:hint="eastAsia" w:ascii="宋体" w:hAnsi="宋体" w:eastAsia="宋体" w:cs="宋体"/>
          <w:bCs/>
          <w:color w:val="auto"/>
          <w:sz w:val="24"/>
          <w:highlight w:val="none"/>
        </w:rPr>
        <w:t xml:space="preserve"> 投标配置与分项报价表上的价格应按下列方式分开填写</w:t>
      </w:r>
      <w:r>
        <w:rPr>
          <w:rFonts w:hint="eastAsia" w:ascii="宋体" w:hAnsi="宋体" w:eastAsia="宋体" w:cs="宋体"/>
          <w:color w:val="auto"/>
          <w:sz w:val="24"/>
          <w:highlight w:val="none"/>
        </w:rPr>
        <w:t>：</w:t>
      </w:r>
    </w:p>
    <w:p>
      <w:pPr>
        <w:spacing w:line="480" w:lineRule="exact"/>
        <w:ind w:firstLine="480" w:firstLineChars="200"/>
        <w:rPr>
          <w:rFonts w:hint="eastAsia" w:ascii="宋体" w:hAnsi="宋体" w:eastAsia="宋体" w:cs="宋体"/>
          <w:bCs/>
          <w:color w:val="auto"/>
          <w:sz w:val="24"/>
          <w:highlight w:val="none"/>
        </w:rPr>
      </w:pPr>
      <w:bookmarkStart w:id="100" w:name="_Hlt26954842"/>
      <w:bookmarkEnd w:id="100"/>
      <w:bookmarkStart w:id="101" w:name="_Hlt26668983"/>
      <w:bookmarkEnd w:id="101"/>
      <w:bookmarkStart w:id="102" w:name="_Hlt26670425"/>
      <w:bookmarkEnd w:id="102"/>
      <w:bookmarkStart w:id="103" w:name="_Hlt26670403"/>
      <w:bookmarkEnd w:id="103"/>
      <w:bookmarkStart w:id="104" w:name="_Hlt26954844"/>
      <w:bookmarkEnd w:id="104"/>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项目总价：包括</w:t>
      </w:r>
      <w:r>
        <w:rPr>
          <w:rFonts w:hint="eastAsia" w:ascii="宋体" w:hAnsi="宋体" w:eastAsia="宋体" w:cs="宋体"/>
          <w:bCs/>
          <w:color w:val="auto"/>
          <w:sz w:val="24"/>
          <w:highlight w:val="none"/>
        </w:rPr>
        <w:t>买方需求的产品价格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Hans"/>
        </w:rPr>
        <w:t>培</w:t>
      </w:r>
      <w:r>
        <w:rPr>
          <w:rFonts w:hint="eastAsia" w:ascii="宋体" w:hAnsi="宋体" w:eastAsia="宋体" w:cs="宋体"/>
          <w:bCs/>
          <w:color w:val="auto"/>
          <w:sz w:val="24"/>
          <w:highlight w:val="none"/>
        </w:rPr>
        <w:t>训费用及售后服务费用，项目在指定地点、环境交付、安装、调试、验收所需费用和所有</w:t>
      </w:r>
      <w:r>
        <w:rPr>
          <w:rFonts w:hint="eastAsia" w:ascii="宋体" w:hAnsi="宋体" w:eastAsia="宋体" w:cs="宋体"/>
          <w:color w:val="auto"/>
          <w:sz w:val="24"/>
          <w:highlight w:val="none"/>
        </w:rPr>
        <w:t>相关税金费用</w:t>
      </w:r>
      <w:r>
        <w:rPr>
          <w:rFonts w:hint="eastAsia" w:ascii="宋体" w:hAnsi="宋体" w:eastAsia="宋体" w:cs="宋体"/>
          <w:bCs/>
          <w:color w:val="auto"/>
          <w:sz w:val="24"/>
          <w:highlight w:val="none"/>
        </w:rPr>
        <w:t>及为完成整个项目所产生的其它所有费用。</w:t>
      </w: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项目单价按投标配置及分项报价表中要求填报。</w:t>
      </w:r>
    </w:p>
    <w:p>
      <w:pPr>
        <w:pStyle w:val="5"/>
        <w:rPr>
          <w:rFonts w:hint="eastAsia" w:ascii="宋体" w:hAnsi="宋体" w:eastAsia="宋体" w:cs="宋体"/>
          <w:b w:val="0"/>
          <w:bCs/>
          <w:color w:val="auto"/>
          <w:highlight w:val="none"/>
        </w:rPr>
      </w:pPr>
      <w:bookmarkStart w:id="105" w:name="_Hlt26670486"/>
      <w:bookmarkEnd w:id="105"/>
      <w:bookmarkStart w:id="106" w:name="_Hlt26954848"/>
      <w:bookmarkEnd w:id="106"/>
      <w:bookmarkStart w:id="107" w:name="_Hlt26954731"/>
      <w:bookmarkEnd w:id="107"/>
      <w:bookmarkStart w:id="108" w:name="_Hlt26670482"/>
      <w:bookmarkEnd w:id="108"/>
      <w:bookmarkStart w:id="109" w:name="_Hlt26954846"/>
      <w:bookmarkEnd w:id="109"/>
      <w:r>
        <w:rPr>
          <w:rFonts w:hint="eastAsia" w:ascii="宋体" w:hAnsi="宋体" w:eastAsia="宋体" w:cs="宋体"/>
          <w:b w:val="0"/>
          <w:bCs/>
          <w:color w:val="auto"/>
          <w:highlight w:val="none"/>
        </w:rPr>
        <w:t>13、技术参数响应及偏离表、商务条款响应及偏离表及投标货物说明</w:t>
      </w:r>
    </w:p>
    <w:p>
      <w:pPr>
        <w:autoSpaceDE w:val="0"/>
        <w:autoSpaceDN w:val="0"/>
        <w:adjustRightInd w:val="0"/>
        <w:spacing w:line="500" w:lineRule="exact"/>
        <w:ind w:firstLine="480"/>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13.1</w:t>
      </w:r>
      <w:r>
        <w:rPr>
          <w:rFonts w:hint="eastAsia" w:ascii="宋体" w:hAnsi="宋体" w:eastAsia="宋体" w:cs="宋体"/>
          <w:color w:val="auto"/>
          <w:sz w:val="24"/>
          <w:highlight w:val="none"/>
          <w:lang w:val="zh-CN"/>
        </w:rPr>
        <w:t xml:space="preserve"> 对招标文件中的技术与商务条款要求逐项作出响应或偏离，并说明原因；</w:t>
      </w:r>
    </w:p>
    <w:p>
      <w:pPr>
        <w:tabs>
          <w:tab w:val="left" w:pos="1035"/>
        </w:tabs>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13.2 提供参加本项目类似案例简介；</w:t>
      </w:r>
    </w:p>
    <w:p>
      <w:pPr>
        <w:tabs>
          <w:tab w:val="left" w:pos="1035"/>
        </w:tabs>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13.3 培训计划；</w:t>
      </w:r>
    </w:p>
    <w:p>
      <w:pPr>
        <w:tabs>
          <w:tab w:val="left" w:pos="1035"/>
        </w:tabs>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13.4 详细阐述所投货物的主要组成部分、功能设计、实现思路及关键技术；</w:t>
      </w:r>
    </w:p>
    <w:p>
      <w:pPr>
        <w:tabs>
          <w:tab w:val="left" w:pos="1035"/>
        </w:tabs>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13.5 投标人认为需要的其他技术文件或说明。</w:t>
      </w:r>
    </w:p>
    <w:p>
      <w:pPr>
        <w:pStyle w:val="5"/>
        <w:rPr>
          <w:rFonts w:hint="eastAsia" w:ascii="宋体" w:hAnsi="宋体" w:eastAsia="宋体" w:cs="宋体"/>
          <w:b w:val="0"/>
          <w:color w:val="auto"/>
          <w:highlight w:val="none"/>
        </w:rPr>
      </w:pPr>
      <w:r>
        <w:rPr>
          <w:rFonts w:hint="eastAsia" w:ascii="宋体" w:hAnsi="宋体" w:eastAsia="宋体" w:cs="宋体"/>
          <w:b w:val="0"/>
          <w:bCs/>
          <w:color w:val="auto"/>
          <w:highlight w:val="none"/>
        </w:rPr>
        <w:t>14、服务承诺及售后服务机构、人员的情况介绍</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14</w:t>
      </w:r>
      <w:r>
        <w:rPr>
          <w:rFonts w:hint="eastAsia" w:ascii="宋体" w:hAnsi="宋体" w:eastAsia="宋体" w:cs="宋体"/>
          <w:color w:val="auto"/>
          <w:sz w:val="24"/>
          <w:highlight w:val="none"/>
          <w:lang w:val="zh-CN"/>
        </w:rPr>
        <w:t>.</w:t>
      </w: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投标人的服务承诺应按不低于招标文件中商务要求的标准。</w:t>
      </w: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color w:val="auto"/>
          <w:sz w:val="24"/>
          <w:highlight w:val="none"/>
          <w:lang w:val="zh-CN"/>
        </w:rPr>
        <w:t>.</w:t>
      </w: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提供投标人有关售后服务的管理制度、售后服务机构的分布情况、售后服务人员的数量、素质、技术水平及售后服务的反应能力。</w:t>
      </w:r>
    </w:p>
    <w:p>
      <w:pPr>
        <w:pStyle w:val="5"/>
        <w:rPr>
          <w:rFonts w:hint="eastAsia" w:ascii="宋体" w:hAnsi="宋体" w:eastAsia="宋体" w:cs="宋体"/>
          <w:b w:val="0"/>
          <w:color w:val="auto"/>
          <w:highlight w:val="none"/>
        </w:rPr>
      </w:pPr>
      <w:bookmarkStart w:id="110" w:name="_Toc14577359"/>
      <w:bookmarkStart w:id="111" w:name="_Toc49090510"/>
      <w:r>
        <w:rPr>
          <w:rFonts w:hint="eastAsia" w:ascii="宋体" w:hAnsi="宋体" w:eastAsia="宋体" w:cs="宋体"/>
          <w:b w:val="0"/>
          <w:bCs/>
          <w:color w:val="auto"/>
          <w:highlight w:val="none"/>
        </w:rPr>
        <w:t>15、投标函和开标一览表</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15.1</w:t>
      </w:r>
      <w:r>
        <w:rPr>
          <w:rFonts w:hint="eastAsia" w:ascii="宋体" w:hAnsi="宋体" w:eastAsia="宋体" w:cs="宋体"/>
          <w:color w:val="auto"/>
          <w:sz w:val="24"/>
          <w:highlight w:val="none"/>
        </w:rPr>
        <w:t xml:space="preserve"> 投标人应按照招标文件中提供的格式完整、正确填写投标函、开标一览表。</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15.2</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开标一览表中的价格应与投标文件中投标配置与分项报价表中的价格一致，如不一致，</w:t>
      </w:r>
      <w:r>
        <w:rPr>
          <w:rFonts w:hint="eastAsia" w:ascii="宋体" w:hAnsi="宋体" w:eastAsia="宋体" w:cs="宋体"/>
          <w:color w:val="auto"/>
          <w:sz w:val="24"/>
          <w:szCs w:val="24"/>
          <w:highlight w:val="none"/>
        </w:rPr>
        <w:t>不作为无效投标处理</w:t>
      </w:r>
      <w:r>
        <w:rPr>
          <w:rFonts w:hint="eastAsia" w:ascii="宋体" w:hAnsi="宋体" w:eastAsia="宋体" w:cs="宋体"/>
          <w:bCs/>
          <w:color w:val="auto"/>
          <w:sz w:val="24"/>
          <w:highlight w:val="none"/>
        </w:rPr>
        <w:t>，但评标时按开标一览表中价格为准</w:t>
      </w:r>
      <w:r>
        <w:rPr>
          <w:rFonts w:hint="eastAsia" w:ascii="宋体" w:hAnsi="宋体" w:eastAsia="宋体" w:cs="宋体"/>
          <w:b/>
          <w:bCs/>
          <w:color w:val="auto"/>
          <w:sz w:val="24"/>
          <w:highlight w:val="none"/>
        </w:rPr>
        <w:t>。</w:t>
      </w:r>
    </w:p>
    <w:p>
      <w:pPr>
        <w:pStyle w:val="5"/>
        <w:rPr>
          <w:rFonts w:hint="eastAsia" w:ascii="宋体" w:hAnsi="宋体" w:eastAsia="宋体" w:cs="宋体"/>
          <w:b w:val="0"/>
          <w:color w:val="auto"/>
          <w:highlight w:val="none"/>
        </w:rPr>
      </w:pPr>
      <w:r>
        <w:rPr>
          <w:rFonts w:hint="eastAsia" w:ascii="宋体" w:hAnsi="宋体" w:eastAsia="宋体" w:cs="宋体"/>
          <w:b w:val="0"/>
          <w:bCs/>
          <w:color w:val="auto"/>
          <w:highlight w:val="none"/>
        </w:rPr>
        <w:t>16、投标保证金</w:t>
      </w:r>
      <w:bookmarkEnd w:id="110"/>
      <w:bookmarkEnd w:id="111"/>
      <w:r>
        <w:rPr>
          <w:rFonts w:hint="eastAsia" w:ascii="宋体" w:hAnsi="宋体" w:eastAsia="宋体" w:cs="宋体"/>
          <w:b w:val="0"/>
          <w:bCs/>
          <w:color w:val="auto"/>
          <w:highlight w:val="none"/>
        </w:rPr>
        <w:t>（如果收取）</w:t>
      </w:r>
    </w:p>
    <w:p>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16.1</w:t>
      </w:r>
      <w:r>
        <w:rPr>
          <w:rFonts w:hint="eastAsia" w:ascii="宋体" w:hAnsi="宋体" w:eastAsia="宋体" w:cs="宋体"/>
          <w:bCs/>
          <w:color w:val="auto"/>
          <w:sz w:val="24"/>
          <w:highlight w:val="none"/>
        </w:rPr>
        <w:t>在开标时，未按要求提交投标保证金的投标无效。</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16.2</w:t>
      </w:r>
      <w:r>
        <w:rPr>
          <w:rFonts w:hint="eastAsia" w:ascii="宋体" w:hAnsi="宋体" w:eastAsia="宋体" w:cs="宋体"/>
          <w:bCs/>
          <w:color w:val="auto"/>
          <w:sz w:val="24"/>
          <w:highlight w:val="none"/>
        </w:rPr>
        <w:t>未中标的投标人的投标保证金，将在中标通知书发出之后5</w:t>
      </w:r>
      <w:r>
        <w:rPr>
          <w:rFonts w:hint="eastAsia" w:ascii="宋体" w:hAnsi="宋体" w:eastAsia="宋体" w:cs="宋体"/>
          <w:bCs/>
          <w:color w:val="auto"/>
          <w:sz w:val="24"/>
          <w:highlight w:val="none"/>
          <w:lang w:val="en-US" w:eastAsia="zh-Hans"/>
        </w:rPr>
        <w:t>日内</w:t>
      </w:r>
      <w:r>
        <w:rPr>
          <w:rFonts w:hint="eastAsia" w:ascii="宋体" w:hAnsi="宋体" w:eastAsia="宋体" w:cs="宋体"/>
          <w:bCs/>
          <w:color w:val="auto"/>
          <w:sz w:val="24"/>
          <w:highlight w:val="none"/>
          <w:lang w:val="en-US" w:eastAsia="zh-CN"/>
        </w:rPr>
        <w:t>自动</w:t>
      </w:r>
      <w:r>
        <w:rPr>
          <w:rFonts w:hint="eastAsia" w:ascii="宋体" w:hAnsi="宋体" w:eastAsia="宋体" w:cs="宋体"/>
          <w:bCs/>
          <w:color w:val="auto"/>
          <w:sz w:val="24"/>
          <w:highlight w:val="none"/>
        </w:rPr>
        <w:t>退还。</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16.3中标人的投标保证金，</w:t>
      </w:r>
      <w:r>
        <w:rPr>
          <w:rFonts w:hint="eastAsia" w:ascii="宋体" w:hAnsi="宋体" w:eastAsia="宋体" w:cs="宋体"/>
          <w:bCs/>
          <w:color w:val="auto"/>
          <w:sz w:val="24"/>
          <w:highlight w:val="none"/>
        </w:rPr>
        <w:t>将在采购合同签订之后5</w:t>
      </w:r>
      <w:r>
        <w:rPr>
          <w:rFonts w:hint="eastAsia" w:ascii="宋体" w:hAnsi="宋体" w:eastAsia="宋体" w:cs="宋体"/>
          <w:bCs/>
          <w:color w:val="auto"/>
          <w:sz w:val="24"/>
          <w:highlight w:val="none"/>
          <w:lang w:val="en-US" w:eastAsia="zh-Hans"/>
        </w:rPr>
        <w:t>日内</w:t>
      </w:r>
      <w:r>
        <w:rPr>
          <w:rFonts w:hint="eastAsia" w:ascii="宋体" w:hAnsi="宋体" w:eastAsia="宋体" w:cs="宋体"/>
          <w:bCs/>
          <w:color w:val="auto"/>
          <w:sz w:val="24"/>
          <w:highlight w:val="none"/>
          <w:lang w:val="en-US" w:eastAsia="zh-CN"/>
        </w:rPr>
        <w:t>自动</w:t>
      </w:r>
      <w:r>
        <w:rPr>
          <w:rFonts w:hint="eastAsia" w:ascii="宋体" w:hAnsi="宋体" w:eastAsia="宋体" w:cs="宋体"/>
          <w:bCs/>
          <w:color w:val="auto"/>
          <w:sz w:val="24"/>
          <w:highlight w:val="none"/>
        </w:rPr>
        <w:t>退还。</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16.4</w:t>
      </w:r>
      <w:r>
        <w:rPr>
          <w:rFonts w:hint="eastAsia" w:ascii="宋体" w:hAnsi="宋体" w:eastAsia="宋体" w:cs="宋体"/>
          <w:bCs/>
          <w:color w:val="auto"/>
          <w:sz w:val="24"/>
          <w:highlight w:val="none"/>
        </w:rPr>
        <w:t xml:space="preserve"> 下列任何情况发生时，投标保证金将不予退还：</w:t>
      </w:r>
    </w:p>
    <w:p>
      <w:pPr>
        <w:spacing w:line="500" w:lineRule="exact"/>
        <w:ind w:firstLine="480" w:firstLineChars="200"/>
        <w:rPr>
          <w:rFonts w:hint="eastAsia" w:ascii="宋体" w:hAnsi="宋体" w:eastAsia="宋体" w:cs="宋体"/>
          <w:color w:val="auto"/>
          <w:sz w:val="24"/>
          <w:highlight w:val="none"/>
        </w:rPr>
      </w:pPr>
      <w:bookmarkStart w:id="112" w:name="_Hlt26954850"/>
      <w:bookmarkEnd w:id="112"/>
      <w:bookmarkStart w:id="113" w:name="_Hlt26954734"/>
      <w:bookmarkEnd w:id="113"/>
      <w:bookmarkStart w:id="114" w:name="_Hlt26670489"/>
      <w:bookmarkEnd w:id="114"/>
      <w:bookmarkStart w:id="115" w:name="_Toc49090511"/>
      <w:bookmarkStart w:id="116" w:name="_Toc14577360"/>
      <w:r>
        <w:rPr>
          <w:rFonts w:hint="eastAsia" w:ascii="宋体" w:hAnsi="宋体" w:eastAsia="宋体" w:cs="宋体"/>
          <w:color w:val="auto"/>
          <w:sz w:val="24"/>
          <w:highlight w:val="none"/>
        </w:rPr>
        <w:t>（1）投标人在投标有效期内撤回其投标；</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（2）提供虚假材料谋取中标、成交的；</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（3）采取不正当手段诋毁、排挤其他供应商的；</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（4）与采购人、其他供应商恶意串通的。</w:t>
      </w:r>
    </w:p>
    <w:p>
      <w:pPr>
        <w:pStyle w:val="7"/>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 xml:space="preserve">16.5 </w:t>
      </w:r>
      <w:r>
        <w:rPr>
          <w:rFonts w:hint="eastAsia" w:ascii="宋体" w:hAnsi="宋体" w:eastAsia="宋体" w:cs="宋体"/>
          <w:color w:val="auto"/>
          <w:sz w:val="24"/>
          <w:szCs w:val="24"/>
          <w:highlight w:val="none"/>
        </w:rPr>
        <w:t>供应商缴纳的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保证金必须于投标文件（响应文件）接收截止时间前，以供应商的名称，按本采购文件规定的金额缴纳到指定账户（保证金缴纳方式及账户详见第一章投标邀请—其他）。</w:t>
      </w:r>
    </w:p>
    <w:p>
      <w:pPr>
        <w:pStyle w:val="5"/>
        <w:rPr>
          <w:rFonts w:hint="eastAsia" w:ascii="宋体" w:hAnsi="宋体" w:eastAsia="宋体" w:cs="宋体"/>
          <w:b w:val="0"/>
          <w:color w:val="auto"/>
          <w:highlight w:val="none"/>
        </w:rPr>
      </w:pPr>
      <w:r>
        <w:rPr>
          <w:rFonts w:hint="eastAsia" w:ascii="宋体" w:hAnsi="宋体" w:eastAsia="宋体" w:cs="宋体"/>
          <w:b w:val="0"/>
          <w:bCs/>
          <w:color w:val="auto"/>
          <w:highlight w:val="none"/>
        </w:rPr>
        <w:t>17、投标有效期</w:t>
      </w:r>
      <w:bookmarkEnd w:id="115"/>
      <w:bookmarkEnd w:id="116"/>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17.1</w:t>
      </w:r>
      <w:r>
        <w:rPr>
          <w:rFonts w:hint="eastAsia" w:ascii="宋体" w:hAnsi="宋体" w:eastAsia="宋体" w:cs="宋体"/>
          <w:bCs/>
          <w:color w:val="auto"/>
          <w:sz w:val="24"/>
          <w:highlight w:val="none"/>
        </w:rPr>
        <w:t xml:space="preserve"> 投标有效期为交易中心规定的开标之日后</w:t>
      </w:r>
      <w:r>
        <w:rPr>
          <w:rFonts w:hint="eastAsia" w:ascii="宋体" w:hAnsi="宋体" w:eastAsia="宋体" w:cs="宋体"/>
          <w:b/>
          <w:i/>
          <w:iCs/>
          <w:color w:val="auto"/>
          <w:sz w:val="24"/>
          <w:highlight w:val="none"/>
          <w:u w:val="single"/>
        </w:rPr>
        <w:t>120天</w:t>
      </w:r>
      <w:r>
        <w:rPr>
          <w:rFonts w:hint="eastAsia" w:ascii="宋体" w:hAnsi="宋体" w:eastAsia="宋体" w:cs="宋体"/>
          <w:bCs/>
          <w:color w:val="auto"/>
          <w:sz w:val="24"/>
          <w:highlight w:val="none"/>
        </w:rPr>
        <w:t>。投标有效期比规定短的将被视为非响应性投标而予以拒绝。</w:t>
      </w:r>
    </w:p>
    <w:p>
      <w:pPr>
        <w:pStyle w:val="5"/>
        <w:rPr>
          <w:rFonts w:hint="eastAsia" w:ascii="宋体" w:hAnsi="宋体" w:eastAsia="宋体" w:cs="宋体"/>
          <w:b w:val="0"/>
          <w:bCs/>
          <w:color w:val="auto"/>
          <w:highlight w:val="none"/>
        </w:rPr>
      </w:pPr>
      <w:bookmarkStart w:id="117" w:name="_Hlt26954852"/>
      <w:bookmarkEnd w:id="117"/>
      <w:bookmarkStart w:id="118" w:name="_Hlt26954739"/>
      <w:bookmarkEnd w:id="118"/>
      <w:bookmarkStart w:id="119" w:name="_Toc49090512"/>
      <w:bookmarkStart w:id="120" w:name="_Toc14577361"/>
      <w:r>
        <w:rPr>
          <w:rFonts w:hint="eastAsia" w:ascii="宋体" w:hAnsi="宋体" w:eastAsia="宋体" w:cs="宋体"/>
          <w:b w:val="0"/>
          <w:bCs/>
          <w:color w:val="auto"/>
          <w:highlight w:val="none"/>
        </w:rPr>
        <w:t>18、</w:t>
      </w:r>
      <w:bookmarkEnd w:id="119"/>
      <w:bookmarkEnd w:id="120"/>
      <w:r>
        <w:rPr>
          <w:rFonts w:hint="eastAsia" w:ascii="宋体" w:hAnsi="宋体" w:eastAsia="宋体" w:cs="宋体"/>
          <w:b w:val="0"/>
          <w:bCs/>
          <w:color w:val="auto"/>
          <w:highlight w:val="none"/>
        </w:rPr>
        <w:t>投标有效期的延长</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bCs/>
          <w:color w:val="auto"/>
          <w:sz w:val="24"/>
          <w:highlight w:val="none"/>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eastAsia="宋体" w:cs="宋体"/>
          <w:color w:val="auto"/>
          <w:sz w:val="24"/>
          <w:szCs w:val="24"/>
          <w:highlight w:val="none"/>
        </w:rPr>
        <w:t>交易中心在接到投标人书面答复后，将在原投标有效期满后</w:t>
      </w:r>
      <w:r>
        <w:rPr>
          <w:rFonts w:hint="eastAsia" w:ascii="宋体" w:hAnsi="宋体" w:eastAsia="宋体" w:cs="宋体"/>
          <w:bCs/>
          <w:color w:val="auto"/>
          <w:sz w:val="24"/>
          <w:szCs w:val="24"/>
          <w:highlight w:val="none"/>
        </w:rPr>
        <w:t>退还其投标保证金</w:t>
      </w:r>
      <w:r>
        <w:rPr>
          <w:rFonts w:hint="eastAsia" w:ascii="宋体" w:hAnsi="宋体" w:eastAsia="宋体" w:cs="宋体"/>
          <w:color w:val="auto"/>
          <w:sz w:val="24"/>
          <w:szCs w:val="24"/>
          <w:highlight w:val="none"/>
        </w:rPr>
        <w:t>。</w:t>
      </w:r>
      <w:r>
        <w:rPr>
          <w:rFonts w:hint="eastAsia" w:ascii="宋体" w:hAnsi="宋体" w:eastAsia="宋体" w:cs="宋体"/>
          <w:bCs/>
          <w:color w:val="auto"/>
          <w:sz w:val="24"/>
          <w:highlight w:val="none"/>
        </w:rPr>
        <w:t>同意延长投标有效期的投标人既不能要求也不允许修改其投标文件。第16条有关投标保证金的规定在延长期内继续有效</w:t>
      </w:r>
      <w:r>
        <w:rPr>
          <w:rFonts w:hint="eastAsia" w:ascii="宋体" w:hAnsi="宋体" w:eastAsia="宋体" w:cs="宋体"/>
          <w:color w:val="auto"/>
          <w:sz w:val="24"/>
          <w:szCs w:val="24"/>
          <w:highlight w:val="none"/>
        </w:rPr>
        <w:t>，同时受投标有效期约束的所有权利与义务均延长至新的有效期</w:t>
      </w:r>
      <w:r>
        <w:rPr>
          <w:rFonts w:hint="eastAsia" w:ascii="宋体" w:hAnsi="宋体" w:eastAsia="宋体" w:cs="宋体"/>
          <w:bCs/>
          <w:color w:val="auto"/>
          <w:sz w:val="24"/>
          <w:highlight w:val="none"/>
        </w:rPr>
        <w:t>。</w:t>
      </w:r>
    </w:p>
    <w:p>
      <w:pPr>
        <w:pStyle w:val="4"/>
        <w:spacing w:beforeLines="50" w:afterLines="50" w:line="360" w:lineRule="auto"/>
        <w:ind w:firstLine="482" w:firstLineChars="150"/>
        <w:rPr>
          <w:rFonts w:hint="eastAsia" w:ascii="宋体" w:hAnsi="宋体" w:eastAsia="宋体" w:cs="宋体"/>
          <w:color w:val="auto"/>
          <w:highlight w:val="none"/>
        </w:rPr>
      </w:pPr>
      <w:bookmarkStart w:id="121" w:name="_Toc20823296"/>
      <w:bookmarkStart w:id="122" w:name="_Toc513029224"/>
      <w:bookmarkStart w:id="123" w:name="_Toc534816630"/>
      <w:bookmarkStart w:id="124" w:name="_Toc534725601"/>
      <w:bookmarkStart w:id="125" w:name="_Toc120614217"/>
      <w:bookmarkStart w:id="126" w:name="_Toc16938540"/>
      <w:r>
        <w:rPr>
          <w:rFonts w:hint="eastAsia" w:ascii="宋体" w:hAnsi="宋体" w:eastAsia="宋体" w:cs="宋体"/>
          <w:color w:val="auto"/>
          <w:highlight w:val="none"/>
        </w:rPr>
        <w:t>四、投标文件的递交</w:t>
      </w:r>
      <w:bookmarkEnd w:id="121"/>
      <w:bookmarkEnd w:id="122"/>
      <w:bookmarkEnd w:id="123"/>
      <w:bookmarkEnd w:id="124"/>
      <w:bookmarkEnd w:id="125"/>
      <w:bookmarkEnd w:id="126"/>
    </w:p>
    <w:p>
      <w:pPr>
        <w:pStyle w:val="5"/>
        <w:ind w:left="0" w:leftChars="0" w:firstLine="420" w:firstLineChars="150"/>
        <w:rPr>
          <w:rFonts w:hint="eastAsia" w:ascii="宋体" w:hAnsi="宋体" w:eastAsia="宋体" w:cs="宋体"/>
          <w:b w:val="0"/>
          <w:color w:val="auto"/>
          <w:highlight w:val="none"/>
        </w:rPr>
      </w:pPr>
      <w:bookmarkStart w:id="127" w:name="_Toc16938541"/>
      <w:bookmarkStart w:id="128" w:name="_Toc20823297"/>
      <w:bookmarkStart w:id="129" w:name="_Toc462564084"/>
      <w:bookmarkStart w:id="130" w:name="_Toc513029225"/>
      <w:r>
        <w:rPr>
          <w:rFonts w:hint="eastAsia" w:ascii="宋体" w:hAnsi="宋体" w:eastAsia="宋体" w:cs="宋体"/>
          <w:b w:val="0"/>
          <w:bCs/>
          <w:color w:val="auto"/>
          <w:highlight w:val="none"/>
        </w:rPr>
        <w:t>19、</w:t>
      </w:r>
      <w:bookmarkEnd w:id="127"/>
      <w:bookmarkEnd w:id="128"/>
      <w:bookmarkEnd w:id="129"/>
      <w:bookmarkEnd w:id="130"/>
      <w:r>
        <w:rPr>
          <w:rFonts w:hint="eastAsia" w:ascii="宋体" w:hAnsi="宋体" w:eastAsia="宋体" w:cs="宋体"/>
          <w:b w:val="0"/>
          <w:bCs/>
          <w:color w:val="auto"/>
          <w:highlight w:val="none"/>
        </w:rPr>
        <w:t>投标文件的递交</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bCs/>
          <w:color w:val="auto"/>
          <w:sz w:val="24"/>
          <w:highlight w:val="none"/>
        </w:rPr>
        <w:t>电子投标文件的递交</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投标人应当按照</w:t>
      </w:r>
      <w:r>
        <w:rPr>
          <w:rFonts w:hint="eastAsia" w:ascii="宋体" w:hAnsi="宋体" w:eastAsia="宋体" w:cs="宋体"/>
          <w:bCs/>
          <w:color w:val="auto"/>
          <w:sz w:val="24"/>
          <w:highlight w:val="none"/>
          <w:lang w:val="en-US" w:eastAsia="zh-CN"/>
        </w:rPr>
        <w:t>采购文件</w:t>
      </w:r>
      <w:r>
        <w:rPr>
          <w:rFonts w:hint="eastAsia" w:ascii="宋体" w:hAnsi="宋体" w:eastAsia="宋体" w:cs="宋体"/>
          <w:bCs/>
          <w:color w:val="auto"/>
          <w:sz w:val="24"/>
          <w:highlight w:val="none"/>
        </w:rPr>
        <w:t>规定，在投标截止时间前制作并上传电子投标文件。</w:t>
      </w:r>
    </w:p>
    <w:p>
      <w:pPr>
        <w:pStyle w:val="5"/>
        <w:rPr>
          <w:rFonts w:hint="eastAsia" w:ascii="宋体" w:hAnsi="宋体" w:eastAsia="宋体" w:cs="宋体"/>
          <w:b w:val="0"/>
          <w:bCs/>
          <w:color w:val="auto"/>
          <w:highlight w:val="none"/>
        </w:rPr>
      </w:pPr>
      <w:bookmarkStart w:id="131" w:name="_Toc513029226"/>
      <w:bookmarkStart w:id="132" w:name="_Toc16938542"/>
      <w:bookmarkStart w:id="133" w:name="_Toc20823298"/>
      <w:r>
        <w:rPr>
          <w:rFonts w:hint="eastAsia" w:ascii="宋体" w:hAnsi="宋体" w:eastAsia="宋体" w:cs="宋体"/>
          <w:b w:val="0"/>
          <w:bCs/>
          <w:color w:val="auto"/>
          <w:highlight w:val="none"/>
        </w:rPr>
        <w:t>20、投标截止</w:t>
      </w:r>
      <w:bookmarkEnd w:id="131"/>
      <w:bookmarkEnd w:id="132"/>
      <w:bookmarkEnd w:id="133"/>
      <w:r>
        <w:rPr>
          <w:rFonts w:hint="eastAsia" w:ascii="宋体" w:hAnsi="宋体" w:eastAsia="宋体" w:cs="宋体"/>
          <w:b w:val="0"/>
          <w:bCs/>
          <w:color w:val="auto"/>
          <w:highlight w:val="none"/>
        </w:rPr>
        <w:t>时间</w:t>
      </w:r>
    </w:p>
    <w:p>
      <w:pPr>
        <w:spacing w:line="500" w:lineRule="exact"/>
        <w:ind w:firstLine="480" w:firstLineChars="200"/>
        <w:rPr>
          <w:rFonts w:hint="eastAsia" w:ascii="宋体" w:hAnsi="宋体" w:eastAsia="宋体" w:cs="宋体"/>
          <w:bCs/>
          <w:i/>
          <w:color w:val="auto"/>
          <w:sz w:val="24"/>
          <w:highlight w:val="none"/>
          <w:u w:val="single"/>
        </w:rPr>
      </w:pPr>
      <w:r>
        <w:rPr>
          <w:rFonts w:hint="eastAsia" w:ascii="宋体" w:hAnsi="宋体" w:eastAsia="宋体" w:cs="宋体"/>
          <w:i/>
          <w:color w:val="auto"/>
          <w:sz w:val="24"/>
          <w:highlight w:val="none"/>
          <w:u w:val="single"/>
        </w:rPr>
        <w:t>20.1</w:t>
      </w:r>
      <w:r>
        <w:rPr>
          <w:rFonts w:hint="eastAsia" w:ascii="宋体" w:hAnsi="宋体" w:eastAsia="宋体" w:cs="宋体"/>
          <w:bCs/>
          <w:i/>
          <w:color w:val="auto"/>
          <w:sz w:val="24"/>
          <w:highlight w:val="none"/>
          <w:u w:val="single"/>
        </w:rPr>
        <w:t xml:space="preserve"> 投标人上传电子投标文件的时间不得迟于招标公告中规定的投标截止时间。</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投标人应充分考虑到网络环境、网络带宽等风险因素，如因投标人自身原因造成的电子投标文件上传不成功由投标人自行承担全部责任。</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bCs/>
          <w:color w:val="auto"/>
          <w:sz w:val="24"/>
          <w:highlight w:val="none"/>
        </w:rPr>
        <w:t xml:space="preserve"> 交易中心可以按照规定，通过修改招标文件酌情延长投标截止时间，在此情况下，投标人的所有权利和义务以及投标人受制的截止时间均应以延长后新的截止时间为准。</w:t>
      </w:r>
    </w:p>
    <w:p>
      <w:pPr>
        <w:pStyle w:val="5"/>
        <w:rPr>
          <w:rFonts w:hint="eastAsia" w:ascii="宋体" w:hAnsi="宋体" w:eastAsia="宋体" w:cs="宋体"/>
          <w:b w:val="0"/>
          <w:bCs/>
          <w:color w:val="auto"/>
          <w:highlight w:val="none"/>
        </w:rPr>
      </w:pPr>
      <w:bookmarkStart w:id="134" w:name="_Toc20823299"/>
      <w:bookmarkStart w:id="135" w:name="_Toc16938543"/>
      <w:bookmarkStart w:id="136" w:name="_Toc513029227"/>
      <w:r>
        <w:rPr>
          <w:rFonts w:hint="eastAsia" w:ascii="宋体" w:hAnsi="宋体" w:eastAsia="宋体" w:cs="宋体"/>
          <w:b w:val="0"/>
          <w:bCs/>
          <w:color w:val="auto"/>
          <w:highlight w:val="none"/>
        </w:rPr>
        <w:t>21、</w:t>
      </w:r>
      <w:bookmarkEnd w:id="134"/>
      <w:bookmarkEnd w:id="135"/>
      <w:bookmarkEnd w:id="136"/>
      <w:r>
        <w:rPr>
          <w:rFonts w:hint="eastAsia" w:ascii="宋体" w:hAnsi="宋体" w:eastAsia="宋体" w:cs="宋体"/>
          <w:b w:val="0"/>
          <w:bCs/>
          <w:color w:val="auto"/>
          <w:highlight w:val="none"/>
        </w:rPr>
        <w:t>投标文件的拒收</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bCs/>
          <w:color w:val="auto"/>
          <w:sz w:val="24"/>
          <w:highlight w:val="none"/>
        </w:rPr>
        <w:t>交易中心拒绝接收在其规定的投标截止时间后上传的任何投标文件。</w:t>
      </w:r>
    </w:p>
    <w:p>
      <w:pPr>
        <w:pStyle w:val="5"/>
        <w:rPr>
          <w:rFonts w:hint="eastAsia" w:ascii="宋体" w:hAnsi="宋体" w:eastAsia="宋体" w:cs="宋体"/>
          <w:b w:val="0"/>
          <w:bCs/>
          <w:color w:val="auto"/>
          <w:highlight w:val="none"/>
        </w:rPr>
      </w:pPr>
      <w:bookmarkStart w:id="137" w:name="_Toc513029228"/>
      <w:bookmarkStart w:id="138" w:name="_Toc20823300"/>
      <w:bookmarkStart w:id="139" w:name="_Toc16938544"/>
      <w:r>
        <w:rPr>
          <w:rFonts w:hint="eastAsia" w:ascii="宋体" w:hAnsi="宋体" w:eastAsia="宋体" w:cs="宋体"/>
          <w:b w:val="0"/>
          <w:bCs/>
          <w:color w:val="auto"/>
          <w:highlight w:val="none"/>
        </w:rPr>
        <w:t>22、投标文件的修改和撤回</w:t>
      </w:r>
      <w:bookmarkEnd w:id="137"/>
      <w:bookmarkEnd w:id="138"/>
      <w:bookmarkEnd w:id="139"/>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22.1投标文件的撤回</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22.1.1 电子投标文件的撤回</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投标人可在投标截止时间前，撤回其电子投标文件。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 投标人撤回电子投标文件，则认为其不再参与本项目投标活动。</w:t>
      </w:r>
    </w:p>
    <w:p>
      <w:pPr>
        <w:spacing w:line="480" w:lineRule="exact"/>
        <w:ind w:firstLine="480" w:firstLineChars="200"/>
        <w:rPr>
          <w:rFonts w:hint="eastAsia" w:ascii="宋体" w:hAnsi="宋体" w:eastAsia="宋体" w:cs="宋体"/>
          <w:bCs/>
          <w:color w:val="auto"/>
          <w:sz w:val="24"/>
          <w:highlight w:val="none"/>
        </w:rPr>
      </w:pP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szCs w:val="24"/>
          <w:highlight w:val="none"/>
        </w:rPr>
        <w:t>投标文件的修改</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投标人可在投标截止时间前，对其电子投标文件进行修改。</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bCs/>
          <w:color w:val="auto"/>
          <w:sz w:val="24"/>
          <w:highlight w:val="none"/>
        </w:rPr>
        <w:t>在投标截止时间之后，投标人不得对其电子投标文件作任何修改。</w:t>
      </w:r>
    </w:p>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bCs/>
          <w:color w:val="auto"/>
          <w:sz w:val="24"/>
          <w:highlight w:val="none"/>
        </w:rPr>
        <w:t>在投标截止时间至招标文件中规定的投标有效期满之间的这段时间内，投标人不得撤回其投标，否则其投标保证金将不予退还。</w:t>
      </w:r>
    </w:p>
    <w:p>
      <w:pPr>
        <w:pStyle w:val="4"/>
        <w:spacing w:beforeLines="50" w:afterLines="50" w:line="360" w:lineRule="auto"/>
        <w:ind w:firstLine="482" w:firstLineChars="150"/>
        <w:rPr>
          <w:rFonts w:hint="eastAsia" w:ascii="宋体" w:hAnsi="宋体" w:eastAsia="宋体" w:cs="宋体"/>
          <w:color w:val="auto"/>
          <w:highlight w:val="none"/>
        </w:rPr>
      </w:pPr>
      <w:bookmarkStart w:id="140" w:name="_Toc16938545"/>
      <w:bookmarkStart w:id="141" w:name="_Toc534816631"/>
      <w:bookmarkStart w:id="142" w:name="_Toc534725602"/>
      <w:bookmarkStart w:id="143" w:name="_Toc120614218"/>
      <w:bookmarkStart w:id="144" w:name="_Toc20823301"/>
      <w:bookmarkStart w:id="145" w:name="_Toc513029229"/>
      <w:r>
        <w:rPr>
          <w:rFonts w:hint="eastAsia" w:ascii="宋体" w:hAnsi="宋体" w:eastAsia="宋体" w:cs="宋体"/>
          <w:color w:val="auto"/>
          <w:highlight w:val="none"/>
        </w:rPr>
        <w:t>五、开标与评标</w:t>
      </w:r>
      <w:bookmarkEnd w:id="140"/>
      <w:bookmarkEnd w:id="141"/>
      <w:bookmarkEnd w:id="142"/>
      <w:bookmarkEnd w:id="143"/>
      <w:bookmarkEnd w:id="144"/>
      <w:bookmarkEnd w:id="145"/>
    </w:p>
    <w:p>
      <w:pPr>
        <w:pStyle w:val="5"/>
        <w:rPr>
          <w:rFonts w:hint="eastAsia" w:ascii="宋体" w:hAnsi="宋体" w:eastAsia="宋体" w:cs="宋体"/>
          <w:b w:val="0"/>
          <w:color w:val="auto"/>
          <w:highlight w:val="none"/>
        </w:rPr>
      </w:pPr>
      <w:bookmarkStart w:id="146" w:name="_Toc20823302"/>
      <w:bookmarkStart w:id="147" w:name="_Toc513029230"/>
      <w:bookmarkStart w:id="148" w:name="_Toc16938546"/>
      <w:r>
        <w:rPr>
          <w:rFonts w:hint="eastAsia" w:ascii="宋体" w:hAnsi="宋体" w:eastAsia="宋体" w:cs="宋体"/>
          <w:b w:val="0"/>
          <w:bCs/>
          <w:color w:val="auto"/>
          <w:highlight w:val="none"/>
        </w:rPr>
        <w:t>23、开标</w:t>
      </w:r>
      <w:bookmarkEnd w:id="146"/>
      <w:bookmarkEnd w:id="147"/>
      <w:bookmarkEnd w:id="148"/>
    </w:p>
    <w:p>
      <w:pPr>
        <w:spacing w:line="48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23.1</w:t>
      </w:r>
      <w:r>
        <w:rPr>
          <w:rFonts w:hint="eastAsia" w:ascii="宋体" w:hAnsi="宋体" w:eastAsia="宋体" w:cs="宋体"/>
          <w:bCs/>
          <w:color w:val="auto"/>
          <w:sz w:val="24"/>
          <w:highlight w:val="none"/>
        </w:rPr>
        <w:t>交易中心将在招标公告中规定的时间和地点组织</w:t>
      </w:r>
      <w:r>
        <w:rPr>
          <w:rFonts w:hint="eastAsia" w:ascii="宋体" w:hAnsi="宋体" w:eastAsia="宋体" w:cs="宋体"/>
          <w:bCs/>
          <w:color w:val="auto"/>
          <w:sz w:val="24"/>
          <w:highlight w:val="none"/>
          <w:lang w:val="en-US" w:eastAsia="zh-CN"/>
        </w:rPr>
        <w:t>线上</w:t>
      </w:r>
      <w:r>
        <w:rPr>
          <w:rFonts w:hint="eastAsia" w:ascii="宋体" w:hAnsi="宋体" w:eastAsia="宋体" w:cs="宋体"/>
          <w:bCs/>
          <w:color w:val="auto"/>
          <w:sz w:val="24"/>
          <w:highlight w:val="none"/>
        </w:rPr>
        <w:t>公开开标</w:t>
      </w:r>
      <w:r>
        <w:rPr>
          <w:rFonts w:hint="eastAsia" w:ascii="宋体" w:hAnsi="宋体" w:eastAsia="宋体" w:cs="宋体"/>
          <w:color w:val="auto"/>
          <w:sz w:val="24"/>
          <w:szCs w:val="24"/>
          <w:highlight w:val="none"/>
        </w:rPr>
        <w:t>。投标人应当参加开标活动。</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23.2</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过程</w:t>
      </w:r>
      <w:r>
        <w:rPr>
          <w:rFonts w:hint="eastAsia" w:ascii="宋体" w:hAnsi="宋体" w:eastAsia="宋体" w:cs="宋体"/>
          <w:color w:val="auto"/>
          <w:sz w:val="24"/>
          <w:szCs w:val="24"/>
          <w:highlight w:val="none"/>
        </w:rPr>
        <w:t>由交易中心组织。“</w:t>
      </w:r>
      <w:r>
        <w:rPr>
          <w:rFonts w:hint="eastAsia" w:ascii="宋体" w:hAnsi="宋体" w:eastAsia="宋体" w:cs="宋体"/>
          <w:color w:val="auto"/>
          <w:sz w:val="24"/>
          <w:szCs w:val="24"/>
          <w:highlight w:val="none"/>
          <w:lang w:val="en-US" w:eastAsia="zh-CN"/>
        </w:rPr>
        <w:t>政采云</w:t>
      </w:r>
      <w:r>
        <w:rPr>
          <w:rFonts w:hint="eastAsia" w:ascii="宋体" w:hAnsi="宋体" w:eastAsia="宋体" w:cs="宋体"/>
          <w:color w:val="auto"/>
          <w:sz w:val="24"/>
          <w:szCs w:val="24"/>
          <w:highlight w:val="none"/>
        </w:rPr>
        <w:t>平台不见面开标大厅”系统将自动对项目进行开标，并公布各投标人的《开标一览表》。</w:t>
      </w:r>
    </w:p>
    <w:p>
      <w:pPr>
        <w:spacing w:line="500" w:lineRule="exact"/>
        <w:ind w:firstLine="480" w:firstLineChars="200"/>
        <w:rPr>
          <w:rFonts w:hint="eastAsia" w:ascii="宋体" w:hAnsi="宋体" w:eastAsia="宋体" w:cs="宋体"/>
          <w:b/>
          <w:i/>
          <w:color w:val="auto"/>
          <w:sz w:val="24"/>
          <w:szCs w:val="24"/>
          <w:highlight w:val="none"/>
          <w:u w:val="single"/>
        </w:rPr>
      </w:pPr>
      <w:r>
        <w:rPr>
          <w:rFonts w:hint="eastAsia" w:ascii="宋体" w:hAnsi="宋体" w:eastAsia="宋体" w:cs="宋体"/>
          <w:color w:val="auto"/>
          <w:sz w:val="24"/>
          <w:highlight w:val="none"/>
        </w:rPr>
        <w:t>23.3</w:t>
      </w:r>
      <w:r>
        <w:rPr>
          <w:rFonts w:hint="eastAsia" w:ascii="宋体" w:hAnsi="宋体" w:eastAsia="宋体" w:cs="宋体"/>
          <w:bCs/>
          <w:color w:val="auto"/>
          <w:sz w:val="24"/>
          <w:highlight w:val="none"/>
        </w:rPr>
        <w:t>投标人在开标过程中涉及到的投标文件解密、开标结果确认等工作，应按照</w:t>
      </w:r>
      <w:r>
        <w:rPr>
          <w:rFonts w:hint="eastAsia" w:ascii="宋体" w:hAnsi="宋体" w:eastAsia="宋体" w:cs="宋体"/>
          <w:bCs/>
          <w:color w:val="auto"/>
          <w:sz w:val="24"/>
          <w:highlight w:val="none"/>
          <w:lang w:val="en-US" w:eastAsia="zh-CN"/>
        </w:rPr>
        <w:t>采购文件</w:t>
      </w:r>
      <w:r>
        <w:rPr>
          <w:rFonts w:hint="eastAsia" w:ascii="宋体" w:hAnsi="宋体" w:eastAsia="宋体" w:cs="宋体"/>
          <w:bCs/>
          <w:color w:val="auto"/>
          <w:sz w:val="24"/>
          <w:highlight w:val="none"/>
        </w:rPr>
        <w:t>规定执行。</w:t>
      </w:r>
      <w:r>
        <w:rPr>
          <w:rFonts w:hint="eastAsia" w:ascii="宋体" w:hAnsi="宋体" w:eastAsia="宋体" w:cs="宋体"/>
          <w:color w:val="auto"/>
          <w:sz w:val="24"/>
          <w:szCs w:val="24"/>
          <w:highlight w:val="none"/>
        </w:rPr>
        <w:t xml:space="preserve">    </w:t>
      </w:r>
    </w:p>
    <w:p>
      <w:pPr>
        <w:pStyle w:val="5"/>
        <w:rPr>
          <w:rFonts w:hint="eastAsia" w:ascii="宋体" w:hAnsi="宋体" w:eastAsia="宋体" w:cs="宋体"/>
          <w:b w:val="0"/>
          <w:color w:val="auto"/>
          <w:highlight w:val="none"/>
        </w:rPr>
      </w:pPr>
      <w:bookmarkStart w:id="149" w:name="_Toc513029231"/>
      <w:bookmarkStart w:id="150" w:name="_Toc20823303"/>
      <w:bookmarkStart w:id="151" w:name="_Toc16938547"/>
      <w:r>
        <w:rPr>
          <w:rFonts w:hint="eastAsia" w:ascii="宋体" w:hAnsi="宋体" w:eastAsia="宋体" w:cs="宋体"/>
          <w:b w:val="0"/>
          <w:bCs/>
          <w:color w:val="auto"/>
          <w:highlight w:val="none"/>
        </w:rPr>
        <w:t>24、评标委员会</w:t>
      </w:r>
    </w:p>
    <w:p>
      <w:pPr>
        <w:spacing w:line="4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24.1</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开标后，交易中心将立即组织评标委员会（以下简称评委会）进行评标。</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24.2 评委会由采购人代表和有关技术、经济等方面的专家组成，且人员构成符合政府采购有关规定。</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24.3评委会独立工作，负责评审所有投标文件并确定中标侯选人。</w:t>
      </w:r>
    </w:p>
    <w:p>
      <w:pPr>
        <w:pStyle w:val="5"/>
        <w:rPr>
          <w:rFonts w:hint="eastAsia" w:ascii="宋体" w:hAnsi="宋体" w:eastAsia="宋体" w:cs="宋体"/>
          <w:b w:val="0"/>
          <w:color w:val="auto"/>
          <w:highlight w:val="none"/>
        </w:rPr>
      </w:pPr>
      <w:r>
        <w:rPr>
          <w:rFonts w:hint="eastAsia" w:ascii="宋体" w:hAnsi="宋体" w:eastAsia="宋体" w:cs="宋体"/>
          <w:b w:val="0"/>
          <w:bCs/>
          <w:color w:val="auto"/>
          <w:highlight w:val="none"/>
        </w:rPr>
        <w:t>25．评标过程的保密与公正</w:t>
      </w:r>
    </w:p>
    <w:bookmarkEnd w:id="149"/>
    <w:bookmarkEnd w:id="150"/>
    <w:bookmarkEnd w:id="151"/>
    <w:p>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25.1</w:t>
      </w:r>
      <w:r>
        <w:rPr>
          <w:rFonts w:hint="eastAsia" w:ascii="宋体" w:hAnsi="宋体" w:eastAsia="宋体" w:cs="宋体"/>
          <w:bCs/>
          <w:color w:val="auto"/>
          <w:sz w:val="24"/>
          <w:highlight w:val="none"/>
        </w:rPr>
        <w:t>公开开标后，直至向中标的投标人授予合同时止，凡是与审查、澄清、评价和比较投标的有关资料以及授标建议等，采购人、评委、交易中心均不得向投标人或与评标无关的其他人员透露。</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25.2</w:t>
      </w:r>
      <w:r>
        <w:rPr>
          <w:rFonts w:hint="eastAsia" w:ascii="宋体" w:hAnsi="宋体" w:eastAsia="宋体" w:cs="宋体"/>
          <w:color w:val="auto"/>
          <w:sz w:val="24"/>
          <w:szCs w:val="24"/>
          <w:highlight w:val="none"/>
        </w:rPr>
        <w:t>在评标过程中，投标人不得以任何行为影响评标过程，否则其投标文件将被作为无效投标文件。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25.3</w:t>
      </w:r>
      <w:r>
        <w:rPr>
          <w:rFonts w:hint="eastAsia" w:ascii="宋体" w:hAnsi="宋体" w:eastAsia="宋体" w:cs="宋体"/>
          <w:color w:val="auto"/>
          <w:sz w:val="24"/>
          <w:szCs w:val="24"/>
          <w:highlight w:val="none"/>
        </w:rPr>
        <w:t>在评标期间，交易中心将设专门人员与投标人联系。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 交易中心和评标委员会不向未中标的投标人解释未中标原因，也不公布评标过程中的相关细节。</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 采用综合评分法的项目，未中标的投标人如需了解自己的</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得分及排序情况，可于中标结果公告期限届满之日起7个工作日内，由其法定代表人或授权代表携带本人有效身份证件到交易中心登记查询，逾期将不予受理。</w:t>
      </w:r>
    </w:p>
    <w:p>
      <w:pPr>
        <w:pStyle w:val="5"/>
        <w:rPr>
          <w:rFonts w:hint="eastAsia" w:ascii="宋体" w:hAnsi="宋体" w:eastAsia="宋体" w:cs="宋体"/>
          <w:b w:val="0"/>
          <w:color w:val="auto"/>
          <w:highlight w:val="none"/>
        </w:rPr>
      </w:pPr>
      <w:bookmarkStart w:id="152" w:name="_Toc513029232"/>
      <w:bookmarkStart w:id="153" w:name="_Toc20823304"/>
      <w:bookmarkStart w:id="154" w:name="_Toc16938548"/>
      <w:r>
        <w:rPr>
          <w:rFonts w:hint="eastAsia" w:ascii="宋体" w:hAnsi="宋体" w:eastAsia="宋体" w:cs="宋体"/>
          <w:b w:val="0"/>
          <w:bCs/>
          <w:color w:val="auto"/>
          <w:highlight w:val="none"/>
        </w:rPr>
        <w:t>26．投标的澄清</w:t>
      </w:r>
      <w:bookmarkEnd w:id="152"/>
      <w:bookmarkEnd w:id="153"/>
      <w:bookmarkEnd w:id="154"/>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26.1评标期间，为有助于对投标文件的审查、评价和比较，评委会有权以发送电子函件、召开视频会议或其它适当的方式要求投标人对其投标文件进行澄清，但并非对每个投标人都作澄清要求。</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26.3 接到评委会澄清要求的投标人如未按规定做出澄清，其风险由投标人自行承担。</w:t>
      </w:r>
    </w:p>
    <w:p>
      <w:pPr>
        <w:pStyle w:val="5"/>
        <w:rPr>
          <w:rFonts w:hint="eastAsia" w:ascii="宋体" w:hAnsi="宋体" w:eastAsia="宋体" w:cs="宋体"/>
          <w:b w:val="0"/>
          <w:color w:val="auto"/>
          <w:highlight w:val="none"/>
        </w:rPr>
      </w:pPr>
      <w:bookmarkStart w:id="155" w:name="_Toc513029233"/>
      <w:bookmarkStart w:id="156" w:name="_Toc16938549"/>
      <w:bookmarkStart w:id="157" w:name="_Toc20823305"/>
      <w:r>
        <w:rPr>
          <w:rFonts w:hint="eastAsia" w:ascii="宋体" w:hAnsi="宋体" w:eastAsia="宋体" w:cs="宋体"/>
          <w:b w:val="0"/>
          <w:bCs/>
          <w:color w:val="auto"/>
          <w:highlight w:val="none"/>
        </w:rPr>
        <w:t>27、对投标文件的初审</w:t>
      </w:r>
      <w:bookmarkEnd w:id="155"/>
      <w:bookmarkEnd w:id="156"/>
      <w:bookmarkEnd w:id="157"/>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bCs/>
          <w:color w:val="auto"/>
          <w:sz w:val="24"/>
          <w:highlight w:val="none"/>
        </w:rPr>
        <w:t>投标文件初审分为资格审查和符合性审查。</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27.1.1 资格审查：依据法律法规和招标文件的规定，由采购人对投标文件中的资格证明文件进行审查。资格审查的结论，采购人以书面形式向评委会进行反馈。</w:t>
      </w:r>
    </w:p>
    <w:p>
      <w:pPr>
        <w:wordWrap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采购人在进行资格性审查的同时，将在“信用中国”网站（www.creditchina.gov.cn）</w:t>
      </w:r>
      <w:r>
        <w:rPr>
          <w:rFonts w:hint="eastAsia" w:ascii="宋体" w:hAnsi="宋体" w:eastAsia="宋体" w:cs="宋体"/>
          <w:bCs/>
          <w:color w:val="auto"/>
          <w:sz w:val="24"/>
          <w:highlight w:val="none"/>
          <w:lang w:eastAsia="zh-CN"/>
        </w:rPr>
        <w:t>、“中国政府采购网”(www.ccgp.gov.cn)</w:t>
      </w:r>
      <w:r>
        <w:rPr>
          <w:rFonts w:hint="eastAsia" w:ascii="宋体" w:hAnsi="宋体" w:eastAsia="宋体" w:cs="宋体"/>
          <w:bCs/>
          <w:color w:val="auto"/>
          <w:sz w:val="24"/>
          <w:highlight w:val="none"/>
        </w:rPr>
        <w:t>对投标人是否被列入失信被执行人、重大税收违法案件当事人名单、政府采购严重失信行为记录名单情况进行查询，以确定投标人是否具备投标资格。查询结果将以网页打印的形式留存并归档。</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27.1.2 符合性审查：依据招标文件的规定，由评委会从投标文件的有效性、完整性和对招标文件的响应程度进行审查，以确定是否对招标文件的实质性要求作出响应。</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27.1.3 未通过资格审查或符合性审查的投标人，交易中心</w:t>
      </w:r>
      <w:r>
        <w:rPr>
          <w:rFonts w:hint="eastAsia" w:ascii="宋体" w:hAnsi="宋体" w:eastAsia="宋体" w:cs="宋体"/>
          <w:bCs/>
          <w:color w:val="auto"/>
          <w:sz w:val="24"/>
          <w:highlight w:val="none"/>
          <w:lang w:val="en-US" w:eastAsia="zh-Hans"/>
        </w:rPr>
        <w:t>将</w:t>
      </w:r>
      <w:r>
        <w:rPr>
          <w:rFonts w:hint="eastAsia" w:ascii="宋体" w:hAnsi="宋体" w:eastAsia="宋体" w:cs="宋体"/>
          <w:bCs/>
          <w:color w:val="auto"/>
          <w:sz w:val="24"/>
          <w:highlight w:val="none"/>
        </w:rPr>
        <w:t>向其授权代表告知未通过资格审查或符合性审查的原因</w:t>
      </w:r>
      <w:r>
        <w:rPr>
          <w:rFonts w:hint="eastAsia" w:ascii="宋体" w:hAnsi="宋体" w:eastAsia="宋体" w:cs="宋体"/>
          <w:bCs/>
          <w:color w:val="auto"/>
          <w:sz w:val="24"/>
          <w:highlight w:val="none"/>
          <w:lang w:eastAsia="zh-Hans"/>
        </w:rPr>
        <w:t>，</w:t>
      </w:r>
      <w:r>
        <w:rPr>
          <w:rFonts w:hint="eastAsia" w:ascii="宋体" w:hAnsi="宋体" w:eastAsia="宋体" w:cs="宋体"/>
          <w:bCs/>
          <w:color w:val="auto"/>
          <w:sz w:val="24"/>
          <w:highlight w:val="none"/>
          <w:lang w:val="en-US" w:eastAsia="en-US"/>
        </w:rPr>
        <w:t>采用综合评分法</w:t>
      </w:r>
      <w:r>
        <w:rPr>
          <w:rFonts w:hint="eastAsia" w:ascii="宋体" w:hAnsi="宋体" w:eastAsia="宋体" w:cs="宋体"/>
          <w:bCs/>
          <w:color w:val="auto"/>
          <w:sz w:val="24"/>
          <w:highlight w:val="none"/>
          <w:lang w:val="en-US" w:eastAsia="zh-CN"/>
        </w:rPr>
        <w:t>评标</w:t>
      </w:r>
      <w:r>
        <w:rPr>
          <w:rFonts w:hint="eastAsia" w:ascii="宋体" w:hAnsi="宋体" w:eastAsia="宋体" w:cs="宋体"/>
          <w:bCs/>
          <w:color w:val="auto"/>
          <w:sz w:val="24"/>
          <w:highlight w:val="none"/>
          <w:lang w:val="en-US" w:eastAsia="en-US"/>
        </w:rPr>
        <w:t>的，还应当告知未中标人本人的</w:t>
      </w:r>
      <w:r>
        <w:rPr>
          <w:rFonts w:hint="eastAsia" w:ascii="宋体" w:hAnsi="宋体" w:eastAsia="宋体" w:cs="宋体"/>
          <w:bCs/>
          <w:color w:val="auto"/>
          <w:sz w:val="24"/>
          <w:highlight w:val="none"/>
          <w:lang w:val="en-US" w:eastAsia="zh-CN"/>
        </w:rPr>
        <w:t>评标</w:t>
      </w:r>
      <w:r>
        <w:rPr>
          <w:rFonts w:hint="eastAsia" w:ascii="宋体" w:hAnsi="宋体" w:eastAsia="宋体" w:cs="宋体"/>
          <w:bCs/>
          <w:color w:val="auto"/>
          <w:sz w:val="24"/>
          <w:highlight w:val="none"/>
          <w:lang w:val="en-US" w:eastAsia="en-US"/>
        </w:rPr>
        <w:t>得分与排序。</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27.2</w:t>
      </w:r>
      <w:r>
        <w:rPr>
          <w:rFonts w:hint="eastAsia" w:ascii="宋体" w:hAnsi="宋体" w:eastAsia="宋体" w:cs="宋体"/>
          <w:color w:val="auto"/>
          <w:sz w:val="24"/>
          <w:szCs w:val="24"/>
          <w:highlight w:val="none"/>
        </w:rPr>
        <w:t>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color w:val="auto"/>
          <w:sz w:val="24"/>
          <w:highlight w:val="none"/>
        </w:rPr>
        <w:t>评委决定投标文件的响应性只根据投标文件本身的内容，而不寻求外部的证据。</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27.3</w:t>
      </w:r>
      <w:r>
        <w:rPr>
          <w:rFonts w:hint="eastAsia" w:ascii="宋体" w:hAnsi="宋体" w:eastAsia="宋体" w:cs="宋体"/>
          <w:bCs/>
          <w:color w:val="auto"/>
          <w:sz w:val="24"/>
          <w:highlight w:val="none"/>
        </w:rPr>
        <w:t>如果投标文件实质上没有响应招标文件的要求，评委会将予以拒绝，投标人不得通过修改或撤销不合要求的偏离或保留而使其投标成为实质性响应的投标。</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27.4</w:t>
      </w:r>
      <w:r>
        <w:rPr>
          <w:rFonts w:hint="eastAsia" w:ascii="宋体" w:hAnsi="宋体" w:eastAsia="宋体" w:cs="宋体"/>
          <w:bCs/>
          <w:color w:val="auto"/>
          <w:sz w:val="24"/>
          <w:highlight w:val="none"/>
        </w:rPr>
        <w:t>评委会将对确定为实质性响应的投标进行进一步审核，</w:t>
      </w:r>
      <w:r>
        <w:rPr>
          <w:rFonts w:hint="eastAsia" w:ascii="宋体" w:hAnsi="宋体" w:eastAsia="宋体" w:cs="宋体"/>
          <w:bCs/>
          <w:color w:val="auto"/>
          <w:sz w:val="24"/>
          <w:highlight w:val="none"/>
          <w:lang w:val="en-US" w:eastAsia="en-US"/>
        </w:rPr>
        <w:t>投标文件报价出现前后不一致的，除招标文件另有规定外,按照下列规定修正</w:t>
      </w:r>
      <w:r>
        <w:rPr>
          <w:rFonts w:hint="eastAsia" w:ascii="宋体" w:hAnsi="宋体" w:eastAsia="宋体" w:cs="宋体"/>
          <w:bCs/>
          <w:color w:val="auto"/>
          <w:sz w:val="24"/>
          <w:highlight w:val="none"/>
        </w:rPr>
        <w:t>：</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（1）投标文件中开标一览表内容与投标文件中相应内容不一致的，以开标一览表为准。</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（2）大写金额和小写金额不一致的，以大写金额为准。</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（3）单价金额小数点或者百分比有明显错位的，以开标一览表的总价为准，并修改单价。</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（4）总价金额与按单价汇总金额不一致的，以单价金额计算结果为准。</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同时出现两种以上错误的，按照前款规定的顺序修正。</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27.5</w:t>
      </w:r>
      <w:r>
        <w:rPr>
          <w:rFonts w:hint="eastAsia" w:ascii="宋体" w:hAnsi="宋体" w:eastAsia="宋体" w:cs="宋体"/>
          <w:bCs/>
          <w:color w:val="auto"/>
          <w:sz w:val="24"/>
          <w:highlight w:val="none"/>
        </w:rPr>
        <w:t>评委会将按上述修正错误的方法调整投标文件中的投标报价，并通过</w:t>
      </w:r>
      <w:r>
        <w:rPr>
          <w:rFonts w:hint="eastAsia" w:ascii="宋体" w:hAnsi="宋体" w:eastAsia="宋体" w:cs="宋体"/>
          <w:bCs/>
          <w:color w:val="auto"/>
          <w:sz w:val="24"/>
          <w:highlight w:val="none"/>
          <w:lang w:val="en-US" w:eastAsia="en-US"/>
        </w:rPr>
        <w:t>书面形式</w:t>
      </w:r>
      <w:r>
        <w:rPr>
          <w:rFonts w:hint="eastAsia" w:ascii="宋体" w:hAnsi="宋体" w:eastAsia="宋体" w:cs="宋体"/>
          <w:bCs/>
          <w:color w:val="auto"/>
          <w:sz w:val="24"/>
          <w:highlight w:val="none"/>
          <w:lang w:val="en-US" w:eastAsia="zh-Hans"/>
        </w:rPr>
        <w:t>告知投标人</w:t>
      </w:r>
      <w:r>
        <w:rPr>
          <w:rFonts w:hint="eastAsia" w:ascii="宋体" w:hAnsi="宋体" w:eastAsia="宋体" w:cs="宋体"/>
          <w:bCs/>
          <w:color w:val="auto"/>
          <w:sz w:val="24"/>
          <w:highlight w:val="none"/>
        </w:rPr>
        <w:t>，调整后的价格应对投标人具有约束力。如果投标人不接受修正后的价格，则其投标将被拒绝，其投标保证金不予退还。</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27.6</w:t>
      </w:r>
      <w:r>
        <w:rPr>
          <w:rFonts w:hint="eastAsia" w:ascii="宋体" w:hAnsi="宋体" w:eastAsia="宋体" w:cs="宋体"/>
          <w:bCs/>
          <w:color w:val="auto"/>
          <w:sz w:val="24"/>
          <w:highlight w:val="none"/>
        </w:rPr>
        <w:t>评委会将允许修正投标文件中不构成重大偏离的、微小的、非正规的、不一致的或不规则的地方，但这些修改不能影响任何投标人相应的名次排列。</w:t>
      </w:r>
    </w:p>
    <w:p>
      <w:pPr>
        <w:spacing w:line="460" w:lineRule="exact"/>
        <w:ind w:firstLine="480" w:firstLineChars="200"/>
        <w:rPr>
          <w:rFonts w:hint="eastAsia" w:ascii="宋体" w:hAnsi="宋体" w:eastAsia="宋体" w:cs="宋体"/>
          <w:color w:val="auto"/>
          <w:sz w:val="24"/>
          <w:highlight w:val="none"/>
        </w:rPr>
      </w:pPr>
      <w:bookmarkStart w:id="158" w:name="_Toc16938550"/>
      <w:bookmarkStart w:id="159" w:name="_Toc513029234"/>
      <w:bookmarkStart w:id="160" w:name="_Toc20823306"/>
      <w:r>
        <w:rPr>
          <w:rFonts w:hint="eastAsia" w:ascii="宋体" w:hAnsi="宋体" w:eastAsia="宋体" w:cs="宋体"/>
          <w:color w:val="auto"/>
          <w:sz w:val="24"/>
          <w:highlight w:val="none"/>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非单一产品采购项目</w:t>
      </w:r>
      <w:r>
        <w:rPr>
          <w:rFonts w:hint="eastAsia" w:ascii="宋体" w:hAnsi="宋体" w:eastAsia="宋体" w:cs="宋体"/>
          <w:color w:val="auto"/>
          <w:sz w:val="24"/>
          <w:highlight w:val="none"/>
        </w:rPr>
        <w:t>，招标文件中将载明其中的</w:t>
      </w:r>
      <w:r>
        <w:rPr>
          <w:rFonts w:hint="eastAsia" w:ascii="宋体" w:hAnsi="宋体" w:eastAsia="宋体" w:cs="宋体"/>
          <w:b/>
          <w:color w:val="auto"/>
          <w:sz w:val="24"/>
          <w:highlight w:val="none"/>
        </w:rPr>
        <w:t>核心产品</w:t>
      </w:r>
      <w:r>
        <w:rPr>
          <w:rFonts w:hint="eastAsia" w:ascii="宋体" w:hAnsi="宋体" w:eastAsia="宋体" w:cs="宋体"/>
          <w:color w:val="auto"/>
          <w:sz w:val="24"/>
          <w:highlight w:val="none"/>
        </w:rPr>
        <w:t>。多家投标人提供的核心产品品牌相同的，按前两款规定处理。</w:t>
      </w:r>
    </w:p>
    <w:p>
      <w:pPr>
        <w:pStyle w:val="5"/>
        <w:rPr>
          <w:rFonts w:hint="eastAsia" w:ascii="宋体" w:hAnsi="宋体" w:eastAsia="宋体" w:cs="宋体"/>
          <w:b w:val="0"/>
          <w:color w:val="auto"/>
          <w:highlight w:val="none"/>
        </w:rPr>
      </w:pPr>
      <w:r>
        <w:rPr>
          <w:rFonts w:hint="eastAsia" w:ascii="宋体" w:hAnsi="宋体" w:eastAsia="宋体" w:cs="宋体"/>
          <w:b w:val="0"/>
          <w:bCs/>
          <w:color w:val="auto"/>
          <w:highlight w:val="none"/>
        </w:rPr>
        <w:t>28、</w:t>
      </w:r>
      <w:bookmarkEnd w:id="158"/>
      <w:bookmarkEnd w:id="159"/>
      <w:bookmarkEnd w:id="160"/>
      <w:r>
        <w:rPr>
          <w:rFonts w:hint="eastAsia" w:ascii="宋体" w:hAnsi="宋体" w:eastAsia="宋体" w:cs="宋体"/>
          <w:b w:val="0"/>
          <w:bCs/>
          <w:color w:val="auto"/>
          <w:highlight w:val="none"/>
        </w:rPr>
        <w:t>无效投标条款和废标条款</w:t>
      </w:r>
    </w:p>
    <w:p>
      <w:pPr>
        <w:spacing w:line="440" w:lineRule="exact"/>
        <w:ind w:left="479" w:leftChars="228"/>
        <w:rPr>
          <w:rFonts w:hint="eastAsia" w:ascii="宋体" w:hAnsi="宋体" w:eastAsia="宋体" w:cs="宋体"/>
          <w:bCs/>
          <w:color w:val="auto"/>
          <w:sz w:val="24"/>
          <w:highlight w:val="none"/>
        </w:rPr>
      </w:pPr>
      <w:bookmarkStart w:id="161" w:name="_Toc16938551"/>
      <w:bookmarkStart w:id="162" w:name="_Toc513029235"/>
      <w:bookmarkStart w:id="163" w:name="_Toc20823307"/>
      <w:r>
        <w:rPr>
          <w:rFonts w:hint="eastAsia" w:ascii="宋体" w:hAnsi="宋体" w:eastAsia="宋体" w:cs="宋体"/>
          <w:bCs/>
          <w:color w:val="auto"/>
          <w:sz w:val="24"/>
          <w:highlight w:val="none"/>
        </w:rPr>
        <w:t>28.1无效投标条款</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28.1.1未按要求交纳投标保证金的。</w:t>
      </w:r>
    </w:p>
    <w:p>
      <w:pPr>
        <w:spacing w:line="44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28.1.2投标人未成功解密电子投标文件的。</w:t>
      </w: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28.1.3投标人未按照招标文件要求上传电子投标文件的。</w:t>
      </w: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28.1.4投标人在报价时采用选择性报价的。</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28.1.5投标人不具备招标文件中规定资格要求的。</w:t>
      </w:r>
    </w:p>
    <w:p>
      <w:pPr>
        <w:spacing w:line="440" w:lineRule="exact"/>
        <w:ind w:firstLine="480" w:firstLineChars="20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28.1.6投标人的报价超过了采购预算或最高限价的。</w:t>
      </w:r>
    </w:p>
    <w:p>
      <w:pPr>
        <w:spacing w:line="440" w:lineRule="exact"/>
        <w:ind w:firstLine="360" w:firstLineChars="15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 xml:space="preserve"> 28.1.7未通过符合性检查的。</w:t>
      </w:r>
    </w:p>
    <w:p>
      <w:pPr>
        <w:spacing w:line="440" w:lineRule="exact"/>
        <w:ind w:firstLine="480" w:firstLineChars="200"/>
        <w:rPr>
          <w:rFonts w:hint="eastAsia" w:ascii="宋体" w:hAnsi="宋体" w:eastAsia="宋体" w:cs="宋体"/>
          <w:bCs/>
          <w:i/>
          <w:color w:val="auto"/>
          <w:sz w:val="24"/>
          <w:highlight w:val="none"/>
          <w:u w:val="single"/>
        </w:rPr>
      </w:pPr>
      <w:r>
        <w:rPr>
          <w:rFonts w:hint="eastAsia" w:ascii="宋体" w:hAnsi="宋体" w:eastAsia="宋体" w:cs="宋体"/>
          <w:bCs/>
          <w:color w:val="auto"/>
          <w:sz w:val="24"/>
          <w:highlight w:val="none"/>
        </w:rPr>
        <w:t>28.1.8不符合招标文件中规定的其他实质性要求和条件的（</w:t>
      </w:r>
      <w:r>
        <w:rPr>
          <w:rFonts w:hint="eastAsia" w:ascii="宋体" w:hAnsi="宋体" w:eastAsia="宋体" w:cs="宋体"/>
          <w:bCs/>
          <w:i/>
          <w:color w:val="auto"/>
          <w:sz w:val="24"/>
          <w:highlight w:val="none"/>
          <w:u w:val="single"/>
        </w:rPr>
        <w:t>本招标文件中斜体且有下划线部分为实质性要求和条件）。</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28.1.9投标人被 “信用中国”网站（www.creditchina.gov.cn）</w:t>
      </w:r>
      <w:r>
        <w:rPr>
          <w:rFonts w:hint="eastAsia" w:ascii="宋体" w:hAnsi="宋体" w:eastAsia="宋体" w:cs="宋体"/>
          <w:bCs/>
          <w:color w:val="auto"/>
          <w:sz w:val="24"/>
          <w:highlight w:val="none"/>
          <w:lang w:eastAsia="zh-CN"/>
        </w:rPr>
        <w:t>、“中国政府采购网”(www.ccgp.gov.cn)</w:t>
      </w:r>
      <w:r>
        <w:rPr>
          <w:rFonts w:hint="eastAsia" w:ascii="宋体" w:hAnsi="宋体" w:eastAsia="宋体" w:cs="宋体"/>
          <w:bCs/>
          <w:color w:val="auto"/>
          <w:sz w:val="24"/>
          <w:highlight w:val="none"/>
        </w:rPr>
        <w:t>列入失信被执行人或重大税收违法案件当事人名单或政府采购严重失信行为记录名单。</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28.1.10  投标文件含有采购人不能接受的附加条件的。</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28.1.12 本项目采购产品被财政部、国家发改委、生态环境部等列入“节能产品品目清单”、“环境标志产品品目清单”强制采购范围，而投标人所投标产品不在强制采购范围内的。</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28.1.13 投标文件未按照招标文件要求加盖电子签章。</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28.1.14其他法律、法规及本招标文件规定的属无效投标的情形。</w:t>
      </w:r>
    </w:p>
    <w:p>
      <w:pPr>
        <w:spacing w:line="440" w:lineRule="exact"/>
        <w:ind w:firstLine="480" w:firstLineChars="200"/>
        <w:rPr>
          <w:rFonts w:hint="eastAsia" w:ascii="宋体" w:hAnsi="宋体" w:eastAsia="宋体" w:cs="宋体"/>
          <w:bCs/>
          <w:color w:val="auto"/>
          <w:sz w:val="24"/>
          <w:highlight w:val="none"/>
        </w:rPr>
      </w:pP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28.2废标条款：</w:t>
      </w: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28.2.1符合专业条件的供应商或者对招标文件作实质响应的供应商不足三家的。28.2.2出现影响采购公正的违法、违规行为的。</w:t>
      </w: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28.2.3因重大变故，采购任务取消的。</w:t>
      </w: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28.2.4评标委员会认定招标文件存在歧义、重大缺陷导致评审工作无法进行。</w:t>
      </w: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28.2.5 因</w:t>
      </w:r>
      <w:r>
        <w:rPr>
          <w:rFonts w:hint="eastAsia" w:ascii="宋体" w:hAnsi="宋体" w:eastAsia="宋体" w:cs="宋体"/>
          <w:color w:val="auto"/>
          <w:sz w:val="24"/>
          <w:szCs w:val="24"/>
          <w:highlight w:val="none"/>
        </w:rPr>
        <w:t>“新疆公共资源交易平台不见面开标大厅”系统</w:t>
      </w:r>
      <w:r>
        <w:rPr>
          <w:rFonts w:hint="eastAsia" w:ascii="宋体" w:hAnsi="宋体" w:eastAsia="宋体" w:cs="宋体"/>
          <w:bCs/>
          <w:color w:val="auto"/>
          <w:sz w:val="24"/>
          <w:highlight w:val="none"/>
        </w:rPr>
        <w:t>故障原因造成开标不成功的。</w:t>
      </w:r>
    </w:p>
    <w:p>
      <w:pPr>
        <w:spacing w:line="440" w:lineRule="exact"/>
        <w:ind w:left="479" w:leftChars="228"/>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28.3 投标截止时间后参加投标的供应商不足三家的处理：</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28.3.1如出现投标截止时间结束后参加投标的供应商或者在评标期间对招标文件做出实质响应的供应商不足三家情况，按政府采购相关规定执行。</w:t>
      </w:r>
    </w:p>
    <w:p>
      <w:pPr>
        <w:pStyle w:val="4"/>
        <w:spacing w:beforeLines="50" w:afterLines="50" w:line="360" w:lineRule="auto"/>
        <w:ind w:firstLine="482" w:firstLineChars="150"/>
        <w:rPr>
          <w:rFonts w:hint="eastAsia" w:ascii="宋体" w:hAnsi="宋体" w:eastAsia="宋体" w:cs="宋体"/>
          <w:color w:val="auto"/>
          <w:highlight w:val="none"/>
        </w:rPr>
      </w:pPr>
      <w:bookmarkStart w:id="164" w:name="_Toc534816632"/>
      <w:bookmarkStart w:id="165" w:name="_Toc120614219"/>
      <w:bookmarkStart w:id="166" w:name="_Toc534725603"/>
      <w:r>
        <w:rPr>
          <w:rFonts w:hint="eastAsia" w:ascii="宋体" w:hAnsi="宋体" w:eastAsia="宋体" w:cs="宋体"/>
          <w:color w:val="auto"/>
          <w:highlight w:val="none"/>
        </w:rPr>
        <w:t>六、</w:t>
      </w:r>
      <w:bookmarkEnd w:id="161"/>
      <w:bookmarkEnd w:id="162"/>
      <w:bookmarkEnd w:id="163"/>
      <w:r>
        <w:rPr>
          <w:rFonts w:hint="eastAsia" w:ascii="宋体" w:hAnsi="宋体" w:eastAsia="宋体" w:cs="宋体"/>
          <w:color w:val="auto"/>
          <w:highlight w:val="none"/>
        </w:rPr>
        <w:t>定标</w:t>
      </w:r>
      <w:bookmarkEnd w:id="164"/>
      <w:bookmarkEnd w:id="165"/>
      <w:bookmarkEnd w:id="166"/>
    </w:p>
    <w:p>
      <w:pPr>
        <w:pStyle w:val="5"/>
        <w:ind w:left="0" w:leftChars="0" w:firstLine="416" w:firstLineChars="139"/>
        <w:rPr>
          <w:rFonts w:hint="eastAsia" w:ascii="宋体" w:hAnsi="宋体" w:eastAsia="宋体" w:cs="宋体"/>
          <w:b w:val="0"/>
          <w:color w:val="auto"/>
          <w:sz w:val="30"/>
          <w:szCs w:val="30"/>
          <w:highlight w:val="none"/>
        </w:rPr>
      </w:pPr>
      <w:bookmarkStart w:id="167" w:name="_Toc513029238"/>
      <w:bookmarkStart w:id="168" w:name="_Toc16938554"/>
      <w:bookmarkStart w:id="169" w:name="_Toc20823310"/>
      <w:r>
        <w:rPr>
          <w:rFonts w:hint="eastAsia" w:ascii="宋体" w:hAnsi="宋体" w:eastAsia="宋体" w:cs="宋体"/>
          <w:b w:val="0"/>
          <w:color w:val="auto"/>
          <w:sz w:val="30"/>
          <w:szCs w:val="30"/>
          <w:highlight w:val="none"/>
        </w:rPr>
        <w:t>29、</w:t>
      </w:r>
      <w:bookmarkEnd w:id="167"/>
      <w:r>
        <w:rPr>
          <w:rFonts w:hint="eastAsia" w:ascii="宋体" w:hAnsi="宋体" w:eastAsia="宋体" w:cs="宋体"/>
          <w:b w:val="0"/>
          <w:color w:val="auto"/>
          <w:sz w:val="30"/>
          <w:szCs w:val="30"/>
          <w:highlight w:val="none"/>
        </w:rPr>
        <w:t>确定</w:t>
      </w:r>
      <w:bookmarkEnd w:id="168"/>
      <w:bookmarkEnd w:id="169"/>
      <w:r>
        <w:rPr>
          <w:rFonts w:hint="eastAsia" w:ascii="宋体" w:hAnsi="宋体" w:eastAsia="宋体" w:cs="宋体"/>
          <w:b w:val="0"/>
          <w:color w:val="auto"/>
          <w:sz w:val="30"/>
          <w:szCs w:val="30"/>
          <w:highlight w:val="none"/>
        </w:rPr>
        <w:t>中标单位</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29.1中标候选人的选取原则和数量见招标文件第五章规定。</w:t>
      </w: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29.2 采购人应根据评委会推荐的中标候选人确定中标人。</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29.3 </w:t>
      </w:r>
      <w:r>
        <w:rPr>
          <w:rFonts w:hint="eastAsia" w:ascii="宋体" w:hAnsi="宋体" w:eastAsia="宋体" w:cs="宋体"/>
          <w:color w:val="auto"/>
          <w:sz w:val="24"/>
          <w:szCs w:val="24"/>
          <w:highlight w:val="none"/>
        </w:rPr>
        <w:t>交易中心将在“新疆公共资源交易网”和“新疆政府采购网”发布中标公告，公告期限为1个工作日。</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  若有充分证据证明，中标人出现下列情况之一的，一经查实，将被取消中标资格：</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29.4.1提供虚假材料谋取中标的。</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29.4.2向采购人、交易中心行贿或者提供其他不正当利益的。</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29.4.3恶意竞争，投标总报价明显低于其自身合理成本且又无法提供证明的。</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29.4.4属于本文件规定的无效条件，但在评标过程中又未被评委会发现的。</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29.4.5与采购人或者其他供应商恶意串通的。</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29.4.6采取不正当手段诋毁、排挤其他供应商的。</w:t>
      </w:r>
    </w:p>
    <w:p>
      <w:pPr>
        <w:snapToGrid w:val="0"/>
        <w:spacing w:line="480" w:lineRule="exact"/>
        <w:ind w:firstLine="480" w:firstLineChars="200"/>
        <w:rPr>
          <w:rFonts w:hint="eastAsia" w:ascii="宋体" w:hAnsi="宋体" w:eastAsia="宋体" w:cs="宋体"/>
          <w:color w:val="auto"/>
          <w:sz w:val="24"/>
          <w:szCs w:val="24"/>
          <w:highlight w:val="none"/>
        </w:rPr>
      </w:pPr>
      <w:bookmarkStart w:id="170" w:name="_Toc200451960"/>
      <w:r>
        <w:rPr>
          <w:rFonts w:hint="eastAsia" w:ascii="宋体" w:hAnsi="宋体" w:eastAsia="宋体" w:cs="宋体"/>
          <w:color w:val="auto"/>
          <w:sz w:val="24"/>
          <w:szCs w:val="24"/>
          <w:highlight w:val="none"/>
        </w:rPr>
        <w:t>29.5</w:t>
      </w: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有下列情形之一的，视为投标人串通投标，投标无效：</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29.5.1不同投标人的投标文件由同一单位或者个人编制；</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29.5.2不同投标人委托同一单位或者个人办理投标事宜；</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29.5.3 不同投标人的投标文件载明的项目管理成员或者联系人员为同一人；</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29.5.4不同投标人的投标文件异常一致或者投标报价呈规律性差异；</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29.5.5不同投标人的投标文件相互混装；</w:t>
      </w:r>
    </w:p>
    <w:p>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29.5.6不同投标人的投标保证金从同一单位或者个人的账户转出。</w:t>
      </w:r>
    </w:p>
    <w:bookmarkEnd w:id="170"/>
    <w:p>
      <w:pPr>
        <w:spacing w:line="440" w:lineRule="exact"/>
        <w:ind w:firstLine="600" w:firstLineChars="200"/>
        <w:rPr>
          <w:rFonts w:hint="eastAsia" w:ascii="黑体" w:hAnsi="宋体" w:eastAsia="宋体" w:cs="Times New Roman"/>
          <w:b w:val="0"/>
          <w:bCs/>
          <w:color w:val="auto"/>
          <w:kern w:val="2"/>
          <w:sz w:val="30"/>
          <w:szCs w:val="30"/>
          <w:highlight w:val="none"/>
          <w:lang w:val="en-US" w:eastAsia="zh-CN" w:bidi="ar-SA"/>
        </w:rPr>
      </w:pPr>
      <w:bookmarkStart w:id="171" w:name="_Toc534816633"/>
      <w:bookmarkStart w:id="172" w:name="_Toc120614220"/>
      <w:bookmarkStart w:id="173" w:name="_Toc534725604"/>
      <w:bookmarkStart w:id="174" w:name="_Toc513029236"/>
      <w:bookmarkStart w:id="175" w:name="_Toc16938552"/>
      <w:bookmarkStart w:id="176" w:name="_Toc20823308"/>
      <w:r>
        <w:rPr>
          <w:rFonts w:hint="eastAsia" w:ascii="黑体" w:hAnsi="宋体" w:eastAsia="宋体" w:cs="Times New Roman"/>
          <w:b w:val="0"/>
          <w:bCs/>
          <w:color w:val="auto"/>
          <w:kern w:val="2"/>
          <w:sz w:val="30"/>
          <w:szCs w:val="30"/>
          <w:highlight w:val="none"/>
          <w:lang w:val="en-US" w:eastAsia="zh-CN" w:bidi="ar-SA"/>
        </w:rPr>
        <w:t xml:space="preserve">30 询问、质疑、投诉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.1 </w:t>
      </w:r>
      <w:r>
        <w:rPr>
          <w:rFonts w:hint="eastAsia" w:ascii="Times New Roman" w:hAnsi="Times New Roman" w:eastAsia="宋体" w:cs="Times New Roman"/>
          <w:color w:val="auto"/>
          <w:sz w:val="24"/>
          <w:szCs w:val="24"/>
          <w:highlight w:val="none"/>
        </w:rPr>
        <w:t xml:space="preserve">询问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.1.1 </w:t>
      </w:r>
      <w:r>
        <w:rPr>
          <w:rFonts w:hint="eastAsia" w:ascii="Times New Roman" w:hAnsi="Times New Roman" w:eastAsia="宋体" w:cs="Times New Roman"/>
          <w:color w:val="auto"/>
          <w:sz w:val="24"/>
          <w:szCs w:val="24"/>
          <w:highlight w:val="none"/>
        </w:rPr>
        <w:t>供应商对政府采购活动事项（</w:t>
      </w:r>
      <w:r>
        <w:rPr>
          <w:rFonts w:hint="eastAsia" w:ascii="Times New Roman" w:hAnsi="Times New Roman" w:eastAsia="宋体" w:cs="Times New Roman"/>
          <w:color w:val="auto"/>
          <w:sz w:val="24"/>
          <w:szCs w:val="24"/>
          <w:highlight w:val="none"/>
          <w:lang w:val="en-US" w:eastAsia="zh-CN"/>
        </w:rPr>
        <w:t>招标文件</w:t>
      </w:r>
      <w:r>
        <w:rPr>
          <w:rFonts w:hint="eastAsia" w:ascii="Times New Roman" w:hAnsi="Times New Roman" w:eastAsia="宋体" w:cs="Times New Roman"/>
          <w:color w:val="auto"/>
          <w:sz w:val="24"/>
          <w:szCs w:val="24"/>
          <w:highlight w:val="none"/>
        </w:rPr>
        <w:t xml:space="preserve">、采购过程、成交或者成交结果）有疑问的，可以向采购人或者新疆维吾尔自治区政务服务和公共资源交易中心提出询问，询问可以口头方式提出，也可以书面方式提出。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.1.2 </w:t>
      </w:r>
      <w:r>
        <w:rPr>
          <w:rFonts w:hint="eastAsia" w:ascii="Times New Roman" w:hAnsi="Times New Roman" w:eastAsia="宋体" w:cs="Times New Roman"/>
          <w:color w:val="auto"/>
          <w:sz w:val="24"/>
          <w:szCs w:val="24"/>
          <w:highlight w:val="none"/>
        </w:rPr>
        <w:t xml:space="preserve">采购人或者新疆维吾尔自治区政务服务和公共资源交易中心在三个工作日内对供应商依法提出的询问作出答复。 </w:t>
      </w:r>
    </w:p>
    <w:p>
      <w:pPr>
        <w:pStyle w:val="5"/>
        <w:ind w:firstLine="480" w:firstLineChars="200"/>
        <w:jc w:val="left"/>
        <w:rPr>
          <w:rFonts w:hint="eastAsia" w:ascii="宋体" w:hAnsi="宋体" w:eastAsia="宋体" w:cs="宋体"/>
          <w:b w:val="0"/>
          <w:bCs w:val="0"/>
          <w:color w:val="auto"/>
          <w:sz w:val="24"/>
          <w:szCs w:val="24"/>
          <w:highlight w:val="none"/>
          <w:lang w:val="en-US" w:eastAsia="zh-CN" w:bidi="zh-CN"/>
        </w:rPr>
      </w:pPr>
      <w:r>
        <w:rPr>
          <w:rFonts w:hint="eastAsia" w:ascii="宋体" w:hAnsi="宋体" w:eastAsia="宋体" w:cs="宋体"/>
          <w:b w:val="0"/>
          <w:bCs w:val="0"/>
          <w:color w:val="auto"/>
          <w:sz w:val="24"/>
          <w:szCs w:val="24"/>
          <w:highlight w:val="none"/>
          <w:lang w:val="en-US" w:eastAsia="zh-CN" w:bidi="zh-CN"/>
        </w:rPr>
        <w:t>30.2 质疑处理</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pPr>
        <w:snapToGrid w:val="0"/>
        <w:spacing w:line="480" w:lineRule="exact"/>
        <w:ind w:firstLine="480" w:firstLineChars="200"/>
        <w:rPr>
          <w:rFonts w:hint="eastAsia" w:ascii="Times New Roman" w:hAnsi="宋体" w:eastAsia="宋体" w:cs="宋体"/>
          <w:color w:val="auto"/>
          <w:kern w:val="0"/>
          <w:sz w:val="24"/>
          <w:szCs w:val="24"/>
          <w:highlight w:val="none"/>
          <w:lang w:eastAsia="zh-CN"/>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.2.1</w:t>
      </w:r>
      <w:r>
        <w:rPr>
          <w:rFonts w:hint="eastAsia" w:ascii="Times New Roman" w:hAnsi="宋体" w:eastAsia="宋体" w:cs="宋体"/>
          <w:color w:val="auto"/>
          <w:kern w:val="0"/>
          <w:sz w:val="24"/>
          <w:szCs w:val="24"/>
          <w:highlight w:val="none"/>
        </w:rPr>
        <w:t>对可以质疑的采购文件提出质疑的，为收到采购文件之日或者采购文件公告期限届满之日；</w:t>
      </w:r>
    </w:p>
    <w:p>
      <w:pPr>
        <w:snapToGrid w:val="0"/>
        <w:spacing w:line="480" w:lineRule="exact"/>
        <w:ind w:firstLine="480" w:firstLineChars="200"/>
        <w:rPr>
          <w:rFonts w:hint="eastAsia" w:ascii="Times New Roman" w:hAnsi="宋体" w:eastAsia="宋体" w:cs="宋体"/>
          <w:color w:val="auto"/>
          <w:kern w:val="0"/>
          <w:sz w:val="24"/>
          <w:szCs w:val="24"/>
          <w:highlight w:val="none"/>
          <w:lang w:eastAsia="zh-CN"/>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.2.2</w:t>
      </w:r>
      <w:r>
        <w:rPr>
          <w:rFonts w:hint="eastAsia" w:ascii="Times New Roman" w:hAnsi="宋体" w:eastAsia="宋体" w:cs="宋体"/>
          <w:color w:val="auto"/>
          <w:kern w:val="0"/>
          <w:sz w:val="24"/>
          <w:szCs w:val="24"/>
          <w:highlight w:val="none"/>
        </w:rPr>
        <w:t>对采购过程提出质疑的，为各采购程序环节结束之日；</w:t>
      </w:r>
    </w:p>
    <w:p>
      <w:pPr>
        <w:snapToGrid w:val="0"/>
        <w:spacing w:line="480" w:lineRule="exact"/>
        <w:ind w:firstLine="480" w:firstLineChars="200"/>
        <w:rPr>
          <w:rFonts w:hint="eastAsia" w:ascii="Times New Roman" w:hAnsi="宋体" w:eastAsia="宋体" w:cs="宋体"/>
          <w:color w:val="auto"/>
          <w:kern w:val="0"/>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.2.3</w:t>
      </w:r>
      <w:r>
        <w:rPr>
          <w:rFonts w:hint="eastAsia" w:ascii="Times New Roman" w:hAnsi="宋体" w:eastAsia="宋体" w:cs="宋体"/>
          <w:color w:val="auto"/>
          <w:kern w:val="0"/>
          <w:sz w:val="24"/>
          <w:szCs w:val="24"/>
          <w:highlight w:val="none"/>
        </w:rPr>
        <w:t>对中标或者成交结果提出质疑的，为中标或者成交结果公告期限届满之日。</w:t>
      </w:r>
    </w:p>
    <w:p>
      <w:pPr>
        <w:snapToGrid w:val="0"/>
        <w:spacing w:line="480" w:lineRule="exact"/>
        <w:ind w:firstLine="480" w:firstLineChars="200"/>
        <w:rPr>
          <w:rFonts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auto"/>
          <w:kern w:val="0"/>
          <w:sz w:val="24"/>
          <w:szCs w:val="24"/>
          <w:highlight w:val="none"/>
        </w:rPr>
        <w:t>交易中心、采购人将只对供应商第一次质疑作出答复。</w:t>
      </w:r>
    </w:p>
    <w:p>
      <w:pPr>
        <w:snapToGrid w:val="0"/>
        <w:spacing w:line="48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.3质疑函必须按照本</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rPr>
        <w:t>文件中《质疑函范本》要求的格式</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内容</w:t>
      </w:r>
      <w:r>
        <w:rPr>
          <w:rFonts w:hint="eastAsia" w:ascii="宋体" w:hAnsi="宋体" w:eastAsia="宋体" w:cs="Times New Roman"/>
          <w:color w:val="auto"/>
          <w:sz w:val="24"/>
          <w:szCs w:val="24"/>
          <w:highlight w:val="none"/>
          <w:lang w:val="en-US" w:eastAsia="zh-CN"/>
        </w:rPr>
        <w:t>和要求</w:t>
      </w:r>
      <w:r>
        <w:rPr>
          <w:rFonts w:hint="eastAsia" w:ascii="宋体" w:hAnsi="宋体" w:eastAsia="宋体" w:cs="Times New Roman"/>
          <w:color w:val="auto"/>
          <w:sz w:val="24"/>
          <w:szCs w:val="24"/>
          <w:highlight w:val="none"/>
        </w:rPr>
        <w:t>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.4 交易中心及采购人只接收以纸质原件形式送达的质疑。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质疑接收人：自治区政务服务和公共资源交易中心 现场监督部</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联系地址：乌鲁木齐市</w:t>
      </w:r>
      <w:r>
        <w:rPr>
          <w:rFonts w:hint="eastAsia" w:ascii="宋体" w:hAnsi="宋体" w:eastAsia="宋体" w:cs="Times New Roman"/>
          <w:color w:val="auto"/>
          <w:sz w:val="24"/>
          <w:szCs w:val="24"/>
          <w:highlight w:val="none"/>
          <w:lang w:val="en-US" w:eastAsia="zh-CN"/>
        </w:rPr>
        <w:t>水磨沟区</w:t>
      </w:r>
      <w:r>
        <w:rPr>
          <w:rFonts w:hint="eastAsia" w:ascii="宋体" w:hAnsi="宋体" w:eastAsia="宋体" w:cs="Times New Roman"/>
          <w:color w:val="auto"/>
          <w:sz w:val="24"/>
          <w:szCs w:val="24"/>
          <w:highlight w:val="none"/>
        </w:rPr>
        <w:t>准格尔街299号</w:t>
      </w:r>
      <w:r>
        <w:rPr>
          <w:rFonts w:hint="eastAsia" w:ascii="宋体" w:hAnsi="宋体" w:eastAsia="宋体" w:cs="Times New Roman"/>
          <w:color w:val="auto"/>
          <w:sz w:val="24"/>
          <w:szCs w:val="24"/>
          <w:highlight w:val="none"/>
          <w:lang w:val="en-US" w:eastAsia="zh-CN"/>
        </w:rPr>
        <w:t>益民大厦</w:t>
      </w:r>
      <w:r>
        <w:rPr>
          <w:rFonts w:hint="eastAsia" w:ascii="宋体" w:hAnsi="宋体" w:eastAsia="宋体" w:cs="Times New Roman"/>
          <w:color w:val="auto"/>
          <w:sz w:val="24"/>
          <w:szCs w:val="24"/>
          <w:highlight w:val="none"/>
        </w:rPr>
        <w:t>A417</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联系电话：0991-3551778。 </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 以下情形的质疑不予受理</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.5.1 内容不符合《政府采购质疑和投诉办法》第十二条规定的质疑。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.5.2 超出政府采购法定期限的质疑。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.5.3 以传真、电子邮件等方式递交的非原件形式的质疑。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.5.4 未参加投标活动的供应商或在投标活动中自身权益未受到损害的供应商所提出的质疑。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30.2.5.7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30.2.5.8不属于本中心管辖范围的质疑。</w:t>
      </w:r>
    </w:p>
    <w:p>
      <w:pPr>
        <w:snapToGrid w:val="0"/>
        <w:spacing w:line="480" w:lineRule="exact"/>
        <w:ind w:firstLine="468" w:firstLineChars="19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30.2</w:t>
      </w:r>
      <w:r>
        <w:rPr>
          <w:rFonts w:hint="eastAsia" w:ascii="宋体" w:hAnsi="宋体" w:eastAsia="宋体" w:cs="Times New Roman"/>
          <w:color w:val="auto"/>
          <w:sz w:val="24"/>
          <w:szCs w:val="24"/>
          <w:highlight w:val="none"/>
        </w:rPr>
        <w:t xml:space="preserve">.6  </w:t>
      </w:r>
      <w:r>
        <w:rPr>
          <w:rFonts w:hint="eastAsia" w:ascii="宋体" w:hAnsi="宋体" w:eastAsia="宋体" w:cs="Times New Roman"/>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rPr>
          <w:rFonts w:ascii="Times New Roman" w:hAnsi="Times New Roman" w:eastAsia="宋体" w:cs="Times New Roman"/>
          <w:color w:val="auto"/>
          <w:highlight w:val="none"/>
        </w:rPr>
      </w:pP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.3 </w:t>
      </w:r>
      <w:r>
        <w:rPr>
          <w:rFonts w:hint="eastAsia" w:ascii="Times New Roman" w:hAnsi="Times New Roman" w:eastAsia="宋体" w:cs="Times New Roman"/>
          <w:color w:val="auto"/>
          <w:sz w:val="24"/>
          <w:szCs w:val="24"/>
          <w:highlight w:val="none"/>
        </w:rPr>
        <w:t xml:space="preserve">投诉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.3.1 </w:t>
      </w:r>
      <w:r>
        <w:rPr>
          <w:rFonts w:hint="eastAsia" w:ascii="Times New Roman" w:hAnsi="Times New Roman" w:eastAsia="宋体" w:cs="Times New Roman"/>
          <w:color w:val="auto"/>
          <w:sz w:val="24"/>
          <w:szCs w:val="24"/>
          <w:highlight w:val="none"/>
        </w:rPr>
        <w:t xml:space="preserve">质疑供应商对新疆维吾尔自治区政务服务和公共资源交易中心的答复不满意，或者新疆维吾尔自治区政务服务和公共资源交易中心未在规定时间内作出答复的，可以在答复期满后十五个工作日内向同级财政部门提起投诉。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.3.2 </w:t>
      </w:r>
      <w:r>
        <w:rPr>
          <w:rFonts w:hint="eastAsia" w:ascii="Times New Roman" w:hAnsi="Times New Roman" w:eastAsia="宋体" w:cs="Times New Roman"/>
          <w:color w:val="auto"/>
          <w:sz w:val="24"/>
          <w:szCs w:val="24"/>
          <w:highlight w:val="none"/>
        </w:rPr>
        <w:t xml:space="preserve">投诉人在全国范围12个月内三次以上投诉查无实据的，由财政部门列入不良行为记录名单。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.3.3 </w:t>
      </w:r>
      <w:r>
        <w:rPr>
          <w:rFonts w:hint="eastAsia" w:ascii="Times New Roman" w:hAnsi="Times New Roman" w:eastAsia="宋体" w:cs="Times New Roman"/>
          <w:color w:val="auto"/>
          <w:sz w:val="24"/>
          <w:szCs w:val="24"/>
          <w:highlight w:val="none"/>
        </w:rPr>
        <w:t xml:space="preserve">投诉人有下列行为之一的，属于虚假、恶意投诉，由财政部门列入不良行为记录名单，禁止其1至3年内参加政府采购活动：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.3.3.1 </w:t>
      </w:r>
      <w:r>
        <w:rPr>
          <w:rFonts w:hint="eastAsia" w:ascii="Times New Roman" w:hAnsi="Times New Roman" w:eastAsia="宋体" w:cs="Times New Roman"/>
          <w:color w:val="auto"/>
          <w:sz w:val="24"/>
          <w:szCs w:val="24"/>
          <w:highlight w:val="none"/>
        </w:rPr>
        <w:t xml:space="preserve">捏造事实； </w:t>
      </w:r>
    </w:p>
    <w:p>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lang w:val="en-US"/>
        </w:rPr>
        <w:t xml:space="preserve">.3.3.2 </w:t>
      </w:r>
      <w:r>
        <w:rPr>
          <w:rFonts w:hint="eastAsia" w:ascii="Times New Roman" w:hAnsi="Times New Roman" w:eastAsia="宋体" w:cs="Times New Roman"/>
          <w:color w:val="auto"/>
          <w:sz w:val="24"/>
          <w:szCs w:val="24"/>
          <w:highlight w:val="none"/>
        </w:rPr>
        <w:t xml:space="preserve">提供虚假材料； </w:t>
      </w:r>
    </w:p>
    <w:p>
      <w:pPr>
        <w:pStyle w:val="5"/>
        <w:ind w:left="0" w:leftChars="0" w:firstLine="335" w:firstLineChars="139"/>
        <w:rPr>
          <w:rFonts w:hint="eastAsia" w:ascii="宋体" w:hAnsi="宋体" w:eastAsia="宋体" w:cs="宋体"/>
          <w:b w:val="0"/>
          <w:color w:val="auto"/>
          <w:sz w:val="30"/>
          <w:szCs w:val="30"/>
          <w:highlight w:val="none"/>
        </w:rPr>
      </w:pPr>
      <w:r>
        <w:rPr>
          <w:rFonts w:hint="eastAsia" w:eastAsia="宋体"/>
          <w:color w:val="auto"/>
          <w:sz w:val="24"/>
          <w:szCs w:val="24"/>
          <w:highlight w:val="none"/>
          <w:lang w:val="en-US" w:eastAsia="zh-CN"/>
        </w:rPr>
        <w:t>30</w:t>
      </w:r>
      <w:r>
        <w:rPr>
          <w:rFonts w:hint="eastAsia" w:eastAsia="宋体"/>
          <w:color w:val="auto"/>
          <w:sz w:val="24"/>
          <w:szCs w:val="24"/>
          <w:highlight w:val="none"/>
          <w:lang w:val="en-US"/>
        </w:rPr>
        <w:t xml:space="preserve">.3.3.3 </w:t>
      </w:r>
      <w:r>
        <w:rPr>
          <w:rFonts w:hint="eastAsia" w:eastAsia="宋体"/>
          <w:color w:val="auto"/>
          <w:sz w:val="24"/>
          <w:szCs w:val="24"/>
          <w:highlight w:val="none"/>
        </w:rPr>
        <w:t>以非法手段取得证明材料。证据来源的合法性存在明显疑问，投诉人无法证明其取得方式合法的，视为以非法手段取得证明材料。</w:t>
      </w:r>
    </w:p>
    <w:p>
      <w:pPr>
        <w:pStyle w:val="4"/>
        <w:spacing w:beforeLines="50" w:afterLines="50" w:line="360" w:lineRule="auto"/>
        <w:ind w:left="0" w:leftChars="0" w:firstLine="421" w:firstLineChars="131"/>
        <w:rPr>
          <w:rFonts w:hint="eastAsia" w:ascii="宋体" w:hAnsi="宋体" w:eastAsia="宋体" w:cs="宋体"/>
          <w:color w:val="auto"/>
          <w:highlight w:val="none"/>
        </w:rPr>
      </w:pPr>
      <w:r>
        <w:rPr>
          <w:rFonts w:hint="eastAsia" w:ascii="宋体" w:hAnsi="宋体" w:eastAsia="宋体" w:cs="宋体"/>
          <w:color w:val="auto"/>
          <w:highlight w:val="none"/>
        </w:rPr>
        <w:t>七、授予合同</w:t>
      </w:r>
      <w:bookmarkEnd w:id="171"/>
      <w:bookmarkEnd w:id="172"/>
      <w:bookmarkEnd w:id="173"/>
    </w:p>
    <w:bookmarkEnd w:id="174"/>
    <w:bookmarkEnd w:id="175"/>
    <w:bookmarkEnd w:id="176"/>
    <w:p>
      <w:pPr>
        <w:pStyle w:val="5"/>
        <w:ind w:left="0" w:leftChars="0" w:firstLine="416" w:firstLineChars="139"/>
        <w:rPr>
          <w:rFonts w:hint="eastAsia" w:ascii="宋体" w:hAnsi="宋体" w:eastAsia="宋体" w:cs="宋体"/>
          <w:b w:val="0"/>
          <w:color w:val="auto"/>
          <w:sz w:val="30"/>
          <w:szCs w:val="30"/>
          <w:highlight w:val="none"/>
        </w:rPr>
      </w:pPr>
      <w:bookmarkStart w:id="177" w:name="_Toc20823309"/>
      <w:bookmarkStart w:id="178" w:name="_Toc16938553"/>
      <w:bookmarkStart w:id="179" w:name="_Toc513029237"/>
      <w:r>
        <w:rPr>
          <w:rFonts w:hint="eastAsia" w:ascii="宋体" w:hAnsi="宋体" w:eastAsia="宋体" w:cs="宋体"/>
          <w:b w:val="0"/>
          <w:color w:val="auto"/>
          <w:sz w:val="30"/>
          <w:szCs w:val="30"/>
          <w:highlight w:val="none"/>
        </w:rPr>
        <w:t>3</w:t>
      </w:r>
      <w:r>
        <w:rPr>
          <w:rFonts w:hint="eastAsia" w:ascii="宋体" w:hAnsi="宋体" w:eastAsia="宋体" w:cs="宋体"/>
          <w:b w:val="0"/>
          <w:color w:val="auto"/>
          <w:sz w:val="30"/>
          <w:szCs w:val="30"/>
          <w:highlight w:val="none"/>
          <w:lang w:val="en-US" w:eastAsia="zh-CN"/>
        </w:rPr>
        <w:t>1</w:t>
      </w:r>
      <w:r>
        <w:rPr>
          <w:rFonts w:hint="eastAsia" w:ascii="宋体" w:hAnsi="宋体" w:eastAsia="宋体" w:cs="宋体"/>
          <w:b w:val="0"/>
          <w:color w:val="auto"/>
          <w:sz w:val="30"/>
          <w:szCs w:val="30"/>
          <w:highlight w:val="none"/>
        </w:rPr>
        <w:t>. 签订合同</w:t>
      </w:r>
    </w:p>
    <w:p>
      <w:pPr>
        <w:snapToGrid w:val="0"/>
        <w:spacing w:line="480" w:lineRule="exact"/>
        <w:ind w:left="0" w:leftChars="0" w:firstLine="333" w:firstLineChars="13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sz w:val="24"/>
          <w:szCs w:val="24"/>
          <w:highlight w:val="none"/>
        </w:rPr>
        <w:t>.l中标人应当在中标通知书发出之日起三十日内，按照招标文件确定的事项与采购人签订政府采购合同。</w:t>
      </w:r>
    </w:p>
    <w:p>
      <w:pPr>
        <w:snapToGrid w:val="0"/>
        <w:spacing w:line="480" w:lineRule="exact"/>
        <w:ind w:left="0" w:leftChars="0" w:firstLine="333" w:firstLineChars="1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招标文件、中标人的投标文件及招标过程中有关澄清、承诺文件均应作为合同附件。</w:t>
      </w:r>
    </w:p>
    <w:p>
      <w:pPr>
        <w:snapToGrid w:val="0"/>
        <w:spacing w:line="480" w:lineRule="exact"/>
        <w:ind w:left="0" w:leftChars="0" w:firstLine="333" w:firstLineChars="1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签订合同后，</w:t>
      </w:r>
      <w:r>
        <w:rPr>
          <w:rFonts w:hint="eastAsia" w:ascii="宋体" w:hAnsi="宋体" w:eastAsia="宋体" w:cs="宋体"/>
          <w:i/>
          <w:color w:val="auto"/>
          <w:sz w:val="24"/>
          <w:szCs w:val="24"/>
          <w:highlight w:val="none"/>
          <w:u w:val="single"/>
        </w:rPr>
        <w:t>中标人不得将货物及其他相关服务进行转包</w:t>
      </w:r>
      <w:r>
        <w:rPr>
          <w:rFonts w:hint="eastAsia" w:ascii="宋体" w:hAnsi="宋体" w:eastAsia="宋体" w:cs="宋体"/>
          <w:color w:val="auto"/>
          <w:sz w:val="24"/>
          <w:szCs w:val="24"/>
          <w:highlight w:val="none"/>
        </w:rPr>
        <w:t>。未经采购人同意，中标人也不得采用分包的形式履行合同，否则采购人有权终止合同。转包或分包造成采购人损失的，中标人应承担相应赔偿责任。</w:t>
      </w:r>
    </w:p>
    <w:p>
      <w:pPr>
        <w:pStyle w:val="5"/>
        <w:ind w:left="0" w:leftChars="0" w:firstLine="416" w:firstLineChars="139"/>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3</w:t>
      </w:r>
      <w:r>
        <w:rPr>
          <w:rFonts w:hint="eastAsia" w:ascii="宋体" w:hAnsi="宋体" w:eastAsia="宋体" w:cs="宋体"/>
          <w:b w:val="0"/>
          <w:color w:val="auto"/>
          <w:sz w:val="30"/>
          <w:szCs w:val="30"/>
          <w:highlight w:val="none"/>
          <w:lang w:val="en-US" w:eastAsia="zh-CN"/>
        </w:rPr>
        <w:t>2</w:t>
      </w:r>
      <w:r>
        <w:rPr>
          <w:rFonts w:hint="eastAsia" w:ascii="宋体" w:hAnsi="宋体" w:eastAsia="宋体" w:cs="宋体"/>
          <w:b w:val="0"/>
          <w:color w:val="auto"/>
          <w:sz w:val="30"/>
          <w:szCs w:val="30"/>
          <w:highlight w:val="none"/>
        </w:rPr>
        <w:t>、货物和服务的追加、减少和添购。</w:t>
      </w:r>
    </w:p>
    <w:p>
      <w:pPr>
        <w:spacing w:line="480" w:lineRule="exact"/>
        <w:ind w:left="0" w:leftChars="0" w:firstLine="333" w:firstLineChars="1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spacing w:line="480" w:lineRule="exact"/>
        <w:ind w:left="0" w:leftChars="0" w:firstLine="333" w:firstLineChars="1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rPr>
          <w:rFonts w:hint="eastAsia" w:ascii="宋体" w:hAnsi="宋体" w:eastAsia="宋体" w:cs="宋体"/>
          <w:color w:val="auto"/>
          <w:highlight w:val="none"/>
        </w:rPr>
      </w:pPr>
    </w:p>
    <w:p>
      <w:pPr>
        <w:spacing w:line="500" w:lineRule="exact"/>
        <w:ind w:firstLine="555"/>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80" w:name="_Toc534816635"/>
      <w:bookmarkStart w:id="181" w:name="_Toc534725606"/>
      <w:r>
        <w:rPr>
          <w:rStyle w:val="20"/>
          <w:rFonts w:hint="eastAsia"/>
          <w:color w:val="auto"/>
          <w:highlight w:val="none"/>
        </w:rPr>
        <w:t>第三章  合同</w:t>
      </w:r>
      <w:bookmarkEnd w:id="22"/>
      <w:bookmarkEnd w:id="23"/>
      <w:bookmarkEnd w:id="24"/>
      <w:bookmarkEnd w:id="25"/>
      <w:bookmarkEnd w:id="26"/>
      <w:r>
        <w:rPr>
          <w:rStyle w:val="20"/>
          <w:rFonts w:hint="eastAsia"/>
          <w:color w:val="auto"/>
          <w:highlight w:val="none"/>
        </w:rPr>
        <w:t>文本</w:t>
      </w:r>
      <w:bookmarkEnd w:id="27"/>
      <w:bookmarkEnd w:id="180"/>
      <w:bookmarkEnd w:id="181"/>
    </w:p>
    <w:p>
      <w:pPr>
        <w:spacing w:line="500" w:lineRule="exact"/>
        <w:ind w:firstLine="480" w:firstLineChars="200"/>
        <w:rPr>
          <w:rFonts w:hint="eastAsia" w:ascii="宋体" w:hAnsi="宋体" w:eastAsia="宋体" w:cs="宋体"/>
          <w:bCs/>
          <w:color w:val="auto"/>
          <w:sz w:val="24"/>
          <w:highlight w:val="none"/>
        </w:rPr>
      </w:pPr>
      <w:bookmarkStart w:id="182" w:name="_Toc20823315"/>
      <w:bookmarkStart w:id="183" w:name="_Toc16938559"/>
      <w:bookmarkStart w:id="184" w:name="_Toc513029243"/>
      <w:r>
        <w:rPr>
          <w:rFonts w:hint="eastAsia" w:ascii="宋体" w:hAnsi="宋体" w:eastAsia="宋体" w:cs="宋体"/>
          <w:bCs/>
          <w:color w:val="auto"/>
          <w:sz w:val="24"/>
          <w:highlight w:val="none"/>
        </w:rPr>
        <w:t>以下为中标后签定本项目合同的通用条款，中标人不得提出实质性的修改，关于专用条款将由采购人与中标人结合本项目具体情况协商后签订。</w:t>
      </w:r>
    </w:p>
    <w:p>
      <w:pPr>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新疆维吾尔自治区政府采购合同（合同编号）</w:t>
      </w:r>
    </w:p>
    <w:p>
      <w:pPr>
        <w:pStyle w:val="10"/>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项目编号：</w:t>
      </w:r>
    </w:p>
    <w:p>
      <w:pPr>
        <w:pStyle w:val="10"/>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甲方：（买方）_________</w:t>
      </w:r>
    </w:p>
    <w:p>
      <w:pPr>
        <w:pStyle w:val="10"/>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乙方：（卖方）_________</w:t>
      </w:r>
    </w:p>
    <w:p>
      <w:pPr>
        <w:pStyle w:val="10"/>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甲、乙双方根据新疆维吾尔自治区政务服务和公共资源交易中心</w:t>
      </w:r>
      <w:r>
        <w:rPr>
          <w:rFonts w:hint="eastAsia" w:ascii="宋体" w:hAnsi="宋体" w:eastAsia="宋体" w:cs="宋体"/>
          <w:color w:val="auto"/>
          <w:sz w:val="24"/>
          <w:szCs w:val="24"/>
          <w:highlight w:val="none"/>
          <w:u w:val="single"/>
        </w:rPr>
        <w:t xml:space="preserve">                          组织的                                   </w:t>
      </w:r>
      <w:r>
        <w:rPr>
          <w:rFonts w:hint="eastAsia" w:ascii="宋体" w:hAnsi="宋体" w:eastAsia="宋体" w:cs="宋体"/>
          <w:color w:val="auto"/>
          <w:sz w:val="24"/>
          <w:szCs w:val="24"/>
          <w:highlight w:val="none"/>
        </w:rPr>
        <w:t>项目公开招标的结果，签署本合同。</w:t>
      </w:r>
    </w:p>
    <w:p>
      <w:pPr>
        <w:pStyle w:val="10"/>
        <w:snapToGrid w:val="0"/>
        <w:spacing w:before="120" w:after="12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一、产品内容</w:t>
      </w:r>
    </w:p>
    <w:p>
      <w:pPr>
        <w:pStyle w:val="10"/>
        <w:snapToGrid w:val="0"/>
        <w:spacing w:before="120" w:after="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产品名称：</w:t>
      </w:r>
    </w:p>
    <w:p>
      <w:pPr>
        <w:pStyle w:val="10"/>
        <w:snapToGrid w:val="0"/>
        <w:spacing w:before="120" w:after="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型号规格：</w:t>
      </w:r>
    </w:p>
    <w:p>
      <w:pPr>
        <w:pStyle w:val="10"/>
        <w:snapToGrid w:val="0"/>
        <w:spacing w:before="120" w:after="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数量（单位）：</w:t>
      </w:r>
    </w:p>
    <w:p>
      <w:pPr>
        <w:pStyle w:val="10"/>
        <w:snapToGrid w:val="0"/>
        <w:spacing w:before="120" w:after="12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pPr>
        <w:pStyle w:val="10"/>
        <w:snapToGrid w:val="0"/>
        <w:spacing w:before="120" w:after="120"/>
        <w:ind w:left="479" w:leftChars="228" w:firstLine="69" w:firstLineChars="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本合同金额为（大写）：____________________________________圆（_______________元）人民币或其他币种。</w:t>
      </w:r>
    </w:p>
    <w:p>
      <w:pPr>
        <w:pStyle w:val="10"/>
        <w:snapToGrid w:val="0"/>
        <w:spacing w:before="120" w:after="12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pPr>
        <w:pStyle w:val="10"/>
        <w:snapToGrid w:val="0"/>
        <w:spacing w:before="120" w:after="120"/>
        <w:ind w:left="479" w:leftChars="228" w:firstLine="69" w:firstLineChars="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3.1乙方应按招标文件规定的时间向甲方提供使用货物的有关技术资料。</w:t>
      </w:r>
    </w:p>
    <w:p>
      <w:pPr>
        <w:pStyle w:val="10"/>
        <w:snapToGrid w:val="0"/>
        <w:spacing w:before="120" w:after="120"/>
        <w:ind w:left="479" w:leftChars="228" w:firstLine="69" w:firstLineChars="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20" w:after="120"/>
        <w:ind w:left="479" w:leftChars="228" w:firstLine="70" w:firstLineChars="2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4.1乙</w:t>
      </w:r>
      <w:r>
        <w:rPr>
          <w:rFonts w:hint="eastAsia" w:ascii="宋体" w:hAnsi="宋体" w:eastAsia="宋体" w:cs="宋体"/>
          <w:color w:val="auto"/>
          <w:sz w:val="24"/>
          <w:highlight w:val="none"/>
        </w:rPr>
        <w:t>方应保证甲方在使用、接受本合同货物和服务或其任何一部分时不受第三方提出侵犯其专利权、版权、商标权和工业设计权等知识产权的起诉。一旦出现侵权，由乙方负全部责任。</w:t>
      </w:r>
    </w:p>
    <w:p>
      <w:pPr>
        <w:pStyle w:val="10"/>
        <w:snapToGrid w:val="0"/>
        <w:spacing w:before="120" w:after="120"/>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五、产权担保</w:t>
      </w:r>
    </w:p>
    <w:p>
      <w:pPr>
        <w:pStyle w:val="10"/>
        <w:snapToGrid w:val="0"/>
        <w:spacing w:before="120" w:after="120"/>
        <w:ind w:left="479" w:leftChars="228" w:firstLine="72" w:firstLineChars="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 乙方保证所交付的产品的所有权完全属于乙方且无任何抵押、查封等产权瑕疵。</w:t>
      </w:r>
    </w:p>
    <w:p>
      <w:pPr>
        <w:snapToGrid w:val="0"/>
        <w:spacing w:beforeLines="50" w:afterLines="5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、转包或分包</w:t>
      </w:r>
    </w:p>
    <w:p>
      <w:pPr>
        <w:snapToGrid w:val="0"/>
        <w:spacing w:beforeLines="50" w:after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.1本合同范围的产品，应由乙方直接供应，不得转让他人供应；</w:t>
      </w:r>
    </w:p>
    <w:p>
      <w:pPr>
        <w:snapToGrid w:val="0"/>
        <w:spacing w:beforeLines="50" w:after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除非得到甲方的书面同意，乙方不得部分分包给他人供应。</w:t>
      </w:r>
    </w:p>
    <w:p>
      <w:pPr>
        <w:snapToGrid w:val="0"/>
        <w:spacing w:beforeLines="50" w:after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.3如有转让和未经甲方同意的分包行为，甲方有权给予终止合同。</w:t>
      </w:r>
    </w:p>
    <w:p>
      <w:pPr>
        <w:pStyle w:val="10"/>
        <w:snapToGrid w:val="0"/>
        <w:spacing w:before="120" w:after="120"/>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、质保期</w:t>
      </w:r>
    </w:p>
    <w:p>
      <w:pPr>
        <w:pStyle w:val="10"/>
        <w:snapToGrid w:val="0"/>
        <w:spacing w:before="120" w:after="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年。（自交货验收合格之日起计）</w:t>
      </w:r>
    </w:p>
    <w:p>
      <w:pPr>
        <w:pStyle w:val="10"/>
        <w:snapToGrid w:val="0"/>
        <w:spacing w:before="120" w:after="12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、交货期、交货方式及交货地点</w:t>
      </w:r>
    </w:p>
    <w:p>
      <w:pPr>
        <w:pStyle w:val="10"/>
        <w:snapToGrid w:val="0"/>
        <w:spacing w:before="120" w:after="120"/>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 交货期：</w:t>
      </w:r>
      <w:r>
        <w:rPr>
          <w:rFonts w:hint="eastAsia" w:ascii="宋体" w:hAnsi="宋体" w:eastAsia="宋体" w:cs="宋体"/>
          <w:color w:val="auto"/>
          <w:sz w:val="24"/>
          <w:szCs w:val="24"/>
          <w:highlight w:val="none"/>
        </w:rPr>
        <w:t>__</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____</w:t>
      </w:r>
    </w:p>
    <w:p>
      <w:pPr>
        <w:pStyle w:val="10"/>
        <w:snapToGrid w:val="0"/>
        <w:spacing w:before="120" w:after="120"/>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 交货方式：</w:t>
      </w:r>
      <w:r>
        <w:rPr>
          <w:rFonts w:hint="eastAsia" w:ascii="宋体" w:hAnsi="宋体" w:eastAsia="宋体" w:cs="宋体"/>
          <w:color w:val="auto"/>
          <w:sz w:val="24"/>
          <w:szCs w:val="24"/>
          <w:highlight w:val="none"/>
        </w:rPr>
        <w:t>___________</w:t>
      </w:r>
    </w:p>
    <w:p>
      <w:pPr>
        <w:pStyle w:val="10"/>
        <w:snapToGrid w:val="0"/>
        <w:spacing w:before="120" w:after="120"/>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 交货地点：</w:t>
      </w:r>
      <w:r>
        <w:rPr>
          <w:rFonts w:hint="eastAsia" w:ascii="宋体" w:hAnsi="宋体" w:eastAsia="宋体" w:cs="宋体"/>
          <w:color w:val="auto"/>
          <w:sz w:val="24"/>
          <w:szCs w:val="24"/>
          <w:highlight w:val="none"/>
        </w:rPr>
        <w:t>__</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___</w:t>
      </w:r>
    </w:p>
    <w:p>
      <w:pPr>
        <w:pStyle w:val="10"/>
        <w:snapToGrid w:val="0"/>
        <w:spacing w:before="120" w:after="120"/>
        <w:ind w:left="0" w:leftChars="0" w:firstLine="422" w:firstLineChars="175"/>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、货款支付</w:t>
      </w:r>
    </w:p>
    <w:p>
      <w:pPr>
        <w:pStyle w:val="10"/>
        <w:snapToGrid w:val="0"/>
        <w:spacing w:before="120" w:after="120"/>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.1 采购资金的支付方式、时间及条件：</w:t>
      </w:r>
      <w:r>
        <w:rPr>
          <w:rFonts w:hint="eastAsia" w:ascii="宋体" w:hAnsi="宋体" w:eastAsia="宋体" w:cs="宋体"/>
          <w:color w:val="auto"/>
          <w:sz w:val="24"/>
          <w:szCs w:val="24"/>
          <w:highlight w:val="none"/>
        </w:rPr>
        <w:t>_________</w:t>
      </w:r>
    </w:p>
    <w:p>
      <w:pPr>
        <w:pStyle w:val="10"/>
        <w:snapToGrid w:val="0"/>
        <w:spacing w:before="120" w:after="120"/>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当采购数量与实际使用数量不一致时，乙方应根据实际使用量供货，合同的最终结算金额按实际使用量乘以成交单价进行计算。</w:t>
      </w:r>
    </w:p>
    <w:p>
      <w:pPr>
        <w:snapToGrid w:val="0"/>
        <w:spacing w:beforeLines="50" w:afterLines="50"/>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pPr>
        <w:snapToGrid w:val="0"/>
        <w:spacing w:beforeLines="50" w:afterLines="5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.1本合同执行中相关的一切税费均由乙方负担。</w:t>
      </w:r>
    </w:p>
    <w:p>
      <w:pPr>
        <w:pStyle w:val="10"/>
        <w:snapToGrid w:val="0"/>
        <w:spacing w:before="120" w:after="120"/>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、质量保证及售后服务</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乙方应按招标文件规定的货物性能、技术要求、质量标准向甲方提供未经使用的全新产品。</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乙方提供的货物在质保期内因产品本身的质量问题发生故障，乙方应负责免费更换。对达不到技术要求者，根据实际情况，经双方协商，可按以下办法处理：</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⑶退货处理：乙方应退还甲方支付的合同款，同时应承担该产品的直接费用（运输、保险、检验、货款利息及银行手续费等）。</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如在使用过程中发生质量问题，乙方在接到甲方通知后在_____小时内到达甲方现场。</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在质保期内，乙方应对产品出现的质量及安全问题负责处理解决并承担一切费用。</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.5上述的产品的免费保修期为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年，因人为因素出现的故障不在免费保修范围内。超过保修期后，终生维修，维修时只收部件成本费。</w:t>
      </w:r>
    </w:p>
    <w:p>
      <w:pPr>
        <w:pStyle w:val="10"/>
        <w:snapToGrid w:val="0"/>
        <w:spacing w:before="120" w:after="120"/>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、调试和验收</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乙方交货前应对产品作出全面检查和对验收文件进行整理，并列出清单，作为甲方收货验收和使用的技术条件依据，检验的结果应随货物交甲方。</w:t>
      </w:r>
    </w:p>
    <w:p>
      <w:pPr>
        <w:pStyle w:val="10"/>
        <w:snapToGrid w:val="0"/>
        <w:spacing w:before="120" w:after="120"/>
        <w:ind w:left="0" w:leftChars="0" w:firstLine="420" w:firstLineChars="1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甲方对乙方提供的货物在使用前进行调试时，乙方需负责安装并培训甲方的使用操作人员，并协助甲方一起调试，直到符合技术要求，甲方才做最终验收。</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对技术复杂的货物，甲方可请国家认可的专业检测机构参与初步验收及最终验收，并由其出具质量检测报告。</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验收时乙方必须在现场，验收完毕后作出验收结果报告；验收费用由甲乙双方协商解决。</w:t>
      </w:r>
    </w:p>
    <w:p>
      <w:pPr>
        <w:pStyle w:val="10"/>
        <w:snapToGrid w:val="0"/>
        <w:spacing w:before="120" w:after="120"/>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、产品包装、发运及运输</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乙方应在产品发运前对其进行满足运输距离、防潮、防震、防锈和防破损装卸等要求包装，以保证产品安全运达甲方指定地点。</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使用说明书、质量检验证明书、随配附件和工具以及清单一并附于产品内。</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乙方在产品发运手续办理完毕后24小时内或货到甲方48小时前通知甲方，以准备接货。</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产品在交付甲方前发生的风险均由乙方负责。</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 产品在规定的交付期限内由乙方送达甲方指定的地点视为交付，乙方同时需通知甲方产品已送达。</w:t>
      </w:r>
    </w:p>
    <w:p>
      <w:pPr>
        <w:pStyle w:val="10"/>
        <w:snapToGrid w:val="0"/>
        <w:spacing w:before="120" w:after="120"/>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、违约责任</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甲方无正当理由拒收产品的，甲方向乙方偿付拒收货款总值的百分之五违约金。</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甲方无故逾期验收和办理货款支付手续的,甲方应按逾期付款总额每日万分之五向乙方支付违约金。</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 乙方所交的货物品种、型号、规格、技术参数、质量不符合合同规定及招标文件规定标准的，甲方有权拒收该货物，乙方愿意更换货物但逾期交货的，按乙方逾期交货处理。乙方拒绝更换产品的，甲方可单方面解除合同。</w:t>
      </w:r>
    </w:p>
    <w:p>
      <w:pPr>
        <w:pStyle w:val="10"/>
        <w:snapToGrid w:val="0"/>
        <w:spacing w:before="120" w:after="120"/>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、不可抗力事件处理</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在合同有效期内，任何一方因不可抗力事件导致不能履行合同，则合同履行期可延长，其延长期与不可抗力影响期相同。</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不可抗力事件发生后，应立即通知对方，并寄送有关权威机构出具的证明。</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不可抗力事件延续120天以上，双方应通过友好协商，确定是否继续履行合同。</w:t>
      </w:r>
    </w:p>
    <w:p>
      <w:pPr>
        <w:pStyle w:val="10"/>
        <w:snapToGrid w:val="0"/>
        <w:spacing w:before="120" w:after="120"/>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、诉讼</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双方在执行合同中所发生的一切争议，应通过协商解决。如协商不成，可向合同签订地法院起诉，合同签订地在此约定为</w:t>
      </w:r>
      <w:r>
        <w:rPr>
          <w:rFonts w:hint="eastAsia" w:ascii="宋体" w:hAnsi="宋体" w:eastAsia="宋体" w:cs="宋体"/>
          <w:color w:val="auto"/>
          <w:sz w:val="24"/>
          <w:szCs w:val="24"/>
          <w:highlight w:val="none"/>
          <w:u w:val="single"/>
        </w:rPr>
        <w:t>乌鲁木齐市</w:t>
      </w:r>
      <w:r>
        <w:rPr>
          <w:rFonts w:hint="eastAsia" w:ascii="宋体" w:hAnsi="宋体" w:eastAsia="宋体" w:cs="宋体"/>
          <w:color w:val="auto"/>
          <w:sz w:val="24"/>
          <w:szCs w:val="24"/>
          <w:highlight w:val="none"/>
        </w:rPr>
        <w:t>。</w:t>
      </w:r>
    </w:p>
    <w:p>
      <w:pPr>
        <w:pStyle w:val="10"/>
        <w:snapToGrid w:val="0"/>
        <w:spacing w:before="120" w:after="120"/>
        <w:ind w:left="0" w:leftChars="0" w:firstLine="422" w:firstLineChars="17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、合同生效及其它</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.1合同经双方法定代表人或授权委托代表人签字并加盖单位公章后生效。</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.2本合同未尽事宜，遵照</w:t>
      </w:r>
      <w:r>
        <w:rPr>
          <w:rFonts w:hint="eastAsia"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有关条文执行。</w:t>
      </w:r>
    </w:p>
    <w:p>
      <w:pPr>
        <w:pStyle w:val="10"/>
        <w:snapToGrid w:val="0"/>
        <w:spacing w:before="120" w:after="120"/>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.3本合同正本一式三份，具有同等法律效力，甲方、乙方及财政监管部门各执一份。</w:t>
      </w:r>
    </w:p>
    <w:p>
      <w:pPr>
        <w:pStyle w:val="10"/>
        <w:snapToGrid w:val="0"/>
        <w:spacing w:before="120" w:after="120"/>
        <w:ind w:left="480" w:hanging="480" w:hangingChars="200"/>
        <w:rPr>
          <w:rFonts w:hint="eastAsia" w:ascii="宋体" w:hAnsi="宋体" w:eastAsia="宋体" w:cs="宋体"/>
          <w:color w:val="auto"/>
          <w:sz w:val="24"/>
          <w:szCs w:val="24"/>
          <w:highlight w:val="none"/>
        </w:rPr>
      </w:pPr>
    </w:p>
    <w:p>
      <w:pPr>
        <w:pStyle w:val="10"/>
        <w:snapToGrid w:val="0"/>
        <w:spacing w:before="120" w:after="120" w:line="0" w:lineRule="atLeas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                        乙方： </w:t>
      </w:r>
    </w:p>
    <w:p>
      <w:pPr>
        <w:pStyle w:val="10"/>
        <w:snapToGrid w:val="0"/>
        <w:spacing w:before="120" w:after="120"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pPr>
        <w:pStyle w:val="10"/>
        <w:snapToGrid w:val="0"/>
        <w:spacing w:before="120" w:after="120"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法定代表人或授权代表：        法定代表人或授权代表：</w:t>
      </w:r>
    </w:p>
    <w:p>
      <w:pPr>
        <w:pStyle w:val="10"/>
        <w:snapToGrid w:val="0"/>
        <w:spacing w:before="120" w:after="120"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                    联系电话：          </w:t>
      </w:r>
    </w:p>
    <w:p>
      <w:pPr>
        <w:pStyle w:val="10"/>
        <w:snapToGrid w:val="0"/>
        <w:spacing w:before="120" w:after="120" w:line="0" w:lineRule="atLeast"/>
        <w:jc w:val="center"/>
        <w:rPr>
          <w:rFonts w:hint="eastAsia" w:ascii="宋体" w:hAnsi="宋体" w:eastAsia="宋体" w:cs="宋体"/>
          <w:color w:val="auto"/>
          <w:sz w:val="24"/>
          <w:szCs w:val="24"/>
          <w:highlight w:val="none"/>
        </w:rPr>
      </w:pPr>
    </w:p>
    <w:p>
      <w:pPr>
        <w:pStyle w:val="10"/>
        <w:snapToGrid w:val="0"/>
        <w:spacing w:before="120" w:after="120" w:line="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签订日期：      年  月  日</w:t>
      </w:r>
      <w:bookmarkEnd w:id="182"/>
      <w:bookmarkEnd w:id="183"/>
      <w:bookmarkEnd w:id="184"/>
      <w:bookmarkStart w:id="185" w:name="_Hlt16619369"/>
      <w:bookmarkEnd w:id="185"/>
      <w:bookmarkStart w:id="186" w:name="_Hlt16619350"/>
      <w:bookmarkStart w:id="187" w:name="_Toc120614244"/>
      <w:bookmarkStart w:id="188" w:name="_Toc20823346"/>
      <w:bookmarkStart w:id="189" w:name="_Toc16938590"/>
      <w:bookmarkStart w:id="190" w:name="_Toc462564139"/>
      <w:bookmarkStart w:id="191" w:name="_Toc479757211"/>
    </w:p>
    <w:p>
      <w:pPr>
        <w:pStyle w:val="10"/>
        <w:snapToGrid w:val="0"/>
        <w:spacing w:before="120" w:after="120" w:line="0" w:lineRule="atLeast"/>
        <w:jc w:val="center"/>
        <w:rPr>
          <w:rFonts w:hint="eastAsia" w:ascii="宋体" w:hAnsi="宋体" w:eastAsia="宋体" w:cs="宋体"/>
          <w:color w:val="auto"/>
          <w:highlight w:val="none"/>
        </w:rPr>
      </w:pPr>
    </w:p>
    <w:p>
      <w:pPr>
        <w:pStyle w:val="10"/>
        <w:snapToGrid w:val="0"/>
        <w:spacing w:before="120" w:after="120" w:line="0" w:lineRule="atLeast"/>
        <w:jc w:val="center"/>
        <w:rPr>
          <w:rFonts w:hint="eastAsia" w:ascii="宋体" w:hAnsi="宋体" w:eastAsia="宋体" w:cs="宋体"/>
          <w:bCs/>
          <w:color w:val="auto"/>
          <w:sz w:val="44"/>
          <w:highlight w:val="none"/>
        </w:rPr>
        <w:sectPr>
          <w:footerReference r:id="rId3" w:type="default"/>
          <w:pgSz w:w="11906" w:h="16838"/>
          <w:pgMar w:top="1418" w:right="1588" w:bottom="1418" w:left="1365" w:header="851" w:footer="907" w:gutter="0"/>
          <w:cols w:space="720" w:num="1"/>
          <w:titlePg/>
          <w:rtlGutter w:val="0"/>
          <w:docGrid w:type="lines" w:linePitch="290" w:charSpace="0"/>
        </w:sectPr>
      </w:pPr>
    </w:p>
    <w:p>
      <w:pPr>
        <w:pStyle w:val="3"/>
        <w:rPr>
          <w:rFonts w:hint="eastAsia" w:ascii="宋体" w:hAnsi="宋体" w:eastAsia="宋体" w:cs="宋体"/>
          <w:color w:val="auto"/>
          <w:highlight w:val="none"/>
        </w:rPr>
      </w:pPr>
      <w:bookmarkStart w:id="192" w:name="_Toc534816636"/>
      <w:bookmarkStart w:id="193" w:name="_Toc534725607"/>
      <w:bookmarkStart w:id="194" w:name="_Toc494375080"/>
      <w:r>
        <w:rPr>
          <w:rFonts w:hint="eastAsia" w:ascii="宋体" w:hAnsi="宋体" w:eastAsia="宋体" w:cs="宋体"/>
          <w:color w:val="auto"/>
          <w:highlight w:val="none"/>
        </w:rPr>
        <w:t>第</w:t>
      </w:r>
      <w:bookmarkEnd w:id="186"/>
      <w:r>
        <w:rPr>
          <w:rFonts w:hint="eastAsia" w:ascii="宋体" w:hAnsi="宋体" w:eastAsia="宋体" w:cs="宋体"/>
          <w:color w:val="auto"/>
          <w:highlight w:val="none"/>
        </w:rPr>
        <w:t>四章  项目需求</w:t>
      </w:r>
      <w:bookmarkEnd w:id="187"/>
      <w:bookmarkEnd w:id="188"/>
      <w:bookmarkEnd w:id="189"/>
      <w:bookmarkEnd w:id="192"/>
      <w:bookmarkEnd w:id="193"/>
      <w:bookmarkEnd w:id="194"/>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lang w:val="en-US" w:eastAsia="zh-CN"/>
        </w:rPr>
      </w:pPr>
      <w:bookmarkStart w:id="195" w:name="_Toc26554093"/>
      <w:bookmarkStart w:id="196" w:name="_Toc49090575"/>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bookmarkStart w:id="197" w:name="_Toc534816637"/>
      <w:bookmarkStart w:id="198" w:name="_Toc534725608"/>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技术需求</w:t>
      </w:r>
      <w:bookmarkEnd w:id="197"/>
      <w:bookmarkEnd w:id="198"/>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）项目概述及需求</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详见需求清单</w:t>
      </w:r>
      <w:r>
        <w:rPr>
          <w:rFonts w:hint="eastAsia" w:ascii="宋体" w:hAnsi="宋体" w:eastAsia="宋体" w:cs="宋体"/>
          <w:color w:val="auto"/>
          <w:sz w:val="24"/>
          <w:szCs w:val="24"/>
          <w:highlight w:val="none"/>
        </w:rPr>
        <w:t>）</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）项目技术规格及要求</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详见需求清单</w:t>
      </w:r>
      <w:r>
        <w:rPr>
          <w:rFonts w:hint="eastAsia" w:ascii="宋体" w:hAnsi="宋体" w:eastAsia="宋体" w:cs="宋体"/>
          <w:color w:val="auto"/>
          <w:sz w:val="24"/>
          <w:szCs w:val="24"/>
          <w:highlight w:val="none"/>
        </w:rPr>
        <w:t>）</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lang w:val="en-US" w:eastAsia="zh-CN"/>
        </w:rPr>
      </w:pPr>
      <w:bookmarkStart w:id="199" w:name="_Toc534725609"/>
      <w:bookmarkStart w:id="200" w:name="_Toc534816638"/>
      <w:r>
        <w:rPr>
          <w:rFonts w:hint="eastAsia" w:ascii="宋体" w:hAnsi="宋体" w:eastAsia="宋体" w:cs="宋体"/>
          <w:color w:val="auto"/>
          <w:sz w:val="24"/>
          <w:szCs w:val="24"/>
          <w:highlight w:val="none"/>
          <w:lang w:val="en-US" w:eastAsia="zh-CN"/>
        </w:rPr>
        <w:t>二、商务条款</w:t>
      </w:r>
      <w:bookmarkEnd w:id="199"/>
      <w:bookmarkEnd w:id="200"/>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w:t>
      </w:r>
      <w:r>
        <w:rPr>
          <w:rFonts w:hint="eastAsia"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验收合格之日起质保10年。（免费质保期/</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自通过甲方验收合格之日起计</w:t>
      </w:r>
      <w:r>
        <w:rPr>
          <w:rFonts w:hint="eastAsia" w:hAnsi="宋体" w:eastAsia="宋体" w:cs="宋体"/>
          <w:color w:val="auto"/>
          <w:sz w:val="24"/>
          <w:szCs w:val="24"/>
          <w:highlight w:val="none"/>
          <w:lang w:eastAsia="zh-CN"/>
        </w:rPr>
        <w:t>【通过甲方验收合格</w:t>
      </w:r>
      <w:r>
        <w:rPr>
          <w:rFonts w:hint="eastAsia" w:hAnsi="宋体" w:eastAsia="宋体" w:cs="宋体"/>
          <w:color w:val="auto"/>
          <w:sz w:val="24"/>
          <w:szCs w:val="24"/>
          <w:highlight w:val="none"/>
          <w:lang w:val="en-US" w:eastAsia="zh-CN"/>
        </w:rPr>
        <w:t>为甲方出具书面验收意见后</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．交付期、交付方式及交付地点</w:t>
      </w:r>
    </w:p>
    <w:p>
      <w:pPr>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交付期：</w:t>
      </w:r>
      <w:r>
        <w:rPr>
          <w:rFonts w:hint="eastAsia" w:ascii="宋体" w:hAnsi="宋体" w:eastAsia="宋体" w:cs="宋体"/>
          <w:color w:val="auto"/>
          <w:sz w:val="24"/>
          <w:szCs w:val="24"/>
          <w:highlight w:val="none"/>
          <w:lang w:val="en-US" w:eastAsia="zh-CN"/>
        </w:rPr>
        <w:t>自合同签订之日起20日内完成交付.</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交付方式：采购人指定。</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交付地点：采购人指定。</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．货款支付</w:t>
      </w:r>
    </w:p>
    <w:p>
      <w:pPr>
        <w:pStyle w:val="10"/>
        <w:keepNext w:val="0"/>
        <w:keepLines w:val="0"/>
        <w:pageBreakBefore w:val="0"/>
        <w:widowControl w:val="0"/>
        <w:kinsoku/>
        <w:wordWrap/>
        <w:overflowPunct/>
        <w:topLinePunct w:val="0"/>
        <w:autoSpaceDE/>
        <w:autoSpaceDN/>
        <w:bidi w:val="0"/>
        <w:adjustRightInd/>
        <w:snapToGrid w:val="0"/>
        <w:ind w:left="0" w:leftChars="0" w:right="0" w:firstLine="480" w:firstLineChars="200"/>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kern w:val="2"/>
          <w:sz w:val="24"/>
          <w:szCs w:val="24"/>
          <w:highlight w:val="none"/>
          <w:u w:val="none"/>
          <w:lang w:val="en-US" w:eastAsia="zh-CN" w:bidi="ar-SA"/>
        </w:rPr>
        <w:t>付方式：货款支付</w:t>
      </w:r>
    </w:p>
    <w:p>
      <w:pPr>
        <w:pStyle w:val="10"/>
        <w:keepNext w:val="0"/>
        <w:keepLines w:val="0"/>
        <w:pageBreakBefore w:val="0"/>
        <w:widowControl w:val="0"/>
        <w:kinsoku/>
        <w:wordWrap/>
        <w:overflowPunct/>
        <w:topLinePunct w:val="0"/>
        <w:autoSpaceDE/>
        <w:autoSpaceDN/>
        <w:bidi w:val="0"/>
        <w:adjustRightInd/>
        <w:snapToGrid w:val="0"/>
        <w:ind w:left="0" w:leftChars="0" w:right="0" w:firstLine="480" w:firstLineChars="200"/>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第一次付款：签订合同后，支付合同金额的30%的预付款。</w:t>
      </w:r>
    </w:p>
    <w:p>
      <w:pPr>
        <w:pStyle w:val="10"/>
        <w:snapToGrid w:val="0"/>
        <w:spacing w:before="156" w:after="156"/>
        <w:ind w:left="0" w:leftChars="0" w:right="26"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bidi="ar-SA"/>
        </w:rPr>
        <w:t>第二次付款：乙方按照甲方要求交付所有货物并完成安装调试后，满足合同约定的验收条件，乙方提交全部验收材料，通过甲方组织的验收后，支付合同金额的70%。</w:t>
      </w:r>
      <w:r>
        <w:rPr>
          <w:rFonts w:hint="eastAsia" w:ascii="宋体" w:hAnsi="宋体" w:eastAsia="宋体" w:cs="宋体"/>
          <w:i/>
          <w:iCs/>
          <w:color w:val="auto"/>
          <w:kern w:val="2"/>
          <w:sz w:val="24"/>
          <w:szCs w:val="24"/>
          <w:highlight w:val="none"/>
          <w:u w:val="single"/>
          <w:lang w:val="en-US" w:eastAsia="zh-CN" w:bidi="ar-SA"/>
        </w:rPr>
        <w:br w:type="page"/>
      </w:r>
    </w:p>
    <w:p>
      <w:pPr>
        <w:pStyle w:val="10"/>
        <w:snapToGrid w:val="0"/>
        <w:spacing w:before="156" w:after="156"/>
        <w:ind w:left="0" w:leftChars="0" w:right="26" w:firstLine="420" w:firstLineChars="175"/>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具体以与甲方签订合同为准。</w:t>
      </w:r>
    </w:p>
    <w:p>
      <w:pPr>
        <w:pStyle w:val="10"/>
        <w:snapToGrid w:val="0"/>
        <w:spacing w:before="156" w:after="156"/>
        <w:ind w:left="0" w:leftChars="0" w:right="26" w:firstLine="420" w:firstLineChars="17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4、核心产品</w:t>
      </w:r>
    </w:p>
    <w:p>
      <w:pPr>
        <w:pStyle w:val="10"/>
        <w:snapToGrid w:val="0"/>
        <w:spacing w:before="156" w:after="156"/>
        <w:ind w:left="0" w:leftChars="0" w:right="26" w:firstLine="492" w:firstLineChars="175"/>
        <w:rPr>
          <w:rFonts w:hint="eastAsia" w:eastAsia="宋体"/>
          <w:b/>
          <w:bCs/>
          <w:color w:val="auto"/>
          <w:sz w:val="28"/>
          <w:szCs w:val="36"/>
          <w:highlight w:val="none"/>
          <w:lang w:val="en-US" w:eastAsia="zh-CN"/>
        </w:rPr>
      </w:pPr>
      <w:r>
        <w:rPr>
          <w:rFonts w:hint="eastAsia" w:eastAsia="宋体"/>
          <w:b/>
          <w:bCs/>
          <w:color w:val="auto"/>
          <w:sz w:val="28"/>
          <w:szCs w:val="36"/>
          <w:highlight w:val="none"/>
          <w:lang w:val="en-US" w:eastAsia="zh-CN"/>
        </w:rPr>
        <w:t>★本项目核心产品为：阶梯课桌椅。</w:t>
      </w:r>
    </w:p>
    <w:p>
      <w:pPr>
        <w:pStyle w:val="10"/>
        <w:snapToGrid w:val="0"/>
        <w:spacing w:before="156" w:after="156"/>
        <w:ind w:left="0" w:leftChars="0" w:right="26" w:firstLine="492" w:firstLineChars="175"/>
        <w:rPr>
          <w:rFonts w:hint="default" w:eastAsia="宋体"/>
          <w:b/>
          <w:bCs/>
          <w:color w:val="auto"/>
          <w:sz w:val="28"/>
          <w:szCs w:val="36"/>
          <w:highlight w:val="none"/>
          <w:lang w:val="en-US" w:eastAsia="zh-CN"/>
        </w:rPr>
      </w:pPr>
      <w:r>
        <w:rPr>
          <w:rFonts w:hint="default" w:eastAsia="宋体"/>
          <w:b/>
          <w:bCs/>
          <w:color w:val="auto"/>
          <w:sz w:val="28"/>
          <w:szCs w:val="36"/>
          <w:highlight w:val="none"/>
          <w:lang w:val="en-US" w:eastAsia="zh-CN"/>
        </w:rPr>
        <w:t>▲</w:t>
      </w:r>
      <w:r>
        <w:rPr>
          <w:rFonts w:hint="eastAsia" w:eastAsia="宋体"/>
          <w:b/>
          <w:bCs/>
          <w:color w:val="auto"/>
          <w:sz w:val="28"/>
          <w:szCs w:val="36"/>
          <w:highlight w:val="none"/>
          <w:lang w:val="en-US" w:eastAsia="zh-CN"/>
        </w:rPr>
        <w:t>为重要指标参数。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宋体" w:cs="Times New Roman"/>
          <w:b/>
          <w:bCs/>
          <w:color w:val="auto"/>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color w:val="auto"/>
          <w:sz w:val="32"/>
          <w:szCs w:val="32"/>
          <w:highlight w:val="none"/>
        </w:rPr>
      </w:pPr>
      <w:r>
        <w:rPr>
          <w:rFonts w:hint="eastAsia" w:ascii="Times New Roman" w:hAnsi="Times New Roman" w:eastAsia="宋体" w:cs="Times New Roman"/>
          <w:b/>
          <w:bCs/>
          <w:color w:val="auto"/>
          <w:sz w:val="28"/>
          <w:szCs w:val="36"/>
          <w:highlight w:val="none"/>
          <w:lang w:val="en-US" w:eastAsia="zh-CN"/>
        </w:rPr>
        <w:br w:type="page"/>
      </w:r>
      <w:r>
        <w:rPr>
          <w:rFonts w:hint="eastAsia" w:ascii="黑体" w:hAnsi="黑体" w:eastAsia="黑体" w:cs="黑体"/>
          <w:color w:val="auto"/>
          <w:sz w:val="32"/>
          <w:szCs w:val="32"/>
          <w:highlight w:val="none"/>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（一）招标内容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新疆财经大学（北校区）教学楼多媒体教室32间，每间多媒体教室需设置110-116座位</w:t>
      </w:r>
      <w:r>
        <w:rPr>
          <w:rFonts w:hint="eastAsia" w:ascii="仿宋_GB2312" w:hAnsi="仿宋_GB2312" w:eastAsia="仿宋_GB2312" w:cs="仿宋_GB2312"/>
          <w:color w:val="auto"/>
          <w:sz w:val="32"/>
          <w:szCs w:val="32"/>
          <w:highlight w:val="none"/>
          <w:lang w:val="en-US" w:eastAsia="zh-CN"/>
        </w:rPr>
        <w:t>和1个讲台</w:t>
      </w:r>
      <w:r>
        <w:rPr>
          <w:rFonts w:hint="eastAsia" w:ascii="仿宋_GB2312" w:hAnsi="仿宋_GB2312" w:eastAsia="仿宋_GB2312" w:cs="仿宋_GB2312"/>
          <w:color w:val="auto"/>
          <w:sz w:val="32"/>
          <w:szCs w:val="32"/>
          <w:highlight w:val="none"/>
        </w:rPr>
        <w:t>，经测算共需安装3520个座位</w:t>
      </w:r>
      <w:r>
        <w:rPr>
          <w:rFonts w:hint="eastAsia" w:ascii="仿宋_GB2312" w:hAnsi="仿宋_GB2312" w:eastAsia="仿宋_GB2312" w:cs="仿宋_GB2312"/>
          <w:color w:val="auto"/>
          <w:sz w:val="32"/>
          <w:szCs w:val="32"/>
          <w:highlight w:val="none"/>
          <w:lang w:val="en-US" w:eastAsia="zh-CN"/>
        </w:rPr>
        <w:t>及32个讲台</w:t>
      </w:r>
      <w:r>
        <w:rPr>
          <w:rFonts w:hint="eastAsia" w:ascii="仿宋_GB2312" w:hAnsi="仿宋_GB2312" w:eastAsia="仿宋_GB2312" w:cs="仿宋_GB2312"/>
          <w:color w:val="auto"/>
          <w:sz w:val="32"/>
          <w:szCs w:val="32"/>
          <w:highlight w:val="none"/>
        </w:rPr>
        <w:t>，采购项目总价为</w:t>
      </w:r>
      <w:r>
        <w:rPr>
          <w:rFonts w:hint="eastAsia" w:ascii="仿宋_GB2312" w:hAnsi="仿宋_GB2312" w:eastAsia="仿宋_GB2312" w:cs="仿宋_GB2312"/>
          <w:color w:val="auto"/>
          <w:sz w:val="32"/>
          <w:szCs w:val="32"/>
          <w:highlight w:val="none"/>
          <w:lang w:val="en-US" w:eastAsia="zh-CN"/>
        </w:rPr>
        <w:t>245.1</w:t>
      </w:r>
      <w:r>
        <w:rPr>
          <w:rFonts w:hint="eastAsia" w:ascii="仿宋_GB2312" w:hAnsi="仿宋_GB2312" w:eastAsia="仿宋_GB2312" w:cs="仿宋_GB2312"/>
          <w:color w:val="auto"/>
          <w:sz w:val="32"/>
          <w:szCs w:val="32"/>
          <w:highlight w:val="none"/>
        </w:rPr>
        <w:t>万元（包含运输安装及辅材等各项费用）。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二、采购内容与技术规格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val="en-US" w:eastAsia="zh-CN"/>
        </w:rPr>
        <w:t>多媒体教室桌椅</w:t>
      </w:r>
      <w:r>
        <w:rPr>
          <w:rFonts w:hint="eastAsia" w:ascii="楷体_GB2312" w:hAnsi="楷体_GB2312" w:eastAsia="楷体_GB2312" w:cs="楷体_GB2312"/>
          <w:color w:val="auto"/>
          <w:sz w:val="32"/>
          <w:szCs w:val="32"/>
          <w:highlight w:val="none"/>
        </w:rPr>
        <w:t>采购明细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.采购数量</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3520套（最终按32间教室实际安装数结算，每间110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116座）。</w:t>
      </w:r>
    </w:p>
    <w:p>
      <w:pPr>
        <w:pStyle w:val="8"/>
        <w:ind w:firstLine="640" w:firstLineChars="200"/>
        <w:rPr>
          <w:rFonts w:hint="eastAsia" w:ascii="楷体_GB2312" w:hAnsi="楷体_GB2312" w:eastAsia="楷体_GB2312" w:cs="楷体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多媒体教室讲台</w:t>
      </w:r>
      <w:r>
        <w:rPr>
          <w:rFonts w:hint="eastAsia" w:ascii="楷体_GB2312" w:hAnsi="楷体_GB2312" w:eastAsia="楷体_GB2312" w:cs="楷体_GB2312"/>
          <w:color w:val="auto"/>
          <w:sz w:val="32"/>
          <w:szCs w:val="32"/>
          <w:highlight w:val="none"/>
        </w:rPr>
        <w:t>采购明细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1.采购数量。</w:t>
      </w:r>
      <w:r>
        <w:rPr>
          <w:rFonts w:hint="eastAsia" w:ascii="仿宋_GB2312" w:hAnsi="仿宋_GB2312" w:eastAsia="仿宋_GB2312" w:cs="仿宋_GB2312"/>
          <w:color w:val="auto"/>
          <w:sz w:val="32"/>
          <w:szCs w:val="32"/>
          <w:highlight w:val="none"/>
          <w:lang w:val="en-US" w:eastAsia="zh-CN"/>
        </w:rPr>
        <w:t>32套（按照每间配套一个讲台结算）。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多媒体教室桌椅</w:t>
      </w:r>
      <w:r>
        <w:rPr>
          <w:rFonts w:hint="eastAsia" w:ascii="楷体_GB2312" w:hAnsi="楷体_GB2312" w:eastAsia="楷体_GB2312" w:cs="楷体_GB2312"/>
          <w:color w:val="auto"/>
          <w:sz w:val="32"/>
          <w:szCs w:val="32"/>
          <w:highlight w:val="none"/>
        </w:rPr>
        <w:t>材质与工艺要求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3.验收标准</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数量误差≤±1%，材质符合技术参数，并提供质量保证书材料，安装牢固无晃动，台面平整无划伤。</w:t>
      </w:r>
    </w:p>
    <w:p>
      <w:pPr>
        <w:pStyle w:val="8"/>
        <w:ind w:firstLine="643" w:firstLineChars="200"/>
        <w:rPr>
          <w:rFonts w:hint="default" w:eastAsia="仿宋_GB2312" w:cs="Times New Roman"/>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服务要求</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质量问题24小时响应，48小时到场维修，严重问题提供备用座椅（≥总量的1%）。质保期后提供有偿维修服务，配件供应≥停产后5年。</w:t>
      </w:r>
    </w:p>
    <w:p>
      <w:pPr>
        <w:jc w:val="both"/>
        <w:rPr>
          <w:rFonts w:hint="eastAsia" w:ascii="Times New Roman" w:hAnsi="Times New Roman" w:eastAsia="宋体" w:cs="Times New Roman"/>
          <w:b/>
          <w:bCs/>
          <w:color w:val="auto"/>
          <w:sz w:val="28"/>
          <w:szCs w:val="36"/>
          <w:highlight w:val="none"/>
          <w:lang w:val="en-US" w:eastAsia="zh-CN"/>
        </w:rPr>
      </w:pPr>
      <w:r>
        <w:rPr>
          <w:rFonts w:hint="eastAsia" w:ascii="Times New Roman" w:hAnsi="Times New Roman" w:eastAsia="宋体" w:cs="Times New Roman"/>
          <w:b/>
          <w:bCs/>
          <w:color w:val="auto"/>
          <w:sz w:val="28"/>
          <w:szCs w:val="36"/>
          <w:highlight w:val="none"/>
          <w:lang w:val="en-US" w:eastAsia="zh-CN"/>
        </w:rPr>
        <w:t>一、采购需求清单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1"/>
        <w:gridCol w:w="940"/>
        <w:gridCol w:w="11784"/>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 w:type="pct"/>
            <w:noWrap w:val="0"/>
            <w:vAlign w:val="center"/>
          </w:tcPr>
          <w:p>
            <w:pPr>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序号</w:t>
            </w:r>
          </w:p>
        </w:tc>
        <w:tc>
          <w:tcPr>
            <w:tcW w:w="282" w:type="pct"/>
            <w:noWrap w:val="0"/>
            <w:vAlign w:val="center"/>
          </w:tcPr>
          <w:p>
            <w:pPr>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标的名称</w:t>
            </w:r>
          </w:p>
        </w:tc>
        <w:tc>
          <w:tcPr>
            <w:tcW w:w="329" w:type="pct"/>
            <w:noWrap w:val="0"/>
            <w:vAlign w:val="center"/>
          </w:tcPr>
          <w:p>
            <w:pPr>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规格</w:t>
            </w:r>
          </w:p>
        </w:tc>
        <w:tc>
          <w:tcPr>
            <w:tcW w:w="3957" w:type="pct"/>
            <w:noWrap w:val="0"/>
            <w:vAlign w:val="center"/>
          </w:tcPr>
          <w:p>
            <w:pPr>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材质参数</w:t>
            </w:r>
          </w:p>
        </w:tc>
        <w:tc>
          <w:tcPr>
            <w:tcW w:w="292" w:type="pct"/>
            <w:noWrap w:val="0"/>
            <w:vAlign w:val="center"/>
          </w:tcPr>
          <w:p>
            <w:pPr>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 w:type="pct"/>
            <w:noWrap w:val="0"/>
            <w:vAlign w:val="center"/>
          </w:tcPr>
          <w:p>
            <w:pPr>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1</w:t>
            </w:r>
          </w:p>
        </w:tc>
        <w:tc>
          <w:tcPr>
            <w:tcW w:w="282" w:type="pct"/>
            <w:noWrap w:val="0"/>
            <w:vAlign w:val="center"/>
          </w:tcPr>
          <w:p>
            <w:pPr>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阶梯课桌椅</w:t>
            </w:r>
          </w:p>
          <w:p>
            <w:pPr>
              <w:jc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rPr>
              <w:t>★</w:t>
            </w:r>
          </w:p>
          <w:p>
            <w:pPr>
              <w:jc w:val="center"/>
              <w:rPr>
                <w:rFonts w:hint="eastAsia" w:ascii="Times New Roman" w:hAnsi="Times New Roman" w:eastAsia="宋体" w:cs="Times New Roman"/>
                <w:color w:val="auto"/>
                <w:highlight w:val="none"/>
                <w:u w:val="none"/>
                <w:vertAlign w:val="baseline"/>
                <w:lang w:val="en-US" w:eastAsia="zh-CN"/>
              </w:rPr>
            </w:pPr>
            <w:r>
              <w:rPr>
                <w:rFonts w:hint="eastAsia" w:ascii="Times New Roman" w:hAnsi="宋体" w:eastAsia="宋体" w:cs="仿宋_GB2312"/>
                <w:b/>
                <w:bCs/>
                <w:i w:val="0"/>
                <w:iCs w:val="0"/>
                <w:strike w:val="0"/>
                <w:dstrike w:val="0"/>
                <w:color w:val="auto"/>
                <w:kern w:val="0"/>
                <w:sz w:val="21"/>
                <w:szCs w:val="21"/>
                <w:highlight w:val="none"/>
                <w:u w:val="none"/>
                <w:lang w:val="en-US" w:eastAsia="zh-CN" w:bidi="ar"/>
              </w:rPr>
              <w:t>核心产品</w:t>
            </w:r>
          </w:p>
          <w:p>
            <w:pPr>
              <w:pStyle w:val="9"/>
              <w:rPr>
                <w:rFonts w:hint="default" w:cs="Times New Roman"/>
                <w:color w:val="auto"/>
                <w:highlight w:val="none"/>
                <w:lang w:val="en-US" w:eastAsia="zh-CN"/>
              </w:rPr>
            </w:pPr>
          </w:p>
        </w:tc>
        <w:tc>
          <w:tcPr>
            <w:tcW w:w="329" w:type="pct"/>
            <w:noWrap w:val="0"/>
            <w:vAlign w:val="center"/>
          </w:tcPr>
          <w:p>
            <w:pPr>
              <w:jc w:val="center"/>
              <w:rPr>
                <w:rFonts w:hint="default" w:ascii="Times New Roman" w:hAnsi="Times New Roman" w:eastAsia="宋体" w:cs="Times New Roman"/>
                <w:color w:val="auto"/>
                <w:highlight w:val="none"/>
                <w:vertAlign w:val="baseline"/>
                <w:lang w:val="en-US" w:eastAsia="zh-CN"/>
              </w:rPr>
            </w:pPr>
          </w:p>
        </w:tc>
        <w:tc>
          <w:tcPr>
            <w:tcW w:w="3957" w:type="pct"/>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1、其他规格：产品中心距为520±5mm，排距900±5mm，座高：450±5mm，台面板宽：350±5mm，台面板高：760±5mm。</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▲2、座板：采用</w:t>
            </w:r>
            <w:r>
              <w:rPr>
                <w:rFonts w:hint="eastAsia" w:ascii="Times New Roman" w:hAnsi="Times New Roman" w:eastAsia="宋体" w:cs="Times New Roman"/>
                <w:b w:val="0"/>
                <w:bCs w:val="0"/>
                <w:color w:val="auto"/>
                <w:highlight w:val="none"/>
                <w:vertAlign w:val="baseline"/>
                <w:lang w:val="en-US" w:eastAsia="zh-CN"/>
              </w:rPr>
              <w:t>优质实木多层板经</w:t>
            </w:r>
            <w:r>
              <w:rPr>
                <w:rFonts w:hint="eastAsia" w:ascii="宋体" w:hAnsi="宋体" w:eastAsia="宋体" w:cs="宋体"/>
                <w:color w:val="auto"/>
                <w:highlight w:val="none"/>
                <w:lang w:val="en-US" w:eastAsia="zh-CN"/>
              </w:rPr>
              <w:t>高温热压而成，具有很强的抗击力和承载能力。</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3、座板饰面：座板饰面采用实木皮贴面，具有耐磨、防污等功能</w:t>
            </w:r>
            <w:r>
              <w:rPr>
                <w:rFonts w:hint="eastAsia" w:ascii="Times New Roman" w:hAnsi="Times New Roman" w:eastAsia="宋体" w:cs="Times New Roman"/>
                <w:b w:val="0"/>
                <w:bCs w:val="0"/>
                <w:color w:val="auto"/>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4、座板油漆：座板表面采用环保油漆喷涂，符合国家规定环保标准，要求颜色均匀、透明度高、耐磨性好、色泽柔和，无颗粒、气泡、泛白、 渣点；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5、背板：采用</w:t>
            </w:r>
            <w:r>
              <w:rPr>
                <w:rFonts w:hint="eastAsia" w:ascii="Times New Roman" w:hAnsi="Times New Roman" w:eastAsia="宋体" w:cs="Times New Roman"/>
                <w:b w:val="0"/>
                <w:bCs w:val="0"/>
                <w:color w:val="auto"/>
                <w:highlight w:val="none"/>
                <w:vertAlign w:val="baseline"/>
                <w:lang w:val="en-US" w:eastAsia="zh-CN"/>
              </w:rPr>
              <w:t>优质中密度纤维板经</w:t>
            </w:r>
            <w:r>
              <w:rPr>
                <w:rFonts w:hint="eastAsia" w:ascii="宋体" w:hAnsi="宋体" w:eastAsia="宋体" w:cs="宋体"/>
                <w:color w:val="auto"/>
                <w:highlight w:val="none"/>
                <w:lang w:val="en-US" w:eastAsia="zh-CN"/>
              </w:rPr>
              <w:t>高温热压而成，饰面采用防火板，耐磨、防污，具有很强的抗击力和承载能力。</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6、台面板：采用优质三聚氰胺浸渍双饰面高密度环保颗粒板，饰面采用防火板，耐磨、防污，具有很强的抗击力和承载能力。板厚25mm，台面总高度760mm，台面板宽度350mm。</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7、台面封边：台面板采用PVC封边条封边处理，要求封边严密、平整、不允许有脱胶、表面有胶渍；覆面拼贴不允许有脱胶、鼓泡、裂缝、压痕和划伤，近人端采用半圆边处理，防止压伤。</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8、防火板饰面：所有板材表面均贴有防火板饰面，具有耐磨、防污、阻燃等特性，采用优质环保胶水（白乳胶）胶粘贴面。</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9、座装饰盖：采用优质PP塑料材质，注塑一体成型，美观大方。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10、座回位结构：采用扭簧压缩回弹技术带动座板回位，阻尼慢回位结构。结构分上座架、下座架组合而成。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▲11、横梁：采用80*40厚度2mm矩形冷轧钢管，两端设长条固定孔，座位固定孔为前后端大小孔设计，孔距40*60，表面经防锈、防污、淋化、优质塑粉静电喷涂处理。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12、书斗：采用0.8mm冷轧钢板一次折弯成型，高度距离桌面130mm。书斗内含放水孔，书斗表面经防腐防锈酸洗磷化处理，并采用优质塑粉静电喷涂。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trike w:val="0"/>
                <w:color w:val="auto"/>
                <w:highlight w:val="none"/>
                <w:lang w:val="en-US" w:eastAsia="zh-CN"/>
              </w:rPr>
            </w:pPr>
            <w:r>
              <w:rPr>
                <w:rFonts w:hint="eastAsia" w:ascii="宋体" w:hAnsi="宋体" w:eastAsia="宋体" w:cs="宋体"/>
                <w:color w:val="auto"/>
                <w:highlight w:val="none"/>
                <w:lang w:val="en-US" w:eastAsia="zh-CN"/>
              </w:rPr>
              <w:t>13、</w:t>
            </w:r>
            <w:r>
              <w:rPr>
                <w:rFonts w:hint="eastAsia" w:ascii="宋体" w:hAnsi="宋体" w:eastAsia="宋体" w:cs="宋体"/>
                <w:strike w:val="0"/>
                <w:dstrike w:val="0"/>
                <w:color w:val="auto"/>
                <w:highlight w:val="none"/>
                <w:lang w:val="en-US" w:eastAsia="zh-CN"/>
              </w:rPr>
              <w:t>站脚立管：采用30*70方管，管长可适应多种台阶高度而加高桌面，管顶部采用R43弧形切口后完全封闭，底部内侧焊接5mm厚牙板。</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highlight w:val="none"/>
                <w:lang w:val="en-US" w:eastAsia="zh-CN"/>
              </w:rPr>
              <w:t>▲14、</w:t>
            </w:r>
            <w:r>
              <w:rPr>
                <w:rFonts w:hint="eastAsia" w:ascii="宋体" w:hAnsi="宋体" w:eastAsia="宋体" w:cs="宋体"/>
                <w:strike w:val="0"/>
                <w:dstrike w:val="0"/>
                <w:color w:val="auto"/>
                <w:highlight w:val="none"/>
                <w:lang w:val="en-US" w:eastAsia="zh-CN"/>
              </w:rPr>
              <w:t>地脚板：</w:t>
            </w:r>
            <w:r>
              <w:rPr>
                <w:rFonts w:hint="default" w:ascii="Times New Roman" w:hAnsi="Times New Roman" w:eastAsia="宋体" w:cs="Times New Roman"/>
                <w:color w:val="auto"/>
                <w:highlight w:val="none"/>
                <w:lang w:val="en-US" w:eastAsia="zh-CN"/>
              </w:rPr>
              <w:t>铝合金一体压铸脚板，长</w:t>
            </w:r>
            <w:r>
              <w:rPr>
                <w:rFonts w:hint="eastAsia"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lang w:val="en-US" w:eastAsia="zh-CN"/>
              </w:rPr>
              <w:t>50mm</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宽70mm</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高80mm</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，前后两个可调节脚垫。</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15、铝梁：采用铝合金挤出工艺一体成型，铝梁前端曲面设计，表面为中心间隔波浪形防刮加强筋，加强筋厚度1.8mm，下端设置有背板卡位槽，可严丝合缝的卡住背板不留缝隙，铝梁后端带防滑笔槽。</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highlight w:val="none"/>
                <w:lang w:val="en-US" w:eastAsia="zh-CN"/>
              </w:rPr>
            </w:pPr>
            <w:r>
              <w:rPr>
                <w:rFonts w:hint="eastAsia" w:ascii="Times New Roman" w:hAnsi="Times New Roman" w:eastAsia="宋体" w:cs="Times New Roman"/>
                <w:b w:val="0"/>
                <w:bCs w:val="0"/>
                <w:color w:val="auto"/>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16、参考图片：</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highlight w:val="none"/>
                <w:lang w:val="en-US" w:eastAsia="zh-CN"/>
              </w:rPr>
            </w:pPr>
            <w:r>
              <w:rPr>
                <w:rFonts w:hint="eastAsia" w:ascii="Times New Roman" w:hAnsi="Times New Roman" w:eastAsia="宋体"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drawing>
                <wp:inline distT="0" distB="0" distL="114300" distR="114300">
                  <wp:extent cx="3469640" cy="3124200"/>
                  <wp:effectExtent l="0" t="0" r="6350" b="6350"/>
                  <wp:docPr id="9" name="图片 1" descr="2104B-2 4号铝活动脚-Temp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2104B-2 4号铝活动脚-Temp0006"/>
                          <pic:cNvPicPr>
                            <a:picLocks noChangeAspect="1"/>
                          </pic:cNvPicPr>
                        </pic:nvPicPr>
                        <pic:blipFill>
                          <a:blip r:embed="rId9"/>
                          <a:srcRect l="16953" r="20590"/>
                          <a:stretch>
                            <a:fillRect/>
                          </a:stretch>
                        </pic:blipFill>
                        <pic:spPr>
                          <a:xfrm>
                            <a:off x="0" y="0"/>
                            <a:ext cx="3469640" cy="3124200"/>
                          </a:xfrm>
                          <a:prstGeom prst="rect">
                            <a:avLst/>
                          </a:prstGeom>
                          <a:noFill/>
                          <a:ln>
                            <a:noFill/>
                          </a:ln>
                        </pic:spPr>
                      </pic:pic>
                    </a:graphicData>
                  </a:graphic>
                </wp:inline>
              </w:drawing>
            </w:r>
            <w:r>
              <w:rPr>
                <w:rFonts w:hint="eastAsia" w:ascii="Times New Roman" w:hAnsi="Times New Roman" w:eastAsia="宋体" w:cs="Times New Roman"/>
                <w:color w:val="auto"/>
                <w:highlight w:val="none"/>
                <w:lang w:eastAsia="zh-CN"/>
              </w:rPr>
              <w:drawing>
                <wp:inline distT="0" distB="0" distL="114300" distR="114300">
                  <wp:extent cx="7338060" cy="2491740"/>
                  <wp:effectExtent l="0" t="0" r="2540" b="1905"/>
                  <wp:docPr id="1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1)"/>
                          <pic:cNvPicPr>
                            <a:picLocks noChangeAspect="1"/>
                          </pic:cNvPicPr>
                        </pic:nvPicPr>
                        <pic:blipFill>
                          <a:blip r:embed="rId10"/>
                          <a:stretch>
                            <a:fillRect/>
                          </a:stretch>
                        </pic:blipFill>
                        <pic:spPr>
                          <a:xfrm>
                            <a:off x="0" y="0"/>
                            <a:ext cx="7338060" cy="2491740"/>
                          </a:xfrm>
                          <a:prstGeom prst="rect">
                            <a:avLst/>
                          </a:prstGeom>
                          <a:noFill/>
                          <a:ln>
                            <a:noFill/>
                          </a:ln>
                        </pic:spPr>
                      </pic:pic>
                    </a:graphicData>
                  </a:graphic>
                </wp:inline>
              </w:drawing>
            </w:r>
            <w:r>
              <w:rPr>
                <w:rFonts w:hint="eastAsia" w:ascii="Times New Roman" w:hAnsi="Times New Roman" w:eastAsia="宋体" w:cs="Times New Roman"/>
                <w:color w:val="auto"/>
                <w:highlight w:val="none"/>
                <w:lang w:eastAsia="zh-CN"/>
              </w:rPr>
              <w:drawing>
                <wp:inline distT="0" distB="0" distL="114300" distR="114300">
                  <wp:extent cx="3432810" cy="1929130"/>
                  <wp:effectExtent l="0" t="0" r="0" b="3175"/>
                  <wp:docPr id="16" name="图片 3" descr="2104B-2 4号铝活动脚-Temp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2104B-2 4号铝活动脚-Temp0004"/>
                          <pic:cNvPicPr>
                            <a:picLocks noChangeAspect="1"/>
                          </pic:cNvPicPr>
                        </pic:nvPicPr>
                        <pic:blipFill>
                          <a:blip r:embed="rId11"/>
                          <a:stretch>
                            <a:fillRect/>
                          </a:stretch>
                        </pic:blipFill>
                        <pic:spPr>
                          <a:xfrm>
                            <a:off x="0" y="0"/>
                            <a:ext cx="3432810" cy="1929130"/>
                          </a:xfrm>
                          <a:prstGeom prst="rect">
                            <a:avLst/>
                          </a:prstGeom>
                          <a:noFill/>
                          <a:ln>
                            <a:noFill/>
                          </a:ln>
                        </pic:spPr>
                      </pic:pic>
                    </a:graphicData>
                  </a:graphic>
                </wp:inline>
              </w:drawing>
            </w:r>
            <w:r>
              <w:rPr>
                <w:rFonts w:hint="eastAsia" w:ascii="Times New Roman" w:hAnsi="Times New Roman" w:eastAsia="宋体" w:cs="Times New Roman"/>
                <w:color w:val="auto"/>
                <w:highlight w:val="none"/>
                <w:lang w:eastAsia="zh-CN"/>
              </w:rPr>
              <w:drawing>
                <wp:inline distT="0" distB="0" distL="114300" distR="114300">
                  <wp:extent cx="3588385" cy="2017395"/>
                  <wp:effectExtent l="0" t="0" r="6350" b="1270"/>
                  <wp:docPr id="12" name="图片 4" descr="2104B-2 4号铝活动脚-Temp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2104B-2 4号铝活动脚-Temp0005"/>
                          <pic:cNvPicPr>
                            <a:picLocks noChangeAspect="1"/>
                          </pic:cNvPicPr>
                        </pic:nvPicPr>
                        <pic:blipFill>
                          <a:blip r:embed="rId12"/>
                          <a:stretch>
                            <a:fillRect/>
                          </a:stretch>
                        </pic:blipFill>
                        <pic:spPr>
                          <a:xfrm>
                            <a:off x="0" y="0"/>
                            <a:ext cx="3588385" cy="2017395"/>
                          </a:xfrm>
                          <a:prstGeom prst="rect">
                            <a:avLst/>
                          </a:prstGeom>
                          <a:noFill/>
                          <a:ln>
                            <a:noFill/>
                          </a:ln>
                        </pic:spPr>
                      </pic:pic>
                    </a:graphicData>
                  </a:graphic>
                </wp:inline>
              </w:drawing>
            </w:r>
          </w:p>
        </w:tc>
        <w:tc>
          <w:tcPr>
            <w:tcW w:w="292" w:type="pct"/>
            <w:noWrap w:val="0"/>
            <w:vAlign w:val="center"/>
          </w:tcPr>
          <w:p>
            <w:pPr>
              <w:jc w:val="center"/>
              <w:rPr>
                <w:rFonts w:hint="default" w:ascii="Times New Roman" w:hAnsi="Times New Roman" w:eastAsia="宋体" w:cs="Times New Roman"/>
                <w:color w:val="auto"/>
                <w:highlight w:val="none"/>
                <w:vertAlign w:val="baseline"/>
                <w:lang w:val="en-US" w:eastAsia="zh-CN"/>
              </w:rPr>
            </w:pPr>
          </w:p>
        </w:tc>
      </w:tr>
    </w:tbl>
    <w:p>
      <w:pPr>
        <w:jc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highlight w:val="none"/>
          <w:lang w:val="en-US" w:eastAsia="zh-CN"/>
        </w:rPr>
        <w:br w:type="page"/>
      </w:r>
      <w:r>
        <w:rPr>
          <w:rFonts w:hint="eastAsia" w:ascii="Times New Roman" w:hAnsi="Times New Roman" w:eastAsia="宋体" w:cs="Times New Roman"/>
          <w:color w:val="auto"/>
          <w:sz w:val="28"/>
          <w:szCs w:val="28"/>
          <w:highlight w:val="none"/>
          <w:lang w:val="en-US" w:eastAsia="zh-CN"/>
        </w:rPr>
        <w:t>讲台参数</w:t>
      </w:r>
    </w:p>
    <w:tbl>
      <w:tblPr>
        <w:tblStyle w:val="15"/>
        <w:tblpPr w:leftFromText="180" w:rightFromText="180" w:vertAnchor="text" w:horzAnchor="page" w:tblpX="1319"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9"/>
        <w:gridCol w:w="8629"/>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19" w:type="pct"/>
            <w:noWrap w:val="0"/>
            <w:vAlign w:val="center"/>
          </w:tcPr>
          <w:p>
            <w:pPr>
              <w:pStyle w:val="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41" w:type="pct"/>
            <w:noWrap w:val="0"/>
            <w:vAlign w:val="center"/>
          </w:tcPr>
          <w:p>
            <w:pPr>
              <w:snapToGrid w:val="0"/>
              <w:spacing w:line="44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zh-TW"/>
              </w:rPr>
              <w:t>设备名称</w:t>
            </w:r>
          </w:p>
        </w:tc>
        <w:tc>
          <w:tcPr>
            <w:tcW w:w="2919" w:type="pct"/>
            <w:noWrap w:val="0"/>
            <w:vAlign w:val="center"/>
          </w:tcPr>
          <w:p>
            <w:pPr>
              <w:snapToGrid w:val="0"/>
              <w:spacing w:line="44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zh-TW"/>
              </w:rPr>
              <w:t>技术参数</w:t>
            </w:r>
          </w:p>
        </w:tc>
        <w:tc>
          <w:tcPr>
            <w:tcW w:w="1220" w:type="pct"/>
            <w:noWrap w:val="0"/>
            <w:vAlign w:val="center"/>
          </w:tcPr>
          <w:p>
            <w:pPr>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319" w:type="pct"/>
            <w:noWrap w:val="0"/>
            <w:vAlign w:val="center"/>
          </w:tcPr>
          <w:p>
            <w:pPr>
              <w:snapToGrid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41" w:type="pct"/>
            <w:noWrap w:val="0"/>
            <w:vAlign w:val="center"/>
          </w:tcPr>
          <w:p>
            <w:pPr>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讲台</w:t>
            </w:r>
          </w:p>
        </w:tc>
        <w:tc>
          <w:tcPr>
            <w:tcW w:w="2919"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240"/>
              <w:jc w:val="left"/>
              <w:rPr>
                <w:rFonts w:hint="default" w:ascii="宋体" w:hAnsi="宋体" w:eastAsia="宋体" w:cs="宋体"/>
                <w:b w:val="0"/>
                <w:bCs w:val="0"/>
                <w:i w:val="0"/>
                <w:iCs w:val="0"/>
                <w:caps w:val="0"/>
                <w:color w:val="auto"/>
                <w:spacing w:val="0"/>
                <w:kern w:val="2"/>
                <w:sz w:val="24"/>
                <w:szCs w:val="24"/>
                <w:highlight w:val="none"/>
                <w:u w:val="none"/>
                <w:shd w:val="clear" w:color="auto" w:fill="FFFFFF"/>
                <w:lang w:val="en-US" w:eastAsia="zh-CN" w:bidi="ar-SA"/>
              </w:rPr>
            </w:pPr>
            <w:r>
              <w:rPr>
                <w:rFonts w:hint="eastAsia" w:ascii="宋体" w:hAnsi="宋体" w:eastAsia="宋体" w:cs="宋体"/>
                <w:b w:val="0"/>
                <w:bCs w:val="0"/>
                <w:i w:val="0"/>
                <w:iCs w:val="0"/>
                <w:caps w:val="0"/>
                <w:color w:val="auto"/>
                <w:spacing w:val="0"/>
                <w:kern w:val="2"/>
                <w:sz w:val="24"/>
                <w:szCs w:val="24"/>
                <w:highlight w:val="none"/>
                <w:u w:val="none"/>
                <w:shd w:val="clear" w:color="auto" w:fill="FFFFFF"/>
                <w:lang w:val="en-US" w:eastAsia="zh-CN" w:bidi="ar-SA"/>
              </w:rPr>
              <w:t>规格：≥5500*≥1500*≥210mm</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right="240"/>
              <w:jc w:val="left"/>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t>龙骨用40方管焊接，基层1.2阻燃板，面层复合木地板，外观质量合格。</w:t>
            </w:r>
          </w:p>
          <w:p>
            <w:pPr>
              <w:pStyle w:val="9"/>
              <w:rPr>
                <w:rFonts w:hint="eastAsia" w:cs="Times New Roman"/>
                <w:color w:val="auto"/>
                <w:highlight w:val="none"/>
                <w:lang w:val="en-US" w:eastAsia="zh-CN"/>
              </w:rPr>
            </w:pPr>
          </w:p>
        </w:tc>
        <w:tc>
          <w:tcPr>
            <w:tcW w:w="1220" w:type="pct"/>
            <w:noWrap w:val="0"/>
            <w:vAlign w:val="center"/>
          </w:tcPr>
          <w:p>
            <w:pPr>
              <w:snapToGrid w:val="0"/>
              <w:spacing w:line="440" w:lineRule="exact"/>
              <w:jc w:val="left"/>
              <w:rPr>
                <w:rFonts w:hint="eastAsia" w:ascii="宋体" w:hAnsi="宋体" w:eastAsia="宋体" w:cs="宋体"/>
                <w:color w:val="auto"/>
                <w:sz w:val="24"/>
                <w:szCs w:val="24"/>
                <w:highlight w:val="none"/>
                <w:vertAlign w:val="baseline"/>
                <w:lang w:val="en-US" w:eastAsia="zh-CN"/>
              </w:rPr>
            </w:pPr>
            <w:r>
              <w:rPr>
                <w:rFonts w:ascii="Times New Roman" w:hAnsi="Times New Roman" w:eastAsia="宋体" w:cs="Times New Roman"/>
                <w:color w:val="auto"/>
                <w:highlight w:val="none"/>
              </w:rPr>
              <w:drawing>
                <wp:anchor distT="0" distB="0" distL="114300" distR="114300" simplePos="0" relativeHeight="251663360" behindDoc="1" locked="0" layoutInCell="1" allowOverlap="1">
                  <wp:simplePos x="0" y="0"/>
                  <wp:positionH relativeFrom="column">
                    <wp:posOffset>456565</wp:posOffset>
                  </wp:positionH>
                  <wp:positionV relativeFrom="paragraph">
                    <wp:posOffset>226695</wp:posOffset>
                  </wp:positionV>
                  <wp:extent cx="1282065" cy="1432560"/>
                  <wp:effectExtent l="0" t="0" r="2540" b="3175"/>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3"/>
                          <a:stretch>
                            <a:fillRect/>
                          </a:stretch>
                        </pic:blipFill>
                        <pic:spPr>
                          <a:xfrm>
                            <a:off x="0" y="0"/>
                            <a:ext cx="1282065" cy="1432560"/>
                          </a:xfrm>
                          <a:prstGeom prst="rect">
                            <a:avLst/>
                          </a:prstGeom>
                          <a:noFill/>
                          <a:ln>
                            <a:noFill/>
                          </a:ln>
                        </pic:spPr>
                      </pic:pic>
                    </a:graphicData>
                  </a:graphic>
                </wp:anchor>
              </w:drawing>
            </w:r>
          </w:p>
        </w:tc>
      </w:tr>
    </w:tbl>
    <w:p>
      <w:pPr>
        <w:pStyle w:val="9"/>
        <w:ind w:left="0" w:leftChars="0" w:firstLine="0" w:firstLineChars="0"/>
        <w:jc w:val="left"/>
        <w:rPr>
          <w:rFonts w:hint="eastAsia"/>
          <w:color w:val="auto"/>
          <w:highlight w:val="none"/>
          <w:lang w:val="en-US" w:eastAsia="zh-CN"/>
        </w:rPr>
        <w:sectPr>
          <w:pgSz w:w="16838" w:h="11906" w:orient="landscape"/>
          <w:pgMar w:top="1134" w:right="1134" w:bottom="1134" w:left="1134" w:header="851" w:footer="992" w:gutter="0"/>
          <w:cols w:space="720" w:num="1"/>
          <w:rtlGutter w:val="0"/>
          <w:docGrid w:type="lines" w:linePitch="321" w:charSpace="0"/>
        </w:sectPr>
      </w:pPr>
    </w:p>
    <w:p>
      <w:pPr>
        <w:pStyle w:val="10"/>
        <w:snapToGrid w:val="0"/>
        <w:spacing w:before="156" w:after="156"/>
        <w:ind w:left="0" w:leftChars="0" w:right="26" w:firstLine="562" w:firstLineChars="175"/>
        <w:rPr>
          <w:rFonts w:hint="eastAsia" w:ascii="宋体" w:hAnsi="宋体" w:eastAsia="宋体" w:cs="宋体"/>
          <w:b/>
          <w:color w:val="auto"/>
          <w:sz w:val="32"/>
          <w:highlight w:val="none"/>
        </w:rPr>
      </w:pPr>
    </w:p>
    <w:p>
      <w:pPr>
        <w:pStyle w:val="3"/>
        <w:rPr>
          <w:rFonts w:hint="eastAsia" w:ascii="宋体" w:hAnsi="宋体" w:eastAsia="宋体" w:cs="宋体"/>
          <w:color w:val="auto"/>
          <w:highlight w:val="none"/>
        </w:rPr>
      </w:pPr>
      <w:bookmarkStart w:id="201" w:name="_Toc494375081"/>
      <w:bookmarkStart w:id="202" w:name="_Toc534725610"/>
      <w:bookmarkStart w:id="203" w:name="_Toc534816639"/>
      <w:bookmarkStart w:id="204" w:name="_Toc120614281"/>
      <w:r>
        <w:rPr>
          <w:rFonts w:hint="eastAsia" w:ascii="宋体" w:hAnsi="宋体" w:eastAsia="宋体" w:cs="宋体"/>
          <w:color w:val="auto"/>
          <w:highlight w:val="none"/>
        </w:rPr>
        <w:t>第五章  评标方法与评标标准</w:t>
      </w:r>
    </w:p>
    <w:p>
      <w:pPr>
        <w:rPr>
          <w:rFonts w:hint="eastAsia" w:ascii="宋体" w:hAnsi="宋体" w:eastAsia="宋体" w:cs="宋体"/>
          <w:color w:val="auto"/>
          <w:highlight w:val="none"/>
        </w:rPr>
      </w:pPr>
    </w:p>
    <w:p>
      <w:pPr>
        <w:pStyle w:val="18"/>
        <w:ind w:firstLine="424" w:firstLineChars="177"/>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18"/>
        <w:ind w:firstLine="441" w:firstLineChars="183"/>
        <w:rPr>
          <w:rFonts w:hint="eastAsia" w:ascii="宋体" w:hAnsi="宋体" w:eastAsia="宋体" w:cs="宋体"/>
          <w:b/>
          <w:color w:val="auto"/>
          <w:kern w:val="2"/>
          <w:highlight w:val="none"/>
        </w:rPr>
      </w:pPr>
      <w:r>
        <w:rPr>
          <w:rFonts w:hint="eastAsia" w:ascii="宋体" w:hAnsi="宋体" w:eastAsia="宋体" w:cs="宋体"/>
          <w:b/>
          <w:color w:val="auto"/>
          <w:kern w:val="2"/>
          <w:highlight w:val="none"/>
          <w:lang w:val="en-US" w:eastAsia="zh-CN"/>
        </w:rPr>
        <w:t>一、</w:t>
      </w:r>
      <w:r>
        <w:rPr>
          <w:rFonts w:hint="eastAsia" w:ascii="宋体" w:hAnsi="宋体" w:eastAsia="宋体" w:cs="宋体"/>
          <w:b/>
          <w:color w:val="auto"/>
          <w:kern w:val="2"/>
          <w:highlight w:val="none"/>
        </w:rPr>
        <w:t>政府采购政策功能落实</w:t>
      </w:r>
    </w:p>
    <w:p>
      <w:pPr>
        <w:pStyle w:val="18"/>
        <w:spacing w:line="0" w:lineRule="atLeast"/>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1、小微型企业价格扣除</w:t>
      </w:r>
    </w:p>
    <w:p>
      <w:pPr>
        <w:pStyle w:val="18"/>
        <w:spacing w:line="0" w:lineRule="atLeast"/>
        <w:ind w:firstLine="360" w:firstLineChars="150"/>
        <w:rPr>
          <w:rFonts w:hint="eastAsia" w:ascii="宋体" w:hAnsi="宋体" w:eastAsia="宋体" w:cs="宋体"/>
          <w:color w:val="auto"/>
          <w:kern w:val="2"/>
          <w:highlight w:val="none"/>
          <w:lang w:val="en-US" w:eastAsia="zh-Hans"/>
        </w:rPr>
      </w:pPr>
      <w:r>
        <w:rPr>
          <w:rFonts w:hint="eastAsia" w:ascii="宋体" w:hAnsi="宋体" w:eastAsia="宋体" w:cs="宋体"/>
          <w:color w:val="auto"/>
          <w:kern w:val="2"/>
          <w:highlight w:val="none"/>
        </w:rPr>
        <w:t>（1）本项目对小型和微型企业</w:t>
      </w:r>
      <w:r>
        <w:rPr>
          <w:rFonts w:hint="eastAsia" w:ascii="宋体" w:hAnsi="宋体" w:eastAsia="宋体" w:cs="宋体"/>
          <w:color w:val="auto"/>
          <w:kern w:val="2"/>
          <w:highlight w:val="none"/>
          <w:lang w:val="en-US" w:eastAsia="zh-CN"/>
        </w:rPr>
        <w:t>报价</w:t>
      </w:r>
      <w:r>
        <w:rPr>
          <w:rFonts w:hint="eastAsia" w:ascii="宋体" w:hAnsi="宋体" w:eastAsia="宋体" w:cs="宋体"/>
          <w:color w:val="auto"/>
          <w:kern w:val="2"/>
          <w:highlight w:val="none"/>
        </w:rPr>
        <w:t>给予</w:t>
      </w:r>
      <w:r>
        <w:rPr>
          <w:rFonts w:hint="eastAsia" w:ascii="宋体" w:hAnsi="宋体" w:eastAsia="宋体" w:cs="宋体"/>
          <w:color w:val="auto"/>
          <w:kern w:val="2"/>
          <w:highlight w:val="none"/>
          <w:lang w:val="en-US" w:eastAsia="zh-CN"/>
        </w:rPr>
        <w:t>/</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color w:val="auto"/>
          <w:kern w:val="2"/>
          <w:highlight w:val="none"/>
        </w:rPr>
        <w:t>的扣除价格，用扣除后的价格参与评审。</w:t>
      </w:r>
    </w:p>
    <w:p>
      <w:pPr>
        <w:pStyle w:val="18"/>
        <w:spacing w:line="0" w:lineRule="atLeast"/>
        <w:ind w:firstLine="360" w:firstLineChars="150"/>
        <w:rPr>
          <w:rFonts w:hint="eastAsia" w:ascii="宋体" w:hAnsi="宋体" w:eastAsia="宋体" w:cs="宋体"/>
          <w:color w:val="auto"/>
          <w:kern w:val="2"/>
          <w:highlight w:val="none"/>
        </w:rPr>
      </w:pPr>
      <w:r>
        <w:rPr>
          <w:rFonts w:hint="eastAsia" w:ascii="宋体" w:hAnsi="宋体" w:eastAsia="宋体" w:cs="宋体"/>
          <w:color w:val="auto"/>
          <w:kern w:val="2"/>
          <w:highlight w:val="none"/>
        </w:rPr>
        <w:t>（2）供应商需按照采购文件的要求提供相应的《企业声明函》。</w:t>
      </w:r>
    </w:p>
    <w:p>
      <w:pPr>
        <w:pStyle w:val="18"/>
        <w:spacing w:line="0" w:lineRule="atLeast"/>
        <w:ind w:firstLine="360" w:firstLineChars="150"/>
        <w:rPr>
          <w:rFonts w:hint="eastAsia" w:ascii="宋体" w:hAnsi="宋体" w:eastAsia="宋体" w:cs="宋体"/>
          <w:color w:val="auto"/>
          <w:kern w:val="2"/>
          <w:highlight w:val="none"/>
        </w:rPr>
      </w:pPr>
      <w:r>
        <w:rPr>
          <w:rFonts w:hint="eastAsia" w:ascii="宋体" w:hAnsi="宋体" w:eastAsia="宋体" w:cs="宋体"/>
          <w:color w:val="auto"/>
          <w:kern w:val="2"/>
          <w:highlight w:val="none"/>
        </w:rPr>
        <w:t>（3）企业标准请参照《关于印发中小企业划型标准规定的通知》（工信部联企业[2011]300号）文件规定自行填写。</w:t>
      </w:r>
    </w:p>
    <w:p>
      <w:pPr>
        <w:pStyle w:val="18"/>
        <w:spacing w:line="0" w:lineRule="atLeast"/>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2、残疾人福利单位价格扣除</w:t>
      </w:r>
    </w:p>
    <w:p>
      <w:pPr>
        <w:pStyle w:val="18"/>
        <w:spacing w:line="0" w:lineRule="atLeast"/>
        <w:ind w:left="120" w:leftChars="57" w:firstLine="360" w:firstLineChars="150"/>
        <w:rPr>
          <w:rFonts w:hint="eastAsia" w:ascii="宋体" w:hAnsi="宋体" w:eastAsia="宋体" w:cs="宋体"/>
          <w:color w:val="auto"/>
          <w:kern w:val="2"/>
          <w:highlight w:val="none"/>
        </w:rPr>
      </w:pPr>
      <w:r>
        <w:rPr>
          <w:rFonts w:hint="eastAsia" w:ascii="宋体" w:hAnsi="宋体" w:eastAsia="宋体" w:cs="宋体"/>
          <w:color w:val="auto"/>
          <w:kern w:val="2"/>
          <w:highlight w:val="none"/>
        </w:rPr>
        <w:t>（1）本项目对残疾人福利性单位视同小型、微型企业，给予</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%的价格扣除，用扣除后的价格参与评审。</w:t>
      </w:r>
    </w:p>
    <w:p>
      <w:pPr>
        <w:pStyle w:val="18"/>
        <w:spacing w:line="0" w:lineRule="atLeast"/>
        <w:ind w:left="120" w:leftChars="57" w:firstLine="360" w:firstLineChars="150"/>
        <w:rPr>
          <w:rFonts w:hint="eastAsia" w:ascii="宋体" w:hAnsi="宋体" w:eastAsia="宋体" w:cs="宋体"/>
          <w:color w:val="auto"/>
          <w:kern w:val="2"/>
          <w:highlight w:val="none"/>
        </w:rPr>
      </w:pPr>
      <w:r>
        <w:rPr>
          <w:rFonts w:hint="eastAsia" w:ascii="宋体" w:hAnsi="宋体" w:eastAsia="宋体" w:cs="宋体"/>
          <w:color w:val="auto"/>
          <w:kern w:val="2"/>
          <w:highlight w:val="none"/>
        </w:rPr>
        <w:t>（2）残疾人福利单位需按照采购文件的要求提供《残疾人福利性单位声明函》。</w:t>
      </w:r>
    </w:p>
    <w:p>
      <w:pPr>
        <w:pStyle w:val="18"/>
        <w:spacing w:line="0" w:lineRule="atLeast"/>
        <w:ind w:left="120" w:leftChars="57" w:firstLine="360" w:firstLineChars="150"/>
        <w:rPr>
          <w:rFonts w:hint="eastAsia" w:ascii="宋体" w:hAnsi="宋体" w:eastAsia="宋体" w:cs="宋体"/>
          <w:color w:val="auto"/>
          <w:kern w:val="2"/>
          <w:highlight w:val="none"/>
        </w:rPr>
      </w:pPr>
      <w:r>
        <w:rPr>
          <w:rFonts w:hint="eastAsia" w:ascii="宋体" w:hAnsi="宋体" w:eastAsia="宋体" w:cs="宋体"/>
          <w:color w:val="auto"/>
          <w:kern w:val="2"/>
          <w:highlight w:val="none"/>
        </w:rPr>
        <w:t>（3）残疾人福利单位标准请参照《关于促进残疾人就业政府采购政策的通知》（财库〔2017〕141号）。</w:t>
      </w:r>
    </w:p>
    <w:p>
      <w:pPr>
        <w:pStyle w:val="18"/>
        <w:spacing w:line="0" w:lineRule="atLeast"/>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3、监狱和戒毒企业价格扣除</w:t>
      </w:r>
    </w:p>
    <w:p>
      <w:pPr>
        <w:pStyle w:val="18"/>
        <w:spacing w:line="0" w:lineRule="atLeast"/>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（1）本项目对监狱和戒毒企业（简称监狱企业）视同小型、微型企业，给予</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%的价格扣除，用扣除后的价格参与评审。</w:t>
      </w:r>
    </w:p>
    <w:p>
      <w:pPr>
        <w:pStyle w:val="18"/>
        <w:spacing w:line="0" w:lineRule="atLeast"/>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（2）监狱企业参加政府采购活动时，需提供由省级以上监狱管理局、戒毒管理局(含新疆生产建设兵团)出具的属于监狱企业的证明文件。</w:t>
      </w:r>
      <w:r>
        <w:rPr>
          <w:rFonts w:hint="eastAsia" w:ascii="宋体" w:hAnsi="宋体" w:eastAsia="宋体" w:cs="宋体"/>
          <w:color w:val="auto"/>
          <w:highlight w:val="none"/>
        </w:rPr>
        <w:t>供应商如不提供上述证明文件，价格将不做相应扣除</w:t>
      </w:r>
      <w:r>
        <w:rPr>
          <w:rFonts w:hint="eastAsia" w:ascii="宋体" w:hAnsi="宋体" w:eastAsia="宋体" w:cs="宋体"/>
          <w:color w:val="auto"/>
          <w:kern w:val="2"/>
          <w:highlight w:val="none"/>
        </w:rPr>
        <w:t>。</w:t>
      </w:r>
    </w:p>
    <w:p>
      <w:pPr>
        <w:pStyle w:val="18"/>
        <w:spacing w:line="0" w:lineRule="atLeast"/>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（3）监狱企业标准请参照《关于政府采购支持监狱企业发展有关问题的通知》（财库[2014]68号）。</w:t>
      </w:r>
    </w:p>
    <w:p>
      <w:pPr>
        <w:pStyle w:val="18"/>
        <w:spacing w:line="400" w:lineRule="exact"/>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4、小微型企业</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残疾人福利单位、监狱企业属于小型、微型企业的，不重复享受政策。</w:t>
      </w:r>
    </w:p>
    <w:bookmarkEnd w:id="201"/>
    <w:bookmarkEnd w:id="202"/>
    <w:bookmarkEnd w:id="203"/>
    <w:p>
      <w:pPr>
        <w:pStyle w:val="18"/>
        <w:spacing w:line="0" w:lineRule="atLeast"/>
        <w:ind w:firstLine="482" w:firstLineChars="200"/>
        <w:rPr>
          <w:rFonts w:hint="eastAsia" w:ascii="宋体" w:hAnsi="宋体" w:eastAsia="宋体" w:cs="宋体"/>
          <w:b/>
          <w:color w:val="auto"/>
          <w:kern w:val="2"/>
          <w:highlight w:val="none"/>
        </w:rPr>
      </w:pPr>
      <w:r>
        <w:rPr>
          <w:rFonts w:hint="eastAsia" w:ascii="宋体" w:hAnsi="宋体" w:eastAsia="宋体" w:cs="宋体"/>
          <w:b/>
          <w:color w:val="auto"/>
          <w:kern w:val="2"/>
          <w:highlight w:val="none"/>
          <w:lang w:val="en-US" w:eastAsia="zh-CN"/>
        </w:rPr>
        <w:t>二、</w:t>
      </w:r>
      <w:r>
        <w:rPr>
          <w:rFonts w:hint="eastAsia" w:ascii="宋体" w:hAnsi="宋体" w:eastAsia="宋体" w:cs="宋体"/>
          <w:b/>
          <w:color w:val="auto"/>
          <w:kern w:val="2"/>
          <w:highlight w:val="none"/>
        </w:rPr>
        <w:t>评标办法和评标标准</w:t>
      </w:r>
    </w:p>
    <w:bookmarkEnd w:id="190"/>
    <w:bookmarkEnd w:id="191"/>
    <w:bookmarkEnd w:id="195"/>
    <w:bookmarkEnd w:id="196"/>
    <w:bookmarkEnd w:id="204"/>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09"/>
        <w:gridCol w:w="561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00" w:type="dxa"/>
            <w:noWrap w:val="0"/>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评分项目</w:t>
            </w:r>
          </w:p>
        </w:tc>
        <w:tc>
          <w:tcPr>
            <w:tcW w:w="1409" w:type="dxa"/>
            <w:noWrap w:val="0"/>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评分因素</w:t>
            </w:r>
          </w:p>
        </w:tc>
        <w:tc>
          <w:tcPr>
            <w:tcW w:w="5613" w:type="dxa"/>
            <w:noWrap w:val="0"/>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评审内容</w:t>
            </w:r>
          </w:p>
        </w:tc>
        <w:tc>
          <w:tcPr>
            <w:tcW w:w="855" w:type="dxa"/>
            <w:noWrap w:val="0"/>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00"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价格部分（</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w:t>
            </w:r>
          </w:p>
        </w:tc>
        <w:tc>
          <w:tcPr>
            <w:tcW w:w="1409" w:type="dxa"/>
            <w:noWrap w:val="0"/>
            <w:vAlign w:val="center"/>
          </w:tcPr>
          <w:p>
            <w:pPr>
              <w:widowControl/>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w:t>
            </w:r>
          </w:p>
        </w:tc>
        <w:tc>
          <w:tcPr>
            <w:tcW w:w="5613"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价格分采用低价优先法计算，即满足本招标文件要求的最低投标报价为评标基准价，其价格分为满分，其它投标人的价格分统一按照下列公式计算：</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投标报价得分=（评标基准价／投标报价）×价格分分值（精确到小数点后两位）。</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超过了采购项目预算或最高限价的，为无效投标。</w:t>
            </w:r>
          </w:p>
        </w:tc>
        <w:tc>
          <w:tcPr>
            <w:tcW w:w="855" w:type="dxa"/>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00" w:type="dxa"/>
            <w:vMerge w:val="restart"/>
            <w:shd w:val="clear" w:color="auto" w:fill="auto"/>
            <w:noWrap w:val="0"/>
            <w:vAlign w:val="center"/>
          </w:tcPr>
          <w:p>
            <w:pPr>
              <w:widowControl/>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商务部分（10分）</w:t>
            </w:r>
          </w:p>
        </w:tc>
        <w:tc>
          <w:tcPr>
            <w:tcW w:w="1409" w:type="dxa"/>
            <w:shd w:val="clear" w:color="auto" w:fill="auto"/>
            <w:noWrap w:val="0"/>
            <w:vAlign w:val="center"/>
          </w:tcPr>
          <w:p>
            <w:pPr>
              <w:jc w:val="center"/>
              <w:rPr>
                <w:rFonts w:hint="eastAsia" w:ascii="宋体" w:hAnsi="宋体" w:eastAsia="宋体" w:cs="宋体"/>
                <w:color w:val="auto"/>
                <w:kern w:val="0"/>
                <w:sz w:val="24"/>
                <w:szCs w:val="24"/>
                <w:highlight w:val="none"/>
              </w:rPr>
            </w:pPr>
            <w:r>
              <w:rPr>
                <w:rFonts w:ascii="宋体" w:hAnsi="宋体" w:eastAsia="宋体" w:cs="Times New Roman"/>
                <w:color w:val="auto"/>
                <w:szCs w:val="21"/>
                <w:highlight w:val="none"/>
              </w:rPr>
              <w:t>企业业绩</w:t>
            </w:r>
          </w:p>
        </w:tc>
        <w:tc>
          <w:tcPr>
            <w:tcW w:w="5613" w:type="dxa"/>
            <w:shd w:val="clear" w:color="auto" w:fill="auto"/>
            <w:noWrap w:val="0"/>
            <w:vAlign w:val="center"/>
          </w:tcPr>
          <w:p>
            <w:pPr>
              <w:widowControl/>
              <w:rPr>
                <w:rFonts w:hint="eastAsia" w:ascii="宋体" w:hAnsi="宋体" w:eastAsia="宋体" w:cs="宋体"/>
                <w:color w:val="auto"/>
                <w:kern w:val="0"/>
                <w:sz w:val="24"/>
                <w:szCs w:val="24"/>
                <w:highlight w:val="none"/>
                <w:lang w:val="en-US" w:eastAsia="zh-CN" w:bidi="ar-SA"/>
              </w:rPr>
            </w:pPr>
            <w:r>
              <w:rPr>
                <w:rFonts w:ascii="宋体" w:hAnsi="宋体" w:eastAsia="宋体" w:cs="宋体"/>
                <w:color w:val="auto"/>
                <w:sz w:val="24"/>
                <w:szCs w:val="24"/>
                <w:highlight w:val="none"/>
              </w:rPr>
              <w:t>供应商提供近三年(202</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月1日至投标截止日之前)的类似业绩，每提供1项得</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分， 满分</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附中标（成交）通知书或合同复印件</w:t>
            </w:r>
            <w:r>
              <w:rPr>
                <w:rFonts w:ascii="宋体" w:hAnsi="宋体" w:eastAsia="宋体" w:cs="宋体"/>
                <w:color w:val="auto"/>
                <w:sz w:val="24"/>
                <w:szCs w:val="24"/>
                <w:highlight w:val="none"/>
              </w:rPr>
              <w:t>，合同至少包括合同首页、合同内容描述页、合同盖章页等合同关键页复印件并加盖投标人公章。未按上述要求提供佐证材料或佐证材料不清晰无法辨识内容的本项不得分。）</w:t>
            </w:r>
          </w:p>
        </w:tc>
        <w:tc>
          <w:tcPr>
            <w:tcW w:w="855" w:type="dxa"/>
            <w:shd w:val="clear" w:color="000000" w:fill="FFFFFF"/>
            <w:noWrap w:val="0"/>
            <w:vAlign w:val="center"/>
          </w:tcPr>
          <w:p>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continue"/>
            <w:shd w:val="clear" w:color="auto" w:fill="auto"/>
            <w:noWrap w:val="0"/>
            <w:vAlign w:val="center"/>
          </w:tcPr>
          <w:p>
            <w:pPr>
              <w:widowControl/>
              <w:jc w:val="left"/>
              <w:rPr>
                <w:rFonts w:hint="eastAsia" w:ascii="宋体" w:hAnsi="宋体" w:eastAsia="宋体" w:cs="宋体"/>
                <w:color w:val="auto"/>
                <w:kern w:val="0"/>
                <w:sz w:val="24"/>
                <w:szCs w:val="24"/>
                <w:highlight w:val="none"/>
              </w:rPr>
            </w:pPr>
          </w:p>
        </w:tc>
        <w:tc>
          <w:tcPr>
            <w:tcW w:w="1409" w:type="dxa"/>
            <w:shd w:val="clear" w:color="auto" w:fill="auto"/>
            <w:noWrap w:val="0"/>
            <w:vAlign w:val="center"/>
          </w:tcPr>
          <w:p>
            <w:pPr>
              <w:jc w:val="center"/>
              <w:rPr>
                <w:rFonts w:hint="default" w:ascii="宋体" w:hAnsi="宋体" w:eastAsia="宋体" w:cs="宋体"/>
                <w:color w:val="auto"/>
                <w:kern w:val="0"/>
                <w:sz w:val="24"/>
                <w:szCs w:val="24"/>
                <w:highlight w:val="none"/>
                <w:lang w:eastAsia="zh-CN"/>
              </w:rPr>
            </w:pPr>
            <w:r>
              <w:rPr>
                <w:rFonts w:hint="eastAsia" w:ascii="宋体" w:hAnsi="宋体" w:eastAsia="宋体" w:cs="Times New Roman"/>
                <w:color w:val="auto"/>
                <w:szCs w:val="21"/>
                <w:highlight w:val="none"/>
                <w:lang w:val="en-US" w:eastAsia="zh-CN"/>
              </w:rPr>
              <w:t>认证证书</w:t>
            </w:r>
          </w:p>
        </w:tc>
        <w:tc>
          <w:tcPr>
            <w:tcW w:w="5613" w:type="dxa"/>
            <w:shd w:val="clear" w:color="auto" w:fill="auto"/>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1.投标人提供有效期内的ISO9001质量管理体系认证证书。</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2.投标人提供有效期内的ISO4001环境管理体系认证证书。</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3.投标人提供有效期内的ISO45001职业健康体系认证证书。</w:t>
            </w:r>
          </w:p>
          <w:p>
            <w:pPr>
              <w:pStyle w:val="9"/>
              <w:ind w:firstLine="0" w:firstLineChars="0"/>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每提供一项得1分，最高得3分。</w:t>
            </w:r>
          </w:p>
        </w:tc>
        <w:tc>
          <w:tcPr>
            <w:tcW w:w="855" w:type="dxa"/>
            <w:shd w:val="clear" w:color="000000" w:fill="FFFFFF"/>
            <w:noWrap w:val="0"/>
            <w:vAlign w:val="center"/>
          </w:tcPr>
          <w:p>
            <w:pPr>
              <w:widowControl/>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800" w:type="dxa"/>
            <w:vMerge w:val="restart"/>
            <w:noWrap w:val="0"/>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技术部分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61分</w:t>
            </w:r>
            <w:r>
              <w:rPr>
                <w:rFonts w:hint="eastAsia" w:ascii="宋体" w:hAnsi="宋体" w:eastAsia="宋体" w:cs="宋体"/>
                <w:color w:val="auto"/>
                <w:kern w:val="0"/>
                <w:sz w:val="24"/>
                <w:szCs w:val="24"/>
                <w:highlight w:val="none"/>
                <w:lang w:eastAsia="zh-CN"/>
              </w:rPr>
              <w:t>）</w:t>
            </w:r>
          </w:p>
        </w:tc>
        <w:tc>
          <w:tcPr>
            <w:tcW w:w="1409" w:type="dxa"/>
            <w:tcBorders>
              <w:bottom w:val="single" w:color="auto" w:sz="4" w:space="0"/>
            </w:tcBorders>
            <w:noWrap w:val="0"/>
            <w:vAlign w:val="center"/>
          </w:tcPr>
          <w:p>
            <w:pPr>
              <w:jc w:val="center"/>
              <w:rPr>
                <w:rFonts w:hint="default" w:ascii="宋体" w:hAnsi="宋体" w:eastAsia="宋体" w:cs="宋体"/>
                <w:color w:val="auto"/>
                <w:kern w:val="0"/>
                <w:sz w:val="24"/>
                <w:szCs w:val="24"/>
                <w:highlight w:val="none"/>
                <w:lang w:val="en-US" w:eastAsia="zh-CN"/>
              </w:rPr>
            </w:pPr>
            <w:r>
              <w:rPr>
                <w:rFonts w:ascii="宋体" w:hAnsi="宋体" w:eastAsia="宋体" w:cs="宋体"/>
                <w:color w:val="auto"/>
                <w:sz w:val="24"/>
                <w:szCs w:val="24"/>
                <w:highlight w:val="none"/>
              </w:rPr>
              <w:t>配置及性能指标</w:t>
            </w:r>
            <w:r>
              <w:rPr>
                <w:rFonts w:hint="eastAsia" w:ascii="宋体" w:hAnsi="宋体" w:eastAsia="宋体" w:cs="宋体"/>
                <w:color w:val="auto"/>
                <w:sz w:val="24"/>
                <w:szCs w:val="24"/>
                <w:highlight w:val="none"/>
                <w:lang w:val="en-US" w:eastAsia="zh-CN"/>
              </w:rPr>
              <w:t>响应情况</w:t>
            </w:r>
          </w:p>
        </w:tc>
        <w:tc>
          <w:tcPr>
            <w:tcW w:w="5613" w:type="dxa"/>
            <w:tcBorders>
              <w:bottom w:val="single" w:color="auto" w:sz="4" w:space="0"/>
            </w:tcBorders>
            <w:noWrap w:val="0"/>
            <w:vAlign w:val="center"/>
          </w:tcPr>
          <w:p>
            <w:pPr>
              <w:widowControl/>
              <w:numPr>
                <w:ilvl w:val="0"/>
                <w:numId w:val="0"/>
              </w:numPr>
              <w:rPr>
                <w:rFonts w:hint="eastAsia" w:ascii="宋体" w:hAnsi="宋体" w:eastAsia="宋体" w:cs="宋体"/>
                <w:color w:val="auto"/>
                <w:kern w:val="0"/>
                <w:sz w:val="24"/>
                <w:szCs w:val="24"/>
                <w:highlight w:val="none"/>
                <w:lang w:val="en-US" w:eastAsia="zh-CN" w:bidi="ar-SA"/>
              </w:rPr>
            </w:pPr>
            <w:r>
              <w:rPr>
                <w:rFonts w:ascii="宋体" w:hAnsi="宋体" w:eastAsia="宋体" w:cs="宋体"/>
                <w:color w:val="auto"/>
                <w:sz w:val="24"/>
                <w:szCs w:val="24"/>
                <w:highlight w:val="none"/>
              </w:rPr>
              <w:t>投标供应商须以招标文件的</w:t>
            </w:r>
            <w:r>
              <w:rPr>
                <w:rFonts w:hint="eastAsia" w:ascii="宋体" w:hAnsi="宋体" w:eastAsia="宋体" w:cs="宋体"/>
                <w:color w:val="auto"/>
                <w:sz w:val="24"/>
                <w:szCs w:val="24"/>
                <w:highlight w:val="none"/>
                <w:lang w:val="en-US" w:eastAsia="zh-CN"/>
              </w:rPr>
              <w:t>所有</w:t>
            </w:r>
            <w:r>
              <w:rPr>
                <w:rFonts w:ascii="宋体" w:hAnsi="宋体" w:eastAsia="宋体" w:cs="宋体"/>
                <w:color w:val="auto"/>
                <w:sz w:val="24"/>
                <w:szCs w:val="24"/>
                <w:highlight w:val="none"/>
              </w:rPr>
              <w:t>技术参数要求为基准，针对技术偏离表要逐条对比撰写。投标人所投产品的标</w:t>
            </w:r>
            <w:r>
              <w:rPr>
                <w:rFonts w:hint="eastAsia" w:ascii="宋体" w:hAnsi="宋体" w:eastAsia="宋体" w:cs="宋体"/>
                <w:color w:val="auto"/>
                <w:sz w:val="24"/>
                <w:szCs w:val="24"/>
                <w:highlight w:val="none"/>
                <w:lang w:val="en-US" w:eastAsia="zh-CN"/>
              </w:rPr>
              <w:t>所有</w:t>
            </w:r>
            <w:r>
              <w:rPr>
                <w:rFonts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共16项</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 xml:space="preserve">，功能指标与本次项目采购需求的符合程度完全满足、无偏离项得 </w:t>
            </w:r>
            <w:r>
              <w:rPr>
                <w:rFonts w:hint="eastAsia" w:ascii="宋体" w:hAnsi="宋体" w:eastAsia="宋体" w:cs="宋体"/>
                <w:color w:val="auto"/>
                <w:sz w:val="24"/>
                <w:szCs w:val="24"/>
                <w:highlight w:val="none"/>
                <w:lang w:val="en-US" w:eastAsia="zh-CN"/>
              </w:rPr>
              <w:t>32</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为重要指标参数，不满足要求每项扣5分；其他参数为一般参数，</w:t>
            </w:r>
            <w:r>
              <w:rPr>
                <w:rFonts w:ascii="宋体" w:hAnsi="宋体" w:eastAsia="宋体" w:cs="宋体"/>
                <w:color w:val="auto"/>
                <w:sz w:val="24"/>
                <w:szCs w:val="24"/>
                <w:highlight w:val="none"/>
              </w:rPr>
              <w:t xml:space="preserve">不满足要求每项扣 </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 xml:space="preserve"> 分；此项满分 </w:t>
            </w:r>
            <w:r>
              <w:rPr>
                <w:rFonts w:hint="eastAsia" w:ascii="宋体" w:hAnsi="宋体" w:eastAsia="宋体" w:cs="宋体"/>
                <w:color w:val="auto"/>
                <w:sz w:val="24"/>
                <w:szCs w:val="24"/>
                <w:highlight w:val="none"/>
                <w:lang w:val="en-US" w:eastAsia="zh-CN"/>
              </w:rPr>
              <w:t>32</w:t>
            </w:r>
            <w:r>
              <w:rPr>
                <w:rFonts w:ascii="宋体" w:hAnsi="宋体" w:eastAsia="宋体" w:cs="宋体"/>
                <w:color w:val="auto"/>
                <w:sz w:val="24"/>
                <w:szCs w:val="24"/>
                <w:highlight w:val="none"/>
              </w:rPr>
              <w:t xml:space="preserve"> 分，最低得 0 分。 注：供应商须对本招标文件技术要求进行点对点应答，必须进行逐条逐项答复、说明和解释，特别对有具体参数要求的指标，投标人必须提供所投货物的具体参数值。</w:t>
            </w:r>
          </w:p>
        </w:tc>
        <w:tc>
          <w:tcPr>
            <w:tcW w:w="855" w:type="dxa"/>
            <w:tcBorders>
              <w:bottom w:val="single" w:color="auto" w:sz="4" w:space="0"/>
            </w:tcBorders>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800"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409" w:type="dxa"/>
            <w:tcBorders>
              <w:bottom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备品备件</w:t>
            </w:r>
          </w:p>
        </w:tc>
        <w:tc>
          <w:tcPr>
            <w:tcW w:w="5613" w:type="dxa"/>
            <w:tcBorders>
              <w:bottom w:val="single" w:color="auto" w:sz="4" w:space="0"/>
            </w:tcBorders>
            <w:noWrap w:val="0"/>
            <w:vAlign w:val="center"/>
          </w:tcPr>
          <w:p>
            <w:pPr>
              <w:widowControl/>
              <w:numPr>
                <w:ilvl w:val="0"/>
                <w:numId w:val="0"/>
              </w:numP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备品、备件投标人承诺储备的易损易坏部件、备品备件种类完善、数 量达到供货数量 10%及以上的，得 </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w:t>
            </w:r>
          </w:p>
          <w:p>
            <w:pPr>
              <w:widowControl/>
              <w:numPr>
                <w:ilvl w:val="0"/>
                <w:numId w:val="0"/>
              </w:numP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投标人承诺储备的易损易坏部件、备品备件种类完善、数量达到供货数量 9%—8%的，得 </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 xml:space="preserve">分； </w:t>
            </w:r>
          </w:p>
          <w:p>
            <w:pPr>
              <w:widowControl/>
              <w:numPr>
                <w:ilvl w:val="0"/>
                <w:numId w:val="0"/>
              </w:numP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投标人承诺储备的易损易坏部件、备品备件种类完善、数量达到供货数量 7%—5%的，得 </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 xml:space="preserve"> 分； </w:t>
            </w:r>
          </w:p>
          <w:p>
            <w:pPr>
              <w:widowControl/>
              <w:numPr>
                <w:ilvl w:val="0"/>
                <w:numId w:val="0"/>
              </w:numP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投标人承诺储备的易损易坏部件、备品备件种类完善、数量达到供货数量 4%—3%的得 </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 xml:space="preserve"> 分； </w:t>
            </w:r>
          </w:p>
          <w:p>
            <w:pPr>
              <w:widowControl/>
              <w:numPr>
                <w:ilvl w:val="0"/>
                <w:numId w:val="0"/>
              </w:numPr>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投标人承诺储备的易损易坏部件、备品备件种类完善、数量 2%及以下或不提供承诺的，得 0</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 xml:space="preserve"> 分。</w:t>
            </w:r>
          </w:p>
        </w:tc>
        <w:tc>
          <w:tcPr>
            <w:tcW w:w="855" w:type="dxa"/>
            <w:tcBorders>
              <w:bottom w:val="single" w:color="auto" w:sz="4" w:space="0"/>
            </w:tcBorders>
            <w:noWrap w:val="0"/>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800" w:type="dxa"/>
            <w:vMerge w:val="continue"/>
            <w:noWrap w:val="0"/>
            <w:vAlign w:val="center"/>
          </w:tcPr>
          <w:p>
            <w:pPr>
              <w:jc w:val="left"/>
              <w:rPr>
                <w:rFonts w:hint="eastAsia" w:ascii="宋体" w:hAnsi="宋体" w:eastAsia="宋体" w:cs="宋体"/>
                <w:color w:val="auto"/>
                <w:kern w:val="0"/>
                <w:sz w:val="24"/>
                <w:szCs w:val="24"/>
                <w:highlight w:val="none"/>
              </w:rPr>
            </w:pPr>
          </w:p>
        </w:tc>
        <w:tc>
          <w:tcPr>
            <w:tcW w:w="1409"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供货</w:t>
            </w:r>
            <w:r>
              <w:rPr>
                <w:rFonts w:hint="eastAsia" w:ascii="宋体" w:hAnsi="宋体" w:eastAsia="宋体" w:cs="宋体"/>
                <w:color w:val="auto"/>
                <w:kern w:val="0"/>
                <w:sz w:val="24"/>
                <w:szCs w:val="24"/>
                <w:highlight w:val="none"/>
              </w:rPr>
              <w:t>方案</w:t>
            </w:r>
          </w:p>
        </w:tc>
        <w:tc>
          <w:tcPr>
            <w:tcW w:w="5613" w:type="dxa"/>
            <w:noWrap w:val="0"/>
            <w:vAlign w:val="center"/>
          </w:tcPr>
          <w:p>
            <w:pPr>
              <w:widowControl/>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投标人根据招标文件要求提供实施措施方案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方案内容包含但不限于:</w:t>
            </w:r>
          </w:p>
          <w:p>
            <w:pPr>
              <w:widowControl/>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产品详细的产品质量保证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p>
            <w:pPr>
              <w:widowControl/>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产品详细的</w:t>
            </w:r>
            <w:r>
              <w:rPr>
                <w:rFonts w:hint="eastAsia" w:ascii="宋体" w:hAnsi="宋体" w:eastAsia="宋体" w:cs="宋体"/>
                <w:color w:val="auto"/>
                <w:sz w:val="24"/>
                <w:szCs w:val="24"/>
                <w:highlight w:val="none"/>
                <w:lang w:val="en-US" w:eastAsia="zh-CN"/>
              </w:rPr>
              <w:t>生产周期;3分</w:t>
            </w:r>
            <w:r>
              <w:rPr>
                <w:rFonts w:hint="eastAsia" w:ascii="宋体" w:hAnsi="宋体" w:eastAsia="宋体" w:cs="宋体"/>
                <w:color w:val="auto"/>
                <w:sz w:val="24"/>
                <w:szCs w:val="24"/>
                <w:highlight w:val="none"/>
                <w:lang w:eastAsia="zh-CN"/>
              </w:rPr>
              <w:t>;</w:t>
            </w:r>
          </w:p>
          <w:p>
            <w:pPr>
              <w:widowControl/>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产品详细的运送</w:t>
            </w:r>
            <w:r>
              <w:rPr>
                <w:rFonts w:hint="eastAsia" w:ascii="宋体" w:hAnsi="宋体" w:eastAsia="宋体" w:cs="宋体"/>
                <w:color w:val="auto"/>
                <w:sz w:val="24"/>
                <w:szCs w:val="24"/>
                <w:highlight w:val="none"/>
                <w:lang w:val="en-US" w:eastAsia="zh-CN"/>
              </w:rPr>
              <w:t>时间；3分</w:t>
            </w:r>
            <w:r>
              <w:rPr>
                <w:rFonts w:hint="eastAsia" w:ascii="宋体" w:hAnsi="宋体" w:eastAsia="宋体" w:cs="宋体"/>
                <w:color w:val="auto"/>
                <w:sz w:val="24"/>
                <w:szCs w:val="24"/>
                <w:highlight w:val="none"/>
                <w:lang w:eastAsia="zh-CN"/>
              </w:rPr>
              <w:t>;</w:t>
            </w:r>
          </w:p>
          <w:p>
            <w:pPr>
              <w:widowControl/>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产品详细的安装调试计划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p>
            <w:pPr>
              <w:widowControl/>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产品详细的</w:t>
            </w:r>
            <w:r>
              <w:rPr>
                <w:rFonts w:hint="eastAsia" w:ascii="宋体" w:hAnsi="宋体" w:eastAsia="宋体" w:cs="宋体"/>
                <w:color w:val="auto"/>
                <w:sz w:val="24"/>
                <w:szCs w:val="24"/>
                <w:highlight w:val="none"/>
                <w:lang w:val="en-US" w:eastAsia="zh-CN"/>
              </w:rPr>
              <w:t>环保要求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p>
            <w:pPr>
              <w:widowControl/>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方案完整严密、科学有序、编制完善、可行性强、结合项目实际情况、符合</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所投产品</w:t>
            </w:r>
            <w:r>
              <w:rPr>
                <w:rFonts w:hint="eastAsia" w:ascii="宋体" w:hAnsi="宋体" w:eastAsia="宋体" w:cs="宋体"/>
                <w:color w:val="auto"/>
                <w:sz w:val="24"/>
                <w:szCs w:val="24"/>
                <w:highlight w:val="none"/>
                <w:lang w:eastAsia="zh-CN"/>
              </w:rPr>
              <w:t>特点且完全满足项目需求的每有一项得以上相应分数;预案不完整或缺项、不符合项目实际情况、缺乏可实施性、描述不清晰、不完善的，每有一项</w:t>
            </w:r>
            <w:r>
              <w:rPr>
                <w:rFonts w:hint="eastAsia" w:ascii="宋体" w:hAnsi="宋体" w:eastAsia="宋体" w:cs="宋体"/>
                <w:color w:val="auto"/>
                <w:sz w:val="24"/>
                <w:szCs w:val="24"/>
                <w:highlight w:val="none"/>
                <w:lang w:val="en-US" w:eastAsia="zh-CN"/>
              </w:rPr>
              <w:t>该项</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分；未提供或不满足要求的不得分。</w:t>
            </w:r>
          </w:p>
        </w:tc>
        <w:tc>
          <w:tcPr>
            <w:tcW w:w="85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00" w:type="dxa"/>
            <w:vMerge w:val="continue"/>
            <w:noWrap w:val="0"/>
            <w:vAlign w:val="center"/>
          </w:tcPr>
          <w:p>
            <w:pPr>
              <w:jc w:val="left"/>
              <w:rPr>
                <w:rFonts w:hint="eastAsia" w:ascii="宋体" w:hAnsi="宋体" w:eastAsia="宋体" w:cs="宋体"/>
                <w:color w:val="auto"/>
                <w:kern w:val="0"/>
                <w:sz w:val="24"/>
                <w:szCs w:val="24"/>
                <w:highlight w:val="none"/>
              </w:rPr>
            </w:pPr>
          </w:p>
        </w:tc>
        <w:tc>
          <w:tcPr>
            <w:tcW w:w="1409"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售后</w:t>
            </w:r>
            <w:r>
              <w:rPr>
                <w:rFonts w:hint="eastAsia" w:ascii="宋体" w:hAnsi="宋体" w:eastAsia="宋体" w:cs="宋体"/>
                <w:color w:val="auto"/>
                <w:kern w:val="0"/>
                <w:sz w:val="24"/>
                <w:szCs w:val="24"/>
                <w:highlight w:val="none"/>
              </w:rPr>
              <w:t>方案</w:t>
            </w:r>
          </w:p>
        </w:tc>
        <w:tc>
          <w:tcPr>
            <w:tcW w:w="5613" w:type="dxa"/>
            <w:noWrap w:val="0"/>
            <w:vAlign w:val="center"/>
          </w:tcPr>
          <w:p>
            <w:pPr>
              <w:widowControl/>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投标人根据采购需求提供完备的有针对性的售后服务及应急处理方案，内容包含但不限于:</w:t>
            </w:r>
          </w:p>
          <w:p>
            <w:pPr>
              <w:widowControl/>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1.服务响应时间（1个小时响应得3分，2小时响应得1.5分，超出时间不得分）（1分）</w:t>
            </w:r>
          </w:p>
          <w:p>
            <w:pPr>
              <w:widowControl/>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2.本地化人员服务保障（1分）</w:t>
            </w:r>
          </w:p>
          <w:p>
            <w:pPr>
              <w:widowControl/>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3.所投产品详细的定期回访和检查制度（1分）</w:t>
            </w:r>
          </w:p>
          <w:p>
            <w:pPr>
              <w:widowControl/>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4.所投产品详细的标准化业务服务（1分）</w:t>
            </w:r>
          </w:p>
          <w:p>
            <w:pPr>
              <w:widowControl/>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5.所投产品详细的故障排除（1分）</w:t>
            </w:r>
          </w:p>
          <w:p>
            <w:pPr>
              <w:widowControl/>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相关要求要完整严密、科学有序、编制完善、结合项目实际情况、可实施性强的每有一项得相应分;预案不完整或缺项不符合项目实际情况、缺乏可实施性、描述不清晰、不完善的不得分。</w:t>
            </w:r>
          </w:p>
        </w:tc>
        <w:tc>
          <w:tcPr>
            <w:tcW w:w="85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bl>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第六章  投标文件格式 </w:t>
      </w:r>
    </w:p>
    <w:p>
      <w:pPr>
        <w:jc w:val="center"/>
        <w:rPr>
          <w:rFonts w:hint="eastAsia" w:ascii="宋体" w:hAnsi="宋体" w:eastAsia="宋体" w:cs="宋体"/>
          <w:b/>
          <w:color w:val="auto"/>
          <w:sz w:val="72"/>
          <w:highlight w:val="none"/>
        </w:rPr>
      </w:pPr>
      <w:bookmarkStart w:id="205" w:name="_Hlt26671244"/>
      <w:bookmarkEnd w:id="205"/>
      <w:bookmarkStart w:id="206" w:name="_Hlt26955039"/>
      <w:bookmarkEnd w:id="206"/>
      <w:bookmarkStart w:id="207" w:name="_Toc120614282"/>
      <w:bookmarkStart w:id="208" w:name="_Toc26554094"/>
      <w:bookmarkStart w:id="209" w:name="_Toc49090576"/>
    </w:p>
    <w:p>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投  标  文  件</w:t>
      </w:r>
    </w:p>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z w:val="36"/>
          <w:highlight w:val="none"/>
        </w:rPr>
      </w:pPr>
    </w:p>
    <w:p>
      <w:pPr>
        <w:jc w:val="center"/>
        <w:rPr>
          <w:rFonts w:hint="eastAsia" w:ascii="宋体" w:hAnsi="宋体" w:eastAsia="宋体" w:cs="宋体"/>
          <w:b/>
          <w:color w:val="auto"/>
          <w:sz w:val="36"/>
          <w:highlight w:val="none"/>
        </w:rPr>
      </w:pPr>
    </w:p>
    <w:p>
      <w:pPr>
        <w:jc w:val="center"/>
        <w:rPr>
          <w:rFonts w:hint="eastAsia" w:ascii="宋体" w:hAnsi="宋体" w:eastAsia="宋体" w:cs="宋体"/>
          <w:b/>
          <w:color w:val="auto"/>
          <w:sz w:val="36"/>
          <w:highlight w:val="none"/>
        </w:rPr>
      </w:pPr>
    </w:p>
    <w:p>
      <w:pPr>
        <w:ind w:firstLine="1084" w:firstLineChars="30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项 目 名 称：</w:t>
      </w:r>
      <w:r>
        <w:rPr>
          <w:rFonts w:hint="eastAsia" w:ascii="宋体" w:hAnsi="宋体" w:eastAsia="宋体" w:cs="宋体"/>
          <w:b/>
          <w:color w:val="auto"/>
          <w:sz w:val="36"/>
          <w:highlight w:val="none"/>
          <w:u w:val="single"/>
        </w:rPr>
        <w:t xml:space="preserve">               </w:t>
      </w:r>
    </w:p>
    <w:p>
      <w:pPr>
        <w:ind w:firstLine="1084" w:firstLineChars="300"/>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lang w:val="en-US" w:eastAsia="zh-CN"/>
        </w:rPr>
        <w:t>项 目</w:t>
      </w:r>
      <w:r>
        <w:rPr>
          <w:rFonts w:hint="eastAsia" w:ascii="宋体" w:hAnsi="宋体" w:eastAsia="宋体" w:cs="宋体"/>
          <w:b/>
          <w:color w:val="auto"/>
          <w:sz w:val="36"/>
          <w:highlight w:val="none"/>
        </w:rPr>
        <w:t xml:space="preserve"> 编 号：</w:t>
      </w:r>
      <w:r>
        <w:rPr>
          <w:rFonts w:hint="eastAsia" w:ascii="宋体" w:hAnsi="宋体" w:eastAsia="宋体" w:cs="宋体"/>
          <w:b/>
          <w:color w:val="auto"/>
          <w:sz w:val="36"/>
          <w:highlight w:val="none"/>
          <w:u w:val="single"/>
        </w:rPr>
        <w:t xml:space="preserve">               </w:t>
      </w:r>
    </w:p>
    <w:p>
      <w:pPr>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 xml:space="preserve">      </w:t>
      </w:r>
      <w:r>
        <w:rPr>
          <w:rFonts w:hint="eastAsia" w:ascii="宋体" w:hAnsi="宋体" w:eastAsia="宋体" w:cs="宋体"/>
          <w:b/>
          <w:color w:val="auto"/>
          <w:sz w:val="36"/>
          <w:highlight w:val="none"/>
          <w:lang w:val="en-US" w:eastAsia="zh-CN"/>
        </w:rPr>
        <w:t>供应商</w:t>
      </w:r>
      <w:r>
        <w:rPr>
          <w:rFonts w:hint="eastAsia" w:ascii="宋体" w:hAnsi="宋体" w:eastAsia="宋体" w:cs="宋体"/>
          <w:b/>
          <w:color w:val="auto"/>
          <w:sz w:val="36"/>
          <w:highlight w:val="none"/>
        </w:rPr>
        <w:t>名称 ：</w:t>
      </w:r>
      <w:r>
        <w:rPr>
          <w:rFonts w:hint="eastAsia" w:ascii="宋体" w:hAnsi="宋体" w:eastAsia="宋体" w:cs="宋体"/>
          <w:b/>
          <w:color w:val="auto"/>
          <w:sz w:val="36"/>
          <w:highlight w:val="none"/>
          <w:u w:val="single"/>
        </w:rPr>
        <w:t>（电子签章）</w:t>
      </w:r>
      <w:r>
        <w:rPr>
          <w:rFonts w:hint="eastAsia" w:ascii="宋体" w:hAnsi="宋体" w:eastAsia="宋体" w:cs="宋体"/>
          <w:b/>
          <w:color w:val="auto"/>
          <w:sz w:val="36"/>
          <w:highlight w:val="none"/>
          <w:u w:val="none"/>
          <w:lang w:val="en-US" w:eastAsia="zh-CN"/>
        </w:rPr>
        <w:t xml:space="preserve">  </w:t>
      </w:r>
      <w:r>
        <w:rPr>
          <w:rFonts w:hint="eastAsia" w:ascii="宋体" w:hAnsi="宋体" w:eastAsia="宋体" w:cs="宋体"/>
          <w:b/>
          <w:color w:val="auto"/>
          <w:sz w:val="36"/>
          <w:highlight w:val="none"/>
          <w:u w:val="single"/>
          <w:lang w:val="en-US" w:eastAsia="zh-CN"/>
        </w:rPr>
        <w:t xml:space="preserve">  </w:t>
      </w:r>
      <w:r>
        <w:rPr>
          <w:rFonts w:hint="eastAsia" w:ascii="宋体" w:hAnsi="宋体" w:eastAsia="宋体" w:cs="宋体"/>
          <w:b/>
          <w:color w:val="auto"/>
          <w:sz w:val="36"/>
          <w:highlight w:val="none"/>
          <w:u w:val="single"/>
        </w:rPr>
        <w:t xml:space="preserve">               </w:t>
      </w:r>
    </w:p>
    <w:p>
      <w:pPr>
        <w:ind w:firstLine="1084" w:firstLineChars="300"/>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日      期 ：</w:t>
      </w:r>
    </w:p>
    <w:p>
      <w:pP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rPr>
        <w:t xml:space="preserve">              </w:t>
      </w:r>
    </w:p>
    <w:p>
      <w:pPr>
        <w:spacing w:line="440" w:lineRule="exact"/>
        <w:jc w:val="center"/>
        <w:rPr>
          <w:rFonts w:hint="eastAsia" w:ascii="宋体" w:hAnsi="宋体" w:eastAsia="宋体" w:cs="宋体"/>
          <w:b/>
          <w:bCs/>
          <w:color w:val="auto"/>
          <w:sz w:val="32"/>
          <w:szCs w:val="32"/>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评分索引表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21"/>
              <w:shd w:val="clear" w:color="auto" w:fill="FFFFFF"/>
              <w:spacing w:line="265" w:lineRule="atLeast"/>
              <w:ind w:left="420"/>
              <w:jc w:val="center"/>
              <w:rPr>
                <w:rFonts w:hint="eastAsia" w:ascii="宋体" w:hAnsi="宋体" w:eastAsia="宋体" w:cs="宋体"/>
                <w:b/>
                <w:bCs/>
                <w:color w:val="auto"/>
                <w:highlight w:val="none"/>
                <w:lang w:val="en-US" w:eastAsia="zh-CN"/>
              </w:rPr>
            </w:pPr>
            <w:r>
              <w:rPr>
                <w:rFonts w:hint="eastAsia" w:ascii="宋体" w:hAnsi="宋体" w:eastAsia="宋体" w:cs="宋体"/>
                <w:b/>
                <w:color w:val="auto"/>
                <w:highlight w:val="none"/>
                <w:lang w:val="en-US"/>
              </w:rPr>
              <w:t>评分项目</w:t>
            </w:r>
          </w:p>
        </w:tc>
        <w:tc>
          <w:tcPr>
            <w:tcW w:w="3711" w:type="dxa"/>
            <w:noWrap w:val="0"/>
            <w:vAlign w:val="top"/>
          </w:tcPr>
          <w:p>
            <w:pPr>
              <w:jc w:val="center"/>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noWrap w:val="0"/>
            <w:vAlign w:val="top"/>
          </w:tcPr>
          <w:p>
            <w:pPr>
              <w:pStyle w:val="21"/>
              <w:shd w:val="clear" w:color="auto" w:fill="FFFFFF"/>
              <w:spacing w:line="265" w:lineRule="atLeast"/>
              <w:ind w:left="420"/>
              <w:jc w:val="both"/>
              <w:rPr>
                <w:rFonts w:hint="eastAsia" w:ascii="宋体" w:hAnsi="宋体" w:eastAsia="宋体" w:cs="宋体"/>
                <w:b/>
                <w:color w:val="auto"/>
                <w:highlight w:val="none"/>
                <w:lang w:val="en-US" w:eastAsia="zh-CN"/>
              </w:rPr>
            </w:pPr>
          </w:p>
        </w:tc>
        <w:tc>
          <w:tcPr>
            <w:tcW w:w="3711" w:type="dxa"/>
            <w:noWrap w:val="0"/>
            <w:vAlign w:val="top"/>
          </w:tcPr>
          <w:p>
            <w:pPr>
              <w:rPr>
                <w:rFonts w:hint="eastAsia" w:ascii="宋体" w:hAnsi="宋体" w:eastAsia="宋体" w:cs="宋体"/>
                <w:b/>
                <w:color w:val="auto"/>
                <w:kern w:val="0"/>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pPr>
              <w:pStyle w:val="21"/>
              <w:shd w:val="clear" w:color="auto" w:fill="FFFFFF"/>
              <w:spacing w:line="265" w:lineRule="atLeast"/>
              <w:ind w:left="420"/>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pPr>
              <w:pStyle w:val="21"/>
              <w:shd w:val="clear" w:color="auto" w:fill="FFFFFF"/>
              <w:spacing w:line="265" w:lineRule="atLeast"/>
              <w:ind w:left="420"/>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pPr>
              <w:pStyle w:val="21"/>
              <w:shd w:val="clear" w:color="auto" w:fill="FFFFFF"/>
              <w:spacing w:line="265" w:lineRule="atLeast"/>
              <w:ind w:left="420"/>
              <w:jc w:val="both"/>
              <w:rPr>
                <w:rFonts w:hint="eastAsia" w:ascii="宋体" w:hAnsi="宋体" w:eastAsia="宋体" w:cs="宋体"/>
                <w:b/>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pPr>
              <w:pStyle w:val="21"/>
              <w:shd w:val="clear" w:color="auto" w:fill="FFFFFF"/>
              <w:spacing w:line="265" w:lineRule="atLeast"/>
              <w:ind w:left="420"/>
              <w:rPr>
                <w:rFonts w:hint="eastAsia" w:ascii="宋体" w:hAnsi="宋体" w:eastAsia="宋体" w:cs="宋体"/>
                <w:b/>
                <w:bCs/>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pPr>
              <w:pStyle w:val="21"/>
              <w:shd w:val="clear" w:color="auto" w:fill="FFFFFF"/>
              <w:spacing w:line="265" w:lineRule="atLeast"/>
              <w:ind w:left="420"/>
              <w:rPr>
                <w:rFonts w:hint="eastAsia" w:ascii="宋体" w:hAnsi="宋体" w:eastAsia="宋体" w:cs="宋体"/>
                <w:color w:val="auto"/>
                <w:highlight w:val="none"/>
                <w:lang w:val="en-US" w:eastAsia="zh-CN"/>
              </w:rPr>
            </w:pPr>
          </w:p>
        </w:tc>
        <w:tc>
          <w:tcPr>
            <w:tcW w:w="3711" w:type="dxa"/>
            <w:noWrap w:val="0"/>
            <w:vAlign w:val="top"/>
          </w:tcPr>
          <w:p>
            <w:pPr>
              <w:rPr>
                <w:rFonts w:hint="eastAsia" w:ascii="宋体" w:hAnsi="宋体" w:eastAsia="宋体" w:cs="宋体"/>
                <w:color w:val="auto"/>
                <w:highlight w:val="none"/>
              </w:rPr>
            </w:pPr>
          </w:p>
        </w:tc>
      </w:tr>
    </w:tbl>
    <w:p>
      <w:pPr>
        <w:rPr>
          <w:rFonts w:hint="eastAsia" w:ascii="宋体" w:hAnsi="宋体" w:eastAsia="宋体" w:cs="宋体"/>
          <w:color w:val="auto"/>
          <w:highlight w:val="none"/>
        </w:rPr>
      </w:pPr>
    </w:p>
    <w:p>
      <w:pPr>
        <w:ind w:firstLine="1084" w:firstLineChars="30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6"/>
          <w:highlight w:val="none"/>
          <w:u w:val="single"/>
        </w:rPr>
        <w:br w:type="page"/>
      </w:r>
      <w:r>
        <w:rPr>
          <w:rFonts w:hint="eastAsia" w:ascii="宋体" w:hAnsi="宋体" w:eastAsia="宋体" w:cs="宋体"/>
          <w:b/>
          <w:bCs/>
          <w:color w:val="auto"/>
          <w:sz w:val="32"/>
          <w:szCs w:val="32"/>
          <w:highlight w:val="none"/>
        </w:rPr>
        <w:t>投标主要文件目录</w:t>
      </w:r>
    </w:p>
    <w:p>
      <w:pPr>
        <w:spacing w:line="440" w:lineRule="exact"/>
        <w:jc w:val="center"/>
        <w:rPr>
          <w:rFonts w:hint="eastAsia" w:ascii="宋体" w:hAnsi="宋体" w:eastAsia="宋体" w:cs="宋体"/>
          <w:b/>
          <w:bCs/>
          <w:color w:val="auto"/>
          <w:sz w:val="32"/>
          <w:szCs w:val="32"/>
          <w:highlight w:val="none"/>
        </w:rPr>
      </w:pP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一、资格审查响应对照表</w:t>
      </w:r>
    </w:p>
    <w:p>
      <w:pPr>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二、符合性审查响应对照表</w:t>
      </w:r>
    </w:p>
    <w:p>
      <w:pPr>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三、非实质性响应对照表</w:t>
      </w: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投标产品配置与分项报价表</w:t>
      </w: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sz w:val="24"/>
          <w:szCs w:val="24"/>
          <w:highlight w:val="none"/>
        </w:rPr>
        <w:t>、技术参数响应及偏离表</w:t>
      </w: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六、商务条款响应及偏离表</w:t>
      </w:r>
    </w:p>
    <w:p>
      <w:pPr>
        <w:ind w:firstLine="480" w:firstLineChars="200"/>
        <w:rPr>
          <w:rFonts w:hint="eastAsia" w:ascii="宋体" w:hAnsi="宋体" w:eastAsia="宋体" w:cs="宋体"/>
          <w:i/>
          <w:color w:val="auto"/>
          <w:sz w:val="24"/>
          <w:highlight w:val="none"/>
          <w:u w:val="single"/>
        </w:rPr>
      </w:pPr>
      <w:r>
        <w:rPr>
          <w:rFonts w:hint="eastAsia" w:ascii="宋体" w:hAnsi="宋体" w:eastAsia="宋体" w:cs="宋体"/>
          <w:i/>
          <w:color w:val="auto"/>
          <w:sz w:val="24"/>
          <w:highlight w:val="none"/>
          <w:u w:val="single"/>
        </w:rPr>
        <w:t>七、开标一览表</w:t>
      </w:r>
    </w:p>
    <w:p>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1"/>
          <w:highlight w:val="none"/>
          <w:lang w:val="en-US" w:eastAsia="zh-CN" w:bidi="ar-SA"/>
        </w:rPr>
        <w:t>八、供应商认为有必要提供的声明及文件资料</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pStyle w:val="4"/>
        <w:jc w:val="center"/>
        <w:rPr>
          <w:rFonts w:hint="eastAsia" w:ascii="宋体" w:hAnsi="宋体" w:eastAsia="宋体" w:cs="宋体"/>
          <w:color w:val="auto"/>
          <w:sz w:val="44"/>
          <w:highlight w:val="none"/>
        </w:rPr>
      </w:pPr>
      <w:r>
        <w:rPr>
          <w:rFonts w:hint="eastAsia" w:ascii="宋体" w:hAnsi="宋体" w:eastAsia="宋体" w:cs="宋体"/>
          <w:color w:val="auto"/>
          <w:sz w:val="24"/>
          <w:highlight w:val="none"/>
        </w:rPr>
        <w:br w:type="page"/>
      </w:r>
      <w:bookmarkStart w:id="210" w:name="_Toc534816641"/>
      <w:bookmarkStart w:id="211" w:name="_Toc534725612"/>
      <w:r>
        <w:rPr>
          <w:rFonts w:hint="eastAsia" w:ascii="宋体" w:hAnsi="宋体" w:eastAsia="宋体" w:cs="宋体"/>
          <w:bCs w:val="0"/>
          <w:color w:val="auto"/>
          <w:highlight w:val="none"/>
        </w:rPr>
        <w:t>一、</w:t>
      </w:r>
      <w:bookmarkEnd w:id="210"/>
      <w:bookmarkEnd w:id="211"/>
      <w:r>
        <w:rPr>
          <w:rFonts w:hint="eastAsia" w:ascii="宋体" w:hAnsi="宋体" w:eastAsia="宋体" w:cs="宋体"/>
          <w:bCs w:val="0"/>
          <w:color w:val="auto"/>
          <w:highlight w:val="none"/>
        </w:rPr>
        <w:t>资格审查响应对照表</w:t>
      </w:r>
      <w:bookmarkEnd w:id="207"/>
      <w:bookmarkEnd w:id="208"/>
      <w:bookmarkEnd w:id="209"/>
    </w:p>
    <w:p>
      <w:pPr>
        <w:snapToGrid w:val="0"/>
        <w:spacing w:before="50" w:after="50"/>
        <w:rPr>
          <w:rFonts w:hint="eastAsia" w:ascii="宋体" w:hAnsi="宋体" w:eastAsia="宋体" w:cs="宋体"/>
          <w:color w:val="auto"/>
          <w:sz w:val="44"/>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5447"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资格审查响应内容</w:t>
            </w:r>
          </w:p>
        </w:tc>
        <w:tc>
          <w:tcPr>
            <w:tcW w:w="1103"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是否响应</w:t>
            </w:r>
          </w:p>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（填是或否）</w:t>
            </w:r>
          </w:p>
        </w:tc>
        <w:tc>
          <w:tcPr>
            <w:tcW w:w="1916"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pPr>
              <w:rPr>
                <w:rFonts w:hint="eastAsia" w:ascii="宋体" w:hAnsi="宋体" w:eastAsia="宋体" w:cs="宋体"/>
                <w:b/>
                <w:color w:val="auto"/>
                <w:highlight w:val="none"/>
              </w:rPr>
            </w:pPr>
            <w:r>
              <w:rPr>
                <w:rFonts w:hint="eastAsia" w:ascii="宋体" w:hAnsi="宋体" w:eastAsia="宋体" w:cs="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5447" w:type="dxa"/>
            <w:noWrap w:val="0"/>
            <w:vAlign w:val="center"/>
          </w:tcPr>
          <w:p>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法人或者其他组织的营业执照等证明文件，自然人的身份证明（身份证为正、反面）</w:t>
            </w:r>
          </w:p>
        </w:tc>
        <w:tc>
          <w:tcPr>
            <w:tcW w:w="1103" w:type="dxa"/>
            <w:noWrap w:val="0"/>
            <w:vAlign w:val="center"/>
          </w:tcPr>
          <w:p>
            <w:pPr>
              <w:rPr>
                <w:rFonts w:hint="eastAsia" w:ascii="宋体" w:hAnsi="宋体" w:eastAsia="宋体" w:cs="宋体"/>
                <w:b/>
                <w:color w:val="auto"/>
                <w:highlight w:val="none"/>
              </w:rPr>
            </w:pPr>
          </w:p>
        </w:tc>
        <w:tc>
          <w:tcPr>
            <w:tcW w:w="1916" w:type="dxa"/>
            <w:noWrap w:val="0"/>
            <w:vAlign w:val="center"/>
          </w:tcPr>
          <w:p>
            <w:pP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5447" w:type="dxa"/>
            <w:noWrap w:val="0"/>
            <w:vAlign w:val="center"/>
          </w:tcPr>
          <w:p>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最近一个年度的财务状况报告（成立不满一年不需提供）</w:t>
            </w:r>
          </w:p>
        </w:tc>
        <w:tc>
          <w:tcPr>
            <w:tcW w:w="1103" w:type="dxa"/>
            <w:noWrap w:val="0"/>
            <w:vAlign w:val="center"/>
          </w:tcPr>
          <w:p>
            <w:pPr>
              <w:rPr>
                <w:rFonts w:hint="eastAsia" w:ascii="宋体" w:hAnsi="宋体" w:eastAsia="宋体" w:cs="宋体"/>
                <w:color w:val="auto"/>
                <w:highlight w:val="none"/>
              </w:rPr>
            </w:pPr>
          </w:p>
        </w:tc>
        <w:tc>
          <w:tcPr>
            <w:tcW w:w="1916"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5447" w:type="dxa"/>
            <w:noWrap w:val="0"/>
            <w:vAlign w:val="center"/>
          </w:tcPr>
          <w:p>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hint="eastAsia" w:ascii="宋体" w:hAnsi="宋体" w:eastAsia="宋体" w:cs="宋体"/>
                <w:color w:val="auto"/>
                <w:highlight w:val="none"/>
              </w:rPr>
            </w:pPr>
          </w:p>
        </w:tc>
        <w:tc>
          <w:tcPr>
            <w:tcW w:w="1916"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5447" w:type="dxa"/>
            <w:noWrap w:val="0"/>
            <w:vAlign w:val="center"/>
          </w:tcPr>
          <w:p>
            <w:pPr>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具备履行合同所必需的设备和专业技术能力的书面声明</w:t>
            </w:r>
          </w:p>
        </w:tc>
        <w:tc>
          <w:tcPr>
            <w:tcW w:w="1103" w:type="dxa"/>
            <w:noWrap w:val="0"/>
            <w:vAlign w:val="center"/>
          </w:tcPr>
          <w:p>
            <w:pPr>
              <w:rPr>
                <w:rFonts w:hint="eastAsia" w:ascii="宋体" w:hAnsi="宋体" w:eastAsia="宋体" w:cs="宋体"/>
                <w:color w:val="auto"/>
                <w:highlight w:val="none"/>
              </w:rPr>
            </w:pPr>
          </w:p>
        </w:tc>
        <w:tc>
          <w:tcPr>
            <w:tcW w:w="1916"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5447" w:type="dxa"/>
            <w:noWrap w:val="0"/>
            <w:vAlign w:val="center"/>
          </w:tcPr>
          <w:p>
            <w:pPr>
              <w:snapToGrid w:val="0"/>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参加政府采购活动前 3 年内在经营活动中没有重大违法记录的书面声明</w:t>
            </w:r>
          </w:p>
        </w:tc>
        <w:tc>
          <w:tcPr>
            <w:tcW w:w="1103" w:type="dxa"/>
            <w:noWrap w:val="0"/>
            <w:vAlign w:val="center"/>
          </w:tcPr>
          <w:p>
            <w:pPr>
              <w:rPr>
                <w:rFonts w:hint="eastAsia" w:ascii="宋体" w:hAnsi="宋体" w:eastAsia="宋体" w:cs="宋体"/>
                <w:color w:val="auto"/>
                <w:highlight w:val="none"/>
              </w:rPr>
            </w:pPr>
          </w:p>
        </w:tc>
        <w:tc>
          <w:tcPr>
            <w:tcW w:w="1916"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5447" w:type="dxa"/>
            <w:noWrap w:val="0"/>
            <w:vAlign w:val="center"/>
          </w:tcPr>
          <w:p>
            <w:pPr>
              <w:snapToGrid w:val="0"/>
              <w:spacing w:line="0" w:lineRule="atLeast"/>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rPr>
              <w:t>未被“信用中国”网站（www.creditchina.gov.cn）</w:t>
            </w:r>
            <w:r>
              <w:rPr>
                <w:rFonts w:hint="eastAsia" w:ascii="宋体" w:hAnsi="宋体" w:eastAsia="宋体" w:cs="宋体"/>
                <w:iCs/>
                <w:color w:val="auto"/>
                <w:sz w:val="24"/>
                <w:szCs w:val="24"/>
                <w:highlight w:val="none"/>
                <w:lang w:eastAsia="zh-CN"/>
              </w:rPr>
              <w:t>、“中国政府采购网"(www.ccgp.gov.cn)</w:t>
            </w:r>
            <w:r>
              <w:rPr>
                <w:rFonts w:hint="eastAsia" w:ascii="宋体" w:hAnsi="宋体" w:eastAsia="宋体" w:cs="宋体"/>
                <w:iCs/>
                <w:color w:val="auto"/>
                <w:sz w:val="24"/>
                <w:szCs w:val="24"/>
                <w:highlight w:val="none"/>
              </w:rPr>
              <w:t>列入失信被执行人、重大税收违法案件当事人名单、政府采购严重失信行为记录名单</w:t>
            </w:r>
            <w:r>
              <w:rPr>
                <w:rFonts w:hint="eastAsia" w:ascii="宋体" w:hAnsi="宋体" w:eastAsia="宋体" w:cs="宋体"/>
                <w:color w:val="auto"/>
                <w:sz w:val="24"/>
                <w:szCs w:val="24"/>
                <w:highlight w:val="none"/>
              </w:rPr>
              <w:t>（提供网页截图</w:t>
            </w:r>
            <w:r>
              <w:rPr>
                <w:rFonts w:hint="eastAsia" w:ascii="宋体" w:hAnsi="宋体" w:eastAsia="宋体" w:cs="宋体"/>
                <w:color w:val="auto"/>
                <w:sz w:val="24"/>
                <w:szCs w:val="24"/>
                <w:highlight w:val="none"/>
                <w:lang w:eastAsia="zh-CN"/>
              </w:rPr>
              <w:t>）</w:t>
            </w:r>
          </w:p>
        </w:tc>
        <w:tc>
          <w:tcPr>
            <w:tcW w:w="1103" w:type="dxa"/>
            <w:noWrap w:val="0"/>
            <w:vAlign w:val="center"/>
          </w:tcPr>
          <w:p>
            <w:pPr>
              <w:rPr>
                <w:rFonts w:hint="eastAsia" w:ascii="宋体" w:hAnsi="宋体" w:eastAsia="宋体" w:cs="宋体"/>
                <w:color w:val="auto"/>
                <w:highlight w:val="none"/>
              </w:rPr>
            </w:pPr>
          </w:p>
        </w:tc>
        <w:tc>
          <w:tcPr>
            <w:tcW w:w="1916"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pPr>
              <w:rPr>
                <w:rFonts w:hint="eastAsia" w:ascii="宋体" w:hAnsi="宋体" w:eastAsia="宋体" w:cs="宋体"/>
                <w:color w:val="auto"/>
                <w:highlight w:val="none"/>
              </w:rPr>
            </w:pPr>
            <w:r>
              <w:rPr>
                <w:rFonts w:hint="eastAsia" w:ascii="宋体" w:hAnsi="宋体" w:eastAsia="宋体" w:cs="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5447" w:type="dxa"/>
            <w:noWrap w:val="0"/>
            <w:vAlign w:val="center"/>
          </w:tcPr>
          <w:p>
            <w:pPr>
              <w:snapToGrid w:val="0"/>
              <w:spacing w:line="0" w:lineRule="atLeas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3019" w:type="dxa"/>
            <w:gridSpan w:val="2"/>
            <w:noWrap w:val="0"/>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5447" w:type="dxa"/>
            <w:noWrap w:val="0"/>
            <w:vAlign w:val="center"/>
          </w:tcPr>
          <w:p>
            <w:pPr>
              <w:snapToGrid w:val="0"/>
              <w:spacing w:line="0" w:lineRule="atLeas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3019" w:type="dxa"/>
            <w:gridSpan w:val="2"/>
            <w:noWrap w:val="0"/>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eastAsia="宋体" w:cs="宋体"/>
                <w:color w:val="auto"/>
                <w:highlight w:val="none"/>
              </w:rPr>
            </w:pPr>
            <w:r>
              <w:rPr>
                <w:rFonts w:hint="eastAsia" w:ascii="宋体" w:hAnsi="宋体" w:eastAsia="宋体" w:cs="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p>
        </w:tc>
        <w:tc>
          <w:tcPr>
            <w:tcW w:w="5447" w:type="dxa"/>
            <w:noWrap w:val="0"/>
            <w:vAlign w:val="center"/>
          </w:tcPr>
          <w:p>
            <w:pPr>
              <w:snapToGrid w:val="0"/>
              <w:spacing w:line="0" w:lineRule="atLeas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法人授权书</w:t>
            </w:r>
          </w:p>
        </w:tc>
        <w:tc>
          <w:tcPr>
            <w:tcW w:w="3019" w:type="dxa"/>
            <w:gridSpan w:val="2"/>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5447" w:type="dxa"/>
            <w:noWrap w:val="0"/>
            <w:vAlign w:val="center"/>
          </w:tcPr>
          <w:p>
            <w:pPr>
              <w:snapToGrid w:val="0"/>
              <w:spacing w:line="0" w:lineRule="atLeast"/>
              <w:jc w:val="left"/>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投标保证金缴纳凭证</w:t>
            </w:r>
          </w:p>
        </w:tc>
        <w:tc>
          <w:tcPr>
            <w:tcW w:w="3019" w:type="dxa"/>
            <w:gridSpan w:val="2"/>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如该项目收取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auto"/>
                <w:highlight w:val="none"/>
              </w:rPr>
            </w:pPr>
          </w:p>
        </w:tc>
        <w:tc>
          <w:tcPr>
            <w:tcW w:w="5447" w:type="dxa"/>
            <w:noWrap w:val="0"/>
            <w:vAlign w:val="center"/>
          </w:tcPr>
          <w:p>
            <w:pPr>
              <w:snapToGrid w:val="0"/>
              <w:spacing w:line="0" w:lineRule="atLeast"/>
              <w:jc w:val="left"/>
              <w:rPr>
                <w:rFonts w:hint="eastAsia" w:ascii="宋体" w:hAnsi="宋体" w:eastAsia="宋体" w:cs="宋体"/>
                <w:color w:val="auto"/>
                <w:sz w:val="24"/>
                <w:szCs w:val="24"/>
                <w:highlight w:val="none"/>
              </w:rPr>
            </w:pPr>
          </w:p>
        </w:tc>
        <w:tc>
          <w:tcPr>
            <w:tcW w:w="3019" w:type="dxa"/>
            <w:gridSpan w:val="2"/>
            <w:noWrap w:val="0"/>
            <w:vAlign w:val="center"/>
          </w:tcPr>
          <w:p>
            <w:pPr>
              <w:rPr>
                <w:rFonts w:hint="eastAsia" w:ascii="宋体" w:hAnsi="宋体" w:eastAsia="宋体" w:cs="宋体"/>
                <w:color w:val="auto"/>
                <w:highlight w:val="none"/>
              </w:rPr>
            </w:pPr>
          </w:p>
        </w:tc>
      </w:tr>
    </w:tbl>
    <w:p>
      <w:pPr>
        <w:pStyle w:val="9"/>
        <w:rPr>
          <w:rFonts w:hint="eastAsia" w:ascii="宋体" w:hAnsi="宋体" w:eastAsia="宋体" w:cs="宋体"/>
          <w:color w:val="auto"/>
          <w:highlight w:val="none"/>
        </w:rPr>
        <w:sectPr>
          <w:footerReference r:id="rId4" w:type="first"/>
          <w:pgSz w:w="11906" w:h="16838"/>
          <w:pgMar w:top="1418" w:right="1588" w:bottom="1418" w:left="1365" w:header="851" w:footer="907" w:gutter="0"/>
          <w:cols w:space="720" w:num="1"/>
          <w:titlePg/>
          <w:rtlGutter w:val="0"/>
          <w:docGrid w:type="lines" w:linePitch="290" w:charSpace="0"/>
        </w:sect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二、符合性审查响应对照表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5447" w:type="dxa"/>
            <w:noWrap w:val="0"/>
            <w:vAlign w:val="center"/>
          </w:tcPr>
          <w:p>
            <w:pPr>
              <w:snapToGrid w:val="0"/>
              <w:spacing w:line="240" w:lineRule="atLeast"/>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符合性审查响应内容</w:t>
            </w:r>
          </w:p>
        </w:tc>
        <w:tc>
          <w:tcPr>
            <w:tcW w:w="1680" w:type="dxa"/>
            <w:noWrap w:val="0"/>
            <w:vAlign w:val="center"/>
          </w:tcPr>
          <w:p>
            <w:pPr>
              <w:snapToGrid w:val="0"/>
              <w:spacing w:line="240" w:lineRule="atLeast"/>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是否响应</w:t>
            </w:r>
          </w:p>
          <w:p>
            <w:pPr>
              <w:snapToGrid w:val="0"/>
              <w:spacing w:line="240" w:lineRule="atLeast"/>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（填是或否）</w:t>
            </w:r>
          </w:p>
        </w:tc>
        <w:tc>
          <w:tcPr>
            <w:tcW w:w="1308" w:type="dxa"/>
            <w:noWrap w:val="0"/>
            <w:vAlign w:val="center"/>
          </w:tcPr>
          <w:p>
            <w:pPr>
              <w:snapToGrid w:val="0"/>
              <w:spacing w:line="240" w:lineRule="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p>
        </w:tc>
        <w:tc>
          <w:tcPr>
            <w:tcW w:w="5447" w:type="dxa"/>
            <w:noWrap w:val="0"/>
            <w:vAlign w:val="center"/>
          </w:tcPr>
          <w:p>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报价未超预算</w:t>
            </w:r>
          </w:p>
        </w:tc>
        <w:tc>
          <w:tcPr>
            <w:tcW w:w="1680" w:type="dxa"/>
            <w:noWrap w:val="0"/>
            <w:vAlign w:val="center"/>
          </w:tcPr>
          <w:p>
            <w:pPr>
              <w:spacing w:line="240" w:lineRule="auto"/>
              <w:rPr>
                <w:rFonts w:hint="eastAsia" w:ascii="宋体" w:hAnsi="宋体" w:eastAsia="宋体" w:cs="宋体"/>
                <w:color w:val="auto"/>
                <w:sz w:val="21"/>
                <w:highlight w:val="none"/>
              </w:rPr>
            </w:pPr>
          </w:p>
        </w:tc>
        <w:tc>
          <w:tcPr>
            <w:tcW w:w="1308" w:type="dxa"/>
            <w:noWrap w:val="0"/>
            <w:vAlign w:val="center"/>
          </w:tcPr>
          <w:p>
            <w:pPr>
              <w:spacing w:line="240" w:lineRule="auto"/>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w:t>
            </w:r>
          </w:p>
        </w:tc>
        <w:tc>
          <w:tcPr>
            <w:tcW w:w="5447" w:type="dxa"/>
            <w:noWrap w:val="0"/>
            <w:vAlign w:val="center"/>
          </w:tcPr>
          <w:p>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文件规定要求签署、盖章</w:t>
            </w:r>
          </w:p>
        </w:tc>
        <w:tc>
          <w:tcPr>
            <w:tcW w:w="1680" w:type="dxa"/>
            <w:noWrap w:val="0"/>
            <w:vAlign w:val="center"/>
          </w:tcPr>
          <w:p>
            <w:pPr>
              <w:spacing w:line="240" w:lineRule="auto"/>
              <w:rPr>
                <w:rFonts w:hint="eastAsia" w:ascii="宋体" w:hAnsi="宋体" w:eastAsia="宋体" w:cs="宋体"/>
                <w:color w:val="auto"/>
                <w:sz w:val="21"/>
                <w:highlight w:val="none"/>
              </w:rPr>
            </w:pPr>
          </w:p>
        </w:tc>
        <w:tc>
          <w:tcPr>
            <w:tcW w:w="1308" w:type="dxa"/>
            <w:noWrap w:val="0"/>
            <w:vAlign w:val="center"/>
          </w:tcPr>
          <w:p>
            <w:pPr>
              <w:spacing w:line="240" w:lineRule="auto"/>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w:t>
            </w:r>
          </w:p>
        </w:tc>
        <w:tc>
          <w:tcPr>
            <w:tcW w:w="5447" w:type="dxa"/>
            <w:noWrap w:val="0"/>
            <w:vAlign w:val="center"/>
          </w:tcPr>
          <w:p>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供应商在报价时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采用选择性报价</w:t>
            </w:r>
          </w:p>
          <w:p>
            <w:pPr>
              <w:spacing w:line="0" w:lineRule="atLeast"/>
              <w:rPr>
                <w:rFonts w:hint="eastAsia" w:ascii="宋体" w:hAnsi="宋体" w:eastAsia="宋体" w:cs="宋体"/>
                <w:color w:val="auto"/>
                <w:sz w:val="24"/>
                <w:szCs w:val="24"/>
                <w:highlight w:val="none"/>
              </w:rPr>
            </w:pPr>
          </w:p>
        </w:tc>
        <w:tc>
          <w:tcPr>
            <w:tcW w:w="1680" w:type="dxa"/>
            <w:noWrap w:val="0"/>
            <w:vAlign w:val="center"/>
          </w:tcPr>
          <w:p>
            <w:pPr>
              <w:spacing w:line="240" w:lineRule="auto"/>
              <w:rPr>
                <w:rFonts w:hint="eastAsia" w:ascii="宋体" w:hAnsi="宋体" w:eastAsia="宋体" w:cs="宋体"/>
                <w:color w:val="auto"/>
                <w:sz w:val="21"/>
                <w:highlight w:val="none"/>
              </w:rPr>
            </w:pPr>
          </w:p>
        </w:tc>
        <w:tc>
          <w:tcPr>
            <w:tcW w:w="1308" w:type="dxa"/>
            <w:noWrap w:val="0"/>
            <w:vAlign w:val="center"/>
          </w:tcPr>
          <w:p>
            <w:pPr>
              <w:spacing w:line="240" w:lineRule="auto"/>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w:t>
            </w:r>
          </w:p>
        </w:tc>
        <w:tc>
          <w:tcPr>
            <w:tcW w:w="5447" w:type="dxa"/>
            <w:noWrap w:val="0"/>
            <w:vAlign w:val="center"/>
          </w:tcPr>
          <w:p>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文件中规定的实质性要求和条件的（本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文件中斜体且有下划线部分为实质性要求和条件）</w:t>
            </w:r>
          </w:p>
        </w:tc>
        <w:tc>
          <w:tcPr>
            <w:tcW w:w="1680" w:type="dxa"/>
            <w:noWrap w:val="0"/>
            <w:vAlign w:val="center"/>
          </w:tcPr>
          <w:p>
            <w:pPr>
              <w:spacing w:line="240" w:lineRule="auto"/>
              <w:rPr>
                <w:rFonts w:hint="eastAsia" w:ascii="宋体" w:hAnsi="宋体" w:eastAsia="宋体" w:cs="宋体"/>
                <w:color w:val="auto"/>
                <w:sz w:val="21"/>
                <w:highlight w:val="none"/>
              </w:rPr>
            </w:pPr>
          </w:p>
        </w:tc>
        <w:tc>
          <w:tcPr>
            <w:tcW w:w="1308" w:type="dxa"/>
            <w:noWrap w:val="0"/>
            <w:vAlign w:val="center"/>
          </w:tcPr>
          <w:p>
            <w:pPr>
              <w:spacing w:line="240" w:lineRule="auto"/>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w:t>
            </w:r>
          </w:p>
        </w:tc>
        <w:tc>
          <w:tcPr>
            <w:tcW w:w="5447" w:type="dxa"/>
            <w:noWrap w:val="0"/>
            <w:vAlign w:val="center"/>
          </w:tcPr>
          <w:p>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未含有采购人不能接受的附加条件的</w:t>
            </w:r>
          </w:p>
        </w:tc>
        <w:tc>
          <w:tcPr>
            <w:tcW w:w="1680" w:type="dxa"/>
            <w:noWrap w:val="0"/>
            <w:vAlign w:val="center"/>
          </w:tcPr>
          <w:p>
            <w:pPr>
              <w:spacing w:line="240" w:lineRule="auto"/>
              <w:rPr>
                <w:rFonts w:hint="eastAsia" w:ascii="宋体" w:hAnsi="宋体" w:eastAsia="宋体" w:cs="宋体"/>
                <w:color w:val="auto"/>
                <w:sz w:val="21"/>
                <w:highlight w:val="none"/>
              </w:rPr>
            </w:pPr>
          </w:p>
        </w:tc>
        <w:tc>
          <w:tcPr>
            <w:tcW w:w="1308" w:type="dxa"/>
            <w:noWrap w:val="0"/>
            <w:vAlign w:val="center"/>
          </w:tcPr>
          <w:p>
            <w:pPr>
              <w:spacing w:line="240" w:lineRule="auto"/>
              <w:rPr>
                <w:rFonts w:hint="eastAsia" w:ascii="宋体" w:hAnsi="宋体" w:eastAsia="宋体" w:cs="宋体"/>
                <w:color w:val="auto"/>
                <w:sz w:val="21"/>
                <w:highlight w:val="none"/>
              </w:rPr>
            </w:pPr>
          </w:p>
        </w:tc>
      </w:tr>
    </w:tbl>
    <w:p>
      <w:pPr>
        <w:snapToGrid w:val="0"/>
        <w:spacing w:before="50" w:after="50"/>
        <w:rPr>
          <w:rFonts w:hint="eastAsia" w:ascii="宋体" w:hAnsi="宋体" w:eastAsia="宋体" w:cs="宋体"/>
          <w:color w:val="auto"/>
          <w:sz w:val="32"/>
          <w:szCs w:val="32"/>
          <w:highlight w:val="none"/>
        </w:rPr>
      </w:pPr>
    </w:p>
    <w:p>
      <w:pPr>
        <w:snapToGrid w:val="0"/>
        <w:spacing w:before="50" w:after="50"/>
        <w:rPr>
          <w:rFonts w:hint="eastAsia" w:ascii="宋体" w:hAnsi="宋体" w:eastAsia="宋体" w:cs="宋体"/>
          <w:b/>
          <w:color w:val="auto"/>
          <w:sz w:val="24"/>
          <w:highlight w:val="none"/>
        </w:rPr>
      </w:pPr>
      <w:r>
        <w:rPr>
          <w:rFonts w:hint="eastAsia" w:ascii="宋体" w:hAnsi="宋体" w:eastAsia="宋体" w:cs="宋体"/>
          <w:color w:val="auto"/>
          <w:sz w:val="44"/>
          <w:highlight w:val="none"/>
        </w:rPr>
        <w:t xml:space="preserve"> </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三、非实质性响应对照表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5447"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非实质性响应内容</w:t>
            </w:r>
          </w:p>
        </w:tc>
        <w:tc>
          <w:tcPr>
            <w:tcW w:w="1680"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是否响应</w:t>
            </w:r>
          </w:p>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（填是或者否）</w:t>
            </w:r>
          </w:p>
        </w:tc>
        <w:tc>
          <w:tcPr>
            <w:tcW w:w="1308" w:type="dxa"/>
            <w:noWrap w:val="0"/>
            <w:vAlign w:val="center"/>
          </w:tcPr>
          <w:p>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5447" w:type="dxa"/>
            <w:noWrap w:val="0"/>
            <w:vAlign w:val="center"/>
          </w:tcPr>
          <w:p>
            <w:pPr>
              <w:spacing w:line="0" w:lineRule="atLeast"/>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《企业声明函》</w:t>
            </w:r>
          </w:p>
        </w:tc>
        <w:tc>
          <w:tcPr>
            <w:tcW w:w="1680" w:type="dxa"/>
            <w:noWrap w:val="0"/>
            <w:vAlign w:val="center"/>
          </w:tcPr>
          <w:p>
            <w:pPr>
              <w:rPr>
                <w:rFonts w:hint="eastAsia" w:ascii="宋体" w:hAnsi="宋体" w:eastAsia="宋体" w:cs="宋体"/>
                <w:b/>
                <w:color w:val="auto"/>
                <w:highlight w:val="none"/>
              </w:rPr>
            </w:pPr>
          </w:p>
        </w:tc>
        <w:tc>
          <w:tcPr>
            <w:tcW w:w="1308" w:type="dxa"/>
            <w:noWrap w:val="0"/>
            <w:vAlign w:val="center"/>
          </w:tcPr>
          <w:p>
            <w:pP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5447" w:type="dxa"/>
            <w:noWrap w:val="0"/>
            <w:vAlign w:val="center"/>
          </w:tcPr>
          <w:p>
            <w:pPr>
              <w:spacing w:line="0" w:lineRule="atLeast"/>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《残疾人福利性单位声明函》</w:t>
            </w:r>
          </w:p>
        </w:tc>
        <w:tc>
          <w:tcPr>
            <w:tcW w:w="1680" w:type="dxa"/>
            <w:noWrap w:val="0"/>
            <w:vAlign w:val="center"/>
          </w:tcPr>
          <w:p>
            <w:pPr>
              <w:rPr>
                <w:rFonts w:hint="eastAsia" w:ascii="宋体" w:hAnsi="宋体" w:eastAsia="宋体" w:cs="宋体"/>
                <w:color w:val="auto"/>
                <w:highlight w:val="none"/>
              </w:rPr>
            </w:pPr>
          </w:p>
        </w:tc>
        <w:tc>
          <w:tcPr>
            <w:tcW w:w="1308" w:type="dxa"/>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5447" w:type="dxa"/>
            <w:noWrap w:val="0"/>
            <w:vAlign w:val="center"/>
          </w:tcPr>
          <w:p>
            <w:pPr>
              <w:snapToGrid w:val="0"/>
              <w:spacing w:line="0" w:lineRule="atLeas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680" w:type="dxa"/>
            <w:noWrap w:val="0"/>
            <w:vAlign w:val="center"/>
          </w:tcPr>
          <w:p>
            <w:pPr>
              <w:rPr>
                <w:rFonts w:hint="eastAsia" w:ascii="宋体" w:hAnsi="宋体" w:eastAsia="宋体" w:cs="宋体"/>
                <w:color w:val="auto"/>
                <w:highlight w:val="none"/>
              </w:rPr>
            </w:pPr>
          </w:p>
        </w:tc>
        <w:tc>
          <w:tcPr>
            <w:tcW w:w="1308" w:type="dxa"/>
            <w:noWrap w:val="0"/>
            <w:vAlign w:val="center"/>
          </w:tcPr>
          <w:p>
            <w:pPr>
              <w:rPr>
                <w:rFonts w:hint="eastAsia" w:ascii="宋体" w:hAnsi="宋体" w:eastAsia="宋体" w:cs="宋体"/>
                <w:color w:val="auto"/>
                <w:highlight w:val="none"/>
              </w:rPr>
            </w:pPr>
          </w:p>
        </w:tc>
      </w:tr>
    </w:tbl>
    <w:p>
      <w:pPr>
        <w:snapToGrid w:val="0"/>
        <w:spacing w:before="50" w:after="50"/>
        <w:ind w:firstLine="482" w:firstLineChars="200"/>
        <w:rPr>
          <w:rFonts w:hint="eastAsia" w:ascii="宋体" w:hAnsi="宋体" w:eastAsia="宋体" w:cs="宋体"/>
          <w:b/>
          <w:bCs/>
          <w:color w:val="auto"/>
          <w:sz w:val="24"/>
          <w:highlight w:val="none"/>
        </w:rPr>
      </w:pPr>
    </w:p>
    <w:p>
      <w:pPr>
        <w:pStyle w:val="6"/>
        <w:ind w:firstLine="0"/>
        <w:jc w:val="center"/>
        <w:rPr>
          <w:rFonts w:hint="eastAsia" w:ascii="宋体" w:hAnsi="宋体" w:eastAsia="宋体" w:cs="宋体"/>
          <w:b/>
          <w:bCs/>
          <w:color w:val="auto"/>
          <w:sz w:val="30"/>
          <w:szCs w:val="30"/>
          <w:highlight w:val="none"/>
          <w:lang w:eastAsia="zh-CN"/>
        </w:rPr>
        <w:sectPr>
          <w:pgSz w:w="11906" w:h="16838"/>
          <w:pgMar w:top="1418" w:right="1588" w:bottom="1418" w:left="1365" w:header="851" w:footer="907" w:gutter="0"/>
          <w:cols w:space="720" w:num="1"/>
          <w:titlePg/>
          <w:rtlGutter w:val="0"/>
          <w:docGrid w:type="lines" w:linePitch="290" w:charSpace="0"/>
        </w:sectPr>
      </w:pPr>
      <w:bookmarkStart w:id="212" w:name="_Toc534725614"/>
      <w:bookmarkStart w:id="213" w:name="_Toc534816643"/>
      <w:bookmarkStart w:id="214" w:name="_Toc120614284"/>
    </w:p>
    <w:p>
      <w:pPr>
        <w:pStyle w:val="6"/>
        <w:ind w:firstLine="0"/>
        <w:jc w:val="center"/>
        <w:rPr>
          <w:rFonts w:hint="eastAsia" w:ascii="宋体" w:hAnsi="宋体" w:eastAsia="宋体" w:cs="宋体"/>
          <w:b/>
          <w:bCs/>
          <w:color w:val="auto"/>
          <w:sz w:val="30"/>
          <w:szCs w:val="30"/>
          <w:highlight w:val="none"/>
          <w:lang w:eastAsia="zh-CN"/>
        </w:rPr>
      </w:pPr>
    </w:p>
    <w:bookmarkEnd w:id="212"/>
    <w:bookmarkEnd w:id="213"/>
    <w:p>
      <w:pPr>
        <w:pStyle w:val="4"/>
        <w:ind w:firstLine="1928" w:firstLineChars="6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、投标产品配置及分项报价表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03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标的物名称</w:t>
            </w:r>
          </w:p>
        </w:tc>
        <w:tc>
          <w:tcPr>
            <w:tcW w:w="321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品牌、规格、型号</w:t>
            </w:r>
          </w:p>
        </w:tc>
        <w:tc>
          <w:tcPr>
            <w:tcW w:w="99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8"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9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34"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交付期/服务期</w:t>
            </w:r>
          </w:p>
        </w:tc>
        <w:tc>
          <w:tcPr>
            <w:tcW w:w="11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38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032" w:type="dxa"/>
            <w:noWrap w:val="0"/>
            <w:vAlign w:val="center"/>
          </w:tcPr>
          <w:p>
            <w:pPr>
              <w:rPr>
                <w:rFonts w:hint="eastAsia" w:ascii="宋体" w:hAnsi="宋体" w:eastAsia="宋体" w:cs="宋体"/>
                <w:color w:val="auto"/>
                <w:sz w:val="24"/>
                <w:szCs w:val="24"/>
                <w:highlight w:val="none"/>
              </w:rPr>
            </w:pPr>
          </w:p>
        </w:tc>
        <w:tc>
          <w:tcPr>
            <w:tcW w:w="3217" w:type="dxa"/>
            <w:noWrap w:val="0"/>
            <w:vAlign w:val="center"/>
          </w:tcPr>
          <w:p>
            <w:pPr>
              <w:jc w:val="cente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708" w:type="dxa"/>
            <w:noWrap w:val="0"/>
            <w:vAlign w:val="top"/>
          </w:tcPr>
          <w:p>
            <w:pP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387" w:type="dxa"/>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032" w:type="dxa"/>
            <w:noWrap w:val="0"/>
            <w:vAlign w:val="center"/>
          </w:tcPr>
          <w:p>
            <w:pPr>
              <w:rPr>
                <w:rFonts w:hint="eastAsia" w:ascii="宋体" w:hAnsi="宋体" w:eastAsia="宋体" w:cs="宋体"/>
                <w:color w:val="auto"/>
                <w:sz w:val="24"/>
                <w:szCs w:val="24"/>
                <w:highlight w:val="none"/>
              </w:rPr>
            </w:pPr>
          </w:p>
        </w:tc>
        <w:tc>
          <w:tcPr>
            <w:tcW w:w="3217" w:type="dxa"/>
            <w:noWrap w:val="0"/>
            <w:vAlign w:val="center"/>
          </w:tcPr>
          <w:p>
            <w:pPr>
              <w:jc w:val="cente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708" w:type="dxa"/>
            <w:noWrap w:val="0"/>
            <w:vAlign w:val="top"/>
          </w:tcPr>
          <w:p>
            <w:pP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387" w:type="dxa"/>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032" w:type="dxa"/>
            <w:noWrap w:val="0"/>
            <w:vAlign w:val="center"/>
          </w:tcPr>
          <w:p>
            <w:pPr>
              <w:rPr>
                <w:rFonts w:hint="eastAsia" w:ascii="宋体" w:hAnsi="宋体" w:eastAsia="宋体" w:cs="宋体"/>
                <w:color w:val="auto"/>
                <w:sz w:val="24"/>
                <w:szCs w:val="24"/>
                <w:highlight w:val="none"/>
              </w:rPr>
            </w:pPr>
          </w:p>
        </w:tc>
        <w:tc>
          <w:tcPr>
            <w:tcW w:w="3217" w:type="dxa"/>
            <w:noWrap w:val="0"/>
            <w:vAlign w:val="center"/>
          </w:tcPr>
          <w:p>
            <w:pPr>
              <w:jc w:val="cente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708" w:type="dxa"/>
            <w:noWrap w:val="0"/>
            <w:vAlign w:val="top"/>
          </w:tcPr>
          <w:p>
            <w:pP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387" w:type="dxa"/>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032" w:type="dxa"/>
            <w:noWrap w:val="0"/>
            <w:vAlign w:val="center"/>
          </w:tcPr>
          <w:p>
            <w:pPr>
              <w:rPr>
                <w:rFonts w:hint="eastAsia" w:ascii="宋体" w:hAnsi="宋体" w:eastAsia="宋体" w:cs="宋体"/>
                <w:color w:val="auto"/>
                <w:sz w:val="24"/>
                <w:szCs w:val="24"/>
                <w:highlight w:val="none"/>
              </w:rPr>
            </w:pPr>
          </w:p>
        </w:tc>
        <w:tc>
          <w:tcPr>
            <w:tcW w:w="3217" w:type="dxa"/>
            <w:noWrap w:val="0"/>
            <w:vAlign w:val="center"/>
          </w:tcPr>
          <w:p>
            <w:pPr>
              <w:jc w:val="cente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708" w:type="dxa"/>
            <w:noWrap w:val="0"/>
            <w:vAlign w:val="top"/>
          </w:tcPr>
          <w:p>
            <w:pPr>
              <w:rPr>
                <w:rFonts w:hint="eastAsia" w:ascii="宋体" w:hAnsi="宋体" w:eastAsia="宋体" w:cs="宋体"/>
                <w:color w:val="auto"/>
                <w:sz w:val="24"/>
                <w:szCs w:val="24"/>
                <w:highlight w:val="none"/>
              </w:rPr>
            </w:pPr>
          </w:p>
        </w:tc>
        <w:tc>
          <w:tcPr>
            <w:tcW w:w="993"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134" w:type="dxa"/>
            <w:noWrap w:val="0"/>
            <w:vAlign w:val="center"/>
          </w:tcPr>
          <w:p>
            <w:pPr>
              <w:rPr>
                <w:rFonts w:hint="eastAsia" w:ascii="宋体" w:hAnsi="宋体" w:eastAsia="宋体" w:cs="宋体"/>
                <w:color w:val="auto"/>
                <w:sz w:val="24"/>
                <w:szCs w:val="24"/>
                <w:highlight w:val="none"/>
              </w:rPr>
            </w:pPr>
          </w:p>
        </w:tc>
        <w:tc>
          <w:tcPr>
            <w:tcW w:w="1387" w:type="dxa"/>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6349" w:type="dxa"/>
            <w:gridSpan w:val="6"/>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w:t>
      </w:r>
    </w:p>
    <w:p>
      <w:pPr>
        <w:numPr>
          <w:ilvl w:val="0"/>
          <w:numId w:val="3"/>
        </w:num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单价和总价采用人民币报价，以元为单位。</w:t>
      </w:r>
    </w:p>
    <w:p>
      <w:pPr>
        <w:numPr>
          <w:ilvl w:val="0"/>
          <w:numId w:val="3"/>
        </w:num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货物项目填写“交付期”，服务项目填写“服务期”，只填写一个期限。</w:t>
      </w:r>
    </w:p>
    <w:p>
      <w:pPr>
        <w:pStyle w:val="9"/>
        <w:widowControl w:val="0"/>
        <w:numPr>
          <w:ilvl w:val="0"/>
          <w:numId w:val="0"/>
        </w:numPr>
        <w:spacing w:line="360" w:lineRule="auto"/>
        <w:jc w:val="both"/>
        <w:rPr>
          <w:rFonts w:hint="eastAsia" w:ascii="宋体" w:hAnsi="宋体" w:eastAsia="宋体" w:cs="宋体"/>
          <w:color w:val="auto"/>
          <w:highlight w:val="none"/>
        </w:rPr>
        <w:sectPr>
          <w:pgSz w:w="16838" w:h="11906" w:orient="landscape"/>
          <w:pgMar w:top="1365" w:right="1418" w:bottom="1588" w:left="1418" w:header="851" w:footer="907" w:gutter="0"/>
          <w:cols w:space="720" w:num="1"/>
          <w:titlePg/>
          <w:rtlGutter w:val="0"/>
          <w:docGrid w:type="lines" w:linePitch="290" w:charSpace="0"/>
        </w:sectPr>
      </w:pPr>
    </w:p>
    <w:p>
      <w:pPr>
        <w:pStyle w:val="4"/>
        <w:jc w:val="center"/>
        <w:rPr>
          <w:rFonts w:hint="eastAsia" w:ascii="宋体" w:hAnsi="宋体" w:eastAsia="宋体" w:cs="宋体"/>
          <w:color w:val="auto"/>
          <w:highlight w:val="none"/>
        </w:rPr>
      </w:pPr>
      <w:bookmarkStart w:id="215" w:name="_Toc534816648"/>
      <w:bookmarkStart w:id="216" w:name="_Toc534725619"/>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、技术参数响应及偏离表</w:t>
      </w:r>
      <w:bookmarkEnd w:id="215"/>
      <w:bookmarkEnd w:id="216"/>
    </w:p>
    <w:p>
      <w:pPr>
        <w:jc w:val="center"/>
        <w:rPr>
          <w:rFonts w:hint="eastAsia" w:ascii="宋体" w:hAnsi="宋体" w:eastAsia="宋体" w:cs="宋体"/>
          <w:color w:val="auto"/>
          <w:sz w:val="24"/>
          <w:szCs w:val="24"/>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5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285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30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超出、符合或偏离</w:t>
            </w:r>
          </w:p>
        </w:tc>
        <w:tc>
          <w:tcPr>
            <w:tcW w:w="117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852" w:type="dxa"/>
            <w:noWrap w:val="0"/>
            <w:vAlign w:val="top"/>
          </w:tcPr>
          <w:p>
            <w:pPr>
              <w:jc w:val="center"/>
              <w:rPr>
                <w:rFonts w:hint="eastAsia" w:ascii="宋体" w:hAnsi="宋体" w:eastAsia="宋体" w:cs="宋体"/>
                <w:color w:val="auto"/>
                <w:sz w:val="24"/>
                <w:szCs w:val="24"/>
                <w:highlight w:val="none"/>
              </w:rPr>
            </w:pPr>
          </w:p>
        </w:tc>
        <w:tc>
          <w:tcPr>
            <w:tcW w:w="2852" w:type="dxa"/>
            <w:noWrap w:val="0"/>
            <w:vAlign w:val="top"/>
          </w:tcPr>
          <w:p>
            <w:pPr>
              <w:jc w:val="center"/>
              <w:rPr>
                <w:rFonts w:hint="eastAsia" w:ascii="宋体" w:hAnsi="宋体" w:eastAsia="宋体" w:cs="宋体"/>
                <w:color w:val="auto"/>
                <w:sz w:val="24"/>
                <w:szCs w:val="24"/>
                <w:highlight w:val="none"/>
              </w:rPr>
            </w:pPr>
          </w:p>
        </w:tc>
        <w:tc>
          <w:tcPr>
            <w:tcW w:w="1308" w:type="dxa"/>
            <w:noWrap w:val="0"/>
            <w:vAlign w:val="top"/>
          </w:tcPr>
          <w:p>
            <w:pPr>
              <w:jc w:val="center"/>
              <w:rPr>
                <w:rFonts w:hint="eastAsia" w:ascii="宋体" w:hAnsi="宋体" w:eastAsia="宋体" w:cs="宋体"/>
                <w:color w:val="auto"/>
                <w:sz w:val="24"/>
                <w:szCs w:val="24"/>
                <w:highlight w:val="none"/>
              </w:rPr>
            </w:pPr>
          </w:p>
        </w:tc>
        <w:tc>
          <w:tcPr>
            <w:tcW w:w="1173" w:type="dxa"/>
            <w:noWrap w:val="0"/>
            <w:vAlign w:val="top"/>
          </w:tcPr>
          <w:p>
            <w:pPr>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注：1、按照基本技术要求详细填列。</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2、行数不够，可自行添加。</w:t>
      </w:r>
    </w:p>
    <w:p>
      <w:pPr>
        <w:rPr>
          <w:rFonts w:hint="eastAsia" w:ascii="宋体" w:hAnsi="宋体" w:eastAsia="宋体" w:cs="宋体"/>
          <w:color w:val="auto"/>
          <w:sz w:val="32"/>
          <w:highlight w:val="none"/>
        </w:rPr>
        <w:sectPr>
          <w:pgSz w:w="11906" w:h="16838"/>
          <w:pgMar w:top="1418" w:right="1588" w:bottom="1418" w:left="1365" w:header="851" w:footer="907" w:gutter="0"/>
          <w:cols w:space="720" w:num="1"/>
          <w:titlePg/>
          <w:rtlGutter w:val="0"/>
          <w:docGrid w:type="lines" w:linePitch="290" w:charSpace="0"/>
        </w:sectPr>
      </w:pPr>
    </w:p>
    <w:bookmarkEnd w:id="214"/>
    <w:p>
      <w:pPr>
        <w:pStyle w:val="4"/>
        <w:jc w:val="center"/>
        <w:rPr>
          <w:rFonts w:hint="eastAsia" w:ascii="宋体" w:hAnsi="宋体" w:eastAsia="宋体" w:cs="宋体"/>
          <w:color w:val="auto"/>
          <w:highlight w:val="none"/>
        </w:rPr>
      </w:pPr>
      <w:bookmarkStart w:id="217" w:name="_Hlt26955054"/>
      <w:bookmarkEnd w:id="217"/>
      <w:bookmarkStart w:id="218" w:name="_Toc534816649"/>
      <w:bookmarkStart w:id="219" w:name="_Toc534725620"/>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、商务条款响应及偏离表</w:t>
      </w:r>
      <w:bookmarkEnd w:id="218"/>
      <w:bookmarkEnd w:id="219"/>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hint="eastAsia" w:ascii="宋体" w:hAnsi="宋体" w:eastAsia="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jc w:val="center"/>
              <w:rPr>
                <w:rFonts w:hint="eastAsia" w:ascii="宋体" w:hAnsi="宋体" w:eastAsia="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ind w:left="43"/>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hint="eastAsia" w:ascii="宋体" w:hAnsi="宋体" w:eastAsia="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rPr>
                <w:rFonts w:hint="eastAsia" w:ascii="宋体" w:hAnsi="宋体" w:eastAsia="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jc w:val="center"/>
              <w:rPr>
                <w:rFonts w:hint="eastAsia" w:ascii="宋体" w:hAnsi="宋体" w:eastAsia="宋体" w:cs="宋体"/>
                <w:color w:val="auto"/>
                <w:sz w:val="24"/>
                <w:szCs w:val="20"/>
                <w:highlight w:val="none"/>
              </w:rPr>
            </w:pPr>
          </w:p>
        </w:tc>
      </w:tr>
    </w:tbl>
    <w:p>
      <w:pPr>
        <w:jc w:val="center"/>
        <w:rPr>
          <w:rFonts w:hint="eastAsia" w:ascii="宋体" w:hAnsi="宋体" w:eastAsia="宋体" w:cs="宋体"/>
          <w:color w:val="auto"/>
          <w:sz w:val="24"/>
          <w:szCs w:val="24"/>
          <w:highlight w:val="none"/>
        </w:rPr>
      </w:pPr>
    </w:p>
    <w:p>
      <w:pPr>
        <w:spacing w:line="480" w:lineRule="auto"/>
        <w:rPr>
          <w:rFonts w:hint="eastAsia" w:ascii="宋体" w:hAnsi="宋体" w:eastAsia="宋体" w:cs="宋体"/>
          <w:color w:val="auto"/>
          <w:sz w:val="24"/>
          <w:highlight w:val="none"/>
        </w:rPr>
      </w:pPr>
      <w:bookmarkStart w:id="220" w:name="_Hlt26782999"/>
      <w:bookmarkEnd w:id="220"/>
      <w:bookmarkStart w:id="221" w:name="_Hlt24879081"/>
      <w:bookmarkEnd w:id="221"/>
      <w:bookmarkStart w:id="222" w:name="_Hlt26609391"/>
      <w:bookmarkEnd w:id="222"/>
      <w:bookmarkStart w:id="223" w:name="_Hlt26671343"/>
      <w:bookmarkEnd w:id="223"/>
      <w:bookmarkStart w:id="224" w:name="_Hlt26671372"/>
      <w:bookmarkEnd w:id="224"/>
      <w:bookmarkStart w:id="225" w:name="_Hlt26580838"/>
      <w:bookmarkEnd w:id="225"/>
      <w:bookmarkStart w:id="226" w:name="_Hlt26955064"/>
      <w:bookmarkEnd w:id="226"/>
      <w:bookmarkStart w:id="227" w:name="_Hlt26955056"/>
      <w:bookmarkEnd w:id="227"/>
    </w:p>
    <w:p>
      <w:pPr>
        <w:pStyle w:val="6"/>
        <w:ind w:firstLine="0"/>
        <w:rPr>
          <w:rFonts w:hint="eastAsia" w:ascii="宋体" w:hAnsi="宋体" w:eastAsia="宋体" w:cs="宋体"/>
          <w:color w:val="auto"/>
          <w:sz w:val="24"/>
          <w:highlight w:val="none"/>
        </w:rPr>
        <w:sectPr>
          <w:pgSz w:w="11906" w:h="16838"/>
          <w:pgMar w:top="1418" w:right="1588" w:bottom="1418" w:left="1365" w:header="851" w:footer="907" w:gutter="0"/>
          <w:cols w:space="720" w:num="1"/>
          <w:titlePg/>
          <w:rtlGutter w:val="0"/>
          <w:docGrid w:type="lines" w:linePitch="290" w:charSpace="0"/>
        </w:sectPr>
      </w:pPr>
      <w:bookmarkStart w:id="228" w:name="_Toc462564146"/>
    </w:p>
    <w:bookmarkEnd w:id="228"/>
    <w:p>
      <w:pPr>
        <w:pStyle w:val="4"/>
        <w:jc w:val="center"/>
        <w:rPr>
          <w:rFonts w:hint="eastAsia" w:ascii="宋体" w:hAnsi="宋体" w:eastAsia="宋体" w:cs="宋体"/>
          <w:color w:val="auto"/>
          <w:sz w:val="24"/>
          <w:szCs w:val="20"/>
          <w:highlight w:val="none"/>
        </w:rPr>
      </w:pPr>
      <w:bookmarkStart w:id="229" w:name="_格式2__法定代表人授权书"/>
      <w:bookmarkEnd w:id="229"/>
      <w:bookmarkStart w:id="230" w:name="_Toc460901585"/>
      <w:bookmarkStart w:id="231" w:name="_Toc26554095"/>
      <w:bookmarkStart w:id="232" w:name="_Toc120614283"/>
      <w:bookmarkStart w:id="233" w:name="_Toc513029276"/>
      <w:bookmarkStart w:id="234" w:name="_Toc22356580"/>
      <w:bookmarkStart w:id="235" w:name="_Toc49090577"/>
      <w:bookmarkStart w:id="236" w:name="_Toc23828478"/>
      <w:bookmarkStart w:id="237" w:name="_Toc534725621"/>
      <w:bookmarkStart w:id="238" w:name="_Toc534816650"/>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bookmarkEnd w:id="230"/>
      <w:bookmarkEnd w:id="231"/>
      <w:bookmarkEnd w:id="232"/>
      <w:bookmarkEnd w:id="233"/>
      <w:bookmarkEnd w:id="234"/>
      <w:bookmarkEnd w:id="235"/>
      <w:bookmarkEnd w:id="236"/>
      <w:r>
        <w:rPr>
          <w:rFonts w:hint="eastAsia" w:ascii="宋体" w:hAnsi="宋体" w:eastAsia="宋体" w:cs="宋体"/>
          <w:color w:val="auto"/>
          <w:highlight w:val="none"/>
        </w:rPr>
        <w:t>开标一览表</w:t>
      </w:r>
      <w:bookmarkEnd w:id="237"/>
      <w:bookmarkEnd w:id="238"/>
    </w:p>
    <w:tbl>
      <w:tblPr>
        <w:tblStyle w:val="14"/>
        <w:tblpPr w:leftFromText="45" w:rightFromText="45" w:vertAnchor="text" w:tblpXSpec="cent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p>
          <w:p>
            <w:pPr>
              <w:tabs>
                <w:tab w:val="left" w:pos="142"/>
              </w:tabs>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交货期限/</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天</w:t>
            </w:r>
          </w:p>
        </w:tc>
      </w:tr>
    </w:tbl>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供应商全称（公章）：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法定代表人（授权代表）（签字或盖章）：</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日期：</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注:</w:t>
      </w:r>
    </w:p>
    <w:p>
      <w:pPr>
        <w:bidi w:val="0"/>
        <w:rPr>
          <w:rFonts w:hint="eastAsia" w:ascii="宋体" w:hAnsi="宋体" w:eastAsia="宋体" w:cs="宋体"/>
          <w:color w:val="auto"/>
          <w:szCs w:val="28"/>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总报价应包含本项目实施期间的所有含税费用。</w:t>
      </w:r>
    </w:p>
    <w:p>
      <w:pPr>
        <w:numPr>
          <w:ilvl w:val="0"/>
          <w:numId w:val="4"/>
        </w:numPr>
        <w:ind w:firstLine="480" w:firstLineChars="20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szCs w:val="24"/>
          <w:highlight w:val="none"/>
        </w:rPr>
        <w:br w:type="page"/>
      </w:r>
      <w:bookmarkStart w:id="239" w:name="_Toc534816652"/>
      <w:bookmarkStart w:id="240" w:name="_Toc534725623"/>
      <w:r>
        <w:rPr>
          <w:rFonts w:hint="eastAsia" w:ascii="宋体" w:hAnsi="宋体" w:eastAsia="宋体" w:cs="宋体"/>
          <w:b/>
          <w:bCs/>
          <w:color w:val="auto"/>
          <w:kern w:val="2"/>
          <w:sz w:val="32"/>
          <w:szCs w:val="32"/>
          <w:highlight w:val="none"/>
          <w:lang w:val="en-US" w:eastAsia="zh-CN" w:bidi="ar-SA"/>
        </w:rPr>
        <w:t>供应商认为有必要提供的声明及文件资料</w:t>
      </w:r>
    </w:p>
    <w:p>
      <w:pPr>
        <w:pStyle w:val="8"/>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pPr>
        <w:pStyle w:val="4"/>
        <w:jc w:val="cente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6"/>
        <w:ind w:firstLine="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表一</w:t>
      </w:r>
    </w:p>
    <w:p>
      <w:pPr>
        <w:pStyle w:val="6"/>
        <w:ind w:firstLine="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6"/>
        <w:ind w:firstLine="0"/>
        <w:jc w:val="center"/>
        <w:rPr>
          <w:rFonts w:hint="eastAsia" w:ascii="宋体" w:hAnsi="宋体" w:eastAsia="宋体" w:cs="宋体"/>
          <w:b/>
          <w:bCs/>
          <w:color w:val="auto"/>
          <w:sz w:val="30"/>
          <w:szCs w:val="30"/>
          <w:highlight w:val="none"/>
        </w:rPr>
      </w:pPr>
    </w:p>
    <w:p>
      <w:pPr>
        <w:spacing w:beforeLines="50"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Lines="50"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Lines="50"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18"/>
        <w:spacing w:beforeLines="50" w:afterLines="50" w:line="300" w:lineRule="auto"/>
        <w:ind w:left="5760" w:leftChars="2400" w:hanging="720" w:hangingChars="300"/>
        <w:rPr>
          <w:rFonts w:hint="eastAsia" w:ascii="宋体" w:hAnsi="宋体" w:eastAsia="宋体" w:cs="宋体"/>
          <w:color w:val="auto"/>
          <w:kern w:val="2"/>
          <w:szCs w:val="21"/>
          <w:highlight w:val="none"/>
        </w:rPr>
      </w:pPr>
      <w:r>
        <w:rPr>
          <w:rFonts w:hint="eastAsia" w:ascii="宋体" w:hAnsi="宋体" w:eastAsia="宋体" w:cs="宋体"/>
          <w:bCs/>
          <w:color w:val="auto"/>
          <w:highlight w:val="none"/>
        </w:rPr>
        <w:t xml:space="preserve">                                     </w:t>
      </w:r>
      <w:r>
        <w:rPr>
          <w:rFonts w:hint="eastAsia" w:ascii="宋体" w:hAnsi="宋体" w:eastAsia="宋体" w:cs="宋体"/>
          <w:color w:val="auto"/>
          <w:kern w:val="2"/>
          <w:szCs w:val="21"/>
          <w:highlight w:val="none"/>
        </w:rPr>
        <w:t xml:space="preserve">投标人名称（盖章）： </w:t>
      </w:r>
    </w:p>
    <w:p>
      <w:pPr>
        <w:spacing w:beforeLines="50" w:afterLines="50" w:line="300" w:lineRule="auto"/>
        <w:ind w:firstLine="5775" w:firstLineChars="275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Lines="50" w:afterLines="50" w:line="300" w:lineRule="auto"/>
        <w:rPr>
          <w:rFonts w:hint="eastAsia" w:ascii="宋体" w:hAnsi="宋体" w:eastAsia="宋体" w:cs="宋体"/>
          <w:bCs/>
          <w:color w:val="auto"/>
          <w:sz w:val="24"/>
          <w:highlight w:val="none"/>
        </w:rPr>
      </w:pPr>
    </w:p>
    <w:p>
      <w:pPr>
        <w:pStyle w:val="6"/>
        <w:ind w:firstLine="0"/>
        <w:jc w:val="left"/>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Cs/>
          <w:color w:val="auto"/>
          <w:sz w:val="24"/>
          <w:highlight w:val="none"/>
        </w:rPr>
        <w:br w:type="page"/>
      </w:r>
      <w:bookmarkStart w:id="241" w:name="_Toc534816644"/>
      <w:bookmarkStart w:id="242" w:name="_Toc534725615"/>
      <w:r>
        <w:rPr>
          <w:rFonts w:hint="eastAsia" w:ascii="宋体" w:hAnsi="宋体" w:eastAsia="宋体" w:cs="宋体"/>
          <w:bCs/>
          <w:color w:val="auto"/>
          <w:sz w:val="24"/>
          <w:highlight w:val="none"/>
          <w:lang w:val="en-US" w:eastAsia="zh-CN"/>
        </w:rPr>
        <w:t>表二</w:t>
      </w:r>
    </w:p>
    <w:p>
      <w:pPr>
        <w:spacing w:beforeLines="50" w:afterLines="50" w:line="300" w:lineRule="auto"/>
        <w:rPr>
          <w:rFonts w:hint="eastAsia" w:ascii="宋体" w:hAnsi="宋体" w:eastAsia="宋体" w:cs="宋体"/>
          <w:bCs/>
          <w:color w:val="auto"/>
          <w:sz w:val="24"/>
          <w:highlight w:val="none"/>
        </w:rPr>
      </w:pPr>
    </w:p>
    <w:p>
      <w:pPr>
        <w:spacing w:beforeLines="50" w:afterLines="50" w:line="300" w:lineRule="auto"/>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参加政府采购活动前 3 年内在经营活动中没有重大违法记录的</w:t>
      </w:r>
    </w:p>
    <w:p>
      <w:pPr>
        <w:spacing w:beforeLines="50" w:afterLines="50" w:line="300" w:lineRule="auto"/>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书面声明</w:t>
      </w:r>
      <w:bookmarkEnd w:id="241"/>
      <w:bookmarkEnd w:id="242"/>
    </w:p>
    <w:p>
      <w:pPr>
        <w:pStyle w:val="8"/>
        <w:rPr>
          <w:rFonts w:hint="eastAsia" w:ascii="宋体" w:hAnsi="宋体" w:eastAsia="宋体" w:cs="宋体"/>
          <w:color w:val="auto"/>
          <w:highlight w:val="none"/>
          <w:lang w:val="en-US" w:eastAsia="zh-CN"/>
        </w:rPr>
      </w:pPr>
    </w:p>
    <w:p>
      <w:pPr>
        <w:spacing w:beforeLines="50"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Lines="50" w:afterLines="50" w:line="300" w:lineRule="auto"/>
        <w:rPr>
          <w:rFonts w:hint="eastAsia" w:ascii="宋体" w:hAnsi="宋体" w:eastAsia="宋体" w:cs="宋体"/>
          <w:bCs/>
          <w:color w:val="auto"/>
          <w:sz w:val="24"/>
          <w:highlight w:val="none"/>
        </w:rPr>
      </w:pPr>
    </w:p>
    <w:p>
      <w:pPr>
        <w:pStyle w:val="18"/>
        <w:spacing w:beforeLines="50" w:afterLines="50" w:line="300" w:lineRule="auto"/>
        <w:ind w:left="420" w:leftChars="200" w:firstLine="5280" w:firstLineChars="2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Lines="50" w:afterLines="50" w:line="300" w:lineRule="auto"/>
        <w:ind w:firstLine="5775" w:firstLineChars="275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Lines="50" w:afterLines="50" w:line="300" w:lineRule="auto"/>
        <w:rPr>
          <w:rFonts w:hint="eastAsia" w:ascii="宋体" w:hAnsi="宋体" w:eastAsia="宋体" w:cs="宋体"/>
          <w:bCs/>
          <w:color w:val="auto"/>
          <w:sz w:val="24"/>
          <w:highlight w:val="none"/>
        </w:rPr>
      </w:pPr>
    </w:p>
    <w:p>
      <w:pPr>
        <w:pStyle w:val="6"/>
        <w:ind w:firstLine="0"/>
        <w:jc w:val="left"/>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Cs/>
          <w:color w:val="auto"/>
          <w:sz w:val="24"/>
          <w:highlight w:val="none"/>
        </w:rPr>
        <w:br w:type="page"/>
      </w:r>
      <w:bookmarkStart w:id="243" w:name="_Toc534816645"/>
      <w:bookmarkStart w:id="244" w:name="_Toc534725616"/>
      <w:r>
        <w:rPr>
          <w:rFonts w:hint="eastAsia" w:ascii="宋体" w:hAnsi="宋体" w:eastAsia="宋体" w:cs="宋体"/>
          <w:b w:val="0"/>
          <w:bCs w:val="0"/>
          <w:color w:val="auto"/>
          <w:sz w:val="30"/>
          <w:szCs w:val="30"/>
          <w:highlight w:val="none"/>
          <w:lang w:val="en-US" w:eastAsia="zh-CN"/>
        </w:rPr>
        <w:t>表三</w:t>
      </w:r>
    </w:p>
    <w:p>
      <w:pPr>
        <w:spacing w:beforeLines="50" w:afterLines="50" w:line="300" w:lineRule="auto"/>
        <w:jc w:val="center"/>
        <w:rPr>
          <w:rFonts w:hint="eastAsia" w:ascii="宋体" w:hAnsi="宋体" w:eastAsia="宋体" w:cs="宋体"/>
          <w:bCs/>
          <w:color w:val="auto"/>
          <w:sz w:val="24"/>
          <w:highlight w:val="none"/>
        </w:rPr>
      </w:pPr>
    </w:p>
    <w:p>
      <w:pPr>
        <w:spacing w:beforeLines="50" w:afterLines="50" w:line="30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rPr>
        <w:t>法人授权书</w:t>
      </w:r>
      <w:bookmarkEnd w:id="243"/>
      <w:bookmarkEnd w:id="244"/>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本授权委托书声明：注册于</w:t>
      </w:r>
      <w:r>
        <w:rPr>
          <w:rFonts w:hint="eastAsia" w:ascii="宋体" w:hAnsi="宋体" w:eastAsia="宋体" w:cs="宋体"/>
          <w:color w:val="auto"/>
          <w:sz w:val="24"/>
          <w:szCs w:val="24"/>
          <w:highlight w:val="none"/>
          <w:u w:val="single"/>
        </w:rPr>
        <w:t xml:space="preserve"> （供应商地址） </w:t>
      </w:r>
      <w:r>
        <w:rPr>
          <w:rFonts w:hint="eastAsia" w:ascii="宋体" w:hAnsi="宋体" w:eastAsia="宋体" w:cs="宋体"/>
          <w:color w:val="auto"/>
          <w:sz w:val="24"/>
          <w:szCs w:val="24"/>
          <w:highlight w:val="none"/>
        </w:rPr>
        <w:t xml:space="preserve"> 的 </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在下面签名的（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职务，为法定代表人。在此授权（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）作为我公司的合法代理人，就（</w:t>
      </w:r>
      <w:r>
        <w:rPr>
          <w:rFonts w:hint="eastAsia" w:ascii="宋体" w:hAnsi="宋体" w:eastAsia="宋体" w:cs="宋体"/>
          <w:color w:val="auto"/>
          <w:sz w:val="24"/>
          <w:szCs w:val="24"/>
          <w:highlight w:val="none"/>
          <w:u w:val="single"/>
        </w:rPr>
        <w:t>采购项目名称、采购项目编号</w:t>
      </w:r>
      <w:r>
        <w:rPr>
          <w:rFonts w:hint="eastAsia" w:ascii="宋体" w:hAnsi="宋体" w:eastAsia="宋体" w:cs="宋体"/>
          <w:color w:val="auto"/>
          <w:sz w:val="24"/>
          <w:szCs w:val="24"/>
          <w:highlight w:val="none"/>
        </w:rPr>
        <w:t xml:space="preserve">）采购活动以我公司的名义处理一切与之有关的事务。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被授权人（供应商授权代表）无转委托权限。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8"/>
                              <w:spacing w:line="211" w:lineRule="exact"/>
                              <w:rPr>
                                <w:rFonts w:cs="Times New Roman"/>
                              </w:rPr>
                            </w:pPr>
                            <w:r>
                              <w:rPr>
                                <w:rFonts w:cs="Times New Roman"/>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FAy+jZAAAACwEAAA8AAAAAAAAAAQAgAAAAIgAAAGRycy9kb3ducmV2LnhtbFBLAQIU&#10;ABQAAAAIAIdO4kAyTCvluQEAAHADAAAOAAAAAAAAAAEAIAAAACgBAABkcnMvZTJvRG9jLnhtbFBL&#10;BQYAAAAABgAGAFkBAABTBQAAAAA=&#10;">
                <v:fill on="f" focussize="0,0"/>
                <v:stroke on="f"/>
                <v:imagedata o:title=""/>
                <o:lock v:ext="edit" aspectratio="f"/>
                <v:textbox inset="0mm,0mm,0mm,0mm">
                  <w:txbxContent>
                    <w:p>
                      <w:pPr>
                        <w:pStyle w:val="8"/>
                        <w:spacing w:line="211" w:lineRule="exact"/>
                        <w:rPr>
                          <w:rFonts w:cs="Times New Roman"/>
                        </w:rPr>
                      </w:pPr>
                      <w:r>
                        <w:rPr>
                          <w:rFonts w:cs="Times New Roman"/>
                        </w:rPr>
                        <w:t xml:space="preserve"> </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3970" b="6350"/>
                <wp:wrapNone/>
                <wp:docPr id="14" name="文本框 14"/>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8"/>
                              <w:rPr>
                                <w:rFonts w:cs="Times New Roman"/>
                                <w:sz w:val="20"/>
                              </w:rPr>
                            </w:pPr>
                          </w:p>
                          <w:p>
                            <w:pPr>
                              <w:pStyle w:val="8"/>
                              <w:rPr>
                                <w:rFonts w:cs="Times New Roman"/>
                                <w:sz w:val="20"/>
                              </w:rPr>
                            </w:pPr>
                          </w:p>
                          <w:p>
                            <w:pPr>
                              <w:pStyle w:val="8"/>
                              <w:spacing w:before="1"/>
                              <w:rPr>
                                <w:rFonts w:cs="Times New Roman"/>
                                <w:sz w:val="16"/>
                              </w:rPr>
                            </w:pPr>
                          </w:p>
                          <w:p>
                            <w:pPr>
                              <w:pStyle w:val="8"/>
                              <w:spacing w:line="278" w:lineRule="auto"/>
                              <w:ind w:left="1091" w:right="1498" w:firstLine="314"/>
                              <w:rPr>
                                <w:rFonts w:cs="Times New Roman"/>
                              </w:rPr>
                            </w:pPr>
                            <w:r>
                              <w:rPr>
                                <w:rFonts w:cs="Times New Roman"/>
                                <w:spacing w:val="-1"/>
                              </w:rPr>
                              <w:t xml:space="preserve">法定代表人  </w:t>
                            </w:r>
                            <w:r>
                              <w:rPr>
                                <w:rFonts w:cs="Times New Roman"/>
                                <w:spacing w:val="-5"/>
                              </w:rPr>
                              <w:t>居民身份证复印件</w:t>
                            </w:r>
                          </w:p>
                          <w:p>
                            <w:pPr>
                              <w:pStyle w:val="8"/>
                              <w:spacing w:before="4"/>
                              <w:rPr>
                                <w:rFonts w:cs="Times New Roman"/>
                                <w:sz w:val="24"/>
                              </w:rPr>
                            </w:pPr>
                          </w:p>
                          <w:p>
                            <w:pPr>
                              <w:pStyle w:val="8"/>
                              <w:spacing w:before="1"/>
                              <w:ind w:left="1405"/>
                              <w:rPr>
                                <w:rFonts w:cs="Times New Roman"/>
                              </w:rPr>
                            </w:pPr>
                            <w:r>
                              <w:rPr>
                                <w:rFonts w:cs="Times New Roman"/>
                              </w:rPr>
                              <w:t>（反面）</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UC1l2gAAAAoBAAAP&#10;AAAAAAAAAAEAIAAAACIAAABkcnMvZG93bnJldi54bWxQSwECFAAUAAAACACHTuJAqM1AiBYCAAA0&#10;BAAADgAAAAAAAAABACAAAAApAQAAZHJzL2Uyb0RvYy54bWxQSwUGAAAAAAYABgBZAQAAsQUAAAAA&#10;">
                <v:fill on="f" focussize="0,0"/>
                <v:stroke color="#000000" joinstyle="miter"/>
                <v:imagedata o:title=""/>
                <o:lock v:ext="edit" aspectratio="f"/>
                <v:textbox inset="0mm,0mm,0mm,0mm">
                  <w:txbxContent>
                    <w:p>
                      <w:pPr>
                        <w:pStyle w:val="8"/>
                        <w:rPr>
                          <w:rFonts w:cs="Times New Roman"/>
                          <w:sz w:val="20"/>
                        </w:rPr>
                      </w:pPr>
                    </w:p>
                    <w:p>
                      <w:pPr>
                        <w:pStyle w:val="8"/>
                        <w:rPr>
                          <w:rFonts w:cs="Times New Roman"/>
                          <w:sz w:val="20"/>
                        </w:rPr>
                      </w:pPr>
                    </w:p>
                    <w:p>
                      <w:pPr>
                        <w:pStyle w:val="8"/>
                        <w:spacing w:before="1"/>
                        <w:rPr>
                          <w:rFonts w:cs="Times New Roman"/>
                          <w:sz w:val="16"/>
                        </w:rPr>
                      </w:pPr>
                    </w:p>
                    <w:p>
                      <w:pPr>
                        <w:pStyle w:val="8"/>
                        <w:spacing w:line="278" w:lineRule="auto"/>
                        <w:ind w:left="1091" w:right="1498" w:firstLine="314"/>
                        <w:rPr>
                          <w:rFonts w:cs="Times New Roman"/>
                        </w:rPr>
                      </w:pPr>
                      <w:r>
                        <w:rPr>
                          <w:rFonts w:cs="Times New Roman"/>
                          <w:spacing w:val="-1"/>
                        </w:rPr>
                        <w:t xml:space="preserve">法定代表人  </w:t>
                      </w:r>
                      <w:r>
                        <w:rPr>
                          <w:rFonts w:cs="Times New Roman"/>
                          <w:spacing w:val="-5"/>
                        </w:rPr>
                        <w:t>居民身份证复印件</w:t>
                      </w:r>
                    </w:p>
                    <w:p>
                      <w:pPr>
                        <w:pStyle w:val="8"/>
                        <w:spacing w:before="4"/>
                        <w:rPr>
                          <w:rFonts w:cs="Times New Roman"/>
                          <w:sz w:val="24"/>
                        </w:rPr>
                      </w:pPr>
                    </w:p>
                    <w:p>
                      <w:pPr>
                        <w:pStyle w:val="8"/>
                        <w:spacing w:before="1"/>
                        <w:ind w:left="1405"/>
                        <w:rPr>
                          <w:rFonts w:cs="Times New Roman"/>
                        </w:rPr>
                      </w:pPr>
                      <w:r>
                        <w:rPr>
                          <w:rFonts w:cs="Times New Roman"/>
                        </w:rPr>
                        <w:t>（反面）</w:t>
                      </w:r>
                    </w:p>
                  </w:txbxContent>
                </v:textbox>
              </v:shape>
            </w:pict>
          </mc:Fallback>
        </mc:AlternateContent>
      </w:r>
      <w:r>
        <w:rPr>
          <w:rFonts w:hint="eastAsia" w:ascii="宋体" w:hAnsi="宋体" w:eastAsia="宋体" w:cs="宋体"/>
          <w:color w:val="auto"/>
          <w:sz w:val="24"/>
          <w:szCs w:val="24"/>
          <w:highlight w:val="none"/>
        </w:rPr>
        <w:t>本授权书自法定代表人签字之日起生效，特此声明。</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7620" b="3810"/>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sz w:val="20"/>
                                </w:rPr>
                              </w:pPr>
                            </w:p>
                            <w:p>
                              <w:pPr>
                                <w:rPr>
                                  <w:rFonts w:ascii="Times New Roman" w:hAnsi="Times New Roman" w:eastAsia="宋体" w:cs="Times New Roman"/>
                                  <w:sz w:val="20"/>
                                </w:rPr>
                              </w:pPr>
                            </w:p>
                            <w:p>
                              <w:pPr>
                                <w:spacing w:before="1"/>
                                <w:rPr>
                                  <w:rFonts w:ascii="Times New Roman" w:hAnsi="Times New Roman" w:eastAsia="宋体" w:cs="Times New Roman"/>
                                  <w:sz w:val="16"/>
                                </w:rPr>
                              </w:pPr>
                            </w:p>
                            <w:p>
                              <w:pPr>
                                <w:spacing w:line="278" w:lineRule="auto"/>
                                <w:ind w:left="1194" w:right="1380" w:firstLine="314"/>
                                <w:rPr>
                                  <w:rFonts w:ascii="Times New Roman" w:hAnsi="Times New Roman" w:eastAsia="宋体" w:cs="Times New Roman"/>
                                  <w:sz w:val="21"/>
                                </w:rPr>
                              </w:pPr>
                              <w:r>
                                <w:rPr>
                                  <w:rFonts w:ascii="Times New Roman" w:hAnsi="Times New Roman" w:eastAsia="宋体" w:cs="Times New Roman"/>
                                  <w:spacing w:val="-1"/>
                                  <w:sz w:val="21"/>
                                </w:rPr>
                                <w:t xml:space="preserve">法定代表人  </w:t>
                              </w:r>
                              <w:r>
                                <w:rPr>
                                  <w:rFonts w:ascii="Times New Roman" w:hAnsi="Times New Roman" w:eastAsia="宋体" w:cs="Times New Roman"/>
                                  <w:spacing w:val="-5"/>
                                  <w:sz w:val="21"/>
                                </w:rPr>
                                <w:t>居民身份证复印件</w:t>
                              </w:r>
                            </w:p>
                            <w:p>
                              <w:pPr>
                                <w:spacing w:before="4"/>
                                <w:rPr>
                                  <w:rFonts w:ascii="Times New Roman" w:hAnsi="Times New Roman" w:eastAsia="宋体" w:cs="Times New Roman"/>
                                  <w:sz w:val="24"/>
                                </w:rPr>
                              </w:pPr>
                            </w:p>
                            <w:p>
                              <w:pPr>
                                <w:spacing w:before="1"/>
                                <w:ind w:left="1491" w:right="1888"/>
                                <w:jc w:val="center"/>
                                <w:rPr>
                                  <w:rFonts w:ascii="Times New Roman" w:hAnsi="Times New Roman" w:eastAsia="宋体" w:cs="Times New Roman"/>
                                  <w:sz w:val="21"/>
                                </w:rPr>
                              </w:pPr>
                              <w:r>
                                <w:rPr>
                                  <w:rFonts w:ascii="Times New Roman" w:hAnsi="Times New Roman" w:eastAsia="宋体" w:cs="Times New Roman"/>
                                  <w:sz w:val="21"/>
                                </w:rPr>
                                <w:t>（</w:t>
                              </w:r>
                              <w:r>
                                <w:rPr>
                                  <w:rFonts w:ascii="Times New Roman" w:hAnsi="Times New Roman" w:eastAsia="宋体" w:cs="Times New Roman"/>
                                  <w:spacing w:val="-2"/>
                                  <w:sz w:val="21"/>
                                </w:rPr>
                                <w:t>正面</w:t>
                              </w:r>
                              <w:r>
                                <w:rPr>
                                  <w:rFonts w:ascii="Times New Roman" w:hAnsi="Times New Roman" w:eastAsia="宋体" w:cs="Times New Roman"/>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rPr>
                            <w:rFonts w:ascii="Times New Roman" w:hAnsi="Times New Roman" w:eastAsia="宋体" w:cs="Times New Roman"/>
                            <w:sz w:val="20"/>
                          </w:rPr>
                        </w:pPr>
                      </w:p>
                      <w:p>
                        <w:pPr>
                          <w:rPr>
                            <w:rFonts w:ascii="Times New Roman" w:hAnsi="Times New Roman" w:eastAsia="宋体" w:cs="Times New Roman"/>
                            <w:sz w:val="20"/>
                          </w:rPr>
                        </w:pPr>
                      </w:p>
                      <w:p>
                        <w:pPr>
                          <w:spacing w:before="1"/>
                          <w:rPr>
                            <w:rFonts w:ascii="Times New Roman" w:hAnsi="Times New Roman" w:eastAsia="宋体" w:cs="Times New Roman"/>
                            <w:sz w:val="16"/>
                          </w:rPr>
                        </w:pPr>
                      </w:p>
                      <w:p>
                        <w:pPr>
                          <w:spacing w:line="278" w:lineRule="auto"/>
                          <w:ind w:left="1194" w:right="1380" w:firstLine="314"/>
                          <w:rPr>
                            <w:rFonts w:ascii="Times New Roman" w:hAnsi="Times New Roman" w:eastAsia="宋体" w:cs="Times New Roman"/>
                            <w:sz w:val="21"/>
                          </w:rPr>
                        </w:pPr>
                        <w:r>
                          <w:rPr>
                            <w:rFonts w:ascii="Times New Roman" w:hAnsi="Times New Roman" w:eastAsia="宋体" w:cs="Times New Roman"/>
                            <w:spacing w:val="-1"/>
                            <w:sz w:val="21"/>
                          </w:rPr>
                          <w:t xml:space="preserve">法定代表人  </w:t>
                        </w:r>
                        <w:r>
                          <w:rPr>
                            <w:rFonts w:ascii="Times New Roman" w:hAnsi="Times New Roman" w:eastAsia="宋体" w:cs="Times New Roman"/>
                            <w:spacing w:val="-5"/>
                            <w:sz w:val="21"/>
                          </w:rPr>
                          <w:t>居民身份证复印件</w:t>
                        </w:r>
                      </w:p>
                      <w:p>
                        <w:pPr>
                          <w:spacing w:before="4"/>
                          <w:rPr>
                            <w:rFonts w:ascii="Times New Roman" w:hAnsi="Times New Roman" w:eastAsia="宋体" w:cs="Times New Roman"/>
                            <w:sz w:val="24"/>
                          </w:rPr>
                        </w:pPr>
                      </w:p>
                      <w:p>
                        <w:pPr>
                          <w:spacing w:before="1"/>
                          <w:ind w:left="1491" w:right="1888"/>
                          <w:jc w:val="center"/>
                          <w:rPr>
                            <w:rFonts w:ascii="Times New Roman" w:hAnsi="Times New Roman" w:eastAsia="宋体" w:cs="Times New Roman"/>
                            <w:sz w:val="21"/>
                          </w:rPr>
                        </w:pPr>
                        <w:r>
                          <w:rPr>
                            <w:rFonts w:ascii="Times New Roman" w:hAnsi="Times New Roman" w:eastAsia="宋体" w:cs="Times New Roman"/>
                            <w:sz w:val="21"/>
                          </w:rPr>
                          <w:t>（</w:t>
                        </w:r>
                        <w:r>
                          <w:rPr>
                            <w:rFonts w:ascii="Times New Roman" w:hAnsi="Times New Roman" w:eastAsia="宋体" w:cs="Times New Roman"/>
                            <w:spacing w:val="-2"/>
                            <w:sz w:val="21"/>
                          </w:rPr>
                          <w:t>正面</w:t>
                        </w:r>
                        <w:r>
                          <w:rPr>
                            <w:rFonts w:ascii="Times New Roman" w:hAnsi="Times New Roman" w:eastAsia="宋体" w:cs="Times New Roman"/>
                            <w:sz w:val="21"/>
                          </w:rPr>
                          <w:t>）</w:t>
                        </w:r>
                      </w:p>
                    </w:txbxContent>
                  </v:textbox>
                </v:shape>
              </v:group>
            </w:pict>
          </mc:Fallback>
        </mc:AlternateContent>
      </w:r>
      <w:r>
        <w:rPr>
          <w:rFonts w:hint="eastAsia" w:ascii="宋体" w:hAnsi="宋体" w:eastAsia="宋体" w:cs="宋体"/>
          <w:b/>
          <w:bCs/>
          <w:color w:val="auto"/>
          <w:sz w:val="24"/>
          <w:szCs w:val="24"/>
          <w:highlight w:val="none"/>
        </w:rPr>
        <w:t>附：法定代表人身份证复印件</w:t>
      </w:r>
      <w:r>
        <w:rPr>
          <w:rFonts w:hint="eastAsia" w:ascii="宋体" w:hAnsi="宋体" w:eastAsia="宋体" w:cs="宋体"/>
          <w:color w:val="auto"/>
          <w:sz w:val="24"/>
          <w:szCs w:val="24"/>
          <w:highlight w:val="none"/>
        </w:rPr>
        <w:t xml:space="preserve"> </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4384" behindDoc="1" locked="0" layoutInCell="1" allowOverlap="1">
                <wp:simplePos x="0" y="0"/>
                <wp:positionH relativeFrom="page">
                  <wp:posOffset>695960</wp:posOffset>
                </wp:positionH>
                <wp:positionV relativeFrom="paragraph">
                  <wp:posOffset>293370</wp:posOffset>
                </wp:positionV>
                <wp:extent cx="2834005" cy="1572260"/>
                <wp:effectExtent l="635" t="635" r="4445" b="317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hAnsi="Times New Roman" w:eastAsia="宋体" w:cs="Times New Roman"/>
                                  <w:b/>
                                  <w:sz w:val="20"/>
                                </w:rPr>
                              </w:pPr>
                            </w:p>
                            <w:p>
                              <w:pPr>
                                <w:spacing w:before="1"/>
                                <w:rPr>
                                  <w:rFonts w:ascii="微软雅黑" w:hAnsi="Times New Roman" w:eastAsia="宋体" w:cs="Times New Roman"/>
                                  <w:b/>
                                  <w:sz w:val="19"/>
                                </w:rPr>
                              </w:pPr>
                            </w:p>
                            <w:p>
                              <w:pPr>
                                <w:spacing w:line="278" w:lineRule="auto"/>
                                <w:ind w:left="1166" w:right="1161"/>
                                <w:jc w:val="center"/>
                                <w:rPr>
                                  <w:rFonts w:ascii="Times New Roman" w:hAnsi="Times New Roman" w:eastAsia="宋体" w:cs="Times New Roman"/>
                                  <w:sz w:val="21"/>
                                </w:rPr>
                              </w:pPr>
                              <w:r>
                                <w:rPr>
                                  <w:rFonts w:ascii="Times New Roman" w:hAnsi="Times New Roman" w:eastAsia="宋体" w:cs="Times New Roman"/>
                                  <w:sz w:val="21"/>
                                </w:rPr>
                                <w:t>被授权人（授权代表） 居民身份证复印件</w:t>
                              </w:r>
                            </w:p>
                            <w:p>
                              <w:pPr>
                                <w:spacing w:before="16"/>
                                <w:rPr>
                                  <w:rFonts w:ascii="微软雅黑" w:hAnsi="Times New Roman" w:eastAsia="宋体" w:cs="Times New Roman"/>
                                  <w:b/>
                                  <w:sz w:val="16"/>
                                </w:rPr>
                              </w:pPr>
                            </w:p>
                            <w:p>
                              <w:pPr>
                                <w:spacing w:before="1"/>
                                <w:ind w:left="1161" w:right="1161"/>
                                <w:jc w:val="center"/>
                                <w:rPr>
                                  <w:rFonts w:ascii="Times New Roman" w:hAnsi="Times New Roman" w:eastAsia="宋体" w:cs="Times New Roman"/>
                                  <w:sz w:val="21"/>
                                </w:rPr>
                              </w:pPr>
                              <w:r>
                                <w:rPr>
                                  <w:rFonts w:ascii="Times New Roman" w:hAnsi="Times New Roman" w:eastAsia="宋体" w:cs="Times New Roman"/>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2096;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rPr>
                            <w:rFonts w:ascii="微软雅黑" w:hAnsi="Times New Roman" w:eastAsia="宋体" w:cs="Times New Roman"/>
                            <w:b/>
                            <w:sz w:val="20"/>
                          </w:rPr>
                        </w:pPr>
                      </w:p>
                      <w:p>
                        <w:pPr>
                          <w:spacing w:before="1"/>
                          <w:rPr>
                            <w:rFonts w:ascii="微软雅黑" w:hAnsi="Times New Roman" w:eastAsia="宋体" w:cs="Times New Roman"/>
                            <w:b/>
                            <w:sz w:val="19"/>
                          </w:rPr>
                        </w:pPr>
                      </w:p>
                      <w:p>
                        <w:pPr>
                          <w:spacing w:line="278" w:lineRule="auto"/>
                          <w:ind w:left="1166" w:right="1161"/>
                          <w:jc w:val="center"/>
                          <w:rPr>
                            <w:rFonts w:ascii="Times New Roman" w:hAnsi="Times New Roman" w:eastAsia="宋体" w:cs="Times New Roman"/>
                            <w:sz w:val="21"/>
                          </w:rPr>
                        </w:pPr>
                        <w:r>
                          <w:rPr>
                            <w:rFonts w:ascii="Times New Roman" w:hAnsi="Times New Roman" w:eastAsia="宋体" w:cs="Times New Roman"/>
                            <w:sz w:val="21"/>
                          </w:rPr>
                          <w:t>被授权人（授权代表） 居民身份证复印件</w:t>
                        </w:r>
                      </w:p>
                      <w:p>
                        <w:pPr>
                          <w:spacing w:before="16"/>
                          <w:rPr>
                            <w:rFonts w:ascii="微软雅黑" w:hAnsi="Times New Roman" w:eastAsia="宋体" w:cs="Times New Roman"/>
                            <w:b/>
                            <w:sz w:val="16"/>
                          </w:rPr>
                        </w:pPr>
                      </w:p>
                      <w:p>
                        <w:pPr>
                          <w:spacing w:before="1"/>
                          <w:ind w:left="1161" w:right="1161"/>
                          <w:jc w:val="center"/>
                          <w:rPr>
                            <w:rFonts w:ascii="Times New Roman" w:hAnsi="Times New Roman" w:eastAsia="宋体" w:cs="Times New Roman"/>
                            <w:sz w:val="21"/>
                          </w:rPr>
                        </w:pPr>
                        <w:r>
                          <w:rPr>
                            <w:rFonts w:ascii="Times New Roman" w:hAnsi="Times New Roman" w:eastAsia="宋体" w:cs="Times New Roman"/>
                            <w:sz w:val="21"/>
                          </w:rPr>
                          <w:t>（正面）</w:t>
                        </w:r>
                      </w:p>
                    </w:txbxContent>
                  </v:textbox>
                </v:shape>
                <w10:wrap type="topAndBottom"/>
              </v:group>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297815</wp:posOffset>
                </wp:positionV>
                <wp:extent cx="2824480" cy="1591310"/>
                <wp:effectExtent l="4445" t="4445" r="10160" b="12700"/>
                <wp:wrapTopAndBottom/>
                <wp:docPr id="7" name="文本框 7"/>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8"/>
                              <w:rPr>
                                <w:rFonts w:ascii="微软雅黑" w:cs="Times New Roman"/>
                                <w:b/>
                                <w:sz w:val="20"/>
                              </w:rPr>
                            </w:pPr>
                          </w:p>
                          <w:p>
                            <w:pPr>
                              <w:pStyle w:val="8"/>
                              <w:spacing w:before="1"/>
                              <w:rPr>
                                <w:rFonts w:ascii="微软雅黑" w:cs="Times New Roman"/>
                                <w:b/>
                                <w:sz w:val="19"/>
                              </w:rPr>
                            </w:pPr>
                          </w:p>
                          <w:p>
                            <w:pPr>
                              <w:pStyle w:val="8"/>
                              <w:spacing w:line="278" w:lineRule="auto"/>
                              <w:ind w:left="1168" w:right="1159"/>
                              <w:jc w:val="center"/>
                              <w:rPr>
                                <w:rFonts w:cs="Times New Roman"/>
                              </w:rPr>
                            </w:pPr>
                            <w:r>
                              <w:rPr>
                                <w:rFonts w:cs="Times New Roman"/>
                              </w:rPr>
                              <w:t>被授权人（授权代表） 居民身份证复印件</w:t>
                            </w:r>
                          </w:p>
                          <w:p>
                            <w:pPr>
                              <w:pStyle w:val="8"/>
                              <w:spacing w:before="16"/>
                              <w:rPr>
                                <w:rFonts w:ascii="微软雅黑" w:cs="Times New Roman"/>
                                <w:b/>
                                <w:sz w:val="16"/>
                              </w:rPr>
                            </w:pPr>
                          </w:p>
                          <w:p>
                            <w:pPr>
                              <w:pStyle w:val="8"/>
                              <w:spacing w:before="1"/>
                              <w:ind w:left="1165" w:right="1161"/>
                              <w:jc w:val="center"/>
                              <w:rPr>
                                <w:rFonts w:cs="Times New Roman"/>
                              </w:rPr>
                            </w:pPr>
                            <w:r>
                              <w:rPr>
                                <w:rFonts w:cs="Times New Roman"/>
                              </w:rP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1072;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5wacNsAAAALAQAA&#10;DwAAAAAAAAABACAAAAAiAAAAZHJzL2Rvd25yZXYueG1sUEsBAhQAFAAAAAgAh07iQFi3PQoWAgAA&#10;MgQAAA4AAAAAAAAAAQAgAAAAKgEAAGRycy9lMm9Eb2MueG1sUEsFBgAAAAAGAAYAWQEAALIFAAAA&#10;AA==&#10;">
                <v:fill on="f" focussize="0,0"/>
                <v:stroke color="#000000" joinstyle="miter"/>
                <v:imagedata o:title=""/>
                <o:lock v:ext="edit" aspectratio="f"/>
                <v:textbox inset="0mm,0mm,0mm,0mm">
                  <w:txbxContent>
                    <w:p>
                      <w:pPr>
                        <w:pStyle w:val="8"/>
                        <w:rPr>
                          <w:rFonts w:ascii="微软雅黑" w:cs="Times New Roman"/>
                          <w:b/>
                          <w:sz w:val="20"/>
                        </w:rPr>
                      </w:pPr>
                    </w:p>
                    <w:p>
                      <w:pPr>
                        <w:pStyle w:val="8"/>
                        <w:spacing w:before="1"/>
                        <w:rPr>
                          <w:rFonts w:ascii="微软雅黑" w:cs="Times New Roman"/>
                          <w:b/>
                          <w:sz w:val="19"/>
                        </w:rPr>
                      </w:pPr>
                    </w:p>
                    <w:p>
                      <w:pPr>
                        <w:pStyle w:val="8"/>
                        <w:spacing w:line="278" w:lineRule="auto"/>
                        <w:ind w:left="1168" w:right="1159"/>
                        <w:jc w:val="center"/>
                        <w:rPr>
                          <w:rFonts w:cs="Times New Roman"/>
                        </w:rPr>
                      </w:pPr>
                      <w:r>
                        <w:rPr>
                          <w:rFonts w:cs="Times New Roman"/>
                        </w:rPr>
                        <w:t>被授权人（授权代表） 居民身份证复印件</w:t>
                      </w:r>
                    </w:p>
                    <w:p>
                      <w:pPr>
                        <w:pStyle w:val="8"/>
                        <w:spacing w:before="16"/>
                        <w:rPr>
                          <w:rFonts w:ascii="微软雅黑" w:cs="Times New Roman"/>
                          <w:b/>
                          <w:sz w:val="16"/>
                        </w:rPr>
                      </w:pPr>
                    </w:p>
                    <w:p>
                      <w:pPr>
                        <w:pStyle w:val="8"/>
                        <w:spacing w:before="1"/>
                        <w:ind w:left="1165" w:right="1161"/>
                        <w:jc w:val="center"/>
                        <w:rPr>
                          <w:rFonts w:cs="Times New Roman"/>
                        </w:rPr>
                      </w:pPr>
                      <w:r>
                        <w:rPr>
                          <w:rFonts w:cs="Times New Roman"/>
                        </w:rPr>
                        <w:t>（反面）</w:t>
                      </w:r>
                    </w:p>
                  </w:txbxContent>
                </v:textbox>
                <w10:wrap type="topAndBottom"/>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8"/>
                              <w:spacing w:line="241" w:lineRule="exact"/>
                              <w:rPr>
                                <w:rFonts w:cs="Times New Roman"/>
                              </w:rPr>
                            </w:pPr>
                            <w:r>
                              <w:rPr>
                                <w:rFonts w:cs="Times New Roman"/>
                              </w:rPr>
                              <w:t xml:space="preserve"> </w:t>
                            </w:r>
                          </w:p>
                          <w:p>
                            <w:pPr>
                              <w:pStyle w:val="8"/>
                              <w:spacing w:before="6"/>
                              <w:rPr>
                                <w:rFonts w:cs="Times New Roman"/>
                                <w:sz w:val="15"/>
                              </w:rPr>
                            </w:pPr>
                          </w:p>
                          <w:p>
                            <w:pPr>
                              <w:pStyle w:val="8"/>
                              <w:rPr>
                                <w:rFonts w:cs="Times New Roman"/>
                              </w:rPr>
                            </w:pPr>
                            <w:r>
                              <w:rPr>
                                <w:rFonts w:cs="Times New Roman"/>
                              </w:rPr>
                              <w:t xml:space="preserve"> </w:t>
                            </w:r>
                          </w:p>
                          <w:p>
                            <w:pPr>
                              <w:pStyle w:val="8"/>
                              <w:spacing w:before="7"/>
                              <w:rPr>
                                <w:rFonts w:cs="Times New Roman"/>
                                <w:sz w:val="15"/>
                              </w:rPr>
                            </w:pPr>
                          </w:p>
                          <w:p>
                            <w:pPr>
                              <w:pStyle w:val="8"/>
                              <w:rPr>
                                <w:rFonts w:cs="Times New Roman"/>
                              </w:rPr>
                            </w:pPr>
                            <w:r>
                              <w:rPr>
                                <w:rFonts w:cs="Times New Roman"/>
                              </w:rPr>
                              <w:t xml:space="preserve"> </w:t>
                            </w:r>
                          </w:p>
                          <w:p>
                            <w:pPr>
                              <w:pStyle w:val="8"/>
                              <w:spacing w:before="7"/>
                              <w:rPr>
                                <w:rFonts w:cs="Times New Roman"/>
                                <w:sz w:val="15"/>
                              </w:rPr>
                            </w:pPr>
                          </w:p>
                          <w:p>
                            <w:pPr>
                              <w:pStyle w:val="8"/>
                              <w:rPr>
                                <w:rFonts w:cs="Times New Roman"/>
                              </w:rPr>
                            </w:pPr>
                            <w:r>
                              <w:rPr>
                                <w:rFonts w:cs="Times New Roman"/>
                              </w:rPr>
                              <w:t xml:space="preserve"> </w:t>
                            </w:r>
                          </w:p>
                          <w:p>
                            <w:pPr>
                              <w:pStyle w:val="8"/>
                              <w:spacing w:before="7"/>
                              <w:rPr>
                                <w:rFonts w:cs="Times New Roman"/>
                                <w:sz w:val="15"/>
                              </w:rPr>
                            </w:pPr>
                          </w:p>
                          <w:p>
                            <w:pPr>
                              <w:pStyle w:val="8"/>
                              <w:rPr>
                                <w:rFonts w:cs="Times New Roman"/>
                              </w:rPr>
                            </w:pPr>
                            <w:r>
                              <w:rPr>
                                <w:rFonts w:cs="Times New Roman"/>
                              </w:rPr>
                              <w:t xml:space="preserve"> </w:t>
                            </w:r>
                          </w:p>
                          <w:p>
                            <w:pPr>
                              <w:pStyle w:val="8"/>
                              <w:spacing w:before="6"/>
                              <w:rPr>
                                <w:rFonts w:cs="Times New Roman"/>
                                <w:sz w:val="15"/>
                              </w:rPr>
                            </w:pPr>
                          </w:p>
                          <w:p>
                            <w:pPr>
                              <w:pStyle w:val="8"/>
                              <w:spacing w:line="240" w:lineRule="exact"/>
                              <w:rPr>
                                <w:rFonts w:cs="Times New Roman"/>
                              </w:rPr>
                            </w:pPr>
                            <w:r>
                              <w:rPr>
                                <w:rFonts w:cs="Times New Roman"/>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B2bj4y6AQAAcwMAAA4AAAAAAAAAAQAgAAAAJgEAAGRycy9lMm9Eb2MueG1sUEsF&#10;BgAAAAAGAAYAWQEAAFIFAAAAAA==&#10;">
                <v:fill on="f" focussize="0,0"/>
                <v:stroke on="f"/>
                <v:imagedata o:title=""/>
                <o:lock v:ext="edit" aspectratio="f"/>
                <v:textbox inset="0mm,0mm,0mm,0mm">
                  <w:txbxContent>
                    <w:p>
                      <w:pPr>
                        <w:pStyle w:val="8"/>
                        <w:spacing w:line="241" w:lineRule="exact"/>
                        <w:rPr>
                          <w:rFonts w:cs="Times New Roman"/>
                        </w:rPr>
                      </w:pPr>
                      <w:r>
                        <w:rPr>
                          <w:rFonts w:cs="Times New Roman"/>
                        </w:rPr>
                        <w:t xml:space="preserve"> </w:t>
                      </w:r>
                    </w:p>
                    <w:p>
                      <w:pPr>
                        <w:pStyle w:val="8"/>
                        <w:spacing w:before="6"/>
                        <w:rPr>
                          <w:rFonts w:cs="Times New Roman"/>
                          <w:sz w:val="15"/>
                        </w:rPr>
                      </w:pPr>
                    </w:p>
                    <w:p>
                      <w:pPr>
                        <w:pStyle w:val="8"/>
                        <w:rPr>
                          <w:rFonts w:cs="Times New Roman"/>
                        </w:rPr>
                      </w:pPr>
                      <w:r>
                        <w:rPr>
                          <w:rFonts w:cs="Times New Roman"/>
                        </w:rPr>
                        <w:t xml:space="preserve"> </w:t>
                      </w:r>
                    </w:p>
                    <w:p>
                      <w:pPr>
                        <w:pStyle w:val="8"/>
                        <w:spacing w:before="7"/>
                        <w:rPr>
                          <w:rFonts w:cs="Times New Roman"/>
                          <w:sz w:val="15"/>
                        </w:rPr>
                      </w:pPr>
                    </w:p>
                    <w:p>
                      <w:pPr>
                        <w:pStyle w:val="8"/>
                        <w:rPr>
                          <w:rFonts w:cs="Times New Roman"/>
                        </w:rPr>
                      </w:pPr>
                      <w:r>
                        <w:rPr>
                          <w:rFonts w:cs="Times New Roman"/>
                        </w:rPr>
                        <w:t xml:space="preserve"> </w:t>
                      </w:r>
                    </w:p>
                    <w:p>
                      <w:pPr>
                        <w:pStyle w:val="8"/>
                        <w:spacing w:before="7"/>
                        <w:rPr>
                          <w:rFonts w:cs="Times New Roman"/>
                          <w:sz w:val="15"/>
                        </w:rPr>
                      </w:pPr>
                    </w:p>
                    <w:p>
                      <w:pPr>
                        <w:pStyle w:val="8"/>
                        <w:rPr>
                          <w:rFonts w:cs="Times New Roman"/>
                        </w:rPr>
                      </w:pPr>
                      <w:r>
                        <w:rPr>
                          <w:rFonts w:cs="Times New Roman"/>
                        </w:rPr>
                        <w:t xml:space="preserve"> </w:t>
                      </w:r>
                    </w:p>
                    <w:p>
                      <w:pPr>
                        <w:pStyle w:val="8"/>
                        <w:spacing w:before="7"/>
                        <w:rPr>
                          <w:rFonts w:cs="Times New Roman"/>
                          <w:sz w:val="15"/>
                        </w:rPr>
                      </w:pPr>
                    </w:p>
                    <w:p>
                      <w:pPr>
                        <w:pStyle w:val="8"/>
                        <w:rPr>
                          <w:rFonts w:cs="Times New Roman"/>
                        </w:rPr>
                      </w:pPr>
                      <w:r>
                        <w:rPr>
                          <w:rFonts w:cs="Times New Roman"/>
                        </w:rPr>
                        <w:t xml:space="preserve"> </w:t>
                      </w:r>
                    </w:p>
                    <w:p>
                      <w:pPr>
                        <w:pStyle w:val="8"/>
                        <w:spacing w:before="6"/>
                        <w:rPr>
                          <w:rFonts w:cs="Times New Roman"/>
                          <w:sz w:val="15"/>
                        </w:rPr>
                      </w:pPr>
                    </w:p>
                    <w:p>
                      <w:pPr>
                        <w:pStyle w:val="8"/>
                        <w:spacing w:line="240" w:lineRule="exact"/>
                        <w:rPr>
                          <w:rFonts w:cs="Times New Roman"/>
                        </w:rPr>
                      </w:pPr>
                      <w:r>
                        <w:rPr>
                          <w:rFonts w:cs="Times New Roman"/>
                        </w:rPr>
                        <w:t xml:space="preserve"> </w:t>
                      </w:r>
                    </w:p>
                  </w:txbxContent>
                </v:textbox>
              </v:shape>
            </w:pict>
          </mc:Fallback>
        </mc:AlternateContent>
      </w:r>
      <w:r>
        <w:rPr>
          <w:rFonts w:hint="eastAsia" w:ascii="宋体" w:hAnsi="宋体" w:eastAsia="宋体" w:cs="宋体"/>
          <w:color w:val="auto"/>
          <w:sz w:val="24"/>
          <w:szCs w:val="24"/>
          <w:highlight w:val="none"/>
        </w:rPr>
        <w:t xml:space="preserve">附：被授权代表人身份证复印件 </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rPr>
        <w:t xml:space="preserve">   </w:t>
      </w:r>
    </w:p>
    <w:p>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440" w:lineRule="exact"/>
        <w:ind w:firstLine="480" w:firstLineChars="200"/>
        <w:rPr>
          <w:rFonts w:hint="eastAsia" w:ascii="宋体" w:hAnsi="宋体" w:eastAsia="宋体" w:cs="宋体"/>
          <w:color w:val="auto"/>
          <w:sz w:val="24"/>
          <w:szCs w:val="24"/>
          <w:highlight w:val="none"/>
        </w:rPr>
        <w:sectPr>
          <w:headerReference r:id="rId5" w:type="default"/>
          <w:pgSz w:w="11910" w:h="16840"/>
          <w:pgMar w:top="1984" w:right="1531" w:bottom="2098" w:left="1531" w:header="670" w:footer="1041" w:gutter="0"/>
          <w:cols w:space="720" w:num="1"/>
          <w:rtlGutter w:val="0"/>
          <w:docGrid w:linePitch="1" w:charSpace="0"/>
        </w:sect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 xml:space="preserve"> </w:t>
      </w:r>
    </w:p>
    <w:p>
      <w:pPr>
        <w:pStyle w:val="22"/>
        <w:spacing w:beforeLines="50" w:afterLines="50" w:line="300" w:lineRule="auto"/>
        <w:ind w:left="0" w:leftChars="0" w:firstLine="0" w:firstLineChars="0"/>
        <w:rPr>
          <w:rFonts w:hint="eastAsia" w:ascii="宋体" w:hAnsi="宋体" w:eastAsia="宋体" w:cs="宋体"/>
          <w:color w:val="auto"/>
          <w:sz w:val="24"/>
          <w:szCs w:val="24"/>
          <w:highlight w:val="none"/>
          <w:u w:val="single"/>
        </w:rPr>
      </w:pPr>
    </w:p>
    <w:p>
      <w:pPr>
        <w:pStyle w:val="3"/>
        <w:pageBreakBefore w:val="0"/>
        <w:widowControl w:val="0"/>
        <w:kinsoku/>
        <w:wordWrap/>
        <w:overflowPunct/>
        <w:topLinePunct w:val="0"/>
        <w:autoSpaceDE/>
        <w:autoSpaceDN/>
        <w:bidi w:val="0"/>
        <w:snapToGrid/>
        <w:spacing w:beforeLines="50" w:afterLines="50" w:line="240" w:lineRule="auto"/>
        <w:jc w:val="left"/>
        <w:rPr>
          <w:rFonts w:hint="eastAsia" w:ascii="宋体" w:hAnsi="宋体" w:eastAsia="宋体" w:cs="宋体"/>
          <w:bCs w:val="0"/>
          <w:color w:val="auto"/>
          <w:sz w:val="32"/>
          <w:szCs w:val="32"/>
          <w:highlight w:val="none"/>
        </w:rPr>
      </w:pPr>
      <w:bookmarkStart w:id="245" w:name="_Toc534816646"/>
      <w:bookmarkStart w:id="246" w:name="_Toc534725617"/>
      <w:r>
        <w:rPr>
          <w:rFonts w:hint="eastAsia" w:ascii="宋体" w:hAnsi="宋体" w:eastAsia="宋体" w:cs="宋体"/>
          <w:b w:val="0"/>
          <w:bCs w:val="0"/>
          <w:color w:val="auto"/>
          <w:sz w:val="30"/>
          <w:szCs w:val="30"/>
          <w:highlight w:val="none"/>
          <w:lang w:val="en-US" w:eastAsia="zh-CN"/>
        </w:rPr>
        <w:t>表四</w:t>
      </w:r>
    </w:p>
    <w:p>
      <w:pPr>
        <w:pStyle w:val="3"/>
        <w:pageBreakBefore w:val="0"/>
        <w:widowControl w:val="0"/>
        <w:kinsoku/>
        <w:wordWrap/>
        <w:overflowPunct/>
        <w:topLinePunct w:val="0"/>
        <w:autoSpaceDE/>
        <w:autoSpaceDN/>
        <w:bidi w:val="0"/>
        <w:snapToGrid/>
        <w:spacing w:beforeLines="50" w:afterLines="50" w:line="400" w:lineRule="exact"/>
        <w:ind w:firstLine="3373" w:firstLineChars="1050"/>
        <w:jc w:val="both"/>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投标函格式</w:t>
      </w:r>
      <w:bookmarkEnd w:id="245"/>
      <w:bookmarkEnd w:id="246"/>
    </w:p>
    <w:p>
      <w:pPr>
        <w:pStyle w:val="18"/>
        <w:pageBreakBefore w:val="0"/>
        <w:widowControl w:val="0"/>
        <w:kinsoku/>
        <w:wordWrap/>
        <w:overflowPunct/>
        <w:topLinePunct w:val="0"/>
        <w:autoSpaceDE/>
        <w:autoSpaceDN/>
        <w:bidi w:val="0"/>
        <w:snapToGrid/>
        <w:spacing w:beforeLines="50" w:afterLines="50" w:line="400" w:lineRule="exact"/>
        <w:ind w:firstLine="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致：新疆维吾尔自治区政务服务和公共资源交易中心</w:t>
      </w:r>
    </w:p>
    <w:p>
      <w:pPr>
        <w:pStyle w:val="18"/>
        <w:pageBreakBefore w:val="0"/>
        <w:widowControl w:val="0"/>
        <w:kinsoku/>
        <w:wordWrap/>
        <w:overflowPunct/>
        <w:topLinePunct w:val="0"/>
        <w:autoSpaceDE/>
        <w:autoSpaceDN/>
        <w:bidi w:val="0"/>
        <w:snapToGrid/>
        <w:spacing w:beforeLines="50" w:afterLines="50" w:line="400" w:lineRule="exact"/>
        <w:ind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根据贵方的GK</w:t>
      </w:r>
      <w:r>
        <w:rPr>
          <w:rFonts w:hint="eastAsia" w:ascii="宋体" w:hAnsi="宋体" w:eastAsia="宋体" w:cs="宋体"/>
          <w:b/>
          <w:color w:val="auto"/>
          <w:sz w:val="36"/>
          <w:highlight w:val="none"/>
          <w:u w:val="single"/>
        </w:rPr>
        <w:t xml:space="preserve">            </w:t>
      </w:r>
      <w:r>
        <w:rPr>
          <w:rFonts w:hint="eastAsia" w:ascii="宋体" w:hAnsi="宋体" w:eastAsia="宋体" w:cs="宋体"/>
          <w:color w:val="auto"/>
          <w:kern w:val="2"/>
          <w:szCs w:val="21"/>
          <w:highlight w:val="none"/>
        </w:rPr>
        <w:t>号招标文件，正式授权下述签字人_________________(姓名)代表我方______________（投标人的名称），全权处理本次项目投标的有关事宜。</w:t>
      </w:r>
    </w:p>
    <w:p>
      <w:pPr>
        <w:pStyle w:val="18"/>
        <w:pageBreakBefore w:val="0"/>
        <w:widowControl w:val="0"/>
        <w:kinsoku/>
        <w:wordWrap/>
        <w:overflowPunct/>
        <w:topLinePunct w:val="0"/>
        <w:autoSpaceDE/>
        <w:autoSpaceDN/>
        <w:bidi w:val="0"/>
        <w:snapToGrid/>
        <w:spacing w:beforeLines="50" w:afterLines="50" w:line="400" w:lineRule="exact"/>
        <w:ind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据此函，__________签字人兹宣布同意如下：</w:t>
      </w:r>
    </w:p>
    <w:p>
      <w:pPr>
        <w:pStyle w:val="18"/>
        <w:pageBreakBefore w:val="0"/>
        <w:widowControl w:val="0"/>
        <w:kinsoku/>
        <w:wordWrap/>
        <w:overflowPunct/>
        <w:topLinePunct w:val="0"/>
        <w:autoSpaceDE/>
        <w:autoSpaceDN/>
        <w:bidi w:val="0"/>
        <w:snapToGrid/>
        <w:spacing w:beforeLines="50" w:afterLines="50"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1.按招标文件规定的各项要求，向买方提供所需货物与服务。</w:t>
      </w:r>
    </w:p>
    <w:p>
      <w:pPr>
        <w:pStyle w:val="18"/>
        <w:pageBreakBefore w:val="0"/>
        <w:widowControl w:val="0"/>
        <w:kinsoku/>
        <w:wordWrap/>
        <w:overflowPunct/>
        <w:topLinePunct w:val="0"/>
        <w:autoSpaceDE/>
        <w:autoSpaceDN/>
        <w:bidi w:val="0"/>
        <w:snapToGrid/>
        <w:spacing w:beforeLines="50" w:afterLines="50" w:line="400" w:lineRule="exact"/>
        <w:ind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2.我们完全理解贵方不一定将合同授予报价最低的投标人。</w:t>
      </w:r>
    </w:p>
    <w:p>
      <w:pPr>
        <w:pStyle w:val="18"/>
        <w:pageBreakBefore w:val="0"/>
        <w:widowControl w:val="0"/>
        <w:kinsoku/>
        <w:wordWrap/>
        <w:overflowPunct/>
        <w:topLinePunct w:val="0"/>
        <w:autoSpaceDE/>
        <w:autoSpaceDN/>
        <w:bidi w:val="0"/>
        <w:snapToGrid/>
        <w:spacing w:beforeLines="50" w:afterLines="50" w:line="400" w:lineRule="exact"/>
        <w:ind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3.我们已详细审核全部招标文件及其有效补充文件，我们知道必须放弃提出含糊不清或误解问题的权利。</w:t>
      </w:r>
    </w:p>
    <w:p>
      <w:pPr>
        <w:pStyle w:val="18"/>
        <w:pageBreakBefore w:val="0"/>
        <w:widowControl w:val="0"/>
        <w:kinsoku/>
        <w:wordWrap/>
        <w:overflowPunct/>
        <w:topLinePunct w:val="0"/>
        <w:autoSpaceDE/>
        <w:autoSpaceDN/>
        <w:bidi w:val="0"/>
        <w:snapToGrid/>
        <w:spacing w:beforeLines="50" w:afterLines="50"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4.我们同意从规定的开标时间起遵循本投标文件，并在规定的投标有效期期满之前均具有约束力。</w:t>
      </w:r>
    </w:p>
    <w:p>
      <w:pPr>
        <w:pStyle w:val="18"/>
        <w:pageBreakBefore w:val="0"/>
        <w:widowControl w:val="0"/>
        <w:kinsoku/>
        <w:wordWrap/>
        <w:overflowPunct/>
        <w:topLinePunct w:val="0"/>
        <w:autoSpaceDE/>
        <w:autoSpaceDN/>
        <w:bidi w:val="0"/>
        <w:snapToGrid/>
        <w:spacing w:beforeLines="50" w:afterLines="50"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5.如果在开标后规定的投标有效期内撤回投标或中标后拒绝签订合同，我们的投标保证金可不予退还。</w:t>
      </w:r>
    </w:p>
    <w:p>
      <w:pPr>
        <w:pStyle w:val="18"/>
        <w:pageBreakBefore w:val="0"/>
        <w:widowControl w:val="0"/>
        <w:kinsoku/>
        <w:wordWrap/>
        <w:overflowPunct/>
        <w:topLinePunct w:val="0"/>
        <w:autoSpaceDE/>
        <w:autoSpaceDN/>
        <w:bidi w:val="0"/>
        <w:snapToGrid/>
        <w:spacing w:beforeLines="50" w:afterLines="50"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6.同意向贵方提供贵方可能另外要求的与投标有关的任何证据或资料，并保证我方已提供和将要提供的文件是真实的、准确的。</w:t>
      </w:r>
    </w:p>
    <w:p>
      <w:pPr>
        <w:pStyle w:val="18"/>
        <w:pageBreakBefore w:val="0"/>
        <w:widowControl w:val="0"/>
        <w:kinsoku/>
        <w:wordWrap/>
        <w:overflowPunct/>
        <w:topLinePunct w:val="0"/>
        <w:autoSpaceDE/>
        <w:autoSpaceDN/>
        <w:bidi w:val="0"/>
        <w:snapToGrid/>
        <w:spacing w:beforeLines="50" w:afterLines="50" w:line="400" w:lineRule="exac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7.一旦我方中标,我方将根据招标文件的规定，严格履行合同的责任和义务,并保证在招标文件规定的时间完成项目，交付买方验收、使用。</w:t>
      </w:r>
    </w:p>
    <w:p>
      <w:pPr>
        <w:pStyle w:val="18"/>
        <w:pageBreakBefore w:val="0"/>
        <w:widowControl w:val="0"/>
        <w:kinsoku/>
        <w:wordWrap/>
        <w:overflowPunct/>
        <w:topLinePunct w:val="0"/>
        <w:autoSpaceDE/>
        <w:autoSpaceDN/>
        <w:bidi w:val="0"/>
        <w:snapToGrid/>
        <w:spacing w:beforeLines="50" w:afterLines="50" w:line="400" w:lineRule="exact"/>
        <w:ind w:left="425" w:firstLine="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8.与本投标有关的正式通讯地址为：</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                         邮 编：</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                         传 真：</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供应商开户行：                  账 户： </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授权代表人（签字）：            联系电话：</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投标人名称（公章）：            </w:t>
      </w:r>
    </w:p>
    <w:p>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auto"/>
          <w:highlight w:val="none"/>
        </w:rPr>
        <w:sectPr>
          <w:footerReference r:id="rId7" w:type="first"/>
          <w:footerReference r:id="rId6" w:type="default"/>
          <w:pgSz w:w="11906" w:h="16838"/>
          <w:pgMar w:top="1015" w:right="1196" w:bottom="868" w:left="1259" w:header="851" w:footer="907" w:gutter="0"/>
          <w:cols w:space="720" w:num="1"/>
          <w:titlePg/>
          <w:rtlGutter w:val="0"/>
          <w:docGrid w:type="lines" w:linePitch="286" w:charSpace="0"/>
        </w:sectPr>
      </w:pPr>
      <w:r>
        <w:rPr>
          <w:rFonts w:hint="eastAsia" w:ascii="宋体" w:hAnsi="宋体" w:eastAsia="宋体" w:cs="宋体"/>
          <w:color w:val="auto"/>
          <w:highlight w:val="none"/>
        </w:rPr>
        <w:t>日 期：________年____月____</w:t>
      </w:r>
    </w:p>
    <w:p>
      <w:pPr>
        <w:spacing w:beforeLines="50" w:afterLines="50" w:line="300" w:lineRule="auto"/>
        <w:ind w:firstLine="300" w:firstLineChars="100"/>
        <w:jc w:val="left"/>
        <w:rPr>
          <w:rFonts w:hint="default" w:ascii="宋体" w:hAnsi="宋体" w:eastAsia="宋体" w:cs="宋体"/>
          <w:b w:val="0"/>
          <w:bCs w:val="0"/>
          <w:color w:val="auto"/>
          <w:kern w:val="2"/>
          <w:sz w:val="30"/>
          <w:szCs w:val="30"/>
          <w:highlight w:val="none"/>
          <w:lang w:val="en-US" w:eastAsia="zh-CN" w:bidi="ar-SA"/>
        </w:rPr>
      </w:pPr>
      <w:r>
        <w:rPr>
          <w:rFonts w:hint="eastAsia" w:ascii="宋体" w:hAnsi="宋体" w:eastAsia="宋体" w:cs="宋体"/>
          <w:b w:val="0"/>
          <w:bCs w:val="0"/>
          <w:color w:val="auto"/>
          <w:kern w:val="2"/>
          <w:sz w:val="30"/>
          <w:szCs w:val="30"/>
          <w:highlight w:val="none"/>
          <w:lang w:val="en-US" w:eastAsia="zh-CN" w:bidi="ar-SA"/>
        </w:rPr>
        <w:t>表五</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bCs/>
          <w:color w:val="auto"/>
          <w:sz w:val="36"/>
          <w:highlight w:val="none"/>
        </w:rPr>
        <w:t>中小企业声明函（货</w:t>
      </w:r>
      <w:r>
        <w:rPr>
          <w:rFonts w:hint="eastAsia" w:ascii="宋体" w:hAnsi="宋体" w:eastAsia="宋体" w:cs="宋体"/>
          <w:b w:val="0"/>
          <w:bCs w:val="0"/>
          <w:color w:val="auto"/>
          <w:sz w:val="36"/>
          <w:highlight w:val="none"/>
        </w:rPr>
        <w:t>物）</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highlight w:val="none"/>
        </w:rPr>
      </w:pP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本公司（联合体）郑重声明，根据《政府采购促进中小企业发展管理办法》（财库﹝2020﹞46 号）的规定，本公司（联合体）参加（</w:t>
      </w:r>
      <w:r>
        <w:rPr>
          <w:rFonts w:hint="eastAsia" w:ascii="宋体" w:hAnsi="宋体" w:eastAsia="宋体" w:cs="宋体"/>
          <w:bCs/>
          <w:i/>
          <w:iCs/>
          <w:color w:val="auto"/>
          <w:sz w:val="24"/>
          <w:highlight w:val="none"/>
          <w:u w:val="single"/>
        </w:rPr>
        <w:t>单位名称</w:t>
      </w:r>
      <w:r>
        <w:rPr>
          <w:rFonts w:hint="eastAsia" w:ascii="宋体" w:hAnsi="宋体" w:eastAsia="宋体" w:cs="宋体"/>
          <w:bCs/>
          <w:color w:val="auto"/>
          <w:sz w:val="24"/>
          <w:highlight w:val="none"/>
        </w:rPr>
        <w:t>）的（</w:t>
      </w:r>
      <w:r>
        <w:rPr>
          <w:rFonts w:hint="eastAsia" w:ascii="宋体" w:hAnsi="宋体" w:eastAsia="宋体" w:cs="宋体"/>
          <w:bCs/>
          <w:i/>
          <w:iCs/>
          <w:color w:val="auto"/>
          <w:sz w:val="24"/>
          <w:highlight w:val="none"/>
          <w:u w:val="single"/>
        </w:rPr>
        <w:t>项目名称</w:t>
      </w:r>
      <w:r>
        <w:rPr>
          <w:rFonts w:hint="eastAsia" w:ascii="宋体" w:hAnsi="宋体" w:eastAsia="宋体" w:cs="宋体"/>
          <w:bCs/>
          <w:color w:val="auto"/>
          <w:sz w:val="24"/>
          <w:highlight w:val="none"/>
        </w:rPr>
        <w:t>）采购活动，提供的货物全部由符合政策要求的中小企业制造。相关企业（含联合体中的中小企业、签订分包意向协议的中小企业）的具体情况如下：</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w:t>
      </w:r>
      <w:r>
        <w:rPr>
          <w:rFonts w:hint="eastAsia" w:ascii="宋体" w:hAnsi="宋体" w:eastAsia="宋体" w:cs="宋体"/>
          <w:bCs/>
          <w:i/>
          <w:iCs/>
          <w:color w:val="auto"/>
          <w:sz w:val="24"/>
          <w:highlight w:val="none"/>
          <w:u w:val="single"/>
        </w:rPr>
        <w:t>标的名称</w:t>
      </w:r>
      <w:r>
        <w:rPr>
          <w:rFonts w:hint="eastAsia" w:ascii="宋体" w:hAnsi="宋体" w:eastAsia="宋体" w:cs="宋体"/>
          <w:bCs/>
          <w:color w:val="auto"/>
          <w:sz w:val="24"/>
          <w:highlight w:val="none"/>
        </w:rPr>
        <w:t>） ，属于（</w:t>
      </w:r>
      <w:r>
        <w:rPr>
          <w:rFonts w:hint="eastAsia" w:ascii="宋体" w:hAnsi="宋体" w:eastAsia="宋体" w:cs="宋体"/>
          <w:bCs/>
          <w:i/>
          <w:i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i/>
          <w:i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万元，属于（</w:t>
      </w:r>
      <w:r>
        <w:rPr>
          <w:rFonts w:hint="eastAsia" w:ascii="宋体" w:hAnsi="宋体" w:eastAsia="宋体" w:cs="宋体"/>
          <w:bCs/>
          <w:i/>
          <w:i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宋体"/>
          <w:bCs/>
          <w:i/>
          <w:iCs/>
          <w:color w:val="auto"/>
          <w:sz w:val="24"/>
          <w:highlight w:val="none"/>
          <w:u w:val="single"/>
        </w:rPr>
        <w:t>标的名称</w:t>
      </w:r>
      <w:r>
        <w:rPr>
          <w:rFonts w:hint="eastAsia" w:ascii="宋体" w:hAnsi="宋体" w:eastAsia="宋体" w:cs="宋体"/>
          <w:bCs/>
          <w:color w:val="auto"/>
          <w:sz w:val="24"/>
          <w:highlight w:val="none"/>
        </w:rPr>
        <w:t>） ，属于（</w:t>
      </w:r>
      <w:r>
        <w:rPr>
          <w:rFonts w:hint="eastAsia" w:ascii="宋体" w:hAnsi="宋体" w:eastAsia="宋体" w:cs="宋体"/>
          <w:bCs/>
          <w:i/>
          <w:i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i/>
          <w:i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万元，属于（</w:t>
      </w:r>
      <w:r>
        <w:rPr>
          <w:rFonts w:hint="eastAsia" w:ascii="宋体" w:hAnsi="宋体" w:eastAsia="宋体" w:cs="宋体"/>
          <w:bCs/>
          <w:i/>
          <w:i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本企业对上述声明内容的真实性负责。如有虚假，将依法承担相应责任。</w:t>
      </w:r>
    </w:p>
    <w:p>
      <w:pPr>
        <w:spacing w:beforeLines="50" w:afterLines="50" w:line="300" w:lineRule="auto"/>
        <w:rPr>
          <w:rFonts w:hint="eastAsia" w:ascii="宋体" w:hAnsi="宋体" w:eastAsia="宋体" w:cs="宋体"/>
          <w:bCs/>
          <w:color w:val="auto"/>
          <w:sz w:val="24"/>
          <w:highlight w:val="none"/>
        </w:rPr>
      </w:pPr>
    </w:p>
    <w:p>
      <w:pPr>
        <w:spacing w:beforeLines="50" w:afterLines="50" w:line="300" w:lineRule="auto"/>
        <w:rPr>
          <w:rFonts w:hint="eastAsia" w:ascii="宋体" w:hAnsi="宋体" w:eastAsia="宋体" w:cs="宋体"/>
          <w:bCs/>
          <w:color w:val="auto"/>
          <w:sz w:val="24"/>
          <w:highlight w:val="none"/>
        </w:rPr>
      </w:pPr>
    </w:p>
    <w:p>
      <w:pPr>
        <w:spacing w:beforeLines="50" w:afterLines="50" w:line="300" w:lineRule="auto"/>
        <w:ind w:firstLine="4080" w:firstLineChars="17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pPr>
        <w:spacing w:beforeLines="50" w:afterLines="50" w:line="300" w:lineRule="auto"/>
        <w:ind w:firstLine="4080" w:firstLineChars="17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lang w:val="en-US" w:eastAsia="zh-CN"/>
        </w:rPr>
        <w:t>备注：1、</w:t>
      </w:r>
      <w:r>
        <w:rPr>
          <w:rFonts w:hint="eastAsia" w:ascii="宋体" w:hAnsi="宋体" w:eastAsia="宋体" w:cs="宋体"/>
          <w:b/>
          <w:bCs/>
          <w:color w:val="auto"/>
          <w:sz w:val="18"/>
          <w:highlight w:val="none"/>
        </w:rPr>
        <w:t>从业人员、营业收入、资产总额填报上一年度数据，无上一年度数据的新成立企业可不填报。</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color w:val="auto"/>
          <w:sz w:val="18"/>
          <w:szCs w:val="22"/>
          <w:highlight w:val="none"/>
          <w:lang w:val="en-US" w:eastAsia="zh-CN"/>
        </w:rPr>
      </w:pPr>
      <w:r>
        <w:rPr>
          <w:rFonts w:hint="eastAsia" w:ascii="宋体" w:hAnsi="宋体" w:eastAsia="宋体" w:cs="宋体"/>
          <w:b/>
          <w:bCs/>
          <w:color w:val="auto"/>
          <w:sz w:val="18"/>
          <w:szCs w:val="22"/>
          <w:highlight w:val="none"/>
          <w:lang w:val="en-US" w:eastAsia="zh-CN"/>
        </w:rPr>
        <w:t>投标人为中小企业时需提供本声明函，并完整填写从业人员、营业收入、资产总额等内容，否则评审时不能享受相应的价格扣除。</w:t>
      </w:r>
    </w:p>
    <w:p>
      <w:pPr>
        <w:pStyle w:val="7"/>
        <w:widowControl w:val="0"/>
        <w:numPr>
          <w:ilvl w:val="0"/>
          <w:numId w:val="0"/>
        </w:numPr>
        <w:jc w:val="both"/>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7"/>
        <w:rPr>
          <w:rFonts w:hint="eastAsia" w:ascii="宋体" w:hAnsi="宋体" w:eastAsia="宋体" w:cs="宋体"/>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36"/>
          <w:szCs w:val="22"/>
          <w:highlight w:val="none"/>
          <w:lang w:val="en-US" w:eastAsia="zh-CN"/>
        </w:rPr>
      </w:pPr>
      <w:r>
        <w:rPr>
          <w:rFonts w:hint="eastAsia" w:ascii="宋体" w:hAnsi="宋体" w:eastAsia="宋体" w:cs="宋体"/>
          <w:b/>
          <w:bCs/>
          <w:color w:val="auto"/>
          <w:sz w:val="36"/>
          <w:szCs w:val="22"/>
          <w:highlight w:val="none"/>
        </w:rPr>
        <w:br w:type="page"/>
      </w:r>
      <w:r>
        <w:rPr>
          <w:rFonts w:hint="eastAsia" w:ascii="宋体" w:hAnsi="宋体" w:eastAsia="宋体" w:cs="宋体"/>
          <w:b w:val="0"/>
          <w:bCs w:val="0"/>
          <w:color w:val="auto"/>
          <w:kern w:val="2"/>
          <w:sz w:val="30"/>
          <w:szCs w:val="30"/>
          <w:highlight w:val="none"/>
          <w:lang w:val="en-US" w:eastAsia="zh-CN" w:bidi="ar-SA"/>
        </w:rPr>
        <w:t>表六</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szCs w:val="22"/>
          <w:highlight w:val="none"/>
        </w:rPr>
      </w:pPr>
      <w:r>
        <w:rPr>
          <w:rFonts w:hint="eastAsia" w:ascii="宋体" w:hAnsi="宋体" w:eastAsia="宋体" w:cs="宋体"/>
          <w:b/>
          <w:bCs/>
          <w:color w:val="auto"/>
          <w:sz w:val="36"/>
          <w:szCs w:val="22"/>
          <w:highlight w:val="none"/>
        </w:rPr>
        <w:t>中小企业声明函（工程、服务）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szCs w:val="22"/>
          <w:highlight w:val="none"/>
        </w:rPr>
      </w:pP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本公司（联合体）郑重声明，根据《政府采购促进中小企业发展管理办法》（财库﹝2020﹞46 号）的规定，本公司（联合体）参加（</w:t>
      </w:r>
      <w:r>
        <w:rPr>
          <w:rFonts w:hint="eastAsia" w:ascii="宋体" w:hAnsi="宋体" w:eastAsia="宋体" w:cs="宋体"/>
          <w:bCs/>
          <w:i/>
          <w:iCs/>
          <w:color w:val="auto"/>
          <w:sz w:val="24"/>
          <w:highlight w:val="none"/>
          <w:u w:val="single"/>
        </w:rPr>
        <w:t>单位名称</w:t>
      </w:r>
      <w:r>
        <w:rPr>
          <w:rFonts w:hint="eastAsia" w:ascii="宋体" w:hAnsi="宋体" w:eastAsia="宋体" w:cs="宋体"/>
          <w:bCs/>
          <w:color w:val="auto"/>
          <w:sz w:val="24"/>
          <w:highlight w:val="none"/>
        </w:rPr>
        <w:t>）的（</w:t>
      </w:r>
      <w:r>
        <w:rPr>
          <w:rFonts w:hint="eastAsia" w:ascii="宋体" w:hAnsi="宋体" w:eastAsia="宋体" w:cs="宋体"/>
          <w:bCs/>
          <w:i/>
          <w:iCs/>
          <w:color w:val="auto"/>
          <w:sz w:val="24"/>
          <w:highlight w:val="none"/>
          <w:u w:val="single"/>
        </w:rPr>
        <w:t>项目名称</w:t>
      </w:r>
      <w:r>
        <w:rPr>
          <w:rFonts w:hint="eastAsia" w:ascii="宋体" w:hAnsi="宋体" w:eastAsia="宋体" w:cs="宋体"/>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w:t>
      </w:r>
      <w:r>
        <w:rPr>
          <w:rFonts w:hint="eastAsia" w:ascii="宋体" w:hAnsi="宋体" w:eastAsia="宋体" w:cs="宋体"/>
          <w:bCs/>
          <w:i/>
          <w:iCs/>
          <w:color w:val="auto"/>
          <w:sz w:val="24"/>
          <w:highlight w:val="none"/>
          <w:u w:val="single"/>
        </w:rPr>
        <w:t>标的名称</w:t>
      </w:r>
      <w:r>
        <w:rPr>
          <w:rFonts w:hint="eastAsia" w:ascii="宋体" w:hAnsi="宋体" w:eastAsia="宋体" w:cs="宋体"/>
          <w:bCs/>
          <w:color w:val="auto"/>
          <w:sz w:val="24"/>
          <w:highlight w:val="none"/>
        </w:rPr>
        <w:t>） ，属于（</w:t>
      </w:r>
      <w:r>
        <w:rPr>
          <w:rFonts w:hint="eastAsia" w:ascii="宋体" w:hAnsi="宋体" w:eastAsia="宋体" w:cs="宋体"/>
          <w:bCs/>
          <w:i/>
          <w:iCs/>
          <w:color w:val="auto"/>
          <w:sz w:val="24"/>
          <w:highlight w:val="none"/>
          <w:u w:val="single"/>
        </w:rPr>
        <w:t>采购文件中明确的所属行业</w:t>
      </w:r>
      <w:r>
        <w:rPr>
          <w:rFonts w:hint="eastAsia" w:ascii="宋体" w:hAnsi="宋体" w:eastAsia="宋体" w:cs="宋体"/>
          <w:bCs/>
          <w:color w:val="auto"/>
          <w:sz w:val="24"/>
          <w:highlight w:val="none"/>
        </w:rPr>
        <w:t>）；承建（承接）企业为（</w:t>
      </w:r>
      <w:r>
        <w:rPr>
          <w:rFonts w:hint="eastAsia" w:ascii="宋体" w:hAnsi="宋体" w:eastAsia="宋体" w:cs="宋体"/>
          <w:bCs/>
          <w:i/>
          <w:i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万元，属于（</w:t>
      </w:r>
      <w:r>
        <w:rPr>
          <w:rFonts w:hint="eastAsia" w:ascii="宋体" w:hAnsi="宋体" w:eastAsia="宋体" w:cs="宋体"/>
          <w:bCs/>
          <w:i/>
          <w:i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w:t>
      </w:r>
      <w:r>
        <w:rPr>
          <w:rFonts w:hint="eastAsia" w:ascii="宋体" w:hAnsi="宋体" w:eastAsia="宋体" w:cs="宋体"/>
          <w:bCs/>
          <w:i/>
          <w:iCs/>
          <w:color w:val="auto"/>
          <w:sz w:val="24"/>
          <w:highlight w:val="none"/>
          <w:u w:val="single"/>
        </w:rPr>
        <w:t>标的名称</w:t>
      </w:r>
      <w:r>
        <w:rPr>
          <w:rFonts w:hint="eastAsia" w:ascii="宋体" w:hAnsi="宋体" w:eastAsia="宋体" w:cs="宋体"/>
          <w:bCs/>
          <w:color w:val="auto"/>
          <w:sz w:val="24"/>
          <w:highlight w:val="none"/>
        </w:rPr>
        <w:t>） ，属于（</w:t>
      </w:r>
      <w:r>
        <w:rPr>
          <w:rFonts w:hint="eastAsia" w:ascii="宋体" w:hAnsi="宋体" w:eastAsia="宋体" w:cs="宋体"/>
          <w:bCs/>
          <w:i/>
          <w:iCs/>
          <w:color w:val="auto"/>
          <w:sz w:val="24"/>
          <w:highlight w:val="none"/>
          <w:u w:val="single"/>
        </w:rPr>
        <w:t>采购文件中明确的所属行业</w:t>
      </w:r>
      <w:r>
        <w:rPr>
          <w:rFonts w:hint="eastAsia" w:ascii="宋体" w:hAnsi="宋体" w:eastAsia="宋体" w:cs="宋体"/>
          <w:bCs/>
          <w:color w:val="auto"/>
          <w:sz w:val="24"/>
          <w:highlight w:val="none"/>
        </w:rPr>
        <w:t>）；承建（承接）企业为（</w:t>
      </w:r>
      <w:r>
        <w:rPr>
          <w:rFonts w:hint="eastAsia" w:ascii="宋体" w:hAnsi="宋体" w:eastAsia="宋体" w:cs="宋体"/>
          <w:bCs/>
          <w:i/>
          <w:i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万元，属于（</w:t>
      </w:r>
      <w:r>
        <w:rPr>
          <w:rFonts w:hint="eastAsia" w:ascii="宋体" w:hAnsi="宋体" w:eastAsia="宋体" w:cs="宋体"/>
          <w:bCs/>
          <w:i/>
          <w:i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Lines="50" w:afterLines="50" w:line="30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pPr>
        <w:spacing w:beforeLines="50"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本企业对上述声明内容的真实性负责。如有虚假，将依法承担相应责任。</w:t>
      </w:r>
    </w:p>
    <w:p>
      <w:pPr>
        <w:spacing w:beforeLines="50" w:afterLines="50" w:line="300" w:lineRule="auto"/>
        <w:rPr>
          <w:rFonts w:hint="eastAsia" w:ascii="宋体" w:hAnsi="宋体" w:eastAsia="宋体" w:cs="宋体"/>
          <w:bCs/>
          <w:color w:val="auto"/>
          <w:sz w:val="24"/>
          <w:highlight w:val="none"/>
        </w:rPr>
      </w:pPr>
    </w:p>
    <w:p>
      <w:pPr>
        <w:spacing w:beforeLines="50" w:afterLines="50" w:line="300" w:lineRule="auto"/>
        <w:rPr>
          <w:rFonts w:hint="eastAsia" w:ascii="宋体" w:hAnsi="宋体" w:eastAsia="宋体" w:cs="宋体"/>
          <w:bCs/>
          <w:color w:val="auto"/>
          <w:sz w:val="24"/>
          <w:highlight w:val="none"/>
        </w:rPr>
      </w:pPr>
    </w:p>
    <w:p>
      <w:pPr>
        <w:spacing w:beforeLines="50" w:afterLines="50" w:line="300" w:lineRule="auto"/>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pPr>
        <w:spacing w:beforeLines="50" w:afterLines="50" w:line="300" w:lineRule="auto"/>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p>
    <w:p>
      <w:pPr>
        <w:pStyle w:val="7"/>
        <w:ind w:left="0" w:leftChars="0" w:firstLine="0" w:firstLineChars="0"/>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lang w:val="en-US" w:eastAsia="zh-CN"/>
        </w:rPr>
        <w:t>备注：1、</w:t>
      </w:r>
      <w:r>
        <w:rPr>
          <w:rFonts w:hint="eastAsia" w:ascii="宋体" w:hAnsi="宋体" w:eastAsia="宋体" w:cs="宋体"/>
          <w:b/>
          <w:bCs/>
          <w:color w:val="auto"/>
          <w:sz w:val="18"/>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color w:val="auto"/>
          <w:sz w:val="18"/>
          <w:szCs w:val="22"/>
          <w:highlight w:val="none"/>
          <w:lang w:val="en-US" w:eastAsia="zh-CN"/>
        </w:rPr>
      </w:pPr>
      <w:r>
        <w:rPr>
          <w:rFonts w:hint="eastAsia" w:ascii="宋体" w:hAnsi="宋体" w:eastAsia="宋体" w:cs="宋体"/>
          <w:b/>
          <w:bCs/>
          <w:color w:val="auto"/>
          <w:sz w:val="18"/>
          <w:szCs w:val="22"/>
          <w:highlight w:val="none"/>
          <w:lang w:val="en-US" w:eastAsia="zh-CN"/>
        </w:rPr>
        <w:t>2、投标人为中小企业时需提供本声明函，并完整填写从业人员、营业收入、资产总额等内容，否则评审时不能享受相应的价格扣除。</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color w:val="auto"/>
          <w:sz w:val="18"/>
          <w:szCs w:val="22"/>
          <w:highlight w:val="none"/>
          <w:lang w:val="en-US" w:eastAsia="zh-CN"/>
        </w:rPr>
      </w:pPr>
    </w:p>
    <w:p>
      <w:pPr>
        <w:spacing w:beforeLines="50" w:afterLines="50" w:line="300" w:lineRule="auto"/>
        <w:rPr>
          <w:rFonts w:hint="eastAsia" w:ascii="宋体" w:hAnsi="宋体" w:eastAsia="宋体" w:cs="宋体"/>
          <w:bCs/>
          <w:color w:val="auto"/>
          <w:sz w:val="24"/>
          <w:highlight w:val="none"/>
        </w:rPr>
      </w:pPr>
    </w:p>
    <w:p>
      <w:pPr>
        <w:pStyle w:val="7"/>
        <w:rPr>
          <w:rFonts w:hint="eastAsia" w:ascii="宋体" w:hAnsi="宋体" w:eastAsia="宋体" w:cs="宋体"/>
          <w:bCs/>
          <w:color w:val="auto"/>
          <w:sz w:val="24"/>
          <w:highlight w:val="none"/>
        </w:rPr>
      </w:pPr>
    </w:p>
    <w:p>
      <w:pPr>
        <w:rPr>
          <w:rFonts w:hint="eastAsia" w:ascii="宋体" w:hAnsi="宋体" w:eastAsia="宋体" w:cs="宋体"/>
          <w:bCs/>
          <w:color w:val="auto"/>
          <w:sz w:val="24"/>
          <w:highlight w:val="none"/>
        </w:rPr>
      </w:pPr>
    </w:p>
    <w:p>
      <w:pPr>
        <w:pStyle w:val="7"/>
        <w:rPr>
          <w:rFonts w:hint="eastAsia" w:ascii="宋体" w:hAnsi="宋体" w:eastAsia="宋体" w:cs="宋体"/>
          <w:color w:val="auto"/>
          <w:highlight w:val="none"/>
        </w:rPr>
      </w:pPr>
    </w:p>
    <w:p>
      <w:pPr>
        <w:spacing w:beforeLines="50" w:afterLines="50" w:line="300" w:lineRule="auto"/>
        <w:ind w:firstLine="300" w:firstLineChars="100"/>
        <w:jc w:val="left"/>
        <w:rPr>
          <w:rFonts w:hint="default" w:ascii="宋体" w:hAnsi="宋体" w:eastAsia="宋体" w:cs="宋体"/>
          <w:b w:val="0"/>
          <w:bCs w:val="0"/>
          <w:color w:val="auto"/>
          <w:kern w:val="2"/>
          <w:sz w:val="30"/>
          <w:szCs w:val="30"/>
          <w:highlight w:val="none"/>
          <w:lang w:val="en-US" w:eastAsia="zh-CN" w:bidi="ar-SA"/>
        </w:rPr>
      </w:pPr>
      <w:r>
        <w:rPr>
          <w:rFonts w:hint="eastAsia" w:ascii="宋体" w:hAnsi="宋体" w:eastAsia="宋体" w:cs="宋体"/>
          <w:b w:val="0"/>
          <w:bCs w:val="0"/>
          <w:color w:val="auto"/>
          <w:kern w:val="2"/>
          <w:sz w:val="30"/>
          <w:szCs w:val="30"/>
          <w:highlight w:val="none"/>
          <w:lang w:val="en-US" w:eastAsia="zh-CN" w:bidi="ar-SA"/>
        </w:rPr>
        <w:t xml:space="preserve"> 表七</w:t>
      </w:r>
    </w:p>
    <w:p>
      <w:pPr>
        <w:spacing w:beforeLines="50" w:afterLines="50" w:line="30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pPr>
        <w:spacing w:beforeLines="50" w:afterLines="50" w:line="300" w:lineRule="auto"/>
        <w:ind w:firstLine="624" w:firstLineChars="200"/>
        <w:rPr>
          <w:rFonts w:hint="eastAsia" w:ascii="宋体" w:hAnsi="宋体" w:eastAsia="宋体" w:cs="宋体"/>
          <w:color w:val="auto"/>
          <w:spacing w:val="6"/>
          <w:sz w:val="30"/>
          <w:szCs w:val="30"/>
          <w:highlight w:val="none"/>
        </w:rPr>
      </w:pPr>
    </w:p>
    <w:p>
      <w:pPr>
        <w:spacing w:beforeLines="50"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pPr>
        <w:spacing w:beforeLines="50"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本单位在本次政府采购活动中提供的残疾人福利单位产品报价合计为人民币（大写）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圆整（￥：     ）。</w:t>
      </w:r>
    </w:p>
    <w:p>
      <w:pPr>
        <w:spacing w:beforeLines="50"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beforeLines="50" w:afterLines="50" w:line="300" w:lineRule="auto"/>
        <w:ind w:firstLine="480" w:firstLineChars="200"/>
        <w:rPr>
          <w:rFonts w:hint="eastAsia" w:ascii="宋体" w:hAnsi="宋体" w:eastAsia="宋体" w:cs="宋体"/>
          <w:color w:val="auto"/>
          <w:sz w:val="24"/>
          <w:highlight w:val="none"/>
        </w:rPr>
      </w:pPr>
    </w:p>
    <w:p>
      <w:pPr>
        <w:spacing w:beforeLines="50"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（备注：1、供应商如不提供此声明函，价格将不做相应扣除。2、中标供应商为残疾人福利单位的，此声明函将随中标结果同时公告，接受社会监督）</w:t>
      </w:r>
    </w:p>
    <w:p>
      <w:pPr>
        <w:spacing w:beforeLines="50" w:afterLines="50" w:line="300" w:lineRule="auto"/>
        <w:ind w:firstLine="624" w:firstLineChars="200"/>
        <w:rPr>
          <w:rFonts w:hint="eastAsia" w:ascii="宋体" w:hAnsi="宋体" w:eastAsia="宋体" w:cs="宋体"/>
          <w:color w:val="auto"/>
          <w:spacing w:val="6"/>
          <w:sz w:val="30"/>
          <w:szCs w:val="30"/>
          <w:highlight w:val="none"/>
        </w:rPr>
      </w:pPr>
    </w:p>
    <w:p>
      <w:pPr>
        <w:tabs>
          <w:tab w:val="left" w:pos="4860"/>
        </w:tabs>
        <w:spacing w:beforeLines="50" w:afterLines="50" w:line="300" w:lineRule="auto"/>
        <w:ind w:right="1560" w:firstLine="624" w:firstLineChars="200"/>
        <w:jc w:val="center"/>
        <w:rPr>
          <w:rFonts w:hint="eastAsia" w:ascii="宋体" w:hAnsi="宋体" w:eastAsia="宋体" w:cs="宋体"/>
          <w:color w:val="auto"/>
          <w:sz w:val="24"/>
          <w:highlight w:val="none"/>
        </w:rPr>
      </w:pPr>
      <w:r>
        <w:rPr>
          <w:rFonts w:hint="eastAsia" w:ascii="宋体" w:hAnsi="宋体" w:eastAsia="宋体" w:cs="宋体"/>
          <w:color w:val="auto"/>
          <w:spacing w:val="6"/>
          <w:sz w:val="30"/>
          <w:szCs w:val="30"/>
          <w:highlight w:val="none"/>
        </w:rPr>
        <w:t xml:space="preserve">             </w:t>
      </w:r>
      <w:r>
        <w:rPr>
          <w:rFonts w:hint="eastAsia" w:ascii="宋体" w:hAnsi="宋体" w:eastAsia="宋体" w:cs="宋体"/>
          <w:color w:val="auto"/>
          <w:sz w:val="24"/>
          <w:highlight w:val="none"/>
        </w:rPr>
        <w:t xml:space="preserve">                     供应商全称（盖章）：</w:t>
      </w:r>
    </w:p>
    <w:p>
      <w:pPr>
        <w:tabs>
          <w:tab w:val="left" w:pos="4860"/>
        </w:tabs>
        <w:spacing w:beforeLines="50" w:afterLines="50" w:line="30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beforeLines="50" w:afterLines="50"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（备注：投标人如未提供此声明函，价格将不做相应扣除，但投标不会被拒绝；如未如实声明，需承担相应法律责任。）</w:t>
      </w:r>
    </w:p>
    <w:p>
      <w:pPr>
        <w:pStyle w:val="8"/>
        <w:rPr>
          <w:rFonts w:hint="eastAsia" w:ascii="宋体" w:hAnsi="宋体" w:eastAsia="宋体" w:cs="宋体"/>
          <w:color w:val="auto"/>
          <w:sz w:val="24"/>
          <w:szCs w:val="24"/>
          <w:highlight w:val="none"/>
          <w:lang w:eastAsia="zh-CN"/>
        </w:rPr>
      </w:pPr>
    </w:p>
    <w:p>
      <w:pPr>
        <w:pStyle w:val="8"/>
        <w:rPr>
          <w:rFonts w:hint="eastAsia" w:ascii="宋体" w:hAnsi="宋体" w:eastAsia="宋体" w:cs="宋体"/>
          <w:color w:val="auto"/>
          <w:sz w:val="24"/>
          <w:szCs w:val="24"/>
          <w:highlight w:val="none"/>
          <w:lang w:eastAsia="zh-CN"/>
        </w:rPr>
      </w:pPr>
    </w:p>
    <w:p>
      <w:pPr>
        <w:pStyle w:val="8"/>
        <w:rPr>
          <w:rFonts w:hint="eastAsia" w:ascii="宋体" w:hAnsi="宋体" w:eastAsia="宋体" w:cs="宋体"/>
          <w:color w:val="auto"/>
          <w:sz w:val="24"/>
          <w:szCs w:val="24"/>
          <w:highlight w:val="none"/>
          <w:lang w:eastAsia="zh-CN"/>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sz w:val="24"/>
          <w:szCs w:val="24"/>
          <w:highlight w:val="none"/>
        </w:rPr>
      </w:pPr>
    </w:p>
    <w:bookmarkEnd w:id="239"/>
    <w:bookmarkEnd w:id="240"/>
    <w:p>
      <w:pPr>
        <w:jc w:val="left"/>
        <w:rPr>
          <w:rFonts w:hint="eastAsia" w:ascii="宋体" w:hAnsi="宋体" w:eastAsia="宋体" w:cs="宋体"/>
          <w:b w:val="0"/>
          <w:bCs w:val="0"/>
          <w:color w:val="auto"/>
          <w:kern w:val="2"/>
          <w:sz w:val="30"/>
          <w:szCs w:val="30"/>
          <w:highlight w:val="none"/>
          <w:lang w:val="en-US" w:eastAsia="zh-CN" w:bidi="ar-SA"/>
        </w:rPr>
      </w:pPr>
      <w:r>
        <w:rPr>
          <w:rFonts w:hint="eastAsia" w:ascii="宋体" w:hAnsi="宋体" w:eastAsia="宋体" w:cs="宋体"/>
          <w:b w:val="0"/>
          <w:bCs w:val="0"/>
          <w:color w:val="auto"/>
          <w:kern w:val="2"/>
          <w:sz w:val="30"/>
          <w:szCs w:val="30"/>
          <w:highlight w:val="none"/>
          <w:lang w:val="en-US" w:eastAsia="zh-CN" w:bidi="ar-SA"/>
        </w:rPr>
        <w:t>表八</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微软雅黑" w:cs="宋体"/>
          <w:i w:val="0"/>
          <w:iCs w:val="0"/>
          <w:caps w:val="0"/>
          <w:color w:val="auto"/>
          <w:spacing w:val="0"/>
          <w:sz w:val="21"/>
          <w:szCs w:val="21"/>
          <w:highlight w:val="none"/>
          <w:lang w:val="en-US" w:eastAsia="zh-CN"/>
        </w:rPr>
      </w:pPr>
      <w:r>
        <w:rPr>
          <w:rFonts w:ascii="微软雅黑" w:hAnsi="微软雅黑" w:eastAsia="微软雅黑" w:cs="微软雅黑"/>
          <w:i w:val="0"/>
          <w:iCs w:val="0"/>
          <w:caps w:val="0"/>
          <w:color w:val="auto"/>
          <w:spacing w:val="0"/>
          <w:sz w:val="43"/>
          <w:szCs w:val="43"/>
          <w:highlight w:val="none"/>
          <w:shd w:val="clear" w:color="auto" w:fill="FFFFFF"/>
        </w:rPr>
        <w:t>质疑函</w:t>
      </w:r>
      <w:r>
        <w:rPr>
          <w:rFonts w:hint="eastAsia" w:ascii="微软雅黑" w:hAnsi="微软雅黑" w:eastAsia="微软雅黑" w:cs="微软雅黑"/>
          <w:i w:val="0"/>
          <w:iCs w:val="0"/>
          <w:caps w:val="0"/>
          <w:color w:val="auto"/>
          <w:spacing w:val="0"/>
          <w:sz w:val="43"/>
          <w:szCs w:val="43"/>
          <w:highlight w:val="none"/>
          <w:shd w:val="clear" w:color="auto" w:fill="FFFFFF"/>
          <w:lang w:val="en-US" w:eastAsia="zh-CN"/>
        </w:rPr>
        <w:t>范本</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3"/>
        <w:gridCol w:w="1238"/>
        <w:gridCol w:w="724"/>
        <w:gridCol w:w="1358"/>
        <w:gridCol w:w="1761"/>
        <w:gridCol w:w="93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ascii="方正仿宋简体" w:hAnsi="方正仿宋简体" w:eastAsia="方正仿宋简体" w:cs="方正仿宋简体"/>
                <w:i w:val="0"/>
                <w:iCs w:val="0"/>
                <w:caps w:val="0"/>
                <w:color w:val="auto"/>
                <w:spacing w:val="0"/>
                <w:sz w:val="21"/>
                <w:szCs w:val="21"/>
                <w:highlight w:val="none"/>
              </w:rPr>
              <w:t>质疑项目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基本情况</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项目名称</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项目编号</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  号</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采购人名称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采购公告时间</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中标（成交）公告时间</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更正公告时间</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（包含采购文件和采购结果更正公告）</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终止公告时间（包含废标和采购任务取消）</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质疑供应商基本信息</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单位名称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地址</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邮编</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联系人</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授权代表</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质疑事项及相关请求（纸张不够另附）</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分    类</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7703"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请逐条列明质疑事项、事实依据和法律依据，并提供必要的证明材料。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1</w:t>
            </w:r>
            <w:r>
              <w:rPr>
                <w:rFonts w:hint="default" w:ascii="方正仿宋简体" w:hAnsi="方正仿宋简体" w:eastAsia="方正仿宋简体" w:cs="方正仿宋简体"/>
                <w:i w:val="0"/>
                <w:iCs w:val="0"/>
                <w:caps w:val="0"/>
                <w:color w:val="auto"/>
                <w:spacing w:val="0"/>
                <w:sz w:val="21"/>
                <w:szCs w:val="21"/>
                <w:highlight w:val="none"/>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事实依据：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法律依据：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相关请求：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签字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或盖人名章</w:t>
            </w:r>
          </w:p>
        </w:tc>
        <w:tc>
          <w:tcPr>
            <w:tcW w:w="196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公章</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196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日期</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auto"/>
                <w:spacing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eastAsia="宋体"/>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质疑函制作说明：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1.</w:t>
            </w:r>
            <w:r>
              <w:rPr>
                <w:rFonts w:hint="default" w:ascii="方正仿宋简体" w:hAnsi="方正仿宋简体" w:eastAsia="方正仿宋简体" w:cs="方正仿宋简体"/>
                <w:i w:val="0"/>
                <w:iCs w:val="0"/>
                <w:caps w:val="0"/>
                <w:color w:val="auto"/>
                <w:spacing w:val="0"/>
                <w:sz w:val="21"/>
                <w:szCs w:val="21"/>
                <w:highlight w:val="none"/>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auto"/>
                <w:spacing w:val="0"/>
                <w:sz w:val="21"/>
                <w:szCs w:val="21"/>
                <w:highlight w:val="none"/>
                <w:lang w:eastAsia="zh-CN"/>
              </w:rPr>
              <w:t>或有效线索</w:t>
            </w:r>
            <w:r>
              <w:rPr>
                <w:rFonts w:hint="default" w:ascii="方正仿宋简体" w:hAnsi="方正仿宋简体" w:eastAsia="方正仿宋简体" w:cs="方正仿宋简体"/>
                <w:i w:val="0"/>
                <w:iCs w:val="0"/>
                <w:caps w:val="0"/>
                <w:color w:val="auto"/>
                <w:spacing w:val="0"/>
                <w:sz w:val="21"/>
                <w:szCs w:val="21"/>
                <w:highlight w:val="none"/>
                <w:lang w:val="en-US" w:eastAsia="zh-CN"/>
              </w:rPr>
              <w:t>；质疑函存在《</w:t>
            </w:r>
            <w:r>
              <w:rPr>
                <w:rFonts w:hint="eastAsia" w:ascii="方正仿宋简体" w:hAnsi="方正仿宋简体" w:eastAsia="方正仿宋简体" w:cs="方正仿宋简体"/>
                <w:i w:val="0"/>
                <w:iCs w:val="0"/>
                <w:caps w:val="0"/>
                <w:color w:val="auto"/>
                <w:spacing w:val="0"/>
                <w:sz w:val="21"/>
                <w:szCs w:val="21"/>
                <w:highlight w:val="none"/>
                <w:lang w:val="en-US" w:eastAsia="zh-CN"/>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auto"/>
                <w:spacing w:val="0"/>
                <w:sz w:val="21"/>
                <w:szCs w:val="21"/>
                <w:highlight w:val="none"/>
                <w:lang w:val="en-US" w:eastAsia="zh-CN"/>
              </w:rPr>
              <w:t>》（新政资内发〔202</w:t>
            </w:r>
            <w:r>
              <w:rPr>
                <w:rFonts w:hint="eastAsia" w:ascii="方正仿宋简体" w:hAnsi="方正仿宋简体" w:eastAsia="方正仿宋简体" w:cs="方正仿宋简体"/>
                <w:i w:val="0"/>
                <w:iCs w:val="0"/>
                <w:caps w:val="0"/>
                <w:color w:val="auto"/>
                <w:spacing w:val="0"/>
                <w:sz w:val="21"/>
                <w:szCs w:val="21"/>
                <w:highlight w:val="none"/>
                <w:lang w:val="en-US" w:eastAsia="zh-CN"/>
              </w:rPr>
              <w:t>2</w:t>
            </w:r>
            <w:r>
              <w:rPr>
                <w:rFonts w:hint="default" w:ascii="方正仿宋简体" w:hAnsi="方正仿宋简体" w:eastAsia="方正仿宋简体" w:cs="方正仿宋简体"/>
                <w:i w:val="0"/>
                <w:iCs w:val="0"/>
                <w:caps w:val="0"/>
                <w:color w:val="auto"/>
                <w:spacing w:val="0"/>
                <w:sz w:val="21"/>
                <w:szCs w:val="21"/>
                <w:highlight w:val="none"/>
                <w:lang w:val="en-US"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12</w:t>
            </w:r>
            <w:r>
              <w:rPr>
                <w:rFonts w:hint="default" w:ascii="方正仿宋简体" w:hAnsi="方正仿宋简体" w:eastAsia="方正仿宋简体" w:cs="方正仿宋简体"/>
                <w:i w:val="0"/>
                <w:iCs w:val="0"/>
                <w:caps w:val="0"/>
                <w:color w:val="auto"/>
                <w:spacing w:val="0"/>
                <w:sz w:val="21"/>
                <w:szCs w:val="21"/>
                <w:highlight w:val="none"/>
                <w:lang w:val="en-US" w:eastAsia="zh-CN"/>
              </w:rPr>
              <w:t>号）第十</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四</w:t>
            </w:r>
            <w:r>
              <w:rPr>
                <w:rFonts w:hint="default" w:ascii="方正仿宋简体" w:hAnsi="方正仿宋简体" w:eastAsia="方正仿宋简体" w:cs="方正仿宋简体"/>
                <w:i w:val="0"/>
                <w:iCs w:val="0"/>
                <w:caps w:val="0"/>
                <w:color w:val="auto"/>
                <w:spacing w:val="0"/>
                <w:sz w:val="21"/>
                <w:szCs w:val="21"/>
                <w:highlight w:val="none"/>
                <w:lang w:val="en-US" w:eastAsia="zh-CN"/>
              </w:rPr>
              <w:t>条所列情形的，</w:t>
            </w:r>
            <w:r>
              <w:rPr>
                <w:rFonts w:hint="eastAsia" w:ascii="方正仿宋简体" w:hAnsi="方正仿宋简体" w:eastAsia="方正仿宋简体" w:cs="方正仿宋简体"/>
                <w:i w:val="0"/>
                <w:iCs w:val="0"/>
                <w:caps w:val="0"/>
                <w:color w:val="auto"/>
                <w:spacing w:val="0"/>
                <w:sz w:val="21"/>
                <w:szCs w:val="21"/>
                <w:highlight w:val="none"/>
                <w:lang w:val="en-US" w:eastAsia="zh-CN"/>
              </w:rPr>
              <w:t>交易</w:t>
            </w:r>
            <w:r>
              <w:rPr>
                <w:rFonts w:hint="default" w:ascii="方正仿宋简体" w:hAnsi="方正仿宋简体" w:eastAsia="方正仿宋简体" w:cs="方正仿宋简体"/>
                <w:i w:val="0"/>
                <w:iCs w:val="0"/>
                <w:caps w:val="0"/>
                <w:color w:val="auto"/>
                <w:spacing w:val="0"/>
                <w:sz w:val="21"/>
                <w:szCs w:val="21"/>
                <w:highlight w:val="none"/>
                <w:lang w:val="en-US" w:eastAsia="zh-CN"/>
              </w:rPr>
              <w:t>中心不予受理。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auto"/>
                <w:spacing w:val="0"/>
                <w:sz w:val="21"/>
                <w:szCs w:val="21"/>
                <w:highlight w:val="none"/>
                <w:lang w:eastAsia="zh-CN"/>
              </w:rPr>
            </w:pPr>
            <w:r>
              <w:rPr>
                <w:rFonts w:hint="eastAsia" w:ascii="方正仿宋简体" w:hAnsi="方正仿宋简体" w:eastAsia="方正仿宋简体" w:cs="方正仿宋简体"/>
                <w:i w:val="0"/>
                <w:iCs w:val="0"/>
                <w:caps w:val="0"/>
                <w:color w:val="auto"/>
                <w:spacing w:val="0"/>
                <w:sz w:val="21"/>
                <w:szCs w:val="21"/>
                <w:highlight w:val="none"/>
              </w:rPr>
              <w:t>2.</w:t>
            </w:r>
            <w:r>
              <w:rPr>
                <w:rFonts w:hint="default" w:ascii="方正仿宋简体" w:hAnsi="方正仿宋简体" w:eastAsia="方正仿宋简体" w:cs="方正仿宋简体"/>
                <w:i w:val="0"/>
                <w:iCs w:val="0"/>
                <w:caps w:val="0"/>
                <w:color w:val="auto"/>
                <w:spacing w:val="0"/>
                <w:sz w:val="21"/>
                <w:szCs w:val="21"/>
                <w:highlight w:val="none"/>
              </w:rPr>
              <w:t>质疑函的质疑事项应具体、明确，并有必要的事实依据和法律依据</w:t>
            </w:r>
            <w:r>
              <w:rPr>
                <w:rFonts w:hint="eastAsia" w:ascii="方正仿宋简体" w:hAnsi="方正仿宋简体" w:eastAsia="方正仿宋简体" w:cs="方正仿宋简体"/>
                <w:i w:val="0"/>
                <w:iCs w:val="0"/>
                <w:caps w:val="0"/>
                <w:color w:val="auto"/>
                <w:spacing w:val="0"/>
                <w:sz w:val="21"/>
                <w:szCs w:val="21"/>
                <w:highlight w:val="none"/>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3.</w:t>
            </w:r>
            <w:r>
              <w:rPr>
                <w:rFonts w:hint="default" w:ascii="方正仿宋简体" w:hAnsi="方正仿宋简体" w:eastAsia="方正仿宋简体" w:cs="方正仿宋简体"/>
                <w:i w:val="0"/>
                <w:iCs w:val="0"/>
                <w:caps w:val="0"/>
                <w:color w:val="auto"/>
                <w:spacing w:val="0"/>
                <w:sz w:val="21"/>
                <w:szCs w:val="21"/>
                <w:highlight w:val="none"/>
              </w:rPr>
              <w:t>质疑函的质疑请求应与质疑事项相关。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4</w:t>
            </w:r>
            <w:r>
              <w:rPr>
                <w:rFonts w:hint="eastAsia" w:ascii="方正仿宋简体" w:hAnsi="方正仿宋简体" w:eastAsia="方正仿宋简体" w:cs="方正仿宋简体"/>
                <w:i w:val="0"/>
                <w:iCs w:val="0"/>
                <w:caps w:val="0"/>
                <w:color w:val="auto"/>
                <w:spacing w:val="0"/>
                <w:sz w:val="21"/>
                <w:szCs w:val="21"/>
                <w:highlight w:val="none"/>
              </w:rPr>
              <w:t>.</w:t>
            </w:r>
            <w:r>
              <w:rPr>
                <w:rFonts w:hint="eastAsia" w:ascii="方正仿宋简体" w:hAnsi="方正仿宋简体" w:eastAsia="方正仿宋简体" w:cs="方正仿宋简体"/>
                <w:i w:val="0"/>
                <w:iCs w:val="0"/>
                <w:caps w:val="0"/>
                <w:color w:val="auto"/>
                <w:spacing w:val="0"/>
                <w:sz w:val="21"/>
                <w:szCs w:val="21"/>
                <w:highlight w:val="none"/>
                <w:lang w:eastAsia="zh-CN"/>
              </w:rPr>
              <w:t>一份质疑函只能针对一个项目提出质疑，且针对同一</w:t>
            </w:r>
            <w:r>
              <w:rPr>
                <w:rFonts w:hint="eastAsia" w:ascii="方正仿宋简体" w:hAnsi="方正仿宋简体" w:eastAsia="方正仿宋简体" w:cs="方正仿宋简体"/>
                <w:i w:val="0"/>
                <w:iCs w:val="0"/>
                <w:caps w:val="0"/>
                <w:color w:val="auto"/>
                <w:spacing w:val="0"/>
                <w:sz w:val="21"/>
                <w:szCs w:val="21"/>
                <w:highlight w:val="none"/>
                <w:lang w:val="en-US" w:eastAsia="zh-CN"/>
              </w:rPr>
              <w:t>交易</w:t>
            </w:r>
            <w:r>
              <w:rPr>
                <w:rFonts w:hint="eastAsia" w:ascii="方正仿宋简体" w:hAnsi="方正仿宋简体" w:eastAsia="方正仿宋简体" w:cs="方正仿宋简体"/>
                <w:i w:val="0"/>
                <w:iCs w:val="0"/>
                <w:caps w:val="0"/>
                <w:color w:val="auto"/>
                <w:spacing w:val="0"/>
                <w:sz w:val="21"/>
                <w:szCs w:val="21"/>
                <w:highlight w:val="none"/>
                <w:lang w:eastAsia="zh-CN"/>
              </w:rPr>
              <w:t>程序环节的质疑应当一次性提出。</w:t>
            </w:r>
            <w:r>
              <w:rPr>
                <w:rFonts w:hint="eastAsia" w:ascii="方正仿宋简体" w:hAnsi="方正仿宋简体" w:eastAsia="方正仿宋简体" w:cs="方正仿宋简体"/>
                <w:i w:val="0"/>
                <w:iCs w:val="0"/>
                <w:caps w:val="0"/>
                <w:color w:val="auto"/>
                <w:spacing w:val="0"/>
                <w:sz w:val="21"/>
                <w:szCs w:val="21"/>
                <w:highlight w:val="none"/>
              </w:rPr>
              <w:t>质疑对一个项目的不同包提出质疑的</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rPr>
              <w:t>应当将各包质疑事项集中在一份质疑函中提出</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并在</w:t>
            </w:r>
            <w:r>
              <w:rPr>
                <w:rFonts w:hint="eastAsia" w:ascii="方正仿宋简体" w:hAnsi="方正仿宋简体" w:eastAsia="方正仿宋简体" w:cs="方正仿宋简体"/>
                <w:i w:val="0"/>
                <w:iCs w:val="0"/>
                <w:caps w:val="0"/>
                <w:color w:val="auto"/>
                <w:spacing w:val="0"/>
                <w:sz w:val="21"/>
                <w:szCs w:val="21"/>
                <w:highlight w:val="none"/>
              </w:rPr>
              <w:t>质疑函中列明具体分包号。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5</w:t>
            </w:r>
            <w:r>
              <w:rPr>
                <w:rFonts w:hint="eastAsia" w:ascii="方正仿宋简体" w:hAnsi="方正仿宋简体" w:eastAsia="方正仿宋简体" w:cs="方正仿宋简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质疑供应商若委托代理人进行质疑的，质疑函应按要求列明</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default" w:ascii="方正仿宋简体" w:hAnsi="方正仿宋简体" w:eastAsia="方正仿宋简体" w:cs="方正仿宋简体"/>
                <w:i w:val="0"/>
                <w:iCs w:val="0"/>
                <w:caps w:val="0"/>
                <w:color w:val="auto"/>
                <w:spacing w:val="0"/>
                <w:sz w:val="21"/>
                <w:szCs w:val="21"/>
                <w:highlight w:val="none"/>
              </w:rPr>
              <w:t>授权代表”的有关内容，并在附件中提交由质疑供应商签署的授权委托书。授权委托书应载明代理人的姓名或者名称、代理事项、具体权限、期限和相关事项。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eastAsia="宋体" w:cs="宋体"/>
                <w:i w:val="0"/>
                <w:iCs w:val="0"/>
                <w:caps w:val="0"/>
                <w:color w:val="auto"/>
                <w:spacing w:val="0"/>
                <w:sz w:val="21"/>
                <w:szCs w:val="21"/>
                <w:highlight w:val="none"/>
                <w:lang w:val="en-US" w:eastAsia="zh-CN"/>
              </w:rPr>
              <w:t>6</w:t>
            </w:r>
            <w:r>
              <w:rPr>
                <w:rFonts w:hint="eastAsia" w:ascii="宋体" w:hAnsi="宋体" w:eastAsia="宋体" w:cs="宋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质疑供应商为自然人的，质疑函应由本人签字</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auto"/>
                <w:spacing w:val="0"/>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同时提供法人证书（营业执照）复印件、代理人身份证复印件并加盖法人公章</w:t>
            </w:r>
            <w:r>
              <w:rPr>
                <w:rFonts w:hint="default" w:ascii="方正仿宋简体" w:hAnsi="方正仿宋简体" w:eastAsia="方正仿宋简体" w:cs="方正仿宋简体"/>
                <w:i w:val="0"/>
                <w:iCs w:val="0"/>
                <w:caps w:val="0"/>
                <w:color w:val="auto"/>
                <w:spacing w:val="0"/>
                <w:sz w:val="21"/>
                <w:szCs w:val="21"/>
                <w:highlight w:val="none"/>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b/>
                <w:bCs/>
                <w:i w:val="0"/>
                <w:iCs w:val="0"/>
                <w:caps w:val="0"/>
                <w:color w:val="auto"/>
                <w:spacing w:val="0"/>
                <w:kern w:val="0"/>
                <w:sz w:val="21"/>
                <w:szCs w:val="21"/>
                <w:highlight w:val="none"/>
                <w:lang w:val="en-US" w:eastAsia="zh-CN" w:bidi="ar-SA"/>
              </w:rPr>
              <w:t>7.质疑函份数要求：一式四份</w:t>
            </w:r>
            <w:r>
              <w:rPr>
                <w:rFonts w:hint="eastAsia" w:ascii="方正仿宋简体" w:hAnsi="方正仿宋简体" w:eastAsia="方正仿宋简体" w:cs="方正仿宋简体"/>
                <w:i w:val="0"/>
                <w:iCs w:val="0"/>
                <w:caps w:val="0"/>
                <w:color w:val="auto"/>
                <w:spacing w:val="0"/>
                <w:kern w:val="0"/>
                <w:sz w:val="21"/>
                <w:szCs w:val="21"/>
                <w:highlight w:val="none"/>
                <w:lang w:val="en-US" w:eastAsia="zh-CN" w:bidi="ar-SA"/>
              </w:rPr>
              <w:t>。</w:t>
            </w:r>
          </w:p>
        </w:tc>
      </w:tr>
    </w:tbl>
    <w:p>
      <w:pPr>
        <w:pStyle w:val="7"/>
        <w:ind w:left="0" w:leftChars="0" w:firstLine="0" w:firstLineChars="0"/>
        <w:rPr>
          <w:rFonts w:hint="eastAsia" w:ascii="Times New Roman" w:hAnsi="Times New Roman" w:eastAsia="宋体" w:cs="Times New Roman"/>
          <w:color w:val="auto"/>
          <w:highlight w:val="none"/>
          <w:lang w:val="en-US" w:eastAsia="zh-CN"/>
        </w:rPr>
      </w:pPr>
    </w:p>
    <w:p>
      <w:pPr>
        <w:rPr>
          <w:color w:val="auto"/>
          <w:highlight w:val="none"/>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20</w:t>
    </w:r>
    <w:r>
      <w:rPr>
        <w:rFonts w:ascii="Times New Roman" w:hAnsi="Times New Roman" w:eastAsia="宋体"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0"/>
        <w:tab w:val="right" w:pos="8300"/>
      </w:tabs>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25</w:t>
    </w:r>
    <w:r>
      <w:rPr>
        <w:rFonts w:ascii="Times New Roman" w:hAnsi="Times New Roman" w:eastAsia="宋体"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rFonts w:cs="Times New Roman"/>
        <w:sz w:val="20"/>
      </w:rPr>
    </w:pPr>
    <w:r>
      <w:rPr>
        <w:rFonts w:cs="Times New Roman"/>
      </w:rP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pPr>
                            <w:rPr>
                              <w:rFonts w:ascii="Times New Roman" w:hAnsi="Times New Roman" w:eastAsia="宋体" w:cs="Times New Roma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DZsHcSugEAAHQDAAAOAAAAAAAAAAEAIAAAACcBAABkcnMvZTJvRG9jLnhtbFBL&#10;BQYAAAAABgAGAFkBAABTBQAAAAA=&#10;">
              <v:fill on="f" focussize="0,0"/>
              <v:stroke on="f"/>
              <v:imagedata o:title=""/>
              <o:lock v:ext="edit" aspectratio="f"/>
              <v:textbox inset="0mm,0mm,0mm,0mm">
                <w:txbxContent>
                  <w:p>
                    <w:pPr>
                      <w:rPr>
                        <w:rFonts w:ascii="Times New Roman" w:hAnsi="Times New Roman" w:eastAsia="宋体" w:cs="Times New Roma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BB937799"/>
    <w:multiLevelType w:val="singleLevel"/>
    <w:tmpl w:val="BB937799"/>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8"/>
      <w:numFmt w:val="chineseCounting"/>
      <w:suff w:val="nothing"/>
      <w:lvlText w:val="%1、"/>
      <w:lvlJc w:val="left"/>
      <w:rPr>
        <w:rFonts w:hint="eastAsia"/>
      </w:rPr>
    </w:lvl>
  </w:abstractNum>
  <w:abstractNum w:abstractNumId="3">
    <w:nsid w:val="0F414801"/>
    <w:multiLevelType w:val="singleLevel"/>
    <w:tmpl w:val="0F414801"/>
    <w:lvl w:ilvl="0" w:tentative="0">
      <w:start w:val="1"/>
      <w:numFmt w:val="decimal"/>
      <w:suff w:val="nothing"/>
      <w:lvlText w:val="（%1）"/>
      <w:lvlJc w:val="left"/>
    </w:lvl>
  </w:abstractNum>
  <w:abstractNum w:abstractNumId="4">
    <w:nsid w:val="159A716F"/>
    <w:multiLevelType w:val="singleLevel"/>
    <w:tmpl w:val="159A716F"/>
    <w:lvl w:ilvl="0" w:tentative="0">
      <w:start w:val="2"/>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zA2ZWFiYWQ1ZDNkZTExM2I4NGU5NWNkYjdlODEifQ=="/>
  </w:docVars>
  <w:rsids>
    <w:rsidRoot w:val="29F052A7"/>
    <w:rsid w:val="13405DEA"/>
    <w:rsid w:val="1E197963"/>
    <w:rsid w:val="28C938C3"/>
    <w:rsid w:val="29F052A7"/>
    <w:rsid w:val="32F92E4F"/>
    <w:rsid w:val="5DC023F9"/>
    <w:rsid w:val="5DCD5B43"/>
    <w:rsid w:val="5E9D49F7"/>
    <w:rsid w:val="76B4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qFormat/>
    <w:uiPriority w:val="0"/>
    <w:pPr>
      <w:keepNext/>
      <w:widowControl w:val="0"/>
      <w:jc w:val="center"/>
      <w:outlineLvl w:val="0"/>
    </w:pPr>
    <w:rPr>
      <w:rFonts w:ascii="楷体_GB2312" w:hAnsi="Times New Roman" w:eastAsia="楷体_GB2312" w:cs="Times New Roman"/>
      <w:kern w:val="2"/>
      <w:sz w:val="28"/>
      <w:szCs w:val="28"/>
      <w:lang w:val="en-US" w:eastAsia="zh-CN" w:bidi="ar-SA"/>
    </w:rPr>
  </w:style>
  <w:style w:type="paragraph" w:styleId="3">
    <w:name w:val="heading 2"/>
    <w:next w:val="1"/>
    <w:link w:val="20"/>
    <w:qFormat/>
    <w:uiPriority w:val="0"/>
    <w:pPr>
      <w:keepNext/>
      <w:keepLines/>
      <w:widowControl w:val="0"/>
      <w:spacing w:before="260" w:after="260" w:line="416" w:lineRule="auto"/>
      <w:jc w:val="center"/>
      <w:outlineLvl w:val="1"/>
    </w:pPr>
    <w:rPr>
      <w:rFonts w:ascii="Arial" w:hAnsi="Arial" w:eastAsia="黑体" w:cs="Arial"/>
      <w:b/>
      <w:bCs/>
      <w:kern w:val="2"/>
      <w:sz w:val="44"/>
      <w:szCs w:val="44"/>
      <w:lang w:val="en-US" w:eastAsia="zh-CN" w:bidi="ar-SA"/>
    </w:rPr>
  </w:style>
  <w:style w:type="paragraph" w:styleId="4">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4"/>
    <w:next w:val="6"/>
    <w:qFormat/>
    <w:uiPriority w:val="0"/>
    <w:pPr>
      <w:keepNext/>
      <w:keepLines/>
      <w:widowControl w:val="0"/>
      <w:ind w:firstLine="420" w:firstLineChars="150"/>
      <w:jc w:val="both"/>
      <w:outlineLvl w:val="3"/>
    </w:pPr>
    <w:rPr>
      <w:rFonts w:ascii="Arial" w:hAnsi="Arial" w:eastAsia="宋体" w:cs="Arial"/>
      <w:b/>
      <w:kern w:val="2"/>
      <w:sz w:val="28"/>
      <w:szCs w:val="28"/>
      <w:lang w:val="en-US" w:eastAsia="zh-CN" w:bidi="ar-SA"/>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6">
    <w:name w:val="Normal Indent"/>
    <w:next w:val="1"/>
    <w:qFormat/>
    <w:uiPriority w:val="0"/>
    <w:pPr>
      <w:widowControl w:val="0"/>
      <w:ind w:firstLine="420"/>
      <w:jc w:val="both"/>
    </w:pPr>
    <w:rPr>
      <w:rFonts w:ascii="Times New Roman" w:hAnsi="Times New Roman" w:eastAsia="宋体" w:cs="Times New Roman"/>
      <w:kern w:val="2"/>
      <w:sz w:val="21"/>
      <w:szCs w:val="21"/>
      <w:lang w:val="en-US" w:eastAsia="zh-CN" w:bidi="ar-SA"/>
    </w:rPr>
  </w:style>
  <w:style w:type="paragraph" w:styleId="7">
    <w:name w:val="index 6"/>
    <w:basedOn w:val="1"/>
    <w:next w:val="1"/>
    <w:qFormat/>
    <w:uiPriority w:val="99"/>
    <w:pPr>
      <w:widowControl w:val="0"/>
      <w:ind w:left="2100"/>
      <w:jc w:val="both"/>
    </w:pPr>
    <w:rPr>
      <w:rFonts w:ascii="Times New Roman" w:hAnsi="Times New Roman" w:eastAsia="宋体" w:cs="Times New Roman"/>
      <w:kern w:val="2"/>
      <w:sz w:val="21"/>
      <w:szCs w:val="21"/>
      <w:lang w:val="en-US" w:eastAsia="zh-CN" w:bidi="ar-SA"/>
    </w:rPr>
  </w:style>
  <w:style w:type="paragraph" w:styleId="8">
    <w:name w:val="Body Text"/>
    <w:next w:val="9"/>
    <w:qFormat/>
    <w:uiPriority w:val="0"/>
    <w:pPr>
      <w:widowControl w:val="0"/>
      <w:jc w:val="both"/>
    </w:pPr>
    <w:rPr>
      <w:rFonts w:ascii="楷体_GB2312" w:hAnsi="Arial" w:eastAsia="楷体_GB2312" w:cs="Times New Roman"/>
      <w:kern w:val="2"/>
      <w:sz w:val="28"/>
      <w:szCs w:val="28"/>
      <w:lang w:val="en-US" w:eastAsia="zh-CN" w:bidi="ar-SA"/>
    </w:rPr>
  </w:style>
  <w:style w:type="paragraph" w:styleId="9">
    <w:name w:val="Body Text First Indent"/>
    <w:qFormat/>
    <w:uiPriority w:val="0"/>
    <w:pPr>
      <w:widowControl w:val="0"/>
      <w:spacing w:line="360" w:lineRule="auto"/>
      <w:ind w:firstLine="200" w:firstLineChars="200"/>
      <w:jc w:val="both"/>
    </w:pPr>
    <w:rPr>
      <w:rFonts w:ascii="仿宋_GB2312" w:hAnsi="Arial" w:eastAsia="仿宋_GB2312" w:cs="Times New Roman"/>
      <w:kern w:val="2"/>
      <w:sz w:val="30"/>
      <w:szCs w:val="30"/>
      <w:lang w:val="en-US" w:eastAsia="zh-CN" w:bidi="ar-SA"/>
    </w:rPr>
  </w:style>
  <w:style w:type="paragraph" w:styleId="10">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1">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2">
    <w:name w:val="toc 2"/>
    <w:next w:val="1"/>
    <w:qFormat/>
    <w:uiPriority w:val="39"/>
    <w:pPr>
      <w:widowControl w:val="0"/>
      <w:ind w:left="210"/>
      <w:jc w:val="left"/>
    </w:pPr>
    <w:rPr>
      <w:rFonts w:ascii="Times New Roman" w:hAnsi="Times New Roman" w:eastAsia="宋体" w:cs="Times New Roman"/>
      <w:smallCaps/>
      <w:kern w:val="2"/>
      <w:sz w:val="21"/>
      <w:szCs w:val="24"/>
      <w:lang w:val="en-US" w:eastAsia="zh-CN" w:bidi="ar-SA"/>
    </w:rPr>
  </w:style>
  <w:style w:type="paragraph" w:styleId="13">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paragraph" w:customStyle="1" w:styleId="18">
    <w:name w:val="普通正文"/>
    <w:qFormat/>
    <w:uiPriority w:val="0"/>
    <w:pPr>
      <w:widowControl w:val="0"/>
      <w:adjustRightInd w:val="0"/>
      <w:spacing w:before="120" w:after="120" w:line="360" w:lineRule="auto"/>
      <w:ind w:firstLine="480"/>
      <w:jc w:val="left"/>
      <w:textAlignment w:val="baseline"/>
    </w:pPr>
    <w:rPr>
      <w:rFonts w:ascii="Arial" w:hAnsi="Arial" w:eastAsia="宋体" w:cs="Times New Roman"/>
      <w:kern w:val="0"/>
      <w:sz w:val="24"/>
      <w:szCs w:val="24"/>
      <w:lang w:val="en-US" w:eastAsia="zh-CN" w:bidi="ar-SA"/>
    </w:rPr>
  </w:style>
  <w:style w:type="paragraph" w:customStyle="1" w:styleId="19">
    <w:name w:val="_Style 9"/>
    <w:next w:val="1"/>
    <w:qFormat/>
    <w:uiPriority w:val="39"/>
    <w:pPr>
      <w:keepNext/>
      <w:keepLines/>
      <w:widowControl/>
      <w:spacing w:before="480" w:line="276" w:lineRule="auto"/>
      <w:jc w:val="left"/>
      <w:outlineLvl w:val="9"/>
    </w:pPr>
    <w:rPr>
      <w:rFonts w:ascii="Cambria" w:hAnsi="Cambria" w:eastAsia="宋体" w:cs="Times New Roman"/>
      <w:b/>
      <w:bCs/>
      <w:color w:val="365F91"/>
      <w:kern w:val="0"/>
      <w:sz w:val="28"/>
      <w:szCs w:val="28"/>
      <w:lang w:val="en-US" w:eastAsia="zh-CN" w:bidi="ar-SA"/>
    </w:rPr>
  </w:style>
  <w:style w:type="character" w:customStyle="1" w:styleId="20">
    <w:name w:val="标题 2 Char"/>
    <w:link w:val="3"/>
    <w:qFormat/>
    <w:uiPriority w:val="0"/>
    <w:rPr>
      <w:rFonts w:ascii="Arial" w:hAnsi="Arial" w:eastAsia="黑体" w:cs="Arial"/>
      <w:b/>
      <w:bCs/>
      <w:kern w:val="2"/>
      <w:sz w:val="44"/>
      <w:szCs w:val="44"/>
      <w:lang w:val="en-US" w:eastAsia="zh-CN" w:bidi="ar-SA"/>
    </w:rPr>
  </w:style>
  <w:style w:type="paragraph" w:customStyle="1" w:styleId="21">
    <w:name w:val="列出段落1"/>
    <w:qFormat/>
    <w:uiPriority w:val="0"/>
    <w:pPr>
      <w:widowControl/>
      <w:ind w:left="720"/>
      <w:contextualSpacing/>
      <w:jc w:val="left"/>
    </w:pPr>
    <w:rPr>
      <w:rFonts w:ascii="Times New Roman" w:hAnsi="Times New Roman" w:eastAsia="宋体" w:cs="Times New Roman"/>
      <w:kern w:val="0"/>
      <w:sz w:val="24"/>
      <w:szCs w:val="24"/>
      <w:lang w:val="en-US" w:eastAsia="en-US" w:bidi="en-US"/>
    </w:rPr>
  </w:style>
  <w:style w:type="paragraph" w:customStyle="1" w:styleId="22">
    <w:name w:val="Char"/>
    <w:qFormat/>
    <w:uiPriority w:val="0"/>
    <w:pPr>
      <w:widowControl w:val="0"/>
      <w:tabs>
        <w:tab w:val="left" w:pos="360"/>
      </w:tabs>
      <w:ind w:firstLine="200" w:firstLineChars="200"/>
      <w:jc w:val="both"/>
    </w:pPr>
    <w:rPr>
      <w:rFonts w:ascii="Times New Roman" w:hAnsi="Times New Roman" w:eastAsia="宋体" w:cs="Times New Roman"/>
      <w:kern w:val="2"/>
      <w:sz w:val="28"/>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21102</Words>
  <Characters>22838</Characters>
  <Lines>0</Lines>
  <Paragraphs>0</Paragraphs>
  <TotalTime>11</TotalTime>
  <ScaleCrop>false</ScaleCrop>
  <LinksUpToDate>false</LinksUpToDate>
  <CharactersWithSpaces>24350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2025-07-07T08:40:00Z</dcterms:created>
  <dc:creator>Mirxat</dc:creator>
  <cp:lastModifiedBy>qwe</cp:lastModifiedBy>
  <dcterms:modified xsi:type="dcterms:W3CDTF">2025-07-09T04:12:08Z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9B30009CCF784D169743943B4F470C8A_13</vt:lpwstr>
  </property>
  <property fmtid="{D5CDD505-2E9C-101B-9397-08002B2CF9AE}" pid="4" name="KSOTemplateDocerSaveRecord">
    <vt:lpwstr>eyJoZGlkIjoiMjM4NDhjMTkxY2FlMWQ5MGNlN2U5MzY1MDMwOWFkMmIiLCJ1c2VySWQiOiIzMDU2NjYxMzMifQ==</vt:lpwstr>
  </property>
</Properties>
</file>