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14A03">
      <w:pPr>
        <w:pStyle w:val="17"/>
        <w:spacing w:before="2" w:line="240" w:lineRule="auto"/>
        <w:ind w:firstLine="425"/>
        <w:jc w:val="center"/>
        <w:rPr>
          <w:rFonts w:hint="eastAsia" w:asciiTheme="minorEastAsia" w:hAnsiTheme="minorEastAsia" w:eastAsiaTheme="minorEastAsia" w:cstheme="minorEastAsia"/>
          <w:b/>
          <w:bCs/>
          <w:sz w:val="36"/>
          <w:szCs w:val="36"/>
          <w:highlight w:val="none"/>
        </w:rPr>
      </w:pPr>
    </w:p>
    <w:p w14:paraId="211B8A75">
      <w:pPr>
        <w:pStyle w:val="30"/>
        <w:tabs>
          <w:tab w:val="left" w:pos="8460"/>
        </w:tabs>
        <w:snapToGrid w:val="0"/>
        <w:spacing w:line="240" w:lineRule="auto"/>
        <w:jc w:val="center"/>
        <w:rPr>
          <w:rFonts w:hint="eastAsia" w:asciiTheme="minorEastAsia" w:hAnsiTheme="minorEastAsia" w:eastAsiaTheme="minorEastAsia" w:cstheme="minorEastAsia"/>
          <w:b/>
          <w:color w:val="auto"/>
          <w:sz w:val="28"/>
          <w:szCs w:val="30"/>
          <w:highlight w:val="none"/>
          <w:lang w:val="zh-CN" w:bidi="zh-CN"/>
        </w:rPr>
      </w:pPr>
      <w:r>
        <w:rPr>
          <w:rFonts w:hint="eastAsia" w:asciiTheme="minorEastAsia" w:hAnsiTheme="minorEastAsia" w:eastAsiaTheme="minorEastAsia" w:cstheme="minorEastAsia"/>
          <w:color w:val="auto"/>
          <w:sz w:val="36"/>
          <w:szCs w:val="36"/>
          <w:highlight w:val="none"/>
          <w:lang w:eastAsia="zh-CN"/>
        </w:rPr>
        <w:t>新疆应用职业技术学院新图书馆信息化服务项目</w:t>
      </w:r>
    </w:p>
    <w:p w14:paraId="16991B0D">
      <w:pPr>
        <w:pStyle w:val="34"/>
        <w:spacing w:line="240" w:lineRule="auto"/>
        <w:ind w:left="0" w:leftChars="0" w:firstLine="0" w:firstLineChars="0"/>
        <w:jc w:val="left"/>
        <w:rPr>
          <w:rFonts w:hint="eastAsia" w:asciiTheme="minorEastAsia" w:hAnsiTheme="minorEastAsia" w:eastAsiaTheme="minorEastAsia" w:cstheme="minorEastAsia"/>
          <w:color w:val="000000"/>
          <w:sz w:val="32"/>
          <w:szCs w:val="32"/>
          <w:highlight w:val="none"/>
        </w:rPr>
      </w:pPr>
    </w:p>
    <w:p w14:paraId="34825387">
      <w:pPr>
        <w:spacing w:line="240" w:lineRule="auto"/>
        <w:rPr>
          <w:rFonts w:hint="eastAsia" w:asciiTheme="minorEastAsia" w:hAnsiTheme="minorEastAsia" w:eastAsiaTheme="minorEastAsia" w:cstheme="minorEastAsia"/>
          <w:highlight w:val="none"/>
        </w:rPr>
      </w:pPr>
    </w:p>
    <w:p w14:paraId="1DC1D452">
      <w:pPr>
        <w:snapToGrid w:val="0"/>
        <w:spacing w:line="240" w:lineRule="auto"/>
        <w:jc w:val="center"/>
        <w:rPr>
          <w:rFonts w:hint="eastAsia" w:asciiTheme="minorEastAsia" w:hAnsiTheme="minorEastAsia" w:eastAsiaTheme="minorEastAsia" w:cstheme="minorEastAsia"/>
          <w:b/>
          <w:color w:val="000000"/>
          <w:spacing w:val="60"/>
          <w:sz w:val="84"/>
          <w:szCs w:val="84"/>
          <w:highlight w:val="none"/>
        </w:rPr>
      </w:pPr>
      <w:r>
        <w:rPr>
          <w:rFonts w:hint="eastAsia" w:asciiTheme="minorEastAsia" w:hAnsiTheme="minorEastAsia" w:eastAsiaTheme="minorEastAsia" w:cstheme="minorEastAsia"/>
          <w:b/>
          <w:color w:val="000000"/>
          <w:spacing w:val="60"/>
          <w:sz w:val="84"/>
          <w:szCs w:val="84"/>
          <w:highlight w:val="none"/>
        </w:rPr>
        <w:t xml:space="preserve"> 招 标 文 件</w:t>
      </w:r>
    </w:p>
    <w:p w14:paraId="72DEC16C">
      <w:pPr>
        <w:pStyle w:val="30"/>
        <w:tabs>
          <w:tab w:val="left" w:pos="8460"/>
        </w:tabs>
        <w:snapToGrid w:val="0"/>
        <w:spacing w:line="240" w:lineRule="auto"/>
        <w:jc w:val="center"/>
        <w:rPr>
          <w:rFonts w:hint="eastAsia" w:asciiTheme="minorEastAsia" w:hAnsiTheme="minorEastAsia" w:eastAsiaTheme="minorEastAsia" w:cstheme="minorEastAsia"/>
          <w:b/>
          <w:sz w:val="28"/>
          <w:szCs w:val="30"/>
          <w:highlight w:val="none"/>
          <w:lang w:val="zh-CN" w:bidi="zh-CN"/>
        </w:rPr>
      </w:pPr>
    </w:p>
    <w:p w14:paraId="72E12659">
      <w:pPr>
        <w:pStyle w:val="30"/>
        <w:tabs>
          <w:tab w:val="left" w:pos="8460"/>
        </w:tabs>
        <w:snapToGrid w:val="0"/>
        <w:spacing w:line="240" w:lineRule="auto"/>
        <w:jc w:val="center"/>
        <w:rPr>
          <w:rFonts w:hint="eastAsia" w:asciiTheme="minorEastAsia" w:hAnsiTheme="minorEastAsia" w:eastAsiaTheme="minorEastAsia" w:cstheme="minorEastAsia"/>
          <w:b/>
          <w:sz w:val="28"/>
          <w:szCs w:val="30"/>
          <w:highlight w:val="none"/>
          <w:lang w:val="zh-CN" w:bidi="zh-CN"/>
        </w:rPr>
      </w:pPr>
    </w:p>
    <w:p w14:paraId="70574232">
      <w:pPr>
        <w:pStyle w:val="30"/>
        <w:tabs>
          <w:tab w:val="center" w:pos="4880"/>
          <w:tab w:val="left" w:pos="8052"/>
          <w:tab w:val="left" w:pos="8460"/>
        </w:tabs>
        <w:snapToGrid w:val="0"/>
        <w:spacing w:line="240" w:lineRule="auto"/>
        <w:jc w:val="left"/>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sz w:val="28"/>
          <w:szCs w:val="30"/>
          <w:highlight w:val="none"/>
          <w:lang w:val="zh-CN" w:bidi="zh-CN"/>
        </w:rPr>
        <w:tab/>
      </w:r>
      <w:r>
        <w:rPr>
          <w:rFonts w:hint="eastAsia" w:asciiTheme="minorEastAsia" w:hAnsiTheme="minorEastAsia" w:eastAsiaTheme="minorEastAsia" w:cstheme="minorEastAsia"/>
          <w:b/>
          <w:sz w:val="28"/>
          <w:szCs w:val="30"/>
          <w:highlight w:val="none"/>
          <w:lang w:val="zh-CN" w:bidi="zh-CN"/>
        </w:rPr>
        <w:t>（项目编号：</w:t>
      </w:r>
      <w:r>
        <w:rPr>
          <w:rFonts w:hint="eastAsia" w:asciiTheme="minorEastAsia" w:hAnsiTheme="minorEastAsia" w:eastAsiaTheme="minorEastAsia" w:cstheme="minorEastAsia"/>
          <w:b/>
          <w:sz w:val="28"/>
          <w:szCs w:val="30"/>
          <w:highlight w:val="none"/>
          <w:lang w:bidi="zh-CN"/>
        </w:rPr>
        <w:t>XJYHZB2025-130</w:t>
      </w:r>
      <w:r>
        <w:rPr>
          <w:rFonts w:hint="eastAsia" w:asciiTheme="minorEastAsia" w:hAnsiTheme="minorEastAsia" w:eastAsiaTheme="minorEastAsia" w:cstheme="minorEastAsia"/>
          <w:b/>
          <w:sz w:val="28"/>
          <w:szCs w:val="30"/>
          <w:highlight w:val="none"/>
          <w:lang w:val="zh-CN" w:bidi="zh-CN"/>
        </w:rPr>
        <w:t>）</w:t>
      </w:r>
      <w:r>
        <w:rPr>
          <w:rFonts w:hint="eastAsia" w:asciiTheme="minorEastAsia" w:hAnsiTheme="minorEastAsia" w:eastAsiaTheme="minorEastAsia" w:cstheme="minorEastAsia"/>
          <w:b/>
          <w:sz w:val="28"/>
          <w:szCs w:val="30"/>
          <w:highlight w:val="none"/>
          <w:lang w:val="zh-CN" w:bidi="zh-CN"/>
        </w:rPr>
        <w:tab/>
      </w:r>
    </w:p>
    <w:p w14:paraId="51C267F5">
      <w:pPr>
        <w:snapToGrid w:val="0"/>
        <w:spacing w:line="240" w:lineRule="auto"/>
        <w:jc w:val="center"/>
        <w:rPr>
          <w:rFonts w:hint="eastAsia" w:asciiTheme="minorEastAsia" w:hAnsiTheme="minorEastAsia" w:eastAsiaTheme="minorEastAsia" w:cstheme="minorEastAsia"/>
          <w:b/>
          <w:color w:val="000000"/>
          <w:spacing w:val="60"/>
          <w:sz w:val="84"/>
          <w:szCs w:val="84"/>
          <w:highlight w:val="none"/>
        </w:rPr>
      </w:pPr>
    </w:p>
    <w:p w14:paraId="162D9614">
      <w:pPr>
        <w:pStyle w:val="30"/>
        <w:tabs>
          <w:tab w:val="left" w:pos="8460"/>
        </w:tabs>
        <w:snapToGrid w:val="0"/>
        <w:spacing w:line="240" w:lineRule="auto"/>
        <w:rPr>
          <w:rFonts w:hint="eastAsia" w:asciiTheme="minorEastAsia" w:hAnsiTheme="minorEastAsia" w:eastAsiaTheme="minorEastAsia" w:cstheme="minorEastAsia"/>
          <w:b/>
          <w:bCs/>
          <w:color w:val="000000"/>
          <w:sz w:val="32"/>
          <w:szCs w:val="32"/>
          <w:highlight w:val="none"/>
        </w:rPr>
      </w:pPr>
    </w:p>
    <w:p w14:paraId="336FAC94">
      <w:pPr>
        <w:pStyle w:val="45"/>
        <w:spacing w:line="240" w:lineRule="auto"/>
        <w:rPr>
          <w:rFonts w:hint="eastAsia" w:asciiTheme="minorEastAsia" w:hAnsiTheme="minorEastAsia" w:eastAsiaTheme="minorEastAsia" w:cstheme="minorEastAsia"/>
          <w:b/>
          <w:bCs/>
          <w:color w:val="000000"/>
          <w:sz w:val="32"/>
          <w:szCs w:val="32"/>
          <w:highlight w:val="none"/>
        </w:rPr>
      </w:pPr>
    </w:p>
    <w:p w14:paraId="5593712D">
      <w:pPr>
        <w:spacing w:line="240" w:lineRule="auto"/>
        <w:rPr>
          <w:rFonts w:hint="eastAsia" w:asciiTheme="minorEastAsia" w:hAnsiTheme="minorEastAsia" w:eastAsiaTheme="minorEastAsia" w:cstheme="minorEastAsia"/>
          <w:highlight w:val="none"/>
        </w:rPr>
      </w:pPr>
    </w:p>
    <w:p w14:paraId="1D353758">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639C4E6F">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16FE93D2">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64DF078B">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18875528">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7AA4FD89">
      <w:pPr>
        <w:pStyle w:val="65"/>
        <w:spacing w:line="240" w:lineRule="auto"/>
        <w:ind w:firstLine="561"/>
        <w:jc w:val="both"/>
        <w:rPr>
          <w:rFonts w:hint="eastAsia" w:asciiTheme="minorEastAsia" w:hAnsiTheme="minorEastAsia" w:eastAsiaTheme="minorEastAsia" w:cstheme="minorEastAsia"/>
          <w:color w:val="auto"/>
          <w:sz w:val="28"/>
          <w:highlight w:val="none"/>
        </w:rPr>
      </w:pPr>
    </w:p>
    <w:p w14:paraId="54D71615">
      <w:pPr>
        <w:pStyle w:val="65"/>
        <w:spacing w:line="360" w:lineRule="auto"/>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采购人：</w:t>
      </w:r>
      <w:r>
        <w:rPr>
          <w:rFonts w:hint="eastAsia" w:asciiTheme="minorEastAsia" w:hAnsiTheme="minorEastAsia" w:eastAsiaTheme="minorEastAsia" w:cstheme="minorEastAsia"/>
          <w:color w:val="auto"/>
          <w:sz w:val="28"/>
          <w:szCs w:val="28"/>
          <w:highlight w:val="none"/>
          <w:lang w:eastAsia="zh-CN"/>
        </w:rPr>
        <w:t>新疆应用职业技术学院</w:t>
      </w:r>
    </w:p>
    <w:p w14:paraId="2198149D">
      <w:pPr>
        <w:pStyle w:val="65"/>
        <w:spacing w:line="360" w:lineRule="auto"/>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lang w:eastAsia="zh-CN"/>
        </w:rPr>
        <w:t>新疆奎屯市北京西路62号</w:t>
      </w:r>
    </w:p>
    <w:p w14:paraId="1CF7C63E">
      <w:pPr>
        <w:pStyle w:val="65"/>
        <w:spacing w:line="360" w:lineRule="auto"/>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lang w:eastAsia="zh-CN"/>
        </w:rPr>
        <w:t>李老师</w:t>
      </w:r>
    </w:p>
    <w:p w14:paraId="4CE7DB8B">
      <w:pPr>
        <w:pStyle w:val="65"/>
        <w:spacing w:line="360" w:lineRule="auto"/>
        <w:ind w:firstLine="561"/>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联系方式：</w:t>
      </w:r>
      <w:r>
        <w:rPr>
          <w:rFonts w:hint="eastAsia" w:asciiTheme="minorEastAsia" w:hAnsiTheme="minorEastAsia" w:eastAsiaTheme="minorEastAsia" w:cstheme="minorEastAsia"/>
          <w:color w:val="auto"/>
          <w:sz w:val="28"/>
          <w:szCs w:val="28"/>
          <w:highlight w:val="none"/>
          <w:lang w:val="en-US" w:eastAsia="zh-CN"/>
        </w:rPr>
        <w:t>18609921657</w:t>
      </w:r>
    </w:p>
    <w:p w14:paraId="7E18CDA4">
      <w:pPr>
        <w:pStyle w:val="65"/>
        <w:spacing w:line="360" w:lineRule="auto"/>
        <w:ind w:firstLine="561"/>
        <w:jc w:val="both"/>
        <w:rPr>
          <w:rFonts w:hint="eastAsia" w:asciiTheme="minorEastAsia" w:hAnsiTheme="minorEastAsia" w:eastAsiaTheme="minorEastAsia" w:cstheme="minorEastAsia"/>
          <w:color w:val="auto"/>
          <w:sz w:val="28"/>
          <w:szCs w:val="28"/>
          <w:highlight w:val="none"/>
        </w:rPr>
      </w:pPr>
    </w:p>
    <w:p w14:paraId="4C68764D">
      <w:pPr>
        <w:pStyle w:val="65"/>
        <w:spacing w:line="360" w:lineRule="auto"/>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代理机构：新疆元泓工程项目管理咨询有限公司</w:t>
      </w:r>
    </w:p>
    <w:p w14:paraId="04CBE4EB">
      <w:pPr>
        <w:pStyle w:val="65"/>
        <w:spacing w:line="360" w:lineRule="auto"/>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 址：乌鲁木齐市经济技术开发区乌昌路252号九方财富广场A座525室</w:t>
      </w:r>
    </w:p>
    <w:p w14:paraId="7AA29C06">
      <w:pPr>
        <w:pStyle w:val="65"/>
        <w:spacing w:line="360" w:lineRule="auto"/>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项目联系人：</w:t>
      </w:r>
      <w:r>
        <w:rPr>
          <w:rFonts w:hint="eastAsia" w:asciiTheme="minorEastAsia" w:hAnsiTheme="minorEastAsia" w:eastAsiaTheme="minorEastAsia" w:cstheme="minorEastAsia"/>
          <w:color w:val="auto"/>
          <w:sz w:val="28"/>
          <w:szCs w:val="28"/>
          <w:highlight w:val="none"/>
          <w:lang w:eastAsia="zh-CN"/>
        </w:rPr>
        <w:t>吴洋、高娟、代旭、杨爱梅、汤新龙</w:t>
      </w:r>
    </w:p>
    <w:p w14:paraId="3293196E">
      <w:pPr>
        <w:pStyle w:val="65"/>
        <w:spacing w:line="360" w:lineRule="auto"/>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联系方式：13565831720</w:t>
      </w:r>
    </w:p>
    <w:p w14:paraId="679C6940">
      <w:pPr>
        <w:autoSpaceDE w:val="0"/>
        <w:autoSpaceDN w:val="0"/>
        <w:adjustRightInd w:val="0"/>
        <w:spacing w:line="240" w:lineRule="auto"/>
        <w:rPr>
          <w:rFonts w:hint="eastAsia" w:asciiTheme="minorEastAsia" w:hAnsiTheme="minorEastAsia" w:eastAsiaTheme="minorEastAsia" w:cstheme="minorEastAsia"/>
          <w:b/>
          <w:kern w:val="0"/>
          <w:sz w:val="32"/>
          <w:szCs w:val="32"/>
          <w:highlight w:val="none"/>
          <w:lang w:val="zh-CN" w:bidi="zh-CN"/>
        </w:rPr>
      </w:pPr>
    </w:p>
    <w:p w14:paraId="0DFF2C04">
      <w:pPr>
        <w:pStyle w:val="19"/>
        <w:snapToGrid w:val="0"/>
        <w:spacing w:line="240"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kern w:val="0"/>
          <w:sz w:val="28"/>
          <w:szCs w:val="28"/>
          <w:highlight w:val="none"/>
          <w:lang w:val="zh-CN" w:bidi="zh-CN"/>
        </w:rPr>
        <w:t>二○二五年</w:t>
      </w:r>
      <w:r>
        <w:rPr>
          <w:rFonts w:hint="eastAsia" w:asciiTheme="minorEastAsia" w:hAnsiTheme="minorEastAsia" w:eastAsiaTheme="minorEastAsia" w:cstheme="minorEastAsia"/>
          <w:b/>
          <w:kern w:val="0"/>
          <w:sz w:val="28"/>
          <w:szCs w:val="28"/>
          <w:highlight w:val="none"/>
          <w:lang w:val="zh-CN" w:eastAsia="zh-CN" w:bidi="zh-CN"/>
        </w:rPr>
        <w:t>六</w:t>
      </w:r>
      <w:r>
        <w:rPr>
          <w:rFonts w:hint="eastAsia" w:asciiTheme="minorEastAsia" w:hAnsiTheme="minorEastAsia" w:eastAsiaTheme="minorEastAsia" w:cstheme="minorEastAsia"/>
          <w:b/>
          <w:kern w:val="0"/>
          <w:sz w:val="28"/>
          <w:szCs w:val="28"/>
          <w:highlight w:val="none"/>
          <w:lang w:bidi="zh-CN"/>
        </w:rPr>
        <w:t>月编制</w:t>
      </w:r>
    </w:p>
    <w:p w14:paraId="215E3EF6">
      <w:pPr>
        <w:pStyle w:val="65"/>
        <w:spacing w:line="24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28"/>
          <w:szCs w:val="28"/>
          <w:highlight w:val="none"/>
        </w:rPr>
        <w:t>目    录</w:t>
      </w:r>
    </w:p>
    <w:p w14:paraId="11A0B0ED">
      <w:pPr>
        <w:pStyle w:val="65"/>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第一章  招标公告 </w:t>
      </w:r>
      <w:r>
        <w:rPr>
          <w:rFonts w:hint="eastAsia" w:asciiTheme="minorEastAsia" w:hAnsiTheme="minorEastAsia" w:eastAsiaTheme="minorEastAsia" w:cstheme="minorEastAsia"/>
          <w:color w:val="auto"/>
          <w:sz w:val="24"/>
          <w:szCs w:val="24"/>
          <w:highlight w:val="none"/>
        </w:rPr>
        <w:t xml:space="preserve">………………………………………………………………………………1 </w:t>
      </w:r>
    </w:p>
    <w:p w14:paraId="7D772228">
      <w:pPr>
        <w:pStyle w:val="65"/>
        <w:spacing w:line="48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xml:space="preserve">第二章  投标须知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p>
    <w:p w14:paraId="052538C9">
      <w:pPr>
        <w:pStyle w:val="65"/>
        <w:spacing w:line="48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第三章  评标方法及标准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24</w:t>
      </w:r>
    </w:p>
    <w:p w14:paraId="5B90C4A6">
      <w:pPr>
        <w:pStyle w:val="65"/>
        <w:spacing w:line="48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第四章  政府采购合同格式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31</w:t>
      </w:r>
    </w:p>
    <w:p w14:paraId="71FCB483">
      <w:pPr>
        <w:pStyle w:val="65"/>
        <w:spacing w:line="480" w:lineRule="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第五章  技术标准和要求</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41</w:t>
      </w:r>
    </w:p>
    <w:p w14:paraId="07294B47">
      <w:pPr>
        <w:pStyle w:val="65"/>
        <w:spacing w:line="48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第六章  投标文件格式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66</w:t>
      </w:r>
    </w:p>
    <w:p w14:paraId="1D3DCE99">
      <w:pPr>
        <w:pStyle w:val="65"/>
        <w:spacing w:line="48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eastAsia="zh-CN"/>
        </w:rPr>
        <w:t>七</w:t>
      </w:r>
      <w:r>
        <w:rPr>
          <w:rFonts w:hint="eastAsia" w:asciiTheme="minorEastAsia" w:hAnsiTheme="minorEastAsia" w:eastAsiaTheme="minorEastAsia" w:cstheme="minorEastAsia"/>
          <w:b/>
          <w:bCs/>
          <w:color w:val="auto"/>
          <w:sz w:val="24"/>
          <w:szCs w:val="24"/>
          <w:highlight w:val="none"/>
        </w:rPr>
        <w:t xml:space="preserve">章  </w:t>
      </w:r>
      <w:r>
        <w:rPr>
          <w:rFonts w:hint="eastAsia" w:asciiTheme="minorEastAsia" w:hAnsiTheme="minorEastAsia" w:eastAsiaTheme="minorEastAsia" w:cstheme="minorEastAsia"/>
          <w:b/>
          <w:bCs/>
          <w:color w:val="auto"/>
          <w:sz w:val="24"/>
          <w:szCs w:val="24"/>
          <w:highlight w:val="none"/>
          <w:lang w:eastAsia="zh-CN"/>
        </w:rPr>
        <w:t>补充条款</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92</w:t>
      </w:r>
      <w:bookmarkStart w:id="13" w:name="_GoBack"/>
      <w:bookmarkEnd w:id="13"/>
    </w:p>
    <w:p w14:paraId="2B749F67">
      <w:pPr>
        <w:pStyle w:val="65"/>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14:paraId="2AA5EB18">
      <w:pPr>
        <w:spacing w:line="240" w:lineRule="auto"/>
        <w:rPr>
          <w:rFonts w:hint="eastAsia" w:asciiTheme="minorEastAsia" w:hAnsiTheme="minorEastAsia" w:eastAsiaTheme="minorEastAsia" w:cstheme="minorEastAsia"/>
          <w:highlight w:val="none"/>
        </w:rPr>
      </w:pPr>
    </w:p>
    <w:p w14:paraId="0139C21D">
      <w:pPr>
        <w:pStyle w:val="65"/>
        <w:spacing w:line="240" w:lineRule="auto"/>
        <w:ind w:firstLine="113"/>
        <w:rPr>
          <w:rFonts w:hint="eastAsia" w:asciiTheme="minorEastAsia" w:hAnsiTheme="minorEastAsia" w:eastAsiaTheme="minorEastAsia" w:cstheme="minorEastAsia"/>
          <w:color w:val="auto"/>
          <w:sz w:val="28"/>
          <w:szCs w:val="28"/>
          <w:highlight w:val="none"/>
        </w:rPr>
      </w:pPr>
    </w:p>
    <w:p w14:paraId="0E56B544">
      <w:pPr>
        <w:pStyle w:val="65"/>
        <w:spacing w:line="240" w:lineRule="auto"/>
        <w:jc w:val="both"/>
        <w:rPr>
          <w:rFonts w:hint="eastAsia" w:asciiTheme="minorEastAsia" w:hAnsiTheme="minorEastAsia" w:eastAsiaTheme="minorEastAsia" w:cstheme="minorEastAsia"/>
          <w:b/>
          <w:color w:val="auto"/>
          <w:sz w:val="36"/>
          <w:szCs w:val="36"/>
          <w:highlight w:val="none"/>
        </w:rPr>
      </w:pPr>
    </w:p>
    <w:p w14:paraId="3087D74B">
      <w:pPr>
        <w:pStyle w:val="3"/>
        <w:spacing w:line="240" w:lineRule="auto"/>
        <w:rPr>
          <w:rFonts w:hint="eastAsia" w:asciiTheme="minorEastAsia" w:hAnsiTheme="minorEastAsia" w:eastAsiaTheme="minorEastAsia" w:cstheme="minorEastAsia"/>
          <w:bCs/>
          <w:sz w:val="32"/>
          <w:szCs w:val="32"/>
          <w:highlight w:val="none"/>
        </w:rPr>
        <w:sectPr>
          <w:pgSz w:w="11910" w:h="16840"/>
          <w:pgMar w:top="1134" w:right="1134" w:bottom="1134" w:left="1134" w:header="0" w:footer="998" w:gutter="0"/>
          <w:cols w:space="720" w:num="1"/>
          <w:docGrid w:linePitch="1" w:charSpace="0"/>
        </w:sectPr>
      </w:pPr>
      <w:bookmarkStart w:id="0" w:name="_Toc107847170"/>
    </w:p>
    <w:p w14:paraId="3A9BE60F">
      <w:pPr>
        <w:pStyle w:val="3"/>
        <w:spacing w:line="24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第一章 招标公告</w:t>
      </w:r>
      <w:bookmarkEnd w:id="0"/>
    </w:p>
    <w:p w14:paraId="2153B8AA">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项目概况</w:t>
      </w:r>
    </w:p>
    <w:p w14:paraId="78259E22">
      <w:pPr>
        <w:pStyle w:val="30"/>
        <w:spacing w:before="60" w:after="60" w:line="240" w:lineRule="auto"/>
        <w:ind w:firstLine="480" w:firstLineChars="200"/>
        <w:jc w:val="both"/>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lang w:eastAsia="zh-CN"/>
        </w:rPr>
        <w:t>新疆应用职业技术学院新图书馆信息化服务项目</w:t>
      </w:r>
      <w:r>
        <w:rPr>
          <w:rFonts w:hint="eastAsia" w:asciiTheme="minorEastAsia" w:hAnsiTheme="minorEastAsia" w:eastAsiaTheme="minorEastAsia" w:cstheme="minorEastAsia"/>
          <w:bCs/>
          <w:highlight w:val="none"/>
        </w:rPr>
        <w:t>的潜在供应商应在新疆政府采购网（http</w:t>
      </w:r>
      <w:r>
        <w:rPr>
          <w:rFonts w:hint="eastAsia" w:asciiTheme="minorEastAsia" w:hAnsiTheme="minorEastAsia" w:eastAsiaTheme="minorEastAsia" w:cstheme="minorEastAsia"/>
          <w:bCs/>
          <w:highlight w:val="none"/>
          <w:lang w:eastAsia="zh-CN"/>
        </w:rPr>
        <w:t>：</w:t>
      </w:r>
      <w:r>
        <w:rPr>
          <w:rFonts w:hint="eastAsia" w:asciiTheme="minorEastAsia" w:hAnsiTheme="minorEastAsia" w:eastAsiaTheme="minorEastAsia" w:cstheme="minorEastAsia"/>
          <w:bCs/>
          <w:highlight w:val="none"/>
        </w:rPr>
        <w:t>//www.ccgp-xinjiang.gov.cn）政采云线上平台获取采购文件，并于202</w:t>
      </w:r>
      <w:r>
        <w:rPr>
          <w:rFonts w:hint="eastAsia" w:asciiTheme="minorEastAsia" w:hAnsiTheme="minorEastAsia" w:eastAsiaTheme="minorEastAsia" w:cstheme="minorEastAsia"/>
          <w:bCs/>
          <w:highlight w:val="none"/>
          <w:lang w:val="en-US" w:eastAsia="zh-CN"/>
        </w:rPr>
        <w:t>5</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07</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17</w:t>
      </w:r>
      <w:r>
        <w:rPr>
          <w:rFonts w:hint="eastAsia" w:asciiTheme="minorEastAsia" w:hAnsiTheme="minorEastAsia" w:eastAsiaTheme="minorEastAsia" w:cstheme="minorEastAsia"/>
          <w:bCs/>
          <w:highlight w:val="none"/>
        </w:rPr>
        <w:t>日</w:t>
      </w:r>
      <w:r>
        <w:rPr>
          <w:rFonts w:hint="eastAsia" w:asciiTheme="minorEastAsia" w:hAnsiTheme="minorEastAsia" w:eastAsiaTheme="minorEastAsia" w:cstheme="minorEastAsia"/>
          <w:bCs/>
          <w:highlight w:val="none"/>
          <w:lang w:val="en-US" w:eastAsia="zh-CN"/>
        </w:rPr>
        <w:t>16</w:t>
      </w:r>
      <w:r>
        <w:rPr>
          <w:rFonts w:hint="eastAsia" w:asciiTheme="minorEastAsia" w:hAnsiTheme="minorEastAsia" w:eastAsiaTheme="minorEastAsia" w:cstheme="minorEastAsia"/>
          <w:bCs/>
          <w:highlight w:val="none"/>
        </w:rPr>
        <w:t>点</w:t>
      </w:r>
      <w:r>
        <w:rPr>
          <w:rFonts w:hint="eastAsia" w:asciiTheme="minorEastAsia" w:hAnsiTheme="minorEastAsia" w:eastAsiaTheme="minorEastAsia" w:cstheme="minorEastAsia"/>
          <w:bCs/>
          <w:highlight w:val="none"/>
          <w:lang w:val="en-US" w:eastAsia="zh-CN"/>
        </w:rPr>
        <w:t>00</w:t>
      </w:r>
      <w:r>
        <w:rPr>
          <w:rFonts w:hint="eastAsia" w:asciiTheme="minorEastAsia" w:hAnsiTheme="minorEastAsia" w:eastAsiaTheme="minorEastAsia" w:cstheme="minorEastAsia"/>
          <w:bCs/>
          <w:highlight w:val="none"/>
        </w:rPr>
        <w:t>分（北京时间）前提交响应文件。</w:t>
      </w:r>
    </w:p>
    <w:p w14:paraId="2EBCBB7F">
      <w:pPr>
        <w:pStyle w:val="30"/>
        <w:spacing w:before="60" w:after="60" w:line="240" w:lineRule="auto"/>
        <w:ind w:firstLine="482" w:firstLineChars="200"/>
        <w:rPr>
          <w:rFonts w:hint="eastAsia" w:asciiTheme="minorEastAsia" w:hAnsiTheme="minorEastAsia" w:eastAsiaTheme="minorEastAsia" w:cstheme="minorEastAsia"/>
          <w:b/>
          <w:highlight w:val="none"/>
        </w:rPr>
      </w:pPr>
      <w:bookmarkStart w:id="1" w:name="_Toc28359012"/>
      <w:bookmarkStart w:id="2" w:name="_Toc35393629"/>
      <w:bookmarkStart w:id="3" w:name="_Toc35393798"/>
      <w:bookmarkStart w:id="4" w:name="_Toc28359089"/>
      <w:r>
        <w:rPr>
          <w:rFonts w:hint="eastAsia" w:asciiTheme="minorEastAsia" w:hAnsiTheme="minorEastAsia" w:eastAsiaTheme="minorEastAsia" w:cstheme="minorEastAsia"/>
          <w:b/>
          <w:highlight w:val="none"/>
        </w:rPr>
        <w:t>一、项目基本情况</w:t>
      </w:r>
      <w:bookmarkEnd w:id="1"/>
      <w:bookmarkEnd w:id="2"/>
      <w:bookmarkEnd w:id="3"/>
      <w:bookmarkEnd w:id="4"/>
    </w:p>
    <w:p w14:paraId="42267F43">
      <w:pPr>
        <w:pStyle w:val="30"/>
        <w:spacing w:before="60" w:after="60" w:line="240" w:lineRule="auto"/>
        <w:ind w:firstLine="480" w:firstLineChars="200"/>
        <w:rPr>
          <w:rFonts w:hint="eastAsia" w:asciiTheme="minorEastAsia" w:hAnsiTheme="minorEastAsia" w:eastAsiaTheme="minorEastAsia" w:cstheme="minorEastAsia"/>
          <w:bCs/>
          <w:highlight w:val="none"/>
          <w:lang w:eastAsia="zh-CN"/>
        </w:rPr>
      </w:pPr>
      <w:r>
        <w:rPr>
          <w:rFonts w:hint="eastAsia" w:asciiTheme="minorEastAsia" w:hAnsiTheme="minorEastAsia" w:eastAsiaTheme="minorEastAsia" w:cstheme="minorEastAsia"/>
          <w:bCs/>
          <w:highlight w:val="none"/>
          <w:lang w:eastAsia="zh-CN"/>
        </w:rPr>
        <w:t>采购类别：服务类采购</w:t>
      </w:r>
    </w:p>
    <w:p w14:paraId="63192574">
      <w:pPr>
        <w:pStyle w:val="30"/>
        <w:spacing w:before="60" w:after="60" w:line="240" w:lineRule="auto"/>
        <w:ind w:firstLine="480" w:firstLineChars="200"/>
        <w:rPr>
          <w:rFonts w:hint="eastAsia" w:asciiTheme="minorEastAsia" w:hAnsiTheme="minorEastAsia" w:eastAsiaTheme="minorEastAsia" w:cstheme="minorEastAsia"/>
          <w:bCs/>
          <w:highlight w:val="none"/>
          <w:lang w:eastAsia="zh-CN"/>
        </w:rPr>
      </w:pPr>
      <w:r>
        <w:rPr>
          <w:rFonts w:hint="eastAsia" w:asciiTheme="minorEastAsia" w:hAnsiTheme="minorEastAsia" w:eastAsiaTheme="minorEastAsia" w:cstheme="minorEastAsia"/>
          <w:bCs/>
          <w:highlight w:val="none"/>
        </w:rPr>
        <w:t>项目编号：</w:t>
      </w:r>
      <w:r>
        <w:rPr>
          <w:rFonts w:hint="eastAsia" w:asciiTheme="minorEastAsia" w:hAnsiTheme="minorEastAsia" w:eastAsiaTheme="minorEastAsia" w:cstheme="minorEastAsia"/>
          <w:bCs/>
          <w:highlight w:val="none"/>
          <w:lang w:eastAsia="zh-CN"/>
        </w:rPr>
        <w:t>XJYHZB2025-130</w:t>
      </w:r>
    </w:p>
    <w:p w14:paraId="0DEC3FA2">
      <w:pPr>
        <w:pStyle w:val="30"/>
        <w:spacing w:before="60" w:after="60" w:line="240" w:lineRule="auto"/>
        <w:ind w:firstLine="480" w:firstLineChars="200"/>
        <w:rPr>
          <w:rFonts w:hint="eastAsia" w:asciiTheme="minorEastAsia" w:hAnsiTheme="minorEastAsia" w:eastAsiaTheme="minorEastAsia" w:cstheme="minorEastAsia"/>
          <w:bCs/>
          <w:highlight w:val="none"/>
          <w:lang w:eastAsia="zh-CN"/>
        </w:rPr>
      </w:pPr>
      <w:r>
        <w:rPr>
          <w:rFonts w:hint="eastAsia" w:asciiTheme="minorEastAsia" w:hAnsiTheme="minorEastAsia" w:eastAsiaTheme="minorEastAsia" w:cstheme="minorEastAsia"/>
          <w:bCs/>
          <w:highlight w:val="none"/>
        </w:rPr>
        <w:t>项目名称：</w:t>
      </w:r>
      <w:r>
        <w:rPr>
          <w:rFonts w:hint="eastAsia" w:asciiTheme="minorEastAsia" w:hAnsiTheme="minorEastAsia" w:eastAsiaTheme="minorEastAsia" w:cstheme="minorEastAsia"/>
          <w:bCs/>
          <w:highlight w:val="none"/>
          <w:lang w:eastAsia="zh-CN"/>
        </w:rPr>
        <w:t>新疆应用职业技术学院新图书馆信息化服务项目</w:t>
      </w:r>
    </w:p>
    <w:p w14:paraId="1F509C69">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采购方式：公开招标</w:t>
      </w:r>
    </w:p>
    <w:p w14:paraId="36E54BAA">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预算金额（元）：</w:t>
      </w:r>
      <w:r>
        <w:rPr>
          <w:rFonts w:hint="eastAsia" w:asciiTheme="minorEastAsia" w:hAnsiTheme="minorEastAsia" w:eastAsiaTheme="minorEastAsia" w:cstheme="minorEastAsia"/>
          <w:bCs/>
          <w:highlight w:val="none"/>
          <w:lang w:val="en-US" w:eastAsia="zh-CN"/>
        </w:rPr>
        <w:t>2100000.00</w:t>
      </w:r>
    </w:p>
    <w:p w14:paraId="2544D5FC">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最高限价（元）：</w:t>
      </w:r>
      <w:r>
        <w:rPr>
          <w:rFonts w:hint="eastAsia" w:asciiTheme="minorEastAsia" w:hAnsiTheme="minorEastAsia" w:eastAsiaTheme="minorEastAsia" w:cstheme="minorEastAsia"/>
          <w:bCs/>
          <w:highlight w:val="none"/>
          <w:lang w:val="en-US" w:eastAsia="zh-CN"/>
        </w:rPr>
        <w:t>2100000.00</w:t>
      </w:r>
    </w:p>
    <w:p w14:paraId="03AA0970">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采购需求：</w:t>
      </w:r>
    </w:p>
    <w:p w14:paraId="37D6E8CA">
      <w:pPr>
        <w:pStyle w:val="30"/>
        <w:spacing w:before="60" w:after="60" w:line="240" w:lineRule="auto"/>
        <w:ind w:firstLine="48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Cs/>
          <w:highlight w:val="none"/>
        </w:rPr>
        <w:t>标项一</w:t>
      </w:r>
      <w:r>
        <w:rPr>
          <w:rFonts w:hint="eastAsia" w:asciiTheme="minorEastAsia" w:hAnsiTheme="minorEastAsia" w:eastAsiaTheme="minorEastAsia" w:cstheme="minorEastAsia"/>
          <w:bCs/>
          <w:highlight w:val="none"/>
          <w:lang w:eastAsia="zh-CN"/>
        </w:rPr>
        <w:t>：</w:t>
      </w:r>
    </w:p>
    <w:p w14:paraId="327FB6BA">
      <w:pPr>
        <w:pStyle w:val="30"/>
        <w:spacing w:before="60" w:after="60" w:line="240" w:lineRule="auto"/>
        <w:ind w:firstLine="480" w:firstLineChars="200"/>
        <w:rPr>
          <w:rFonts w:hint="eastAsia" w:asciiTheme="minorEastAsia" w:hAnsiTheme="minorEastAsia" w:eastAsiaTheme="minorEastAsia" w:cstheme="minorEastAsia"/>
          <w:bCs/>
          <w:highlight w:val="none"/>
          <w:lang w:eastAsia="zh-CN"/>
        </w:rPr>
      </w:pPr>
      <w:r>
        <w:rPr>
          <w:rFonts w:hint="eastAsia" w:asciiTheme="minorEastAsia" w:hAnsiTheme="minorEastAsia" w:eastAsiaTheme="minorEastAsia" w:cstheme="minorEastAsia"/>
          <w:bCs/>
          <w:highlight w:val="none"/>
        </w:rPr>
        <w:t>标项名称：</w:t>
      </w:r>
      <w:r>
        <w:rPr>
          <w:rFonts w:hint="eastAsia" w:asciiTheme="minorEastAsia" w:hAnsiTheme="minorEastAsia" w:eastAsiaTheme="minorEastAsia" w:cstheme="minorEastAsia"/>
          <w:bCs/>
          <w:highlight w:val="none"/>
          <w:lang w:eastAsia="zh-CN"/>
        </w:rPr>
        <w:t>新疆应用职业技术学院新图书馆信息化服务项目</w:t>
      </w:r>
    </w:p>
    <w:p w14:paraId="38C38640">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数量：1</w:t>
      </w:r>
    </w:p>
    <w:p w14:paraId="695EC765">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预算金额（元）：</w:t>
      </w:r>
      <w:r>
        <w:rPr>
          <w:rFonts w:hint="eastAsia" w:asciiTheme="minorEastAsia" w:hAnsiTheme="minorEastAsia" w:eastAsiaTheme="minorEastAsia" w:cstheme="minorEastAsia"/>
          <w:bCs/>
          <w:highlight w:val="none"/>
          <w:lang w:val="en-US" w:eastAsia="zh-CN"/>
        </w:rPr>
        <w:t>2100000.00</w:t>
      </w:r>
    </w:p>
    <w:p w14:paraId="2E91BD62">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单位：批</w:t>
      </w:r>
    </w:p>
    <w:p w14:paraId="1F0FBA8C">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简要规格描述：具体参数详见招标文件。 </w:t>
      </w:r>
    </w:p>
    <w:p w14:paraId="13CCDCD9">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lang w:eastAsia="zh-CN"/>
        </w:rPr>
        <w:t>合同履约期限</w:t>
      </w:r>
      <w:r>
        <w:rPr>
          <w:rFonts w:hint="eastAsia" w:asciiTheme="minorEastAsia" w:hAnsiTheme="minorEastAsia" w:eastAsiaTheme="minorEastAsia" w:cstheme="minorEastAsia"/>
          <w:bCs/>
          <w:highlight w:val="none"/>
        </w:rPr>
        <w:t>：自合同签订之日起30日历日内交货并完成安装调试。</w:t>
      </w:r>
    </w:p>
    <w:p w14:paraId="0683EF3A">
      <w:pPr>
        <w:pStyle w:val="30"/>
        <w:spacing w:before="60" w:after="60" w:line="240"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本项目（ 不 ）接受联合体投标。</w:t>
      </w:r>
    </w:p>
    <w:p w14:paraId="2E2C4F83">
      <w:pPr>
        <w:pStyle w:val="30"/>
        <w:spacing w:before="60" w:after="60" w:line="240" w:lineRule="auto"/>
        <w:ind w:firstLine="482" w:firstLineChars="200"/>
        <w:rPr>
          <w:rFonts w:hint="eastAsia" w:asciiTheme="minorEastAsia" w:hAnsiTheme="minorEastAsia" w:eastAsiaTheme="minorEastAsia" w:cstheme="minorEastAsia"/>
          <w:b/>
          <w:highlight w:val="none"/>
          <w:lang w:eastAsia="zh-CN"/>
        </w:rPr>
      </w:pPr>
      <w:r>
        <w:rPr>
          <w:rFonts w:hint="eastAsia" w:asciiTheme="minorEastAsia" w:hAnsiTheme="minorEastAsia" w:eastAsiaTheme="minorEastAsia" w:cstheme="minorEastAsia"/>
          <w:b/>
          <w:highlight w:val="none"/>
        </w:rPr>
        <w:t>二、申请人的资格要求</w:t>
      </w:r>
      <w:r>
        <w:rPr>
          <w:rFonts w:hint="eastAsia" w:asciiTheme="minorEastAsia" w:hAnsiTheme="minorEastAsia" w:eastAsiaTheme="minorEastAsia" w:cstheme="minorEastAsia"/>
          <w:b/>
          <w:highlight w:val="none"/>
          <w:lang w:eastAsia="zh-CN"/>
        </w:rPr>
        <w:t>：</w:t>
      </w:r>
    </w:p>
    <w:p w14:paraId="5617D311">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1.满足《中华人民共和国政府采购法》第二十二条规定；</w:t>
      </w:r>
    </w:p>
    <w:p w14:paraId="3BD122FB">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（一）具有独立承担民事责任的能力；</w:t>
      </w:r>
    </w:p>
    <w:p w14:paraId="07A50100">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（二）具有良好的商业信誉和健全的财务会计制度；</w:t>
      </w:r>
    </w:p>
    <w:p w14:paraId="79C35C3F">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（三）具有履行合同所必需的设备和专业技术能力；</w:t>
      </w:r>
    </w:p>
    <w:p w14:paraId="76AF1E6E">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（四）有依法缴纳税收和社会保障资金的良好记录；</w:t>
      </w:r>
    </w:p>
    <w:p w14:paraId="7A9C297C">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（五）参加政府采购活动前三年内，在经营活动中没有重大违法记录；</w:t>
      </w:r>
    </w:p>
    <w:p w14:paraId="4DE551DD">
      <w:pPr>
        <w:spacing w:line="24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（六）法律、行政法规规定的其他条件。</w:t>
      </w:r>
    </w:p>
    <w:p w14:paraId="182EC19A">
      <w:pPr>
        <w:spacing w:line="240" w:lineRule="auto"/>
        <w:ind w:firstLine="480" w:firstLineChars="200"/>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2.落实政府采购政策需满足的资格要求：</w:t>
      </w:r>
      <w:r>
        <w:rPr>
          <w:rFonts w:hint="eastAsia" w:asciiTheme="minorEastAsia" w:hAnsiTheme="minorEastAsia" w:eastAsiaTheme="minorEastAsia" w:cstheme="minorEastAsia"/>
          <w:kern w:val="0"/>
          <w:sz w:val="24"/>
          <w:szCs w:val="24"/>
          <w:highlight w:val="none"/>
          <w:lang w:eastAsia="zh-CN"/>
        </w:rPr>
        <w:t>本项目预留采购预算总额的 30%专门面向中小企业采购。根据《关于进一步加大政府采购支持中小企业力度的通知》的规定：预留采购项目预算金额的30%(630000元)专门面向中小企业采购，其中630000元的60%(378000元)预留给小微企业采购，对于预留份额，提供的货物由符合政策要求的小微企业制造；如果供应商本身提供的所有标的均由小微企业制造，视同符合了资格条件。中小企业参加政府采购活动，应当出具《政府采购促进中小企业发展管理办法》规定的《中小企业声明函》，否则不得享受相关中小企业扶持政策。</w:t>
      </w:r>
    </w:p>
    <w:p w14:paraId="1D357987">
      <w:pPr>
        <w:spacing w:line="240" w:lineRule="auto"/>
        <w:ind w:firstLine="480" w:firstLineChars="200"/>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3.本项目的特定资格要求：无</w:t>
      </w:r>
      <w:r>
        <w:rPr>
          <w:rFonts w:hint="eastAsia" w:asciiTheme="minorEastAsia" w:hAnsiTheme="minorEastAsia" w:eastAsiaTheme="minorEastAsia" w:cstheme="minorEastAsia"/>
          <w:kern w:val="0"/>
          <w:sz w:val="24"/>
          <w:szCs w:val="24"/>
          <w:highlight w:val="none"/>
          <w:lang w:eastAsia="zh-CN"/>
        </w:rPr>
        <w:t>；</w:t>
      </w:r>
    </w:p>
    <w:p w14:paraId="70E9CAFA">
      <w:pPr>
        <w:spacing w:line="240" w:lineRule="auto"/>
        <w:ind w:firstLine="480" w:firstLineChars="200"/>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4.拒绝下述供应商参加本次采购活动</w:t>
      </w:r>
      <w:r>
        <w:rPr>
          <w:rFonts w:hint="eastAsia" w:asciiTheme="minorEastAsia" w:hAnsiTheme="minorEastAsia" w:eastAsiaTheme="minorEastAsia" w:cstheme="minorEastAsia"/>
          <w:kern w:val="0"/>
          <w:sz w:val="24"/>
          <w:szCs w:val="24"/>
          <w:highlight w:val="none"/>
          <w:lang w:eastAsia="zh-CN"/>
        </w:rPr>
        <w:t>：</w:t>
      </w:r>
    </w:p>
    <w:p w14:paraId="369A7BBA">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4.1 供应商单位负责人为同一人或者存在直接控股、管理关系的不同供应商，不得参加同一合同项下的政府采购活动。</w:t>
      </w:r>
    </w:p>
    <w:p w14:paraId="610FF693">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4.2 凡为采购项目提供整体设计、规范编制或者项目管理、监理、检测等服务的供应商，不得再参加本项目的采购活动。</w:t>
      </w:r>
    </w:p>
    <w:p w14:paraId="658A27EF">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4.3 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p w14:paraId="741ED64D">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三、获取采购文件</w:t>
      </w:r>
    </w:p>
    <w:p w14:paraId="41D547C9">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27</w:t>
      </w:r>
      <w:r>
        <w:rPr>
          <w:rFonts w:hint="eastAsia" w:asciiTheme="minorEastAsia" w:hAnsiTheme="minorEastAsia" w:eastAsiaTheme="minorEastAsia" w:cstheme="minorEastAsia"/>
          <w:kern w:val="0"/>
          <w:sz w:val="24"/>
          <w:szCs w:val="24"/>
          <w:highlight w:val="none"/>
        </w:rPr>
        <w:t>日至202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07</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04</w:t>
      </w:r>
      <w:r>
        <w:rPr>
          <w:rFonts w:hint="eastAsia" w:asciiTheme="minorEastAsia" w:hAnsiTheme="minorEastAsia" w:eastAsiaTheme="minorEastAsia" w:cstheme="minorEastAsia"/>
          <w:kern w:val="0"/>
          <w:sz w:val="24"/>
          <w:szCs w:val="24"/>
          <w:highlight w:val="none"/>
        </w:rPr>
        <w:t>日，每天上午00</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00至</w:t>
      </w:r>
      <w:r>
        <w:rPr>
          <w:rFonts w:hint="eastAsia" w:asciiTheme="minorEastAsia" w:hAnsiTheme="minorEastAsia" w:eastAsiaTheme="minorEastAsia" w:cstheme="minorEastAsia"/>
          <w:kern w:val="0"/>
          <w:sz w:val="24"/>
          <w:szCs w:val="24"/>
          <w:highlight w:val="none"/>
          <w:lang w:val="en-US" w:eastAsia="zh-CN"/>
        </w:rPr>
        <w:t>14</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00，下午</w:t>
      </w:r>
      <w:r>
        <w:rPr>
          <w:rFonts w:hint="eastAsia" w:asciiTheme="minorEastAsia" w:hAnsiTheme="minorEastAsia" w:eastAsiaTheme="minorEastAsia" w:cstheme="minorEastAsia"/>
          <w:kern w:val="0"/>
          <w:sz w:val="24"/>
          <w:szCs w:val="24"/>
          <w:highlight w:val="none"/>
          <w:lang w:val="en-US" w:eastAsia="zh-CN"/>
        </w:rPr>
        <w:t>14</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00至23</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59（北京时间，法定节假日除外）</w:t>
      </w:r>
    </w:p>
    <w:p w14:paraId="34179CDF">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//www.ccgp-xinjiang.gov.cn）政采云线上平台</w:t>
      </w:r>
    </w:p>
    <w:p w14:paraId="1519FE3D">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获取方式：符合要求的供应商登陆政采云平台在线申请获取采购文件（登录政府采购云平台→采购项目→获取采购文件→申请）审核通过后可下载招标文件；如有操作性问题，可与政采云在线客服进行咨询，咨询电话95763。</w:t>
      </w:r>
    </w:p>
    <w:p w14:paraId="39A6EE52">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售价（元）：0</w:t>
      </w:r>
    </w:p>
    <w:p w14:paraId="4E274744">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四、响应文件提交</w:t>
      </w:r>
    </w:p>
    <w:p w14:paraId="3CAA9516">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截止时间：202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 xml:space="preserve"> 07</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17</w:t>
      </w:r>
      <w:r>
        <w:rPr>
          <w:rFonts w:hint="eastAsia" w:asciiTheme="minorEastAsia" w:hAnsiTheme="minorEastAsia" w:eastAsiaTheme="minorEastAsia" w:cstheme="minorEastAsia"/>
          <w:kern w:val="0"/>
          <w:sz w:val="24"/>
          <w:szCs w:val="24"/>
          <w:highlight w:val="none"/>
        </w:rPr>
        <w:t>日</w:t>
      </w:r>
      <w:r>
        <w:rPr>
          <w:rFonts w:hint="eastAsia" w:asciiTheme="minorEastAsia" w:hAnsiTheme="minorEastAsia" w:eastAsiaTheme="minorEastAsia" w:cstheme="minorEastAsia"/>
          <w:kern w:val="0"/>
          <w:sz w:val="24"/>
          <w:szCs w:val="24"/>
          <w:highlight w:val="none"/>
          <w:lang w:val="en-US" w:eastAsia="zh-CN"/>
        </w:rPr>
        <w:t>16</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00（北京时间）</w:t>
      </w:r>
    </w:p>
    <w:p w14:paraId="0DFBD1A1">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//www.ccgp-xinjiang.gov.cn）政采云线上平台</w:t>
      </w:r>
    </w:p>
    <w:p w14:paraId="01C0C9AF">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五、响应文件开启</w:t>
      </w:r>
    </w:p>
    <w:p w14:paraId="287B5976">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开启时间：202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07</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17</w:t>
      </w:r>
      <w:r>
        <w:rPr>
          <w:rFonts w:hint="eastAsia" w:asciiTheme="minorEastAsia" w:hAnsiTheme="minorEastAsia" w:eastAsiaTheme="minorEastAsia" w:cstheme="minorEastAsia"/>
          <w:kern w:val="0"/>
          <w:sz w:val="24"/>
          <w:szCs w:val="24"/>
          <w:highlight w:val="none"/>
        </w:rPr>
        <w:t>日</w:t>
      </w:r>
      <w:r>
        <w:rPr>
          <w:rFonts w:hint="eastAsia" w:asciiTheme="minorEastAsia" w:hAnsiTheme="minorEastAsia" w:eastAsiaTheme="minorEastAsia" w:cstheme="minorEastAsia"/>
          <w:kern w:val="0"/>
          <w:sz w:val="24"/>
          <w:szCs w:val="24"/>
          <w:highlight w:val="none"/>
          <w:lang w:val="en-US" w:eastAsia="zh-CN"/>
        </w:rPr>
        <w:t>16</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00（北京时间）</w:t>
      </w:r>
    </w:p>
    <w:p w14:paraId="3EBBEA31">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//www.ccgp-xinjiang.gov.cn）政采云线上平台</w:t>
      </w:r>
    </w:p>
    <w:p w14:paraId="30FD22B8">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六、公告期限</w:t>
      </w:r>
    </w:p>
    <w:p w14:paraId="4079567B">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自本公告发布之日起5个工作日。</w:t>
      </w:r>
    </w:p>
    <w:p w14:paraId="69E06241">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七、其他补充事宜</w:t>
      </w:r>
    </w:p>
    <w:p w14:paraId="1319527E">
      <w:pPr>
        <w:pStyle w:val="30"/>
        <w:spacing w:line="24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1、本项目实行网上投标，采用电子投标文件。</w:t>
      </w:r>
    </w:p>
    <w:p w14:paraId="5E1E8C0E">
      <w:pPr>
        <w:pStyle w:val="30"/>
        <w:spacing w:line="24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B148F6E">
      <w:pPr>
        <w:pStyle w:val="30"/>
        <w:spacing w:line="24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3、供应商将政采云电子交易客户端下载、安装完成后，可通过账号密码或CA登录客户端进行投标文件的制作。在使用政采云投标客户端时，建议使用WIN7及以上操作系统。</w:t>
      </w:r>
    </w:p>
    <w:p w14:paraId="06B8BFB7">
      <w:pPr>
        <w:pStyle w:val="30"/>
        <w:spacing w:line="24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4、其他事项：/ </w:t>
      </w:r>
    </w:p>
    <w:p w14:paraId="3FDA5F1A">
      <w:pPr>
        <w:pStyle w:val="30"/>
        <w:spacing w:line="24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特别提示：</w:t>
      </w:r>
    </w:p>
    <w:p w14:paraId="45D6F7AE">
      <w:pPr>
        <w:pStyle w:val="30"/>
        <w:spacing w:line="24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6BEA7A09">
      <w:pPr>
        <w:pStyle w:val="30"/>
        <w:spacing w:line="24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2584D2A5">
      <w:pPr>
        <w:pStyle w:val="30"/>
        <w:spacing w:line="24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3416AC2">
      <w:pPr>
        <w:spacing w:line="240" w:lineRule="auto"/>
        <w:ind w:firstLine="482" w:firstLineChars="2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八、对本次招标提出询问，请按以下方式联系</w:t>
      </w:r>
    </w:p>
    <w:p w14:paraId="003B3E0E">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1.采购人信息</w:t>
      </w:r>
    </w:p>
    <w:p w14:paraId="4E3D0000">
      <w:pPr>
        <w:spacing w:line="240" w:lineRule="auto"/>
        <w:ind w:firstLine="480" w:firstLineChars="200"/>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zh-CN"/>
        </w:rPr>
        <w:t>名 称：</w:t>
      </w:r>
      <w:r>
        <w:rPr>
          <w:rFonts w:hint="eastAsia" w:asciiTheme="minorEastAsia" w:hAnsiTheme="minorEastAsia" w:eastAsiaTheme="minorEastAsia" w:cstheme="minorEastAsia"/>
          <w:kern w:val="0"/>
          <w:sz w:val="24"/>
          <w:szCs w:val="24"/>
          <w:highlight w:val="none"/>
          <w:lang w:eastAsia="zh-CN"/>
        </w:rPr>
        <w:t>新疆应用职业技术学院</w:t>
      </w:r>
    </w:p>
    <w:p w14:paraId="4B093A2D">
      <w:pPr>
        <w:spacing w:line="240" w:lineRule="auto"/>
        <w:ind w:firstLine="480" w:firstLineChars="200"/>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zh-CN"/>
        </w:rPr>
        <w:t>地 址：</w:t>
      </w:r>
      <w:r>
        <w:rPr>
          <w:rFonts w:hint="eastAsia" w:asciiTheme="minorEastAsia" w:hAnsiTheme="minorEastAsia" w:eastAsiaTheme="minorEastAsia" w:cstheme="minorEastAsia"/>
          <w:kern w:val="0"/>
          <w:sz w:val="24"/>
          <w:szCs w:val="24"/>
          <w:highlight w:val="none"/>
          <w:lang w:eastAsia="zh-CN"/>
        </w:rPr>
        <w:t>新疆奎屯市北京西路62号</w:t>
      </w:r>
    </w:p>
    <w:p w14:paraId="10164C65">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联系人：</w:t>
      </w:r>
      <w:r>
        <w:rPr>
          <w:rFonts w:hint="eastAsia" w:asciiTheme="minorEastAsia" w:hAnsiTheme="minorEastAsia" w:eastAsiaTheme="minorEastAsia" w:cstheme="minorEastAsia"/>
          <w:kern w:val="0"/>
          <w:sz w:val="24"/>
          <w:szCs w:val="24"/>
          <w:highlight w:val="none"/>
          <w:lang w:eastAsia="zh-CN"/>
        </w:rPr>
        <w:t>李老师</w:t>
      </w:r>
      <w:r>
        <w:rPr>
          <w:rFonts w:hint="eastAsia" w:asciiTheme="minorEastAsia" w:hAnsiTheme="minorEastAsia" w:eastAsiaTheme="minorEastAsia" w:cstheme="minorEastAsia"/>
          <w:kern w:val="0"/>
          <w:sz w:val="24"/>
          <w:szCs w:val="24"/>
          <w:highlight w:val="none"/>
        </w:rPr>
        <w:t xml:space="preserve">   </w:t>
      </w:r>
    </w:p>
    <w:p w14:paraId="6ADB5D25">
      <w:pPr>
        <w:spacing w:line="240" w:lineRule="auto"/>
        <w:ind w:firstLine="480" w:firstLineChars="200"/>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联系方式：</w:t>
      </w:r>
      <w:r>
        <w:rPr>
          <w:rFonts w:hint="eastAsia" w:asciiTheme="minorEastAsia" w:hAnsiTheme="minorEastAsia" w:eastAsiaTheme="minorEastAsia" w:cstheme="minorEastAsia"/>
          <w:kern w:val="0"/>
          <w:sz w:val="24"/>
          <w:szCs w:val="24"/>
          <w:highlight w:val="none"/>
          <w:lang w:val="en-US" w:eastAsia="zh-CN"/>
        </w:rPr>
        <w:t>18609921657</w:t>
      </w:r>
    </w:p>
    <w:p w14:paraId="5D535325">
      <w:pPr>
        <w:spacing w:line="240" w:lineRule="auto"/>
        <w:ind w:firstLine="480" w:firstLineChars="200"/>
        <w:rPr>
          <w:rFonts w:hint="eastAsia" w:asciiTheme="minorEastAsia" w:hAnsiTheme="minorEastAsia" w:eastAsiaTheme="minorEastAsia" w:cstheme="minorEastAsia"/>
          <w:kern w:val="0"/>
          <w:sz w:val="24"/>
          <w:szCs w:val="24"/>
          <w:highlight w:val="none"/>
        </w:rPr>
      </w:pPr>
    </w:p>
    <w:p w14:paraId="67C3EB9E">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2.采购代理机构信息</w:t>
      </w:r>
    </w:p>
    <w:p w14:paraId="48AC067F">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名 称：新疆元泓工程项目管理咨询有限公司</w:t>
      </w:r>
    </w:p>
    <w:p w14:paraId="6CC8DC46">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 址：乌鲁木齐市经济技术开发区乌昌路252号九方财富广场A座525室</w:t>
      </w:r>
    </w:p>
    <w:p w14:paraId="0EB9F413">
      <w:pPr>
        <w:spacing w:line="240" w:lineRule="auto"/>
        <w:ind w:firstLine="480" w:firstLineChars="200"/>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联系人：</w:t>
      </w:r>
      <w:r>
        <w:rPr>
          <w:rFonts w:hint="eastAsia" w:asciiTheme="minorEastAsia" w:hAnsiTheme="minorEastAsia" w:eastAsiaTheme="minorEastAsia" w:cstheme="minorEastAsia"/>
          <w:kern w:val="0"/>
          <w:sz w:val="24"/>
          <w:szCs w:val="24"/>
          <w:highlight w:val="none"/>
          <w:lang w:eastAsia="zh-CN"/>
        </w:rPr>
        <w:t>吴洋、高娟、代旭、杨爱梅、汤新龙</w:t>
      </w:r>
    </w:p>
    <w:p w14:paraId="707ED0BB">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联系方式：13565831720</w:t>
      </w:r>
    </w:p>
    <w:p w14:paraId="262C2407">
      <w:pPr>
        <w:spacing w:line="240" w:lineRule="auto"/>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b/>
          <w:sz w:val="28"/>
          <w:szCs w:val="28"/>
          <w:highlight w:val="none"/>
        </w:rPr>
        <w:t>第二章  投标须知</w:t>
      </w:r>
    </w:p>
    <w:p w14:paraId="49633216">
      <w:pPr>
        <w:spacing w:line="24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投标须知前附表</w:t>
      </w:r>
    </w:p>
    <w:tbl>
      <w:tblPr>
        <w:tblStyle w:val="35"/>
        <w:tblW w:w="95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32"/>
        <w:gridCol w:w="1627"/>
        <w:gridCol w:w="6723"/>
      </w:tblGrid>
      <w:tr w14:paraId="729F26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47344B97">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1627" w:type="dxa"/>
            <w:tcBorders>
              <w:right w:val="single" w:color="auto" w:sz="4" w:space="0"/>
            </w:tcBorders>
            <w:vAlign w:val="center"/>
          </w:tcPr>
          <w:p w14:paraId="5BCADD13">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条款名称</w:t>
            </w:r>
          </w:p>
        </w:tc>
        <w:tc>
          <w:tcPr>
            <w:tcW w:w="6723" w:type="dxa"/>
            <w:tcBorders>
              <w:left w:val="single" w:color="auto" w:sz="4" w:space="0"/>
            </w:tcBorders>
            <w:vAlign w:val="center"/>
          </w:tcPr>
          <w:p w14:paraId="38BB721B">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14:paraId="66F19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82" w:type="dxa"/>
            <w:gridSpan w:val="3"/>
            <w:vAlign w:val="center"/>
          </w:tcPr>
          <w:p w14:paraId="30918234">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一、总则</w:t>
            </w:r>
          </w:p>
        </w:tc>
      </w:tr>
      <w:tr w14:paraId="412B6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4EE42A95">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第1.1款</w:t>
            </w:r>
          </w:p>
        </w:tc>
        <w:tc>
          <w:tcPr>
            <w:tcW w:w="1627" w:type="dxa"/>
            <w:tcBorders>
              <w:right w:val="single" w:color="auto" w:sz="4" w:space="0"/>
            </w:tcBorders>
            <w:vAlign w:val="center"/>
          </w:tcPr>
          <w:p w14:paraId="64AE44A0">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6723" w:type="dxa"/>
            <w:tcBorders>
              <w:left w:val="single" w:color="auto" w:sz="4" w:space="0"/>
            </w:tcBorders>
            <w:vAlign w:val="center"/>
          </w:tcPr>
          <w:p w14:paraId="194CA131">
            <w:pPr>
              <w:pStyle w:val="65"/>
              <w:spacing w:line="240" w:lineRule="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新疆应用职业技术学院新图书馆信息化服务项目</w:t>
            </w:r>
          </w:p>
        </w:tc>
      </w:tr>
      <w:tr w14:paraId="18F52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jc w:val="center"/>
        </w:trPr>
        <w:tc>
          <w:tcPr>
            <w:tcW w:w="1232" w:type="dxa"/>
            <w:vAlign w:val="center"/>
          </w:tcPr>
          <w:p w14:paraId="3326A159">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第1.2款</w:t>
            </w:r>
          </w:p>
        </w:tc>
        <w:tc>
          <w:tcPr>
            <w:tcW w:w="1627" w:type="dxa"/>
            <w:tcBorders>
              <w:right w:val="single" w:color="auto" w:sz="4" w:space="0"/>
            </w:tcBorders>
            <w:vAlign w:val="center"/>
          </w:tcPr>
          <w:p w14:paraId="3F4F1307">
            <w:pPr>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招标范围</w:t>
            </w:r>
          </w:p>
        </w:tc>
        <w:tc>
          <w:tcPr>
            <w:tcW w:w="6723" w:type="dxa"/>
            <w:tcBorders>
              <w:left w:val="single" w:color="auto" w:sz="4" w:space="0"/>
            </w:tcBorders>
            <w:vAlign w:val="center"/>
          </w:tcPr>
          <w:p w14:paraId="70A8C6EA">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新疆应用职业技术学院新图书馆信息化服务项目</w:t>
            </w:r>
            <w:r>
              <w:rPr>
                <w:rFonts w:hint="eastAsia" w:asciiTheme="minorEastAsia" w:hAnsiTheme="minorEastAsia" w:eastAsiaTheme="minorEastAsia" w:cstheme="minorEastAsia"/>
                <w:sz w:val="24"/>
                <w:szCs w:val="24"/>
                <w:highlight w:val="none"/>
              </w:rPr>
              <w:t>范围内所有工作内容，关于招标范围的详细说明见第</w:t>
            </w:r>
            <w:r>
              <w:rPr>
                <w:rFonts w:hint="eastAsia" w:asciiTheme="minorEastAsia" w:hAnsiTheme="minorEastAsia" w:eastAsiaTheme="minorEastAsia" w:cstheme="minorEastAsia"/>
                <w:sz w:val="24"/>
                <w:szCs w:val="24"/>
                <w:highlight w:val="none"/>
                <w:lang w:eastAsia="zh-CN"/>
              </w:rPr>
              <w:t>五</w:t>
            </w:r>
            <w:r>
              <w:rPr>
                <w:rFonts w:hint="eastAsia" w:asciiTheme="minorEastAsia" w:hAnsiTheme="minorEastAsia" w:eastAsiaTheme="minorEastAsia" w:cstheme="minorEastAsia"/>
                <w:sz w:val="24"/>
                <w:szCs w:val="24"/>
                <w:highlight w:val="none"/>
              </w:rPr>
              <w:t>章“技术标准和要求”。</w:t>
            </w:r>
          </w:p>
        </w:tc>
      </w:tr>
      <w:tr w14:paraId="12A521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3AE63908">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款</w:t>
            </w:r>
          </w:p>
        </w:tc>
        <w:tc>
          <w:tcPr>
            <w:tcW w:w="1627" w:type="dxa"/>
            <w:tcBorders>
              <w:right w:val="single" w:color="auto" w:sz="4" w:space="0"/>
            </w:tcBorders>
            <w:vAlign w:val="center"/>
          </w:tcPr>
          <w:p w14:paraId="677A961F">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招标方式</w:t>
            </w:r>
          </w:p>
        </w:tc>
        <w:tc>
          <w:tcPr>
            <w:tcW w:w="6723" w:type="dxa"/>
            <w:tcBorders>
              <w:left w:val="single" w:color="auto" w:sz="4" w:space="0"/>
            </w:tcBorders>
            <w:vAlign w:val="center"/>
          </w:tcPr>
          <w:p w14:paraId="0BE78717">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公开招标</w:t>
            </w:r>
          </w:p>
        </w:tc>
      </w:tr>
      <w:tr w14:paraId="08708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32" w:type="dxa"/>
            <w:vAlign w:val="center"/>
          </w:tcPr>
          <w:p w14:paraId="22BB6282">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款</w:t>
            </w:r>
          </w:p>
        </w:tc>
        <w:tc>
          <w:tcPr>
            <w:tcW w:w="1627" w:type="dxa"/>
            <w:tcBorders>
              <w:right w:val="single" w:color="auto" w:sz="4" w:space="0"/>
            </w:tcBorders>
            <w:vAlign w:val="center"/>
          </w:tcPr>
          <w:p w14:paraId="0D87149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合同工期/服务期限/供货期限</w:t>
            </w:r>
          </w:p>
        </w:tc>
        <w:tc>
          <w:tcPr>
            <w:tcW w:w="6723" w:type="dxa"/>
            <w:tcBorders>
              <w:left w:val="single" w:color="auto" w:sz="4" w:space="0"/>
            </w:tcBorders>
            <w:vAlign w:val="center"/>
          </w:tcPr>
          <w:p w14:paraId="283EF4CE">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自合同签订之日起30日历日内交货并完成安装调试。</w:t>
            </w:r>
          </w:p>
        </w:tc>
      </w:tr>
      <w:tr w14:paraId="5677A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601E5613">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款</w:t>
            </w:r>
          </w:p>
        </w:tc>
        <w:tc>
          <w:tcPr>
            <w:tcW w:w="1627" w:type="dxa"/>
            <w:tcBorders>
              <w:right w:val="single" w:color="auto" w:sz="4" w:space="0"/>
            </w:tcBorders>
            <w:vAlign w:val="center"/>
          </w:tcPr>
          <w:p w14:paraId="43209D9D">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质量要求/质保期</w:t>
            </w:r>
          </w:p>
        </w:tc>
        <w:tc>
          <w:tcPr>
            <w:tcW w:w="6723" w:type="dxa"/>
            <w:tcBorders>
              <w:left w:val="single" w:color="auto" w:sz="4" w:space="0"/>
            </w:tcBorders>
            <w:vAlign w:val="center"/>
          </w:tcPr>
          <w:p w14:paraId="4D63E668">
            <w:pPr>
              <w:spacing w:line="240" w:lineRule="auto"/>
              <w:jc w:val="left"/>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自验收通过之日起，中标供应商提供所投产品和服务原厂商3年免费质保。</w:t>
            </w:r>
          </w:p>
        </w:tc>
      </w:tr>
      <w:tr w14:paraId="56D2E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24372295">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款</w:t>
            </w:r>
          </w:p>
        </w:tc>
        <w:tc>
          <w:tcPr>
            <w:tcW w:w="1627" w:type="dxa"/>
            <w:tcBorders>
              <w:right w:val="single" w:color="auto" w:sz="4" w:space="0"/>
            </w:tcBorders>
            <w:vAlign w:val="center"/>
          </w:tcPr>
          <w:p w14:paraId="07292B92">
            <w:pPr>
              <w:spacing w:line="240" w:lineRule="auto"/>
              <w:jc w:val="cente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质量标准</w:t>
            </w:r>
          </w:p>
        </w:tc>
        <w:tc>
          <w:tcPr>
            <w:tcW w:w="6723" w:type="dxa"/>
            <w:tcBorders>
              <w:left w:val="single" w:color="auto" w:sz="4" w:space="0"/>
            </w:tcBorders>
            <w:vAlign w:val="center"/>
          </w:tcPr>
          <w:p w14:paraId="6ED8F9A1">
            <w:pPr>
              <w:spacing w:line="240" w:lineRule="auto"/>
              <w:jc w:val="left"/>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符合国家或行业相关标准</w:t>
            </w:r>
          </w:p>
        </w:tc>
      </w:tr>
      <w:tr w14:paraId="6FEDF4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74E55D43">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款</w:t>
            </w:r>
          </w:p>
        </w:tc>
        <w:tc>
          <w:tcPr>
            <w:tcW w:w="1627" w:type="dxa"/>
            <w:tcBorders>
              <w:right w:val="single" w:color="auto" w:sz="4" w:space="0"/>
            </w:tcBorders>
            <w:vAlign w:val="center"/>
          </w:tcPr>
          <w:p w14:paraId="0F91335C">
            <w:pPr>
              <w:bidi w:val="0"/>
              <w:jc w:val="center"/>
              <w:rPr>
                <w:rFonts w:hint="eastAsia" w:eastAsia="宋体" w:asciiTheme="minorEastAsia" w:hAnsiTheme="minorEastAsia" w:cstheme="minorEastAsia"/>
                <w:kern w:val="0"/>
                <w:sz w:val="24"/>
                <w:szCs w:val="24"/>
                <w:highlight w:val="none"/>
                <w:lang w:eastAsia="zh-CN"/>
              </w:rPr>
            </w:pPr>
            <w:r>
              <w:rPr>
                <w:rFonts w:ascii="宋体" w:hAnsi="宋体" w:eastAsia="宋体" w:cs="宋体"/>
                <w:sz w:val="24"/>
                <w:szCs w:val="24"/>
                <w:highlight w:val="none"/>
              </w:rPr>
              <w:t>售后</w:t>
            </w:r>
            <w:r>
              <w:rPr>
                <w:rFonts w:hint="eastAsia" w:ascii="宋体" w:hAnsi="宋体" w:cs="宋体"/>
                <w:sz w:val="24"/>
                <w:szCs w:val="24"/>
                <w:highlight w:val="none"/>
                <w:lang w:eastAsia="zh-CN"/>
              </w:rPr>
              <w:t>标准</w:t>
            </w:r>
          </w:p>
        </w:tc>
        <w:tc>
          <w:tcPr>
            <w:tcW w:w="6723" w:type="dxa"/>
            <w:tcBorders>
              <w:left w:val="single" w:color="auto" w:sz="4" w:space="0"/>
            </w:tcBorders>
            <w:vAlign w:val="center"/>
          </w:tcPr>
          <w:p w14:paraId="1E9BD37A">
            <w:pPr>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提供3年的免费运维服务；在免费运维期内，必须提供7*24小时热线支持，并提供紧急情况下1小时内到现场、一般情况下2小时内到现场的快速响应。特殊情况无法修复的，质保期内中标供应商应无条件更换新系统或采取使系统可正常运转的措施。 </w:t>
            </w:r>
          </w:p>
        </w:tc>
      </w:tr>
      <w:tr w14:paraId="42F59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113A8B09">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款</w:t>
            </w:r>
          </w:p>
        </w:tc>
        <w:tc>
          <w:tcPr>
            <w:tcW w:w="1627" w:type="dxa"/>
            <w:tcBorders>
              <w:right w:val="single" w:color="auto" w:sz="4" w:space="0"/>
            </w:tcBorders>
            <w:vAlign w:val="center"/>
          </w:tcPr>
          <w:p w14:paraId="7457D701">
            <w:pPr>
              <w:bidi w:val="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安装地点</w:t>
            </w:r>
          </w:p>
        </w:tc>
        <w:tc>
          <w:tcPr>
            <w:tcW w:w="6723" w:type="dxa"/>
            <w:tcBorders>
              <w:left w:val="single" w:color="auto" w:sz="4" w:space="0"/>
            </w:tcBorders>
            <w:vAlign w:val="center"/>
          </w:tcPr>
          <w:p w14:paraId="3187D153">
            <w:pPr>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采购人指定。</w:t>
            </w:r>
          </w:p>
        </w:tc>
      </w:tr>
      <w:tr w14:paraId="36087F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1B1AB252">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第2.1款</w:t>
            </w:r>
          </w:p>
        </w:tc>
        <w:tc>
          <w:tcPr>
            <w:tcW w:w="1627" w:type="dxa"/>
            <w:tcBorders>
              <w:right w:val="single" w:color="auto" w:sz="4" w:space="0"/>
            </w:tcBorders>
            <w:vAlign w:val="center"/>
          </w:tcPr>
          <w:p w14:paraId="113C5E58">
            <w:pPr>
              <w:pStyle w:val="65"/>
              <w:spacing w:line="24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采购人</w:t>
            </w:r>
          </w:p>
        </w:tc>
        <w:tc>
          <w:tcPr>
            <w:tcW w:w="6723" w:type="dxa"/>
            <w:tcBorders>
              <w:left w:val="single" w:color="auto" w:sz="4" w:space="0"/>
            </w:tcBorders>
            <w:vAlign w:val="center"/>
          </w:tcPr>
          <w:p w14:paraId="5B7AD5C3">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zh-CN" w:eastAsia="zh-CN"/>
              </w:rPr>
              <w:t>名 称：</w:t>
            </w:r>
            <w:r>
              <w:rPr>
                <w:rFonts w:hint="eastAsia" w:asciiTheme="minorEastAsia" w:hAnsiTheme="minorEastAsia" w:eastAsiaTheme="minorEastAsia" w:cstheme="minorEastAsia"/>
                <w:kern w:val="0"/>
                <w:sz w:val="24"/>
                <w:szCs w:val="24"/>
                <w:highlight w:val="none"/>
                <w:lang w:eastAsia="zh-CN"/>
              </w:rPr>
              <w:t>新疆应用职业技术学院</w:t>
            </w:r>
          </w:p>
          <w:p w14:paraId="2B79E54A">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zh-CN" w:eastAsia="zh-CN"/>
              </w:rPr>
              <w:t>地 址：</w:t>
            </w:r>
            <w:r>
              <w:rPr>
                <w:rFonts w:hint="eastAsia" w:asciiTheme="minorEastAsia" w:hAnsiTheme="minorEastAsia" w:eastAsiaTheme="minorEastAsia" w:cstheme="minorEastAsia"/>
                <w:kern w:val="0"/>
                <w:sz w:val="24"/>
                <w:szCs w:val="24"/>
                <w:highlight w:val="none"/>
                <w:lang w:eastAsia="zh-CN"/>
              </w:rPr>
              <w:t>新疆奎屯市北京西路62号</w:t>
            </w:r>
          </w:p>
          <w:p w14:paraId="242A9B03">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 xml:space="preserve">联系人：李老师   </w:t>
            </w:r>
          </w:p>
          <w:p w14:paraId="0492D6EB">
            <w:pPr>
              <w:autoSpaceDE w:val="0"/>
              <w:autoSpaceDN w:val="0"/>
              <w:adjustRightInd w:val="0"/>
              <w:snapToGrid w:val="0"/>
              <w:spacing w:line="240" w:lineRule="auto"/>
              <w:jc w:val="left"/>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eastAsia="zh-CN"/>
              </w:rPr>
              <w:t>联系方式：</w:t>
            </w:r>
            <w:r>
              <w:rPr>
                <w:rFonts w:hint="eastAsia" w:asciiTheme="minorEastAsia" w:hAnsiTheme="minorEastAsia" w:eastAsiaTheme="minorEastAsia" w:cstheme="minorEastAsia"/>
                <w:kern w:val="0"/>
                <w:sz w:val="24"/>
                <w:szCs w:val="24"/>
                <w:highlight w:val="none"/>
                <w:lang w:val="en-US" w:eastAsia="zh-CN"/>
              </w:rPr>
              <w:t>18609921657</w:t>
            </w:r>
          </w:p>
        </w:tc>
      </w:tr>
      <w:tr w14:paraId="3FE14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32" w:type="dxa"/>
            <w:vAlign w:val="center"/>
          </w:tcPr>
          <w:p w14:paraId="47BAEA62">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第2.2款</w:t>
            </w:r>
          </w:p>
        </w:tc>
        <w:tc>
          <w:tcPr>
            <w:tcW w:w="1627" w:type="dxa"/>
            <w:tcBorders>
              <w:right w:val="single" w:color="auto" w:sz="4" w:space="0"/>
            </w:tcBorders>
            <w:vAlign w:val="center"/>
          </w:tcPr>
          <w:p w14:paraId="6BE74EB1">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w:t>
            </w:r>
          </w:p>
          <w:p w14:paraId="26D7BE69">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机构</w:t>
            </w:r>
          </w:p>
        </w:tc>
        <w:tc>
          <w:tcPr>
            <w:tcW w:w="6723" w:type="dxa"/>
            <w:tcBorders>
              <w:left w:val="single" w:color="auto" w:sz="4" w:space="0"/>
            </w:tcBorders>
            <w:vAlign w:val="center"/>
          </w:tcPr>
          <w:p w14:paraId="55D25406">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名 称：新疆元泓工程项目管理咨询有限公司</w:t>
            </w:r>
          </w:p>
          <w:p w14:paraId="533A3DE4">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 址：乌鲁木齐市经济技术开发区乌昌路252号九方财富广场A座525室</w:t>
            </w:r>
          </w:p>
          <w:p w14:paraId="4159A6B6">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联系人：</w:t>
            </w:r>
            <w:r>
              <w:rPr>
                <w:rFonts w:hint="eastAsia" w:asciiTheme="minorEastAsia" w:hAnsiTheme="minorEastAsia" w:eastAsiaTheme="minorEastAsia" w:cstheme="minorEastAsia"/>
                <w:kern w:val="0"/>
                <w:sz w:val="24"/>
                <w:szCs w:val="24"/>
                <w:highlight w:val="none"/>
                <w:lang w:eastAsia="zh-CN"/>
              </w:rPr>
              <w:t>吴洋、高娟、代旭、杨爱梅、汤新龙</w:t>
            </w:r>
          </w:p>
          <w:p w14:paraId="3516E393">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联系方式：13565831720</w:t>
            </w:r>
          </w:p>
        </w:tc>
      </w:tr>
      <w:tr w14:paraId="62DBDE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32" w:type="dxa"/>
            <w:vAlign w:val="center"/>
          </w:tcPr>
          <w:p w14:paraId="762B8D7D">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第3.1款</w:t>
            </w:r>
          </w:p>
        </w:tc>
        <w:tc>
          <w:tcPr>
            <w:tcW w:w="1627" w:type="dxa"/>
            <w:tcBorders>
              <w:right w:val="single" w:color="auto" w:sz="4" w:space="0"/>
            </w:tcBorders>
            <w:vAlign w:val="center"/>
          </w:tcPr>
          <w:p w14:paraId="25B1EBA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p>
          <w:p w14:paraId="631ACD5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资格条件</w:t>
            </w:r>
          </w:p>
        </w:tc>
        <w:tc>
          <w:tcPr>
            <w:tcW w:w="6723" w:type="dxa"/>
            <w:tcBorders>
              <w:left w:val="single" w:color="auto" w:sz="4" w:space="0"/>
            </w:tcBorders>
            <w:vAlign w:val="center"/>
          </w:tcPr>
          <w:p w14:paraId="6C2D870F">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1.满足《中华人民共和国政府采购法》第二十二条规定；</w:t>
            </w:r>
          </w:p>
          <w:p w14:paraId="6F264DA5">
            <w:pPr>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（一）具有独立承担民事责任的能力；</w:t>
            </w:r>
          </w:p>
          <w:p w14:paraId="7234C358">
            <w:pPr>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（二）具有良好的商业信誉和健全的财务会计制度；</w:t>
            </w:r>
          </w:p>
          <w:p w14:paraId="78EA9B94">
            <w:pPr>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（三）具有履行合同所必需的设备和专业技术能力；</w:t>
            </w:r>
          </w:p>
          <w:p w14:paraId="3835BE6C">
            <w:pPr>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（四）有依法缴纳税收和社会保障资金的良好记录；</w:t>
            </w:r>
          </w:p>
          <w:p w14:paraId="2B1B5C9F">
            <w:pPr>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（五）参加政府采购活动前三年内，在经营活动中没有重大违法记录；</w:t>
            </w:r>
          </w:p>
          <w:p w14:paraId="237CC61D">
            <w:pPr>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（六）法律、行政法规规定的其他条件。</w:t>
            </w:r>
          </w:p>
          <w:p w14:paraId="43E97BBB">
            <w:pPr>
              <w:spacing w:line="24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2.落实政府采购政策需满足的资格要求：</w:t>
            </w:r>
            <w:r>
              <w:rPr>
                <w:rFonts w:hint="eastAsia" w:asciiTheme="minorEastAsia" w:hAnsiTheme="minorEastAsia" w:eastAsiaTheme="minorEastAsia" w:cstheme="minorEastAsia"/>
                <w:sz w:val="24"/>
                <w:szCs w:val="24"/>
                <w:highlight w:val="none"/>
                <w:lang w:eastAsia="zh-CN"/>
              </w:rPr>
              <w:t>本项目预留采购预算总额的 30%专门面向中小企业采购。根据《关于进一步加大政府采购支持中小企业力度的通知》的规定：预留采购项目预算金额的30%(630000元)专门面向中小企业采购，其中630000元的60%(378000元)预留给小微企业采购，对于预留份额，提供的货物由符合政策要求的小微企业制造；如果供应商本身提供的所有标的均由小微企业制造，视同符合了资格条件。中小企业参加政府采购活动，应当出具《政府采购促进中小企业发展管理办法》规定的《中小企业声明函》，否则不得享受相关中小企业扶持政策。</w:t>
            </w:r>
          </w:p>
          <w:p w14:paraId="7424D7B3">
            <w:pPr>
              <w:spacing w:line="24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3.本项目的特定资格要求：无</w:t>
            </w:r>
            <w:r>
              <w:rPr>
                <w:rFonts w:hint="eastAsia" w:asciiTheme="minorEastAsia" w:hAnsiTheme="minorEastAsia" w:eastAsiaTheme="minorEastAsia" w:cstheme="minorEastAsia"/>
                <w:sz w:val="24"/>
                <w:szCs w:val="24"/>
                <w:highlight w:val="none"/>
                <w:lang w:eastAsia="zh-CN"/>
              </w:rPr>
              <w:t>；</w:t>
            </w:r>
          </w:p>
          <w:p w14:paraId="1AC63631">
            <w:pPr>
              <w:spacing w:line="24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4.拒绝下述供应商参加本次采购活动</w:t>
            </w:r>
            <w:r>
              <w:rPr>
                <w:rFonts w:hint="eastAsia" w:asciiTheme="minorEastAsia" w:hAnsiTheme="minorEastAsia" w:eastAsiaTheme="minorEastAsia" w:cstheme="minorEastAsia"/>
                <w:sz w:val="24"/>
                <w:szCs w:val="24"/>
                <w:highlight w:val="none"/>
                <w:lang w:eastAsia="zh-CN"/>
              </w:rPr>
              <w:t>：</w:t>
            </w:r>
          </w:p>
          <w:p w14:paraId="6457C512">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 供应商单位负责人为同一人或者存在直接控股、管理关系的不同供应商，不得参加同一合同项下的政府采购活动。</w:t>
            </w:r>
          </w:p>
          <w:p w14:paraId="0518B648">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 凡为采购项目提供整体设计、规范编制或者项目管理、监理、检测等服务的供应商，不得再参加本项目的采购活动。</w:t>
            </w:r>
          </w:p>
          <w:p w14:paraId="3D0688AC">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 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tc>
      </w:tr>
      <w:tr w14:paraId="005FB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400FA706">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第6.1款</w:t>
            </w:r>
          </w:p>
        </w:tc>
        <w:tc>
          <w:tcPr>
            <w:tcW w:w="1627" w:type="dxa"/>
            <w:tcBorders>
              <w:right w:val="single" w:color="auto" w:sz="4" w:space="0"/>
            </w:tcBorders>
            <w:vAlign w:val="center"/>
          </w:tcPr>
          <w:p w14:paraId="484B68A3">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联合体形式</w:t>
            </w:r>
          </w:p>
        </w:tc>
        <w:tc>
          <w:tcPr>
            <w:tcW w:w="6723" w:type="dxa"/>
            <w:tcBorders>
              <w:left w:val="single" w:color="auto" w:sz="4" w:space="0"/>
            </w:tcBorders>
            <w:vAlign w:val="center"/>
          </w:tcPr>
          <w:p w14:paraId="1AB2EBEB">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不接受</w:t>
            </w:r>
          </w:p>
        </w:tc>
      </w:tr>
      <w:tr w14:paraId="731ACF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6BBCFC31">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第6.2款</w:t>
            </w:r>
          </w:p>
        </w:tc>
        <w:tc>
          <w:tcPr>
            <w:tcW w:w="1627" w:type="dxa"/>
            <w:tcBorders>
              <w:right w:val="single" w:color="auto" w:sz="4" w:space="0"/>
            </w:tcBorders>
            <w:vAlign w:val="center"/>
          </w:tcPr>
          <w:p w14:paraId="46DA5FD0">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联合体的要求</w:t>
            </w:r>
          </w:p>
        </w:tc>
        <w:tc>
          <w:tcPr>
            <w:tcW w:w="6723" w:type="dxa"/>
            <w:tcBorders>
              <w:left w:val="single" w:color="auto" w:sz="4" w:space="0"/>
            </w:tcBorders>
            <w:vAlign w:val="center"/>
          </w:tcPr>
          <w:p w14:paraId="0DCBF1BD">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14:paraId="08117F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73D9BCE6">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第7.1款</w:t>
            </w:r>
          </w:p>
        </w:tc>
        <w:tc>
          <w:tcPr>
            <w:tcW w:w="1627" w:type="dxa"/>
            <w:tcBorders>
              <w:right w:val="single" w:color="auto" w:sz="4" w:space="0"/>
            </w:tcBorders>
            <w:vAlign w:val="center"/>
          </w:tcPr>
          <w:p w14:paraId="41C85684">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开标前答疑会</w:t>
            </w:r>
          </w:p>
        </w:tc>
        <w:tc>
          <w:tcPr>
            <w:tcW w:w="6723" w:type="dxa"/>
            <w:tcBorders>
              <w:left w:val="single" w:color="auto" w:sz="4" w:space="0"/>
            </w:tcBorders>
            <w:vAlign w:val="center"/>
          </w:tcPr>
          <w:p w14:paraId="53370949">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不采用</w:t>
            </w:r>
          </w:p>
        </w:tc>
      </w:tr>
      <w:tr w14:paraId="14815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1AAFB718">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第11.1款</w:t>
            </w:r>
          </w:p>
        </w:tc>
        <w:tc>
          <w:tcPr>
            <w:tcW w:w="1627" w:type="dxa"/>
            <w:tcBorders>
              <w:right w:val="single" w:color="auto" w:sz="4" w:space="0"/>
            </w:tcBorders>
            <w:vAlign w:val="center"/>
          </w:tcPr>
          <w:p w14:paraId="7BDB3C08">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6723" w:type="dxa"/>
            <w:tcBorders>
              <w:left w:val="single" w:color="auto" w:sz="4" w:space="0"/>
            </w:tcBorders>
            <w:vAlign w:val="center"/>
          </w:tcPr>
          <w:p w14:paraId="29ABA3F9">
            <w:pPr>
              <w:pStyle w:val="65"/>
              <w:spacing w:line="240" w:lineRule="auto"/>
              <w:jc w:val="both"/>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00 （北京时间） </w:t>
            </w:r>
          </w:p>
        </w:tc>
      </w:tr>
      <w:tr w14:paraId="4F347F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32" w:type="dxa"/>
            <w:vAlign w:val="center"/>
          </w:tcPr>
          <w:p w14:paraId="4C215566">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第15.5款</w:t>
            </w:r>
          </w:p>
        </w:tc>
        <w:tc>
          <w:tcPr>
            <w:tcW w:w="1627" w:type="dxa"/>
            <w:tcBorders>
              <w:right w:val="single" w:color="auto" w:sz="4" w:space="0"/>
            </w:tcBorders>
            <w:vAlign w:val="center"/>
          </w:tcPr>
          <w:p w14:paraId="4B879FC1">
            <w:pPr>
              <w:pStyle w:val="65"/>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项目预算</w:t>
            </w:r>
          </w:p>
        </w:tc>
        <w:tc>
          <w:tcPr>
            <w:tcW w:w="6723" w:type="dxa"/>
            <w:tcBorders>
              <w:left w:val="single" w:color="auto" w:sz="4" w:space="0"/>
            </w:tcBorders>
            <w:vAlign w:val="center"/>
          </w:tcPr>
          <w:p w14:paraId="50414F29">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210万元</w:t>
            </w:r>
          </w:p>
          <w:p w14:paraId="631C14E9">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注：投标报价时报价不得超过</w:t>
            </w:r>
            <w:r>
              <w:rPr>
                <w:rFonts w:hint="eastAsia" w:asciiTheme="minorEastAsia" w:hAnsiTheme="minorEastAsia" w:eastAsiaTheme="minorEastAsia" w:cstheme="minorEastAsia"/>
                <w:b/>
                <w:bCs/>
                <w:color w:val="auto"/>
                <w:sz w:val="24"/>
                <w:szCs w:val="24"/>
                <w:highlight w:val="none"/>
                <w:lang w:eastAsia="zh-CN"/>
              </w:rPr>
              <w:t>项目预算</w:t>
            </w:r>
            <w:r>
              <w:rPr>
                <w:rFonts w:hint="eastAsia" w:asciiTheme="minorEastAsia" w:hAnsiTheme="minorEastAsia" w:eastAsiaTheme="minorEastAsia" w:cstheme="minorEastAsia"/>
                <w:b/>
                <w:bCs/>
                <w:color w:val="auto"/>
                <w:sz w:val="24"/>
                <w:szCs w:val="24"/>
                <w:highlight w:val="none"/>
              </w:rPr>
              <w:t>，超过按废标处理。</w:t>
            </w:r>
          </w:p>
        </w:tc>
      </w:tr>
      <w:tr w14:paraId="69615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31013260">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第17.1款</w:t>
            </w:r>
          </w:p>
        </w:tc>
        <w:tc>
          <w:tcPr>
            <w:tcW w:w="1627" w:type="dxa"/>
            <w:tcBorders>
              <w:right w:val="single" w:color="auto" w:sz="4" w:space="0"/>
            </w:tcBorders>
            <w:vAlign w:val="center"/>
          </w:tcPr>
          <w:p w14:paraId="630C6F28">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tc>
        <w:tc>
          <w:tcPr>
            <w:tcW w:w="6723" w:type="dxa"/>
            <w:tcBorders>
              <w:left w:val="single" w:color="auto" w:sz="4" w:space="0"/>
            </w:tcBorders>
            <w:vAlign w:val="center"/>
          </w:tcPr>
          <w:p w14:paraId="66F8D2AF">
            <w:pPr>
              <w:pStyle w:val="65"/>
              <w:spacing w:line="24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投标保证金金额：</w:t>
            </w:r>
            <w:r>
              <w:rPr>
                <w:rFonts w:hint="eastAsia" w:asciiTheme="minorEastAsia" w:hAnsiTheme="minorEastAsia" w:eastAsiaTheme="minorEastAsia" w:cstheme="minorEastAsia"/>
                <w:color w:val="auto"/>
                <w:kern w:val="2"/>
                <w:sz w:val="24"/>
                <w:szCs w:val="24"/>
                <w:highlight w:val="none"/>
                <w:lang w:val="en-US" w:eastAsia="zh-CN"/>
              </w:rPr>
              <w:t>20000</w:t>
            </w:r>
            <w:r>
              <w:rPr>
                <w:rFonts w:hint="eastAsia" w:asciiTheme="minorEastAsia" w:hAnsiTheme="minorEastAsia" w:eastAsiaTheme="minorEastAsia" w:cstheme="minorEastAsia"/>
                <w:color w:val="auto"/>
                <w:kern w:val="2"/>
                <w:sz w:val="24"/>
                <w:szCs w:val="24"/>
                <w:highlight w:val="none"/>
              </w:rPr>
              <w:t>元（</w:t>
            </w:r>
            <w:r>
              <w:rPr>
                <w:rFonts w:hint="eastAsia" w:asciiTheme="minorEastAsia" w:hAnsiTheme="minorEastAsia" w:eastAsiaTheme="minorEastAsia" w:cstheme="minorEastAsia"/>
                <w:color w:val="auto"/>
                <w:kern w:val="2"/>
                <w:sz w:val="24"/>
                <w:szCs w:val="24"/>
                <w:highlight w:val="none"/>
                <w:lang w:eastAsia="zh-CN"/>
              </w:rPr>
              <w:t>贰万</w:t>
            </w:r>
            <w:r>
              <w:rPr>
                <w:rFonts w:hint="eastAsia" w:asciiTheme="minorEastAsia" w:hAnsiTheme="minorEastAsia" w:eastAsiaTheme="minorEastAsia" w:cstheme="minorEastAsia"/>
                <w:color w:val="auto"/>
                <w:kern w:val="2"/>
                <w:sz w:val="24"/>
                <w:szCs w:val="24"/>
                <w:highlight w:val="none"/>
              </w:rPr>
              <w:t>元整）</w:t>
            </w:r>
          </w:p>
          <w:p w14:paraId="6C611CB1">
            <w:pPr>
              <w:pStyle w:val="65"/>
              <w:spacing w:line="24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投标保证金有效期：90日历日（从投标截止之日算起）</w:t>
            </w:r>
          </w:p>
          <w:p w14:paraId="3F9B8F4E">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收款单位名称：新疆元泓工程项目管理咨询有限公司</w:t>
            </w:r>
          </w:p>
          <w:p w14:paraId="5264A76D">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开户行：交通银行股份有限公司乌鲁木齐青年路支行</w:t>
            </w:r>
          </w:p>
          <w:p w14:paraId="3B43566A">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银行账号：86516510350188002000105</w:t>
            </w:r>
          </w:p>
          <w:p w14:paraId="022F59CB">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行    号：301881000198</w:t>
            </w:r>
          </w:p>
          <w:p w14:paraId="5C647C13">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1、投标保证金形式：以银行转账、电汇、银行汇票、保函等非现金形式提交。不接受现金及任何个人汇款；采取支票、银行汇票、保函方式递交的，以实际递交至投标代理机构的时间为准，超过时限交纳投标保证金视为无效响应。</w:t>
            </w:r>
          </w:p>
          <w:p w14:paraId="6270DD94">
            <w:pPr>
              <w:spacing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2、采用电子支付方式提交保证金的，在退还时，按原路退回，请各投标单位在响应文件中提供开户许可证或退款账户信息（包含银行行号）。</w:t>
            </w:r>
          </w:p>
          <w:p w14:paraId="35A24E28">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注：打款时须注明项目名称，未按以上要求办理保证金的，其保证金视为无效，采购人将拒绝其投标。</w:t>
            </w:r>
          </w:p>
        </w:tc>
      </w:tr>
      <w:tr w14:paraId="6CAB83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16C642F2">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第9.1款</w:t>
            </w:r>
          </w:p>
        </w:tc>
        <w:tc>
          <w:tcPr>
            <w:tcW w:w="1627" w:type="dxa"/>
            <w:tcBorders>
              <w:right w:val="single" w:color="auto" w:sz="4" w:space="0"/>
            </w:tcBorders>
            <w:vAlign w:val="center"/>
          </w:tcPr>
          <w:p w14:paraId="44F2355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政府采购政策功能落实</w:t>
            </w:r>
          </w:p>
        </w:tc>
        <w:tc>
          <w:tcPr>
            <w:tcW w:w="6723" w:type="dxa"/>
            <w:tcBorders>
              <w:left w:val="single" w:color="auto" w:sz="4" w:space="0"/>
            </w:tcBorders>
            <w:vAlign w:val="center"/>
          </w:tcPr>
          <w:p w14:paraId="4CB2704A">
            <w:pPr>
              <w:spacing w:line="240" w:lineRule="auto"/>
              <w:rPr>
                <w:rFonts w:hint="eastAsia"/>
                <w:sz w:val="24"/>
                <w:szCs w:val="24"/>
                <w:highlight w:val="none"/>
              </w:rPr>
            </w:pPr>
            <w:r>
              <w:rPr>
                <w:rFonts w:hint="eastAsia"/>
                <w:sz w:val="24"/>
                <w:szCs w:val="24"/>
                <w:highlight w:val="none"/>
              </w:rPr>
              <w:t>节约能源、保护环境、扶持不发达地区和少数民族地区、促进中小企业发展等政府采购政策。</w:t>
            </w:r>
          </w:p>
          <w:p w14:paraId="7F0127D2">
            <w:pPr>
              <w:spacing w:line="240" w:lineRule="auto"/>
              <w:rPr>
                <w:rFonts w:hint="eastAsia"/>
                <w:sz w:val="24"/>
                <w:szCs w:val="24"/>
                <w:highlight w:val="none"/>
              </w:rPr>
            </w:pPr>
            <w:r>
              <w:rPr>
                <w:rFonts w:hint="eastAsia"/>
                <w:sz w:val="24"/>
                <w:szCs w:val="24"/>
                <w:highlight w:val="none"/>
              </w:rPr>
              <w:t>1、本项目为</w:t>
            </w:r>
            <w:r>
              <w:rPr>
                <w:rFonts w:hint="eastAsia"/>
                <w:b/>
                <w:bCs/>
                <w:sz w:val="24"/>
                <w:szCs w:val="24"/>
                <w:highlight w:val="none"/>
                <w:u w:val="single"/>
              </w:rPr>
              <w:t>非专门</w:t>
            </w:r>
            <w:r>
              <w:rPr>
                <w:rFonts w:hint="eastAsia"/>
                <w:sz w:val="24"/>
                <w:szCs w:val="24"/>
                <w:highlight w:val="none"/>
              </w:rPr>
              <w:t>面向中小企业采购项目</w:t>
            </w:r>
            <w:r>
              <w:rPr>
                <w:rFonts w:hint="eastAsia"/>
                <w:sz w:val="24"/>
                <w:szCs w:val="24"/>
                <w:highlight w:val="none"/>
                <w:lang w:val="en-US" w:eastAsia="zh-CN"/>
              </w:rPr>
              <w:t>,</w:t>
            </w:r>
            <w:r>
              <w:rPr>
                <w:rFonts w:hint="eastAsia"/>
                <w:sz w:val="24"/>
                <w:szCs w:val="24"/>
                <w:highlight w:val="none"/>
              </w:rPr>
              <w:t>对于非专门面向中小企业的项目，对小型和微型企业（或联合体各方均为小型、</w:t>
            </w:r>
          </w:p>
          <w:p w14:paraId="2A02850C">
            <w:pPr>
              <w:spacing w:line="240" w:lineRule="auto"/>
              <w:rPr>
                <w:rFonts w:hint="eastAsia"/>
                <w:sz w:val="24"/>
                <w:szCs w:val="24"/>
                <w:highlight w:val="none"/>
              </w:rPr>
            </w:pPr>
            <w:r>
              <w:rPr>
                <w:rFonts w:hint="eastAsia"/>
                <w:sz w:val="24"/>
                <w:szCs w:val="24"/>
                <w:highlight w:val="none"/>
              </w:rPr>
              <w:t>微型企业的，残疾人福利性单位、监狱企业视为小微企业）产品的价格给予10%的扣除，用扣除后的价格参与价格的评审。</w:t>
            </w:r>
          </w:p>
          <w:p w14:paraId="0AC1FDCA">
            <w:pPr>
              <w:pStyle w:val="29"/>
              <w:spacing w:line="240" w:lineRule="auto"/>
              <w:rPr>
                <w:rFonts w:hint="eastAsia"/>
                <w:sz w:val="24"/>
                <w:szCs w:val="24"/>
                <w:highlight w:val="none"/>
              </w:rPr>
            </w:pPr>
            <w:r>
              <w:rPr>
                <w:rFonts w:hint="eastAsia" w:ascii="Times New Roman" w:hAnsi="Times New Roman" w:eastAsia="宋体" w:cs="Times New Roman"/>
                <w:sz w:val="24"/>
                <w:szCs w:val="24"/>
                <w:highlight w:val="none"/>
                <w:lang w:val="en-US" w:eastAsia="zh-CN"/>
              </w:rPr>
              <w:t>本项目属于预留部分采购金额专门面向中小企业采购的项目，</w:t>
            </w:r>
            <w:r>
              <w:rPr>
                <w:rFonts w:hint="default" w:ascii="Times New Roman" w:hAnsi="Times New Roman" w:eastAsia="宋体" w:cs="Times New Roman"/>
                <w:sz w:val="24"/>
                <w:szCs w:val="24"/>
                <w:highlight w:val="none"/>
                <w:lang w:val="en-US" w:eastAsia="zh-CN"/>
              </w:rPr>
              <w:t>评审时不应再进行价格比例扣除优惠。</w:t>
            </w:r>
            <w:r>
              <w:rPr>
                <w:rFonts w:hint="eastAsia"/>
                <w:sz w:val="24"/>
                <w:szCs w:val="24"/>
                <w:highlight w:val="none"/>
              </w:rPr>
              <w:t>监狱企业、残疾人福利性单位视同为小微企业。标的即为采购清单（采购目录）中各项产品。</w:t>
            </w:r>
            <w:r>
              <w:rPr>
                <w:rFonts w:hint="eastAsia"/>
                <w:sz w:val="24"/>
                <w:szCs w:val="24"/>
                <w:highlight w:val="none"/>
                <w:lang w:val="en-US" w:eastAsia="zh-CN"/>
              </w:rPr>
              <w:t>本项目采购标的对应的中小企业划分标准所属行业为</w:t>
            </w:r>
            <w:r>
              <w:rPr>
                <w:rFonts w:hint="eastAsia"/>
                <w:b/>
                <w:bCs/>
                <w:sz w:val="24"/>
                <w:szCs w:val="24"/>
                <w:highlight w:val="none"/>
                <w:u w:val="single"/>
                <w:lang w:val="en-US" w:eastAsia="zh-CN"/>
              </w:rPr>
              <w:t>“工业”</w:t>
            </w:r>
            <w:r>
              <w:rPr>
                <w:rFonts w:hint="eastAsia"/>
                <w:sz w:val="24"/>
                <w:szCs w:val="24"/>
                <w:highlight w:val="none"/>
                <w:lang w:val="en-US" w:eastAsia="zh-CN"/>
              </w:rPr>
              <w:t>。行业划分标准按《国民经济行业分类》执行。中小企业划分标准按《中小企业划型标准规定》（工信部联企业[2011]300 号）文件规定执行。</w:t>
            </w:r>
          </w:p>
          <w:p w14:paraId="163A0390">
            <w:pPr>
              <w:pStyle w:val="29"/>
              <w:spacing w:line="240" w:lineRule="auto"/>
              <w:rPr>
                <w:rFonts w:hint="eastAsia" w:ascii="宋体" w:hAnsi="宋体"/>
                <w:sz w:val="24"/>
                <w:szCs w:val="24"/>
                <w:highlight w:val="none"/>
              </w:rPr>
            </w:pPr>
            <w:r>
              <w:rPr>
                <w:rFonts w:hint="eastAsia" w:ascii="宋体" w:hAnsi="宋体"/>
                <w:sz w:val="24"/>
                <w:szCs w:val="24"/>
                <w:highlight w:val="none"/>
              </w:rPr>
              <w:t>（1）符合中小企业政府采购政策的证明材料：投标人《中小企业声明函》或残疾人福利性单位声明函或监狱企业证明文件；</w:t>
            </w:r>
          </w:p>
          <w:p w14:paraId="0C03F8C8">
            <w:pPr>
              <w:spacing w:line="240" w:lineRule="auto"/>
              <w:rPr>
                <w:rFonts w:hint="eastAsia"/>
                <w:sz w:val="24"/>
                <w:szCs w:val="24"/>
                <w:highlight w:val="none"/>
              </w:rPr>
            </w:pPr>
            <w:r>
              <w:rPr>
                <w:rFonts w:hint="eastAsia"/>
                <w:sz w:val="24"/>
                <w:szCs w:val="24"/>
                <w:highlight w:val="none"/>
              </w:rPr>
              <w:t>（2）投标人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65824132">
            <w:pPr>
              <w:spacing w:line="240" w:lineRule="auto"/>
              <w:rPr>
                <w:rFonts w:hint="eastAsia"/>
                <w:sz w:val="24"/>
                <w:szCs w:val="24"/>
                <w:highlight w:val="none"/>
              </w:rPr>
            </w:pPr>
            <w:r>
              <w:rPr>
                <w:rFonts w:hint="eastAsia"/>
                <w:sz w:val="24"/>
                <w:szCs w:val="24"/>
                <w:highlight w:val="none"/>
              </w:rPr>
              <w:t>2、政府采购强制采购：标记★符号的节能产品：</w:t>
            </w:r>
          </w:p>
          <w:p w14:paraId="47A94DC5">
            <w:pPr>
              <w:spacing w:line="240" w:lineRule="auto"/>
              <w:rPr>
                <w:rFonts w:hint="eastAsia"/>
                <w:sz w:val="24"/>
                <w:szCs w:val="24"/>
                <w:highlight w:val="none"/>
              </w:rPr>
            </w:pPr>
            <w:r>
              <w:rPr>
                <w:rFonts w:hint="eastAsia"/>
                <w:sz w:val="24"/>
                <w:szCs w:val="24"/>
                <w:highlight w:val="none"/>
              </w:rPr>
              <w:t>符合《节能产品政府采购品目清单》内并获得认证的强制采购节能产品。</w:t>
            </w:r>
          </w:p>
          <w:p w14:paraId="3ADE30FD">
            <w:pPr>
              <w:spacing w:line="240" w:lineRule="auto"/>
              <w:rPr>
                <w:rFonts w:hint="eastAsia"/>
                <w:sz w:val="24"/>
                <w:szCs w:val="24"/>
                <w:highlight w:val="none"/>
              </w:rPr>
            </w:pPr>
            <w:r>
              <w:rPr>
                <w:rFonts w:hint="eastAsia"/>
                <w:sz w:val="24"/>
                <w:szCs w:val="24"/>
                <w:highlight w:val="none"/>
              </w:rPr>
              <w:t>3、政府采购优先采购：(1)非标记★符号的节能产品；(2)环境标志产品；</w:t>
            </w:r>
          </w:p>
          <w:p w14:paraId="17FA67B4">
            <w:pPr>
              <w:spacing w:line="240" w:lineRule="auto"/>
              <w:rPr>
                <w:rFonts w:hint="eastAsia"/>
                <w:sz w:val="24"/>
                <w:szCs w:val="24"/>
                <w:highlight w:val="none"/>
              </w:rPr>
            </w:pPr>
            <w:r>
              <w:rPr>
                <w:rFonts w:hint="eastAsia"/>
                <w:sz w:val="24"/>
                <w:szCs w:val="24"/>
                <w:highlight w:val="none"/>
              </w:rPr>
              <w:t>采购产品为《节能产品政府采购品目清单》内并获得认证非标记★符号的节能产品及《环境标志产品政府采购品目清单》内并获得认证的产品：</w:t>
            </w:r>
          </w:p>
          <w:p w14:paraId="76877175">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sz w:val="24"/>
                <w:szCs w:val="24"/>
                <w:highlight w:val="none"/>
              </w:rPr>
              <w:t>投标文件中对所供产品为节能、环境标志产品清单中的产品，须在节能、环境标志产品优惠明细表中列明并按要求提供证明材料，否则不予认定。</w:t>
            </w:r>
          </w:p>
        </w:tc>
      </w:tr>
      <w:tr w14:paraId="03D01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32" w:type="dxa"/>
            <w:vAlign w:val="center"/>
          </w:tcPr>
          <w:p w14:paraId="7FDF75BB">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第18.1款</w:t>
            </w:r>
          </w:p>
        </w:tc>
        <w:tc>
          <w:tcPr>
            <w:tcW w:w="1627" w:type="dxa"/>
            <w:tcBorders>
              <w:right w:val="single" w:color="auto" w:sz="4" w:space="0"/>
            </w:tcBorders>
            <w:vAlign w:val="center"/>
          </w:tcPr>
          <w:p w14:paraId="0825FF1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723" w:type="dxa"/>
            <w:tcBorders>
              <w:left w:val="single" w:color="auto" w:sz="4" w:space="0"/>
            </w:tcBorders>
            <w:vAlign w:val="center"/>
          </w:tcPr>
          <w:p w14:paraId="5E895B2A">
            <w:pPr>
              <w:pStyle w:val="65"/>
              <w:spacing w:line="240" w:lineRule="auto"/>
              <w:jc w:val="both"/>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
                <w:bCs/>
                <w:color w:val="auto"/>
                <w:sz w:val="24"/>
                <w:szCs w:val="24"/>
                <w:highlight w:val="none"/>
              </w:rPr>
              <w:t>90</w:t>
            </w:r>
            <w:r>
              <w:rPr>
                <w:rFonts w:hint="eastAsia" w:asciiTheme="minorEastAsia" w:hAnsiTheme="minorEastAsia" w:eastAsiaTheme="minorEastAsia" w:cstheme="minorEastAsia"/>
                <w:color w:val="auto"/>
                <w:sz w:val="24"/>
                <w:szCs w:val="24"/>
                <w:highlight w:val="none"/>
              </w:rPr>
              <w:t>个日历日</w:t>
            </w:r>
          </w:p>
        </w:tc>
      </w:tr>
      <w:tr w14:paraId="5C2EC1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463F015E">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第19.1款</w:t>
            </w:r>
          </w:p>
        </w:tc>
        <w:tc>
          <w:tcPr>
            <w:tcW w:w="1627" w:type="dxa"/>
            <w:tcBorders>
              <w:right w:val="single" w:color="auto" w:sz="4" w:space="0"/>
            </w:tcBorders>
            <w:vAlign w:val="center"/>
          </w:tcPr>
          <w:p w14:paraId="7C2CB543">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投标文件份数</w:t>
            </w:r>
          </w:p>
        </w:tc>
        <w:tc>
          <w:tcPr>
            <w:tcW w:w="6723" w:type="dxa"/>
            <w:tcBorders>
              <w:left w:val="single" w:color="auto" w:sz="4" w:space="0"/>
            </w:tcBorders>
            <w:vAlign w:val="center"/>
          </w:tcPr>
          <w:p w14:paraId="6413272C">
            <w:pPr>
              <w:autoSpaceDE w:val="0"/>
              <w:autoSpaceDN w:val="0"/>
              <w:adjustRightInd w:val="0"/>
              <w:snapToGrid w:val="0"/>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sym w:font="Wingdings 2" w:char="0052"/>
            </w:r>
            <w:r>
              <w:rPr>
                <w:rFonts w:hint="eastAsia" w:asciiTheme="minorEastAsia" w:hAnsiTheme="minorEastAsia" w:eastAsiaTheme="minorEastAsia" w:cstheme="minorEastAsia"/>
                <w:kern w:val="0"/>
                <w:sz w:val="24"/>
                <w:szCs w:val="24"/>
                <w:highlight w:val="none"/>
              </w:rPr>
              <w:t>采用不见面开标：</w:t>
            </w:r>
          </w:p>
          <w:p w14:paraId="5F668405">
            <w:pPr>
              <w:autoSpaceDE w:val="0"/>
              <w:autoSpaceDN w:val="0"/>
              <w:adjustRightInd w:val="0"/>
              <w:snapToGrid w:val="0"/>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1．本项目采用不见面开标、投标人需通过“政采云电子交易客户端”完成投标文件编制，并将加密的电子投标文件（格式为.PDF），在投标截止时间前通过政采云平台上传到指定位置。无需递交纸质文件。</w:t>
            </w:r>
          </w:p>
          <w:p w14:paraId="25B54D07">
            <w:pPr>
              <w:autoSpaceDE w:val="0"/>
              <w:autoSpaceDN w:val="0"/>
              <w:adjustRightInd w:val="0"/>
              <w:snapToGrid w:val="0"/>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本项目采用远程不见面交易的模式。开标当日，投标人无需到达开标现场，仅需在任意地点通过政采云平台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4B0F434E">
            <w:pPr>
              <w:autoSpaceDE w:val="0"/>
              <w:autoSpaceDN w:val="0"/>
              <w:adjustRightInd w:val="0"/>
              <w:snapToGrid w:val="0"/>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3.远程开标前，投标人务必在政采云平台https</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//www.zcygov.cn/投标文件上传模块中使用“模拟解密”功能，验证本机远程自助解密环境。</w:t>
            </w:r>
          </w:p>
          <w:p w14:paraId="56D0B32F">
            <w:pPr>
              <w:autoSpaceDE w:val="0"/>
              <w:autoSpaceDN w:val="0"/>
              <w:adjustRightInd w:val="0"/>
              <w:snapToGrid w:val="0"/>
              <w:spacing w:line="240" w:lineRule="auto"/>
              <w:jc w:val="lef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sz w:val="24"/>
                <w:szCs w:val="24"/>
                <w:highlight w:val="none"/>
              </w:rPr>
              <w:t>注：投标人在开标时须自行准备硬件设备及CA数字证书，硬件设备须提前配置好相关浏览器（建议使用360或谷歌浏览器），并自行调试设备联网，以便开标时解密。本项目投标文件解密时间定为30分钟，如因自身原因导致无法按规定时间正常解密，一切后果由投标人自行承担。</w:t>
            </w:r>
          </w:p>
        </w:tc>
      </w:tr>
      <w:tr w14:paraId="7BA51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1232" w:type="dxa"/>
            <w:vAlign w:val="center"/>
          </w:tcPr>
          <w:p w14:paraId="16688F96">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第22.1款</w:t>
            </w:r>
          </w:p>
        </w:tc>
        <w:tc>
          <w:tcPr>
            <w:tcW w:w="1627" w:type="dxa"/>
            <w:tcBorders>
              <w:right w:val="single" w:color="auto" w:sz="4" w:space="0"/>
            </w:tcBorders>
            <w:vAlign w:val="center"/>
          </w:tcPr>
          <w:p w14:paraId="7DF426FC">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投标文件的递交地点</w:t>
            </w:r>
          </w:p>
        </w:tc>
        <w:tc>
          <w:tcPr>
            <w:tcW w:w="6723" w:type="dxa"/>
            <w:tcBorders>
              <w:left w:val="single" w:color="auto" w:sz="4" w:space="0"/>
            </w:tcBorders>
            <w:vAlign w:val="center"/>
          </w:tcPr>
          <w:p w14:paraId="12A7E784">
            <w:pPr>
              <w:pStyle w:val="65"/>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（政采云（https</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//www.zcygov.cn/）不见面开标大厅）</w:t>
            </w:r>
          </w:p>
        </w:tc>
      </w:tr>
      <w:tr w14:paraId="05A7F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32" w:type="dxa"/>
            <w:vAlign w:val="center"/>
          </w:tcPr>
          <w:p w14:paraId="3433743D">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第23.1款</w:t>
            </w:r>
          </w:p>
        </w:tc>
        <w:tc>
          <w:tcPr>
            <w:tcW w:w="1627" w:type="dxa"/>
            <w:tcBorders>
              <w:right w:val="single" w:color="auto" w:sz="4" w:space="0"/>
            </w:tcBorders>
            <w:vAlign w:val="center"/>
          </w:tcPr>
          <w:p w14:paraId="6ED02817">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6723" w:type="dxa"/>
            <w:tcBorders>
              <w:left w:val="single" w:color="auto" w:sz="4" w:space="0"/>
            </w:tcBorders>
            <w:vAlign w:val="center"/>
          </w:tcPr>
          <w:p w14:paraId="0BA9569F">
            <w:pPr>
              <w:pStyle w:val="65"/>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00 （北京时间）</w:t>
            </w:r>
          </w:p>
        </w:tc>
      </w:tr>
      <w:tr w14:paraId="1D59CB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40DF5B0E">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第25.1款</w:t>
            </w:r>
          </w:p>
        </w:tc>
        <w:tc>
          <w:tcPr>
            <w:tcW w:w="1627" w:type="dxa"/>
            <w:tcBorders>
              <w:right w:val="single" w:color="auto" w:sz="4" w:space="0"/>
            </w:tcBorders>
            <w:vAlign w:val="center"/>
          </w:tcPr>
          <w:p w14:paraId="77660953">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评标办法</w:t>
            </w:r>
          </w:p>
        </w:tc>
        <w:tc>
          <w:tcPr>
            <w:tcW w:w="6723" w:type="dxa"/>
            <w:tcBorders>
              <w:left w:val="single" w:color="auto" w:sz="4" w:space="0"/>
            </w:tcBorders>
            <w:vAlign w:val="center"/>
          </w:tcPr>
          <w:p w14:paraId="39918467">
            <w:pPr>
              <w:pStyle w:val="65"/>
              <w:spacing w:line="240" w:lineRule="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
                <w:bCs/>
                <w:color w:val="auto"/>
                <w:sz w:val="24"/>
                <w:szCs w:val="24"/>
                <w:highlight w:val="none"/>
              </w:rPr>
              <w:t>综合评分法。</w:t>
            </w:r>
          </w:p>
        </w:tc>
      </w:tr>
      <w:tr w14:paraId="7B3514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1232" w:type="dxa"/>
            <w:vAlign w:val="center"/>
          </w:tcPr>
          <w:p w14:paraId="44490FE5">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第26.3款</w:t>
            </w:r>
          </w:p>
        </w:tc>
        <w:tc>
          <w:tcPr>
            <w:tcW w:w="1627" w:type="dxa"/>
            <w:tcBorders>
              <w:right w:val="single" w:color="auto" w:sz="4" w:space="0"/>
            </w:tcBorders>
            <w:vAlign w:val="center"/>
          </w:tcPr>
          <w:p w14:paraId="7E060D7A">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推荐的中标候选人数量</w:t>
            </w:r>
          </w:p>
        </w:tc>
        <w:tc>
          <w:tcPr>
            <w:tcW w:w="6723" w:type="dxa"/>
            <w:tcBorders>
              <w:left w:val="single" w:color="auto" w:sz="4" w:space="0"/>
            </w:tcBorders>
            <w:vAlign w:val="center"/>
          </w:tcPr>
          <w:p w14:paraId="2F3EFD7A">
            <w:pPr>
              <w:pStyle w:val="65"/>
              <w:spacing w:line="240" w:lineRule="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auto"/>
                <w:sz w:val="24"/>
                <w:szCs w:val="24"/>
                <w:highlight w:val="none"/>
              </w:rPr>
              <w:t>不少于3个</w:t>
            </w:r>
          </w:p>
        </w:tc>
      </w:tr>
      <w:tr w14:paraId="73C7F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jc w:val="center"/>
        </w:trPr>
        <w:tc>
          <w:tcPr>
            <w:tcW w:w="1232" w:type="dxa"/>
            <w:vAlign w:val="center"/>
          </w:tcPr>
          <w:p w14:paraId="1492941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第30.1款</w:t>
            </w:r>
          </w:p>
        </w:tc>
        <w:tc>
          <w:tcPr>
            <w:tcW w:w="1627" w:type="dxa"/>
            <w:tcBorders>
              <w:right w:val="single" w:color="auto" w:sz="4" w:space="0"/>
            </w:tcBorders>
            <w:vAlign w:val="center"/>
          </w:tcPr>
          <w:p w14:paraId="1265894F">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财政部门指定的媒体</w:t>
            </w:r>
          </w:p>
        </w:tc>
        <w:tc>
          <w:tcPr>
            <w:tcW w:w="6723" w:type="dxa"/>
            <w:tcBorders>
              <w:left w:val="single" w:color="auto" w:sz="4" w:space="0"/>
            </w:tcBorders>
            <w:vAlign w:val="center"/>
          </w:tcPr>
          <w:p w14:paraId="4D2E71CF">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新疆政府采购网    </w:t>
            </w:r>
          </w:p>
        </w:tc>
      </w:tr>
      <w:tr w14:paraId="6AC7B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1232" w:type="dxa"/>
            <w:vAlign w:val="center"/>
          </w:tcPr>
          <w:p w14:paraId="4FA1E658">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第32.3款</w:t>
            </w:r>
          </w:p>
        </w:tc>
        <w:tc>
          <w:tcPr>
            <w:tcW w:w="1627" w:type="dxa"/>
            <w:tcBorders>
              <w:right w:val="single" w:color="auto" w:sz="4" w:space="0"/>
            </w:tcBorders>
            <w:vAlign w:val="center"/>
          </w:tcPr>
          <w:p w14:paraId="3E27F939">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6723" w:type="dxa"/>
            <w:tcBorders>
              <w:left w:val="single" w:color="auto" w:sz="4" w:space="0"/>
            </w:tcBorders>
            <w:vAlign w:val="center"/>
          </w:tcPr>
          <w:p w14:paraId="64F4627C">
            <w:pPr>
              <w:pStyle w:val="65"/>
              <w:spacing w:line="24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签订后，供货方先向采购方开具符合采购方财务需要的等额增值税普通发票。甲方收到上述发票后，向供货方支付50%合同额。系统和各类设施设备到货、调试完毕并验收合格，经采购方确认能够正常使用且内容、质量无误之后，支付剩余合同金额50%。</w:t>
            </w:r>
          </w:p>
        </w:tc>
      </w:tr>
      <w:tr w14:paraId="7BDA2F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9582" w:type="dxa"/>
            <w:gridSpan w:val="3"/>
            <w:vAlign w:val="center"/>
          </w:tcPr>
          <w:p w14:paraId="2D5F89DC">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其他规定</w:t>
            </w:r>
          </w:p>
        </w:tc>
      </w:tr>
      <w:tr w14:paraId="61AE93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76F03F65">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第35.1款</w:t>
            </w:r>
          </w:p>
        </w:tc>
        <w:tc>
          <w:tcPr>
            <w:tcW w:w="1627" w:type="dxa"/>
            <w:tcBorders>
              <w:right w:val="single" w:color="auto" w:sz="4" w:space="0"/>
            </w:tcBorders>
            <w:vAlign w:val="center"/>
          </w:tcPr>
          <w:p w14:paraId="63B03052">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采购代理服务费</w:t>
            </w:r>
          </w:p>
        </w:tc>
        <w:tc>
          <w:tcPr>
            <w:tcW w:w="6723" w:type="dxa"/>
            <w:tcBorders>
              <w:left w:val="single" w:color="auto" w:sz="4" w:space="0"/>
            </w:tcBorders>
            <w:vAlign w:val="center"/>
          </w:tcPr>
          <w:p w14:paraId="6C37531C">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中标单位在收到中标通知书后，须向新疆元泓工程项目管理咨询有限公司支付代理服务费。</w:t>
            </w:r>
          </w:p>
          <w:p w14:paraId="58561740">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代理服务收费标准：参照原《国家计委关于印发〈招标代理服务收费管理暂行办法〉的通知》（计价格[2002] 1980号文）和《国家发展改革委办公厅关于招标代理服务收费有关问题的通知》（发改办价格[2003] 857号文）中标金额下浮40%的收费标准计算招标代理服务费，由中标人在收到中标通知书时，向新疆元泓工程项目管理咨询有限公司支付中标服务费。</w:t>
            </w:r>
          </w:p>
          <w:p w14:paraId="4B3F798C">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计算公式：0-100万元*1.5%+（中标价-100万元）*</w:t>
            </w:r>
            <w:r>
              <w:rPr>
                <w:rFonts w:hint="eastAsia" w:ascii="宋体" w:hAnsi="宋体" w:cs="宋体"/>
                <w:color w:val="auto"/>
                <w:spacing w:val="8"/>
                <w:kern w:val="2"/>
                <w:sz w:val="24"/>
                <w:szCs w:val="24"/>
                <w:highlight w:val="none"/>
                <w:lang w:val="en-US" w:eastAsia="zh-CN" w:bidi="ar-SA"/>
              </w:rPr>
              <w:t>0.8</w:t>
            </w:r>
            <w:r>
              <w:rPr>
                <w:rFonts w:hint="eastAsia" w:ascii="宋体" w:hAnsi="宋体" w:eastAsia="宋体" w:cs="宋体"/>
                <w:color w:val="auto"/>
                <w:spacing w:val="8"/>
                <w:kern w:val="2"/>
                <w:sz w:val="24"/>
                <w:szCs w:val="24"/>
                <w:highlight w:val="none"/>
                <w:lang w:val="en-US" w:eastAsia="zh-CN" w:bidi="ar-SA"/>
              </w:rPr>
              <w:t>%。</w:t>
            </w:r>
          </w:p>
          <w:p w14:paraId="7C465F1D">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缴纳成交服务费银行账户信息：</w:t>
            </w:r>
          </w:p>
          <w:p w14:paraId="47CC8FB9">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账户名称：新疆元泓工程项目管理咨询有限公司</w:t>
            </w:r>
          </w:p>
          <w:p w14:paraId="7C2D1CE8">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账户号码：0000002421121900037357</w:t>
            </w:r>
          </w:p>
          <w:p w14:paraId="02693DD5">
            <w:pPr>
              <w:numPr>
                <w:ilvl w:val="0"/>
                <w:numId w:val="0"/>
              </w:numPr>
              <w:spacing w:line="240" w:lineRule="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开户银行：乌鲁木齐银行开发支行</w:t>
            </w:r>
          </w:p>
          <w:p w14:paraId="47E9A0A1">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pacing w:val="8"/>
                <w:kern w:val="2"/>
                <w:sz w:val="24"/>
                <w:szCs w:val="24"/>
                <w:highlight w:val="none"/>
                <w:lang w:val="en-US" w:eastAsia="zh-CN" w:bidi="ar-SA"/>
              </w:rPr>
              <w:t>银行行号：313881000504</w:t>
            </w:r>
          </w:p>
        </w:tc>
      </w:tr>
      <w:tr w14:paraId="58A2C8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32" w:type="dxa"/>
            <w:vAlign w:val="center"/>
          </w:tcPr>
          <w:p w14:paraId="0E824253">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第三章1.1</w:t>
            </w:r>
          </w:p>
        </w:tc>
        <w:tc>
          <w:tcPr>
            <w:tcW w:w="1627" w:type="dxa"/>
            <w:tcBorders>
              <w:right w:val="single" w:color="auto" w:sz="4" w:space="0"/>
            </w:tcBorders>
            <w:vAlign w:val="center"/>
          </w:tcPr>
          <w:p w14:paraId="33D350E0">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评标委员会的组建</w:t>
            </w:r>
          </w:p>
        </w:tc>
        <w:tc>
          <w:tcPr>
            <w:tcW w:w="6723" w:type="dxa"/>
            <w:tcBorders>
              <w:left w:val="single" w:color="auto" w:sz="4" w:space="0"/>
            </w:tcBorders>
            <w:vAlign w:val="center"/>
          </w:tcPr>
          <w:p w14:paraId="2EEC5680">
            <w:pPr>
              <w:adjustRightInd w:val="0"/>
              <w:snapToGrid w:val="0"/>
              <w:spacing w:line="240" w:lineRule="auto"/>
              <w:ind w:left="210" w:hanging="240" w:hangingChars="1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评标委员会由5人组成，其中业主代表</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1</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人，技术、经济等方</w:t>
            </w:r>
          </w:p>
          <w:p w14:paraId="45A5307A">
            <w:pPr>
              <w:adjustRightInd w:val="0"/>
              <w:snapToGrid w:val="0"/>
              <w:spacing w:line="240" w:lineRule="auto"/>
              <w:ind w:left="210" w:hanging="240" w:hangingChars="1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面的专家4人。</w:t>
            </w:r>
          </w:p>
          <w:p w14:paraId="6B5A6FED">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专家确定方式：新疆政府采购云平台随机抽取。</w:t>
            </w:r>
          </w:p>
        </w:tc>
      </w:tr>
      <w:tr w14:paraId="7B322A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59" w:type="dxa"/>
            <w:gridSpan w:val="2"/>
            <w:vMerge w:val="restart"/>
            <w:tcBorders>
              <w:right w:val="single" w:color="auto" w:sz="4" w:space="0"/>
            </w:tcBorders>
            <w:vAlign w:val="center"/>
          </w:tcPr>
          <w:p w14:paraId="5C5B6D0A">
            <w:pPr>
              <w:adjustRightInd w:val="0"/>
              <w:snapToGrid w:val="0"/>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核心产品</w:t>
            </w:r>
          </w:p>
        </w:tc>
        <w:tc>
          <w:tcPr>
            <w:tcW w:w="6723" w:type="dxa"/>
            <w:tcBorders>
              <w:left w:val="single" w:color="auto" w:sz="4" w:space="0"/>
            </w:tcBorders>
            <w:vAlign w:val="center"/>
          </w:tcPr>
          <w:p w14:paraId="264502A1">
            <w:pPr>
              <w:adjustRightInd w:val="0"/>
              <w:snapToGrid w:val="0"/>
              <w:spacing w:line="240" w:lineRule="auto"/>
              <w:rPr>
                <w:rFonts w:hint="default" w:eastAsiaTheme="minorEastAsia"/>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有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无 </w:t>
            </w:r>
          </w:p>
        </w:tc>
      </w:tr>
      <w:tr w14:paraId="70689A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59" w:type="dxa"/>
            <w:gridSpan w:val="2"/>
            <w:vMerge w:val="continue"/>
            <w:tcBorders>
              <w:right w:val="single" w:color="auto" w:sz="4" w:space="0"/>
            </w:tcBorders>
            <w:vAlign w:val="center"/>
          </w:tcPr>
          <w:p w14:paraId="2DC65993">
            <w:pPr>
              <w:adjustRightInd w:val="0"/>
              <w:snapToGrid w:val="0"/>
              <w:spacing w:line="240" w:lineRule="auto"/>
              <w:jc w:val="center"/>
              <w:rPr>
                <w:rFonts w:hint="eastAsia" w:asciiTheme="minorEastAsia" w:hAnsiTheme="minorEastAsia" w:eastAsiaTheme="minorEastAsia" w:cstheme="minorEastAsia"/>
                <w:sz w:val="24"/>
                <w:szCs w:val="24"/>
                <w:highlight w:val="none"/>
                <w:lang w:eastAsia="zh-CN"/>
              </w:rPr>
            </w:pPr>
          </w:p>
        </w:tc>
        <w:tc>
          <w:tcPr>
            <w:tcW w:w="6723" w:type="dxa"/>
            <w:tcBorders>
              <w:left w:val="single" w:color="auto" w:sz="4" w:space="0"/>
            </w:tcBorders>
            <w:vAlign w:val="center"/>
          </w:tcPr>
          <w:p w14:paraId="5C542188">
            <w:pPr>
              <w:pStyle w:val="2"/>
              <w:numPr>
                <w:ilvl w:val="0"/>
                <w:numId w:val="3"/>
              </w:numPr>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立式自助借还书机、2.移动式盘点机</w:t>
            </w:r>
          </w:p>
          <w:p w14:paraId="02026484">
            <w:pPr>
              <w:pStyle w:val="2"/>
              <w:numPr>
                <w:ilvl w:val="0"/>
                <w:numId w:val="0"/>
              </w:numPr>
              <w:ind w:leftChars="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注：</w:t>
            </w:r>
            <w:r>
              <w:rPr>
                <w:rFonts w:hint="eastAsia" w:asciiTheme="minorEastAsia" w:hAnsiTheme="minorEastAsia" w:eastAsiaTheme="minorEastAsia" w:cstheme="minorEastAsia"/>
                <w:color w:val="auto"/>
                <w:sz w:val="24"/>
                <w:szCs w:val="24"/>
                <w:highlight w:val="none"/>
                <w:lang w:val="en-US"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26F72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59" w:type="dxa"/>
            <w:gridSpan w:val="2"/>
            <w:tcBorders>
              <w:right w:val="single" w:color="auto" w:sz="4" w:space="0"/>
            </w:tcBorders>
            <w:vAlign w:val="center"/>
          </w:tcPr>
          <w:p w14:paraId="5424999A">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履约保证金</w:t>
            </w:r>
          </w:p>
        </w:tc>
        <w:tc>
          <w:tcPr>
            <w:tcW w:w="6723" w:type="dxa"/>
            <w:tcBorders>
              <w:left w:val="single" w:color="auto" w:sz="4" w:space="0"/>
            </w:tcBorders>
            <w:vAlign w:val="center"/>
          </w:tcPr>
          <w:p w14:paraId="06B82546">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p>
        </w:tc>
      </w:tr>
      <w:tr w14:paraId="365ABB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59" w:type="dxa"/>
            <w:gridSpan w:val="2"/>
            <w:tcBorders>
              <w:right w:val="single" w:color="auto" w:sz="4" w:space="0"/>
            </w:tcBorders>
            <w:vAlign w:val="center"/>
          </w:tcPr>
          <w:p w14:paraId="7C29225D">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低于成本价不正当</w:t>
            </w:r>
          </w:p>
          <w:p w14:paraId="07BC3FC1">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竞争预防措施</w:t>
            </w:r>
          </w:p>
        </w:tc>
        <w:tc>
          <w:tcPr>
            <w:tcW w:w="6723" w:type="dxa"/>
            <w:tcBorders>
              <w:left w:val="single" w:color="auto" w:sz="4" w:space="0"/>
            </w:tcBorders>
            <w:vAlign w:val="center"/>
          </w:tcPr>
          <w:p w14:paraId="330A519E">
            <w:pPr>
              <w:adjustRightInd w:val="0"/>
              <w:snapToGrid w:val="0"/>
              <w:spacing w:line="24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57EC39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59" w:type="dxa"/>
            <w:gridSpan w:val="2"/>
            <w:tcBorders>
              <w:right w:val="single" w:color="auto" w:sz="4" w:space="0"/>
            </w:tcBorders>
            <w:vAlign w:val="center"/>
          </w:tcPr>
          <w:p w14:paraId="10989DB2">
            <w:pPr>
              <w:adjustRightInd w:val="0"/>
              <w:snapToGrid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质疑须知</w:t>
            </w:r>
          </w:p>
        </w:tc>
        <w:tc>
          <w:tcPr>
            <w:tcW w:w="6723" w:type="dxa"/>
            <w:tcBorders>
              <w:left w:val="single" w:color="auto" w:sz="4" w:space="0"/>
            </w:tcBorders>
            <w:vAlign w:val="center"/>
          </w:tcPr>
          <w:p w14:paraId="494B8295">
            <w:pPr>
              <w:adjustRightInd w:val="0"/>
              <w:snapToGrid w:val="0"/>
              <w:spacing w:line="24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针对同一采购程序环节的质疑次数：</w:t>
            </w:r>
            <w:r>
              <w:rPr>
                <w:rFonts w:hint="eastAsia" w:asciiTheme="minorEastAsia" w:hAnsiTheme="minorEastAsia" w:eastAsiaTheme="minorEastAsia" w:cstheme="minorEastAsia"/>
                <w:b/>
                <w:bCs/>
                <w:sz w:val="24"/>
                <w:szCs w:val="24"/>
                <w:highlight w:val="none"/>
              </w:rPr>
              <w:t>一次性提出</w:t>
            </w:r>
            <w:r>
              <w:rPr>
                <w:rFonts w:hint="eastAsia" w:asciiTheme="minorEastAsia" w:hAnsiTheme="minorEastAsia" w:eastAsiaTheme="minorEastAsia" w:cstheme="minorEastAsia"/>
                <w:b/>
                <w:bCs/>
                <w:sz w:val="24"/>
                <w:szCs w:val="24"/>
                <w:highlight w:val="none"/>
                <w:lang w:eastAsia="zh-CN"/>
              </w:rPr>
              <w:t>；</w:t>
            </w:r>
          </w:p>
          <w:p w14:paraId="11A42670">
            <w:pPr>
              <w:adjustRightInd w:val="0"/>
              <w:snapToGrid w:val="0"/>
              <w:spacing w:line="24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接收质疑函的方式：现场递交纸质版及Word格式电子版质疑文件至接受单位</w:t>
            </w:r>
            <w:r>
              <w:rPr>
                <w:rFonts w:hint="eastAsia" w:asciiTheme="minorEastAsia" w:hAnsiTheme="minorEastAsia" w:eastAsiaTheme="minorEastAsia" w:cstheme="minorEastAsia"/>
                <w:sz w:val="24"/>
                <w:szCs w:val="24"/>
                <w:highlight w:val="none"/>
                <w:lang w:eastAsia="zh-CN"/>
              </w:rPr>
              <w:t>；</w:t>
            </w:r>
          </w:p>
          <w:p w14:paraId="32688467">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接受质疑的单位：新疆元泓工程项目管理咨询有限公司</w:t>
            </w:r>
          </w:p>
          <w:p w14:paraId="1F47556F">
            <w:pPr>
              <w:adjustRightInd w:val="0"/>
              <w:snapToGrid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联系电话：13565831720</w:t>
            </w:r>
          </w:p>
          <w:p w14:paraId="10364371">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地址：乌鲁木齐市经济技术开发区乌昌路252号九方财富广场A座525室</w:t>
            </w:r>
          </w:p>
        </w:tc>
      </w:tr>
      <w:tr w14:paraId="0C154B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59" w:type="dxa"/>
            <w:gridSpan w:val="2"/>
            <w:tcBorders>
              <w:right w:val="single" w:color="auto" w:sz="4" w:space="0"/>
            </w:tcBorders>
            <w:vAlign w:val="center"/>
          </w:tcPr>
          <w:p w14:paraId="3D44702E">
            <w:pPr>
              <w:overflowPunct w:val="0"/>
              <w:spacing w:line="240" w:lineRule="auto"/>
              <w:jc w:val="center"/>
              <w:rPr>
                <w:rFonts w:hint="eastAsia" w:asciiTheme="minorEastAsia" w:hAnsiTheme="minorEastAsia" w:eastAsiaTheme="minorEastAsia" w:cstheme="minorEastAsia"/>
                <w:sz w:val="24"/>
                <w:szCs w:val="24"/>
                <w:highlight w:val="none"/>
              </w:rPr>
            </w:pPr>
            <w:r>
              <w:rPr>
                <w:rFonts w:hint="eastAsia"/>
                <w:b/>
                <w:sz w:val="24"/>
                <w:szCs w:val="24"/>
                <w:highlight w:val="none"/>
              </w:rPr>
              <w:t>备注</w:t>
            </w:r>
          </w:p>
        </w:tc>
        <w:tc>
          <w:tcPr>
            <w:tcW w:w="6723" w:type="dxa"/>
            <w:tcBorders>
              <w:left w:val="single" w:color="auto" w:sz="4" w:space="0"/>
            </w:tcBorders>
            <w:vAlign w:val="center"/>
          </w:tcPr>
          <w:p w14:paraId="6AC9ADF1">
            <w:pPr>
              <w:spacing w:line="240" w:lineRule="auto"/>
              <w:ind w:firstLine="472" w:firstLineChars="196"/>
              <w:rPr>
                <w:rFonts w:hint="eastAsia"/>
                <w:b/>
                <w:sz w:val="24"/>
                <w:szCs w:val="24"/>
                <w:highlight w:val="none"/>
              </w:rPr>
            </w:pPr>
            <w:r>
              <w:rPr>
                <w:rFonts w:hint="eastAsia"/>
                <w:b/>
                <w:sz w:val="24"/>
                <w:szCs w:val="24"/>
                <w:highlight w:val="none"/>
              </w:rPr>
              <w:t>1、招标文件中部分加“*”、“</w:t>
            </w:r>
            <w:r>
              <w:rPr>
                <w:rFonts w:hint="eastAsia"/>
                <w:sz w:val="24"/>
                <w:szCs w:val="24"/>
                <w:highlight w:val="none"/>
              </w:rPr>
              <w:t>★</w:t>
            </w:r>
            <w:r>
              <w:rPr>
                <w:rFonts w:hint="eastAsia"/>
                <w:b/>
                <w:sz w:val="24"/>
                <w:szCs w:val="24"/>
                <w:highlight w:val="none"/>
              </w:rPr>
              <w:t>”、加下划线、废标、无效标、投标被拒绝字样的条款，为招标的实质性要求和条件，着重提醒各投标人注意，并认真查看招标文件中的每一个条款及要求，因误读招标文件而造成的后果，招标人概不负责。</w:t>
            </w:r>
          </w:p>
          <w:p w14:paraId="4ECF259B">
            <w:pPr>
              <w:spacing w:line="240" w:lineRule="auto"/>
              <w:ind w:firstLine="472" w:firstLineChars="196"/>
              <w:rPr>
                <w:rFonts w:hint="eastAsia" w:asciiTheme="minorEastAsia" w:hAnsiTheme="minorEastAsia" w:eastAsiaTheme="minorEastAsia" w:cstheme="minorEastAsia"/>
                <w:sz w:val="24"/>
                <w:szCs w:val="24"/>
                <w:highlight w:val="none"/>
                <w:lang w:val="en-US" w:eastAsia="zh-CN"/>
              </w:rPr>
            </w:pPr>
            <w:r>
              <w:rPr>
                <w:rFonts w:hint="eastAsia"/>
                <w:b/>
                <w:sz w:val="24"/>
                <w:szCs w:val="24"/>
                <w:highlight w:val="none"/>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1BF30C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82" w:type="dxa"/>
            <w:gridSpan w:val="3"/>
            <w:vAlign w:val="center"/>
          </w:tcPr>
          <w:p w14:paraId="296E6F60">
            <w:pPr>
              <w:adjustRightInd w:val="0"/>
              <w:snapToGrid w:val="0"/>
              <w:spacing w:line="240" w:lineRule="auto"/>
              <w:ind w:firstLine="482" w:firstLineChars="200"/>
              <w:rPr>
                <w:rFonts w:hint="eastAsia" w:asciiTheme="minorEastAsia" w:hAnsiTheme="minorEastAsia" w:eastAsiaTheme="minorEastAsia" w:cstheme="minorEastAsia"/>
                <w:sz w:val="24"/>
                <w:szCs w:val="24"/>
                <w:highlight w:val="none"/>
                <w:lang w:val="en-US" w:eastAsia="zh-CN"/>
              </w:rPr>
            </w:pPr>
            <w:r>
              <w:rPr>
                <w:rFonts w:hint="eastAsia"/>
                <w:b/>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7B26ABB4">
      <w:pPr>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rPr>
        <w:t>如本《投标须知前附表》相关内容与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rPr>
        <w:t>文件中的相关内容如有不一致处，则以本《投标须知前附表》相关内容为准。</w:t>
      </w:r>
      <w:r>
        <w:rPr>
          <w:rFonts w:hint="eastAsia" w:ascii="宋体" w:hAnsi="宋体" w:eastAsia="宋体" w:cs="宋体"/>
          <w:color w:val="auto"/>
          <w:sz w:val="21"/>
          <w:szCs w:val="21"/>
          <w:highlight w:val="none"/>
        </w:rPr>
        <w:t>。</w:t>
      </w:r>
    </w:p>
    <w:p w14:paraId="2A7E79F1">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本表中“ √ ”</w:t>
      </w:r>
      <w:r>
        <w:rPr>
          <w:rFonts w:hint="eastAsia" w:ascii="宋体" w:hAnsi="宋体" w:eastAsia="宋体" w:cs="宋体"/>
          <w:color w:val="auto"/>
          <w:sz w:val="21"/>
          <w:szCs w:val="21"/>
          <w:highlight w:val="none"/>
          <w:lang w:eastAsia="zh-CN"/>
        </w:rPr>
        <w:t>表示</w:t>
      </w:r>
      <w:r>
        <w:rPr>
          <w:rFonts w:hint="eastAsia" w:ascii="宋体" w:hAnsi="宋体" w:eastAsia="宋体" w:cs="宋体"/>
          <w:color w:val="auto"/>
          <w:sz w:val="21"/>
          <w:szCs w:val="21"/>
          <w:highlight w:val="none"/>
        </w:rPr>
        <w:t>选择使用该项</w:t>
      </w:r>
      <w:r>
        <w:rPr>
          <w:rFonts w:hint="eastAsia" w:ascii="宋体" w:hAnsi="宋体" w:eastAsia="宋体" w:cs="宋体"/>
          <w:color w:val="auto"/>
          <w:sz w:val="21"/>
          <w:szCs w:val="21"/>
          <w:highlight w:val="none"/>
          <w:lang w:eastAsia="zh-CN"/>
        </w:rPr>
        <w:t>。</w:t>
      </w:r>
    </w:p>
    <w:p w14:paraId="48D3C6C7">
      <w:pPr>
        <w:pStyle w:val="65"/>
        <w:spacing w:after="120" w:afterLines="50" w:line="24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highlight w:val="none"/>
        </w:rPr>
        <w:br w:type="page"/>
      </w:r>
      <w:r>
        <w:rPr>
          <w:rFonts w:hint="eastAsia" w:asciiTheme="minorEastAsia" w:hAnsiTheme="minorEastAsia" w:eastAsiaTheme="minorEastAsia" w:cstheme="minorEastAsia"/>
          <w:b/>
          <w:color w:val="auto"/>
          <w:sz w:val="28"/>
          <w:szCs w:val="28"/>
          <w:highlight w:val="none"/>
        </w:rPr>
        <w:t>投标须知正文</w:t>
      </w:r>
    </w:p>
    <w:p w14:paraId="1229F4C5">
      <w:pPr>
        <w:pStyle w:val="65"/>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一、总  则</w:t>
      </w:r>
    </w:p>
    <w:p w14:paraId="469972DE">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1．项目概况</w:t>
      </w:r>
    </w:p>
    <w:p w14:paraId="6B1EC9D3">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项目名称：详见</w:t>
      </w:r>
      <w:r>
        <w:rPr>
          <w:rFonts w:hint="eastAsia" w:asciiTheme="minorEastAsia" w:hAnsiTheme="minorEastAsia" w:eastAsiaTheme="minorEastAsia" w:cstheme="minorEastAsia"/>
          <w:b/>
          <w:bCs/>
          <w:color w:val="auto"/>
          <w:sz w:val="24"/>
          <w:szCs w:val="24"/>
          <w:highlight w:val="none"/>
        </w:rPr>
        <w:t>投标须知前附表；</w:t>
      </w:r>
    </w:p>
    <w:p w14:paraId="2773DF4D">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招标范围：详见</w:t>
      </w:r>
      <w:r>
        <w:rPr>
          <w:rFonts w:hint="eastAsia" w:asciiTheme="minorEastAsia" w:hAnsiTheme="minorEastAsia" w:eastAsiaTheme="minorEastAsia" w:cstheme="minorEastAsia"/>
          <w:b/>
          <w:bCs/>
          <w:color w:val="auto"/>
          <w:sz w:val="24"/>
          <w:szCs w:val="24"/>
          <w:highlight w:val="none"/>
        </w:rPr>
        <w:t>投标须知前附表；</w:t>
      </w:r>
    </w:p>
    <w:p w14:paraId="45531A7E">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招标方式：详见</w:t>
      </w:r>
      <w:r>
        <w:rPr>
          <w:rFonts w:hint="eastAsia" w:asciiTheme="minorEastAsia" w:hAnsiTheme="minorEastAsia" w:eastAsiaTheme="minorEastAsia" w:cstheme="minorEastAsia"/>
          <w:b/>
          <w:bCs/>
          <w:color w:val="auto"/>
          <w:sz w:val="24"/>
          <w:szCs w:val="24"/>
          <w:highlight w:val="none"/>
        </w:rPr>
        <w:t>投标须知前附表；</w:t>
      </w:r>
    </w:p>
    <w:p w14:paraId="1B3A2538">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 xml:space="preserve"> 合同工期/服务期限/供货期限：详见</w:t>
      </w:r>
      <w:r>
        <w:rPr>
          <w:rFonts w:hint="eastAsia" w:asciiTheme="minorEastAsia" w:hAnsiTheme="minorEastAsia" w:eastAsiaTheme="minorEastAsia" w:cstheme="minorEastAsia"/>
          <w:b/>
          <w:bCs/>
          <w:color w:val="auto"/>
          <w:sz w:val="24"/>
          <w:szCs w:val="24"/>
          <w:highlight w:val="none"/>
        </w:rPr>
        <w:t>投标须知前附表；</w:t>
      </w:r>
    </w:p>
    <w:p w14:paraId="7CEECABB">
      <w:pPr>
        <w:pStyle w:val="65"/>
        <w:spacing w:line="240" w:lineRule="auto"/>
        <w:ind w:firstLine="480"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kern w:val="0"/>
          <w:sz w:val="24"/>
          <w:szCs w:val="24"/>
          <w:highlight w:val="none"/>
        </w:rPr>
        <w:t>质量要求/质保期</w:t>
      </w: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b/>
          <w:bCs/>
          <w:color w:val="auto"/>
          <w:sz w:val="24"/>
          <w:szCs w:val="24"/>
          <w:highlight w:val="none"/>
        </w:rPr>
        <w:t>投标须知前附表；</w:t>
      </w:r>
    </w:p>
    <w:p w14:paraId="228DF9A1">
      <w:pPr>
        <w:pStyle w:val="65"/>
        <w:spacing w:line="240" w:lineRule="auto"/>
        <w:ind w:firstLine="480"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质量</w:t>
      </w:r>
      <w:r>
        <w:rPr>
          <w:rFonts w:hint="eastAsia" w:asciiTheme="minorEastAsia" w:hAnsiTheme="minorEastAsia" w:eastAsiaTheme="minorEastAsia" w:cstheme="minorEastAsia"/>
          <w:color w:val="auto"/>
          <w:sz w:val="24"/>
          <w:szCs w:val="24"/>
          <w:highlight w:val="none"/>
        </w:rPr>
        <w:t>标准：详见</w:t>
      </w:r>
      <w:r>
        <w:rPr>
          <w:rFonts w:hint="eastAsia" w:asciiTheme="minorEastAsia" w:hAnsiTheme="minorEastAsia" w:eastAsiaTheme="minorEastAsia" w:cstheme="minorEastAsia"/>
          <w:b/>
          <w:bCs/>
          <w:color w:val="auto"/>
          <w:sz w:val="24"/>
          <w:szCs w:val="24"/>
          <w:highlight w:val="none"/>
        </w:rPr>
        <w:t>投标须知前附表；</w:t>
      </w:r>
    </w:p>
    <w:p w14:paraId="2A585BA3">
      <w:pPr>
        <w:pStyle w:val="65"/>
        <w:spacing w:line="240" w:lineRule="auto"/>
        <w:ind w:firstLine="480"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售后标准</w:t>
      </w: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b/>
          <w:bCs/>
          <w:color w:val="auto"/>
          <w:sz w:val="24"/>
          <w:szCs w:val="24"/>
          <w:highlight w:val="none"/>
        </w:rPr>
        <w:t>投标须知前附表；</w:t>
      </w:r>
    </w:p>
    <w:p w14:paraId="6AEF55D5">
      <w:pPr>
        <w:pStyle w:val="65"/>
        <w:spacing w:line="240" w:lineRule="auto"/>
        <w:ind w:firstLine="480"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安装地点</w:t>
      </w: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b/>
          <w:bCs/>
          <w:color w:val="auto"/>
          <w:sz w:val="24"/>
          <w:szCs w:val="24"/>
          <w:highlight w:val="none"/>
        </w:rPr>
        <w:t>投标须知前附表；</w:t>
      </w:r>
    </w:p>
    <w:p w14:paraId="1DB47EAE">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 定义</w:t>
      </w:r>
    </w:p>
    <w:p w14:paraId="5B12FE7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“采购人”是指依法进行政府采购的国家机关、事业单位、团体组织。采购人名称、地址、电话、联系人见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3BF7832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“采购代理机构”是指接受采购人委托，代理采购项目的集中采购机构和其他招标代理机构。采购代理机构名称、地址、电话、联系人见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6A6C017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“供应商”是指响应招标文件要求、参加招标采购,向采购人提供货物、工程或者服务的法人、其他组织或者自然人。</w:t>
      </w:r>
    </w:p>
    <w:p w14:paraId="215C703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“货物”是指各种形态和种类的物品，包括原材料、燃料、设备、产品等，详见《政府采购品目分类目录》（财库[2013]189号）。</w:t>
      </w:r>
    </w:p>
    <w:p w14:paraId="26FA4A0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“节能产品”或者“环保产品”是指财政部发布的《节能产品政府采购清单》或者《环境标志产品政府采购清单》的产品。</w:t>
      </w:r>
    </w:p>
    <w:p w14:paraId="4376AE2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 “进口产品”是指通过中国海关报关验放进入中国境内且产自关境外的产品，详见《中华人民共和国财政部办公厅关于政府采购进口产品管理有关问题的通知》财办库[2008]248号及《政府采购进口产品管理办法》财库〔2007〕119号。</w:t>
      </w:r>
    </w:p>
    <w:p w14:paraId="46DF637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 偏离</w:t>
      </w:r>
    </w:p>
    <w:p w14:paraId="1949F72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 本条所称偏离为投标文件对招标文的偏离，即不满足招标文件的要求，偏离分为对招标文件的实质性要求条款偏离和对招标文件的一般商务和技术条款偏离。（商务条款不允许偏离，技术条款偏离情况在详细评审中给与相应评分）</w:t>
      </w:r>
    </w:p>
    <w:p w14:paraId="47BF702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2.7.2 除法律、法规和规章规定外，招标文件中用“拒绝”、“不接受”、“无效”、“不得”等文字规定或标注“特殊”符号的条款为实质性要求条款（即重要条款），对其中任何一条的偏离，在评标时将其视为无效投标</w:t>
      </w:r>
      <w:r>
        <w:rPr>
          <w:rFonts w:hint="eastAsia" w:asciiTheme="minorEastAsia" w:hAnsiTheme="minorEastAsia" w:eastAsiaTheme="minorEastAsia" w:cstheme="minorEastAsia"/>
          <w:color w:val="auto"/>
          <w:sz w:val="24"/>
          <w:szCs w:val="24"/>
          <w:highlight w:val="none"/>
        </w:rPr>
        <w:t>。未用上述文字规定或符号标注的条款为非实质性要求条款（即一般条款）。</w:t>
      </w:r>
    </w:p>
    <w:p w14:paraId="044CB915">
      <w:pPr>
        <w:widowControl/>
        <w:spacing w:line="240" w:lineRule="auto"/>
        <w:ind w:firstLine="57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2.8 若采购人员及相关人员与供应商有下列利害关系之一的，应当回避：</w:t>
      </w:r>
    </w:p>
    <w:p w14:paraId="23622D7B">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2.8.1参加采购活动前3年内与供应商存在劳动关系；</w:t>
      </w:r>
    </w:p>
    <w:p w14:paraId="17815C32">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2.8.2参加采购活动前3年内担任供应商的董事、监事；</w:t>
      </w:r>
    </w:p>
    <w:p w14:paraId="0792C4D0">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2.8.3参加采购活动前3年内是供应商的控股股东或者实际控制人；</w:t>
      </w:r>
    </w:p>
    <w:p w14:paraId="7806214B">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2.8.4与供应商的法定代表人或者负责人有夫妻、直系血亲、三代以内旁系血亲或者近姻亲关系；</w:t>
      </w:r>
    </w:p>
    <w:p w14:paraId="429E2614">
      <w:pPr>
        <w:widowControl/>
        <w:spacing w:line="240" w:lineRule="auto"/>
        <w:ind w:firstLine="570"/>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2.8.5与供应商有其他可能影响政府采购活动公平、公正进行的关系</w:t>
      </w:r>
      <w:r>
        <w:rPr>
          <w:rFonts w:hint="eastAsia" w:asciiTheme="minorEastAsia" w:hAnsiTheme="minorEastAsia" w:eastAsiaTheme="minorEastAsia" w:cstheme="minorEastAsia"/>
          <w:kern w:val="0"/>
          <w:sz w:val="24"/>
          <w:szCs w:val="24"/>
          <w:highlight w:val="none"/>
          <w:lang w:eastAsia="zh-CN"/>
        </w:rPr>
        <w:t>；</w:t>
      </w:r>
    </w:p>
    <w:p w14:paraId="7B9AC629">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F1A7939">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 采购人或者采购代理机构有下列情形之一的，属于以不合理的条件对供应商实行差别待遇或者歧视待遇：</w:t>
      </w:r>
    </w:p>
    <w:p w14:paraId="32B7F224">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2.9.1就同一采购项目向供应商提供有差别的项目信息；</w:t>
      </w:r>
    </w:p>
    <w:p w14:paraId="033D7624">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2.9.2设定的资格、技术、商务条件与采购项目的具体特点和实际需要不相适应或者与合同履行无关；</w:t>
      </w:r>
    </w:p>
    <w:p w14:paraId="47F4FC93">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2.9.3采购需求中的技术、服务等要求指向特定供应商、特定产品；</w:t>
      </w:r>
    </w:p>
    <w:p w14:paraId="2F443C84">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2.9.4以特定行政区域或者特定行业的业绩、奖项作为加分条件或者中标条件；</w:t>
      </w:r>
    </w:p>
    <w:p w14:paraId="413F536D">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2.9.5对供应商采取不同的资格审查或者评审标准；</w:t>
      </w:r>
    </w:p>
    <w:p w14:paraId="1E0DF026">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2.9.6限定或者指定特定的专利、商标、品牌或者供应商；</w:t>
      </w:r>
    </w:p>
    <w:p w14:paraId="6CCB2596">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2.9.7非法限定供应商的所有制形式、组织形式或者所在地；</w:t>
      </w:r>
    </w:p>
    <w:p w14:paraId="433B1D02">
      <w:pPr>
        <w:widowControl/>
        <w:spacing w:line="240" w:lineRule="auto"/>
        <w:ind w:firstLine="57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2.9.8以其他不合理条件限制或者排斥潜在供应商。</w:t>
      </w:r>
    </w:p>
    <w:p w14:paraId="7E1E5E6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2.10 特别说明</w:t>
      </w:r>
    </w:p>
    <w:p w14:paraId="74133011">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2.10.1 供应商在本次采购活动中，必须遵循《中华人民共和国政府采购法》、《中华人民共和国政府采购法实施条例》等相关法令、法规的规定。凡参加投标的供应商必须具有履行本招标文件规定的有关要求的能力，信誉良好</w:t>
      </w:r>
      <w:r>
        <w:rPr>
          <w:rFonts w:hint="eastAsia" w:asciiTheme="minorEastAsia" w:hAnsiTheme="minorEastAsia" w:eastAsiaTheme="minorEastAsia" w:cstheme="minorEastAsia"/>
          <w:color w:val="auto"/>
          <w:sz w:val="24"/>
          <w:szCs w:val="24"/>
          <w:highlight w:val="none"/>
          <w:lang w:eastAsia="zh-CN"/>
        </w:rPr>
        <w:t>；</w:t>
      </w:r>
    </w:p>
    <w:p w14:paraId="7E769298">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2.10.2 供应商投标所使用的资格、信誉、荣誉、业绩与相关认证等必须为供应商所拥有</w:t>
      </w:r>
      <w:r>
        <w:rPr>
          <w:rFonts w:hint="eastAsia" w:asciiTheme="minorEastAsia" w:hAnsiTheme="minorEastAsia" w:eastAsiaTheme="minorEastAsia" w:cstheme="minorEastAsia"/>
          <w:color w:val="auto"/>
          <w:sz w:val="24"/>
          <w:szCs w:val="24"/>
          <w:highlight w:val="none"/>
          <w:lang w:eastAsia="zh-CN"/>
        </w:rPr>
        <w:t>；</w:t>
      </w:r>
    </w:p>
    <w:p w14:paraId="2A9BD8A5">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2.10.3 供应商应仔细阅读招标文件的所有内容，按照招标文件的要求提交投标文件，并对所提供的全部资料的真实性承担法律责任</w:t>
      </w:r>
      <w:r>
        <w:rPr>
          <w:rFonts w:hint="eastAsia" w:asciiTheme="minorEastAsia" w:hAnsiTheme="minorEastAsia" w:eastAsiaTheme="minorEastAsia" w:cstheme="minorEastAsia"/>
          <w:color w:val="auto"/>
          <w:sz w:val="24"/>
          <w:szCs w:val="24"/>
          <w:highlight w:val="none"/>
          <w:lang w:eastAsia="zh-CN"/>
        </w:rPr>
        <w:t>；</w:t>
      </w:r>
    </w:p>
    <w:p w14:paraId="4EAABC3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2.10.4 供应商在投标活动中提供任何虚假材料，其</w:t>
      </w:r>
      <w:r>
        <w:rPr>
          <w:rFonts w:hint="eastAsia" w:asciiTheme="minorEastAsia" w:hAnsiTheme="minorEastAsia" w:eastAsiaTheme="minorEastAsia" w:cstheme="minorEastAsia"/>
          <w:b/>
          <w:bCs/>
          <w:color w:val="auto"/>
          <w:sz w:val="24"/>
          <w:szCs w:val="24"/>
          <w:highlight w:val="none"/>
        </w:rPr>
        <w:t>投标无效</w:t>
      </w:r>
      <w:r>
        <w:rPr>
          <w:rFonts w:hint="eastAsia" w:asciiTheme="minorEastAsia" w:hAnsiTheme="minorEastAsia" w:eastAsiaTheme="minorEastAsia" w:cstheme="minorEastAsia"/>
          <w:color w:val="auto"/>
          <w:sz w:val="24"/>
          <w:szCs w:val="24"/>
          <w:highlight w:val="none"/>
        </w:rPr>
        <w:t>并承担相应法律责任。</w:t>
      </w:r>
    </w:p>
    <w:p w14:paraId="0541D483">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 供应商的资格要求</w:t>
      </w:r>
    </w:p>
    <w:p w14:paraId="43AE7D5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供应商应当符合</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中规定的资格条件要求。</w:t>
      </w:r>
    </w:p>
    <w:p w14:paraId="0ADC089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供应商不得存在下列情形之一：</w:t>
      </w:r>
    </w:p>
    <w:p w14:paraId="27D473DC">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3.2.1 与采购人、采购代理机构存在利害关系</w:t>
      </w:r>
      <w:r>
        <w:rPr>
          <w:rFonts w:hint="eastAsia" w:asciiTheme="minorEastAsia" w:hAnsiTheme="minorEastAsia" w:eastAsiaTheme="minorEastAsia" w:cstheme="minorEastAsia"/>
          <w:color w:val="auto"/>
          <w:sz w:val="24"/>
          <w:szCs w:val="24"/>
          <w:highlight w:val="none"/>
          <w:lang w:eastAsia="zh-CN"/>
        </w:rPr>
        <w:t>；</w:t>
      </w:r>
    </w:p>
    <w:p w14:paraId="6930116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受到刑事处罚，或者受到3万元以上的罚款、责令停产停业、在1至3年内禁止参加政府采购活动、暂扣或者吊销许可证、暂扣或者吊销执照等情形之一的行政处罚，或者存在财政部门认定的其他重大违法记录。</w:t>
      </w:r>
    </w:p>
    <w:p w14:paraId="1113AE3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供应商具有履行合同所必需的设备和专业技术能力，在人员、设备、资金等方面具有相应能力；供应商提供的的产品必须是成熟产品；在项目地具有技术支持和后续服务等能力。</w:t>
      </w:r>
    </w:p>
    <w:p w14:paraId="6877CA0B">
      <w:pPr>
        <w:pStyle w:val="65"/>
        <w:spacing w:line="240" w:lineRule="auto"/>
        <w:ind w:firstLine="56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rPr>
        <w:t>3.4 使用综合评分法的采购项目</w:t>
      </w:r>
      <w:r>
        <w:rPr>
          <w:rFonts w:hint="eastAsia" w:asciiTheme="minorEastAsia" w:hAnsiTheme="minorEastAsia" w:eastAsiaTheme="minorEastAsia" w:cstheme="minorEastAsia"/>
          <w:color w:val="auto"/>
          <w:kern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2BFB88A">
      <w:pPr>
        <w:pStyle w:val="65"/>
        <w:spacing w:line="240" w:lineRule="auto"/>
        <w:ind w:firstLine="56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非单一产品采购项目，采购人应当根据采购项目技术构成、产品价格比重等合理确定核心产品，并在招标文件中载明。多家投标人提供的核心产品品牌相同的，同上处理。</w:t>
      </w:r>
    </w:p>
    <w:p w14:paraId="2261538C">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4．投标费用和知识产权</w:t>
      </w:r>
    </w:p>
    <w:p w14:paraId="532B9FB1">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供应商应承担其参加本招标活动自身所发生的费用。招标文件所提供的资料，是采购人现有的能被供应商利用的资料，采购人对供应商做出的任何推论、理解和结论均不负责任。</w:t>
      </w:r>
    </w:p>
    <w:p w14:paraId="357D6FC1">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供应商应保证，在中华人民共和国境内使用投标成果、服务或其任何一部分时，不会产生因第三方提出侵犯其专利权或其它知识产权而引起的法律和经济纠纷。如供应商不拥有相应的知识产权，则在报价中须包括合法获取该知识产权的相关费周。</w:t>
      </w:r>
    </w:p>
    <w:p w14:paraId="70623602">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 授权委托</w:t>
      </w:r>
    </w:p>
    <w:p w14:paraId="29801CA4">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供应商代表为供应商法定代表人的，应持有法定代表人身份证明。供应商代表不是供应商法定代表人的，应持有法定代表人授权书。</w:t>
      </w:r>
    </w:p>
    <w:p w14:paraId="1D9F610C">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 联合体投标（不允许）</w:t>
      </w:r>
    </w:p>
    <w:p w14:paraId="3F29F3C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中另有规定，本次招标采购不接受以联合体形式投标的供应商。</w:t>
      </w:r>
    </w:p>
    <w:p w14:paraId="5A5035C5">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 现场考察</w:t>
      </w:r>
    </w:p>
    <w:p w14:paraId="270ABA7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 供应商应按</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中规定对招标采购项目现场和周围环境进行现场考察或者参加开标前答疑会（如需要）。</w:t>
      </w:r>
    </w:p>
    <w:p w14:paraId="43E35F2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7.2 </w:t>
      </w:r>
      <w:r>
        <w:rPr>
          <w:rFonts w:hint="eastAsia" w:asciiTheme="minorEastAsia" w:hAnsiTheme="minorEastAsia" w:eastAsiaTheme="minorEastAsia" w:cstheme="minorEastAsia"/>
          <w:color w:val="auto"/>
          <w:spacing w:val="-9"/>
          <w:sz w:val="24"/>
          <w:szCs w:val="24"/>
          <w:highlight w:val="none"/>
        </w:rPr>
        <w:t>现场考察或者参加开标前答疑会的费用由供应商自己承担，现场考察或者参加开标前答疑会期间所发生的人身伤害及财产损失由供应商自己负责。</w:t>
      </w:r>
    </w:p>
    <w:p w14:paraId="1D78491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 采购人不对供应商据此而做出的推论、理解和结论负责。一旦中标，供应商不得以任何借口，而提出额外补偿，或延长合同期限的要求。</w:t>
      </w:r>
    </w:p>
    <w:p w14:paraId="67806AC1">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 采购进口产品</w:t>
      </w:r>
    </w:p>
    <w:p w14:paraId="695E4A3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8.1本项目不接受进口产品参加招标采购活动。</w:t>
      </w:r>
    </w:p>
    <w:p w14:paraId="73040F47">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 政府采购政策支持</w:t>
      </w:r>
    </w:p>
    <w:p w14:paraId="4D324B5F">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 产品符合政府采购强制采购政策的，实行强制采购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符合政府采购优先采购政策的产品，享受节能产品、环境标志产品的产品优惠（由供应商在报价文件中选择并填报，评审时进行价格优惠）；供应商符合支持中小企业发展政策优惠的，可以同时享受节能产品、环境标志产品的产品优惠并累加优惠。财政部门关于政府采购强制采购、优先采购的政策规定可在中国政府采购网(www.ccgp.gov.cn)查询。本项目价格扣除比例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70E8BAD4">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 同一项目中部分产品属于优先采购政策的，评审时只对该部分产品的报价实行价格优惠。</w:t>
      </w:r>
    </w:p>
    <w:p w14:paraId="0D1B0EB5">
      <w:pPr>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9.3 </w:t>
      </w:r>
      <w:r>
        <w:rPr>
          <w:rFonts w:hint="eastAsia" w:asciiTheme="minorEastAsia" w:hAnsiTheme="minorEastAsia" w:eastAsiaTheme="minorEastAsia" w:cstheme="minorEastAsia"/>
          <w:spacing w:val="-4"/>
          <w:kern w:val="0"/>
          <w:sz w:val="24"/>
          <w:szCs w:val="24"/>
          <w:highlight w:val="none"/>
        </w:rPr>
        <w:t>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w:t>
      </w:r>
    </w:p>
    <w:p w14:paraId="3B70EF47">
      <w:pPr>
        <w:pStyle w:val="65"/>
        <w:spacing w:line="240" w:lineRule="auto"/>
        <w:ind w:firstLine="56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9.4 为推进政府采购诚信体系建设，供应商在签署相关承诺，提供相关信息前，应认真阅读财政部门相关政策规定。符合本章第9.1款、第9.2款规定的，应提供相关证明材料。</w:t>
      </w:r>
    </w:p>
    <w:p w14:paraId="7CBACE1E">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4E8EE786">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二、招标文件</w:t>
      </w:r>
    </w:p>
    <w:p w14:paraId="73E146A9">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 招标文件的组成</w:t>
      </w:r>
    </w:p>
    <w:p w14:paraId="7398CD1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 招标文件用以阐明所需货物和服务、招标投标程序和商务合同主要条款，本招标文件由下列文件组成：</w:t>
      </w:r>
    </w:p>
    <w:p w14:paraId="7843C36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第一章 招标公告    </w:t>
      </w:r>
    </w:p>
    <w:p w14:paraId="744C1AB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投标须知    </w:t>
      </w:r>
    </w:p>
    <w:p w14:paraId="48E5D39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第三章 评标方法及标准    </w:t>
      </w:r>
    </w:p>
    <w:p w14:paraId="75A0DDC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政府采购合同格式    </w:t>
      </w:r>
    </w:p>
    <w:p w14:paraId="4B4F869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笫五章 技术标准和要求    </w:t>
      </w:r>
    </w:p>
    <w:p w14:paraId="48620F91">
      <w:pPr>
        <w:pStyle w:val="65"/>
        <w:numPr>
          <w:ilvl w:val="0"/>
          <w:numId w:val="4"/>
        </w:numPr>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投标文件格式</w:t>
      </w:r>
    </w:p>
    <w:p w14:paraId="445E819E">
      <w:pPr>
        <w:pStyle w:val="65"/>
        <w:numPr>
          <w:ilvl w:val="0"/>
          <w:numId w:val="4"/>
        </w:numPr>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补充条款</w:t>
      </w:r>
    </w:p>
    <w:p w14:paraId="78479D0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 本章第11.1款规定的提交投标文件截止时间前对招标文件澄清或者修改内容，为招标文件的组成部分。</w:t>
      </w:r>
    </w:p>
    <w:p w14:paraId="01369D7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 供应商应仔细阅读招标文件的全部内容，按照招标文件要求编制投标文件。任何对招标文件的忽略或误解不能作为投标文件存在缺陷或瑕疵的理由，如果没有按照招标文件要求提交全部资料或者投标文件没有对招标文件做出实质性响应，其投标文件可能被拒绝，其风险由供应商承担。</w:t>
      </w:r>
    </w:p>
    <w:p w14:paraId="2FF2DD6D">
      <w:pPr>
        <w:pStyle w:val="65"/>
        <w:spacing w:line="240" w:lineRule="auto"/>
        <w:rPr>
          <w:rFonts w:hint="eastAsia" w:asciiTheme="minorEastAsia" w:hAnsiTheme="minorEastAsia" w:eastAsiaTheme="minorEastAsia" w:cstheme="minorEastAsia"/>
          <w:b/>
          <w:bCs/>
          <w:color w:val="auto"/>
          <w:sz w:val="24"/>
          <w:szCs w:val="24"/>
          <w:highlight w:val="none"/>
        </w:rPr>
      </w:pPr>
    </w:p>
    <w:p w14:paraId="4A0E9226">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 投标截止时间</w:t>
      </w:r>
    </w:p>
    <w:p w14:paraId="78071C9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11.1 </w:t>
      </w:r>
      <w:r>
        <w:rPr>
          <w:rFonts w:hint="eastAsia" w:asciiTheme="minorEastAsia" w:hAnsiTheme="minorEastAsia" w:eastAsiaTheme="minorEastAsia" w:cstheme="minorEastAsia"/>
          <w:color w:val="auto"/>
          <w:spacing w:val="-6"/>
          <w:sz w:val="24"/>
          <w:szCs w:val="24"/>
          <w:highlight w:val="none"/>
        </w:rPr>
        <w:t>投标截止时间即供应商提交投标文件的截止时间见</w:t>
      </w:r>
      <w:r>
        <w:rPr>
          <w:rFonts w:hint="eastAsia" w:asciiTheme="minorEastAsia" w:hAnsiTheme="minorEastAsia" w:eastAsiaTheme="minorEastAsia" w:cstheme="minorEastAsia"/>
          <w:b/>
          <w:bCs/>
          <w:color w:val="auto"/>
          <w:spacing w:val="-6"/>
          <w:sz w:val="24"/>
          <w:szCs w:val="24"/>
          <w:highlight w:val="none"/>
        </w:rPr>
        <w:t>投标须知前附表</w:t>
      </w:r>
      <w:r>
        <w:rPr>
          <w:rFonts w:hint="eastAsia" w:asciiTheme="minorEastAsia" w:hAnsiTheme="minorEastAsia" w:eastAsiaTheme="minorEastAsia" w:cstheme="minorEastAsia"/>
          <w:color w:val="auto"/>
          <w:spacing w:val="-6"/>
          <w:sz w:val="24"/>
          <w:szCs w:val="24"/>
          <w:highlight w:val="none"/>
        </w:rPr>
        <w:t>。</w:t>
      </w:r>
    </w:p>
    <w:p w14:paraId="1459F6AA">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 招标文件的澄清或者修改</w:t>
      </w:r>
    </w:p>
    <w:p w14:paraId="405D5CF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 采购人或者采购代理机构对己发出的招标文件进行必要澄清或者修改的，澄清或者修改的内容可能影响投标文件编制的，采购人或者采购代理机构应当在投标截止时间至少15日前，以书面形式通知所有获取招标文件的潜在供应商，并在财政部门指定的政府采购信息发布媒体上发布更正公告。该澄清或者修改的内容为招标文件的组成部分。</w:t>
      </w:r>
    </w:p>
    <w:p w14:paraId="5C610B4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 如果澄清或者修改发出的时间距规定的投标截止时间不足15日，将相应顺延投标截止时间。</w:t>
      </w:r>
    </w:p>
    <w:p w14:paraId="76E6814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 供应商认为招标文件存在歧视性条款的，应在收到招标文件之日或者招标文件公告期限届满之日起7个工作日内以书面形式向采购人或者采购代理机构提出。</w:t>
      </w:r>
    </w:p>
    <w:p w14:paraId="2312814D">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1F5D4F26">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三、投标文件</w:t>
      </w:r>
    </w:p>
    <w:p w14:paraId="53A2CAFB">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 一般要求</w:t>
      </w:r>
    </w:p>
    <w:p w14:paraId="55FF95E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供应商应仔细阅读招标文件的所有内容，按招标文件的要求编制投标文件，并保证所提供的全部资料的真实性，以使其投标文件对招标文件做出实质性的响应。</w:t>
      </w:r>
    </w:p>
    <w:p w14:paraId="79B6614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 供应商提交的投标文件及供应商与采购人或采购代理机构就有关招标的所有来往函电均使用中文。供应商可以提交其它语言的资料，但应附中文注释，在有差异时以中文为准。</w:t>
      </w:r>
    </w:p>
    <w:p w14:paraId="4A5025E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 计量单位应使用我国法定计量单位．未列明时应默认为我国法定计量单位。</w:t>
      </w:r>
    </w:p>
    <w:p w14:paraId="50FCDED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 投标文件应采用书面形式，传真、电子邮件形式的投标文件概不接受。</w:t>
      </w:r>
    </w:p>
    <w:p w14:paraId="5FFC005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13.5 供应商应按招标文件中提供的投标文件格式填写。</w:t>
      </w:r>
    </w:p>
    <w:p w14:paraId="31CF6595">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 投标文件的组成</w:t>
      </w:r>
    </w:p>
    <w:p w14:paraId="0F6E2A80">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14.1投标文件由下列内容组成</w:t>
      </w:r>
    </w:p>
    <w:p w14:paraId="4799E92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一、投标函、投标声明</w:t>
      </w:r>
    </w:p>
    <w:p w14:paraId="5600D3E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附件1：法定代表人身份证明（法定代表人参加投标）    </w:t>
      </w:r>
    </w:p>
    <w:p w14:paraId="28189F6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附件2：法定代表人授权书（委托代理人参加投标）</w:t>
      </w:r>
    </w:p>
    <w:p w14:paraId="1596BFE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二、投标保证金</w:t>
      </w:r>
    </w:p>
    <w:p w14:paraId="4FB4242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附件3：投标保证金打款凭证复印件</w:t>
      </w:r>
    </w:p>
    <w:p w14:paraId="3002440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三、开标一览表及投标报价明细表</w:t>
      </w:r>
    </w:p>
    <w:p w14:paraId="0F825AB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附件4：开标一览表    </w:t>
      </w:r>
    </w:p>
    <w:p w14:paraId="41E5AEC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附件5：投标报价明细表    </w:t>
      </w:r>
    </w:p>
    <w:p w14:paraId="4E4F487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附件6：节能、环境标志产品加分明细表    </w:t>
      </w:r>
    </w:p>
    <w:p w14:paraId="7EC6416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附件7：中小微型企业产品明细表</w:t>
      </w:r>
    </w:p>
    <w:p w14:paraId="1E66941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四、供应商的资格证明材料</w:t>
      </w:r>
    </w:p>
    <w:p w14:paraId="79A40CE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附件8：投标供应商基本情况表    </w:t>
      </w:r>
    </w:p>
    <w:p w14:paraId="36392492">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附件9：中小企业声明函</w:t>
      </w:r>
      <w:r>
        <w:rPr>
          <w:rFonts w:hint="eastAsia" w:asciiTheme="minorEastAsia" w:hAnsiTheme="minorEastAsia" w:eastAsiaTheme="minorEastAsia" w:cstheme="minorEastAsia"/>
          <w:color w:val="auto"/>
          <w:sz w:val="24"/>
          <w:szCs w:val="24"/>
          <w:highlight w:val="none"/>
          <w:lang w:eastAsia="zh-CN"/>
        </w:rPr>
        <w:t>、分包意向协议</w:t>
      </w:r>
    </w:p>
    <w:p w14:paraId="3328FE3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残疾人福利性单位声明函</w:t>
      </w:r>
    </w:p>
    <w:p w14:paraId="792F0C23">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附件11</w:t>
      </w:r>
      <w:r>
        <w:rPr>
          <w:rFonts w:hint="eastAsia" w:asciiTheme="minorEastAsia" w:hAnsiTheme="minorEastAsia" w:eastAsiaTheme="minorEastAsia" w:cstheme="minorEastAsia"/>
          <w:color w:val="auto"/>
          <w:sz w:val="24"/>
          <w:szCs w:val="24"/>
          <w:highlight w:val="none"/>
          <w:lang w:eastAsia="zh-CN"/>
        </w:rPr>
        <w:t>：不存在与参加本项目的其它供应商单位负责人为同一人或者存在直接控股、管理关系承诺函</w:t>
      </w:r>
    </w:p>
    <w:p w14:paraId="2A0C0594">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附件1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：未提供本采购项目的整体设计、规范编制或者项目管理、监理、检测等服务的承诺函</w:t>
      </w:r>
    </w:p>
    <w:p w14:paraId="637F8E8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投标供应商近三年类似项目一览表</w:t>
      </w:r>
    </w:p>
    <w:p w14:paraId="2B97694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五、商务／技术偏离表</w:t>
      </w:r>
    </w:p>
    <w:p w14:paraId="4795647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六、项目整体实施方案</w:t>
      </w:r>
    </w:p>
    <w:p w14:paraId="5853F54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售后服务附表</w:t>
      </w:r>
    </w:p>
    <w:p w14:paraId="0658DD5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拟投入本项目主要人员汇总表</w:t>
      </w:r>
    </w:p>
    <w:p w14:paraId="720C709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拟投入本项目的主要人员简历表</w:t>
      </w:r>
    </w:p>
    <w:p w14:paraId="0D44CFE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七、信用查询记录</w:t>
      </w:r>
    </w:p>
    <w:p w14:paraId="2FB5422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八、供应商认为需提供的其它资料</w:t>
      </w:r>
    </w:p>
    <w:p w14:paraId="59A5A53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根据《中华人民共和国政府采购法》第四十二条的规定，供应商无论中标与否，其投标文件均不予退还。</w:t>
      </w:r>
    </w:p>
    <w:p w14:paraId="2D23DD54">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15. 报价</w:t>
      </w:r>
    </w:p>
    <w:p w14:paraId="5E49FCD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 供应商应当根据招标文件的招标要求和招标范围，以人民币报价，以元为单位，保留小数点后两位。</w:t>
      </w:r>
    </w:p>
    <w:p w14:paraId="791B828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 投标报价是履行合同的最终价格，应包括为完成本项目招标范围内所有货物供货、运输、安装调试、培训、保险、税金及其它附带服务的全部费用。供应商漏报的单价或每项单价报价中漏报、少报的费用，视为此项费用已隐含在其他报价中，中标后不予调整。</w:t>
      </w:r>
    </w:p>
    <w:p w14:paraId="0E67F70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 供应商应按第五章“技术标准和要求”要求及第六章“投标文件格式”填写。供应商在本章第11.1款规定的提交投标文件截止时间前修改开标一览表中的报价，应同时修改其按第六章要求填写的相应表格中的报价。此修改须符合本章第21.1款的有关要求。</w:t>
      </w:r>
    </w:p>
    <w:p w14:paraId="429DCB8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 投标文件中标明的价格在合同执行过程中是固定不变的，不得以任何理由予以变更。以可变动价格提交的投标报价将被认为是非实质响应而被拒绝。</w:t>
      </w:r>
    </w:p>
    <w:p w14:paraId="204D6B5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15.5 本采购项目设定采购预算</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，供应商的报价不得超过采购项目预算，采购项目预算或其计算方法见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060EC7F6">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 供应商符合招标文件规定的资格证明文件</w:t>
      </w:r>
    </w:p>
    <w:p w14:paraId="5C8BA4F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供应商应提供资格证明材料，以证实其各项条件能满足本章第3.1款规定的供应商资格条件要求。</w:t>
      </w:r>
    </w:p>
    <w:p w14:paraId="40E2D0E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 供应商为联合体形式的，则应提交联合体各方资格文件、联合体协议，否则将视为非实质投标而被拒绝。</w:t>
      </w:r>
    </w:p>
    <w:p w14:paraId="793E285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16.3 供应商应当提交符合招标文件规定的业绩证明文件，该证明文件作为投标文件的一部分，业绩证明文件要求详见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14039CC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16.4 供应商在货物说明中应当说明货物的品牌型号、规格参数、制造商及原产地等，交货时应出具原产地证明及出厂合格证明。</w:t>
      </w:r>
    </w:p>
    <w:p w14:paraId="248454C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16.5 上述证明文件可以是文字资料、图纸和数据，并须提供：</w:t>
      </w:r>
    </w:p>
    <w:p w14:paraId="4D164D6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16.5.1 货物主要性能和参数的详细说明；</w:t>
      </w:r>
    </w:p>
    <w:p w14:paraId="4819610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16.5.2 对照招标文件技术规格，逐条说明所提供货物和服务对招标文件的技术规格条文的响应与偏离。对有具体参数要求的指标，供应商应提供具体参数值。</w:t>
      </w:r>
    </w:p>
    <w:p w14:paraId="3A7D6506">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17. 投标保证金</w:t>
      </w:r>
    </w:p>
    <w:p w14:paraId="6810A29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17.1 </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规定交纳投标保证金的，应按</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规定的形式、金额，在本章第11.1款规定的提交投标文件截止时间前，提交投标保证金。投标保证金有效期应当与本章第18.1款规定的投标文件有效期一致。</w:t>
      </w:r>
    </w:p>
    <w:p w14:paraId="03776F7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 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73546B2">
      <w:pPr>
        <w:pStyle w:val="65"/>
        <w:spacing w:line="240" w:lineRule="auto"/>
        <w:ind w:firstLine="560"/>
        <w:jc w:val="both"/>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auto"/>
          <w:sz w:val="24"/>
          <w:szCs w:val="24"/>
          <w:highlight w:val="none"/>
        </w:rPr>
        <w:t>采购人或者采购代理机构应当自中标通知书发出之日起5个工作日内退还未中标人的投标保证金，自采购合同签订之日起5个工作日内退还中标人的投标保证金。</w:t>
      </w:r>
    </w:p>
    <w:p w14:paraId="2E9532C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 有下列情形之一的，投标保证金不予退还：</w:t>
      </w:r>
    </w:p>
    <w:p w14:paraId="0957897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17.3.1 供应商在投标有效期内撤销投标文件的；</w:t>
      </w:r>
    </w:p>
    <w:p w14:paraId="63BD71DC">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17.3.2 中标后无正当理由不与采购人签订合同的</w:t>
      </w:r>
      <w:r>
        <w:rPr>
          <w:rFonts w:hint="eastAsia" w:asciiTheme="minorEastAsia" w:hAnsiTheme="minorEastAsia" w:eastAsiaTheme="minorEastAsia" w:cstheme="minorEastAsia"/>
          <w:color w:val="auto"/>
          <w:sz w:val="24"/>
          <w:szCs w:val="24"/>
          <w:highlight w:val="none"/>
          <w:lang w:eastAsia="zh-CN"/>
        </w:rPr>
        <w:t>；</w:t>
      </w:r>
    </w:p>
    <w:p w14:paraId="333FE277">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17.3.3 将中标项目转让给他人，或者在投标文件中未说明，且未经采购人同意，将中标项目分包给他人的</w:t>
      </w:r>
      <w:r>
        <w:rPr>
          <w:rFonts w:hint="eastAsia" w:asciiTheme="minorEastAsia" w:hAnsiTheme="minorEastAsia" w:eastAsiaTheme="minorEastAsia" w:cstheme="minorEastAsia"/>
          <w:color w:val="auto"/>
          <w:sz w:val="24"/>
          <w:szCs w:val="24"/>
          <w:highlight w:val="none"/>
          <w:lang w:eastAsia="zh-CN"/>
        </w:rPr>
        <w:t>；</w:t>
      </w:r>
    </w:p>
    <w:p w14:paraId="59AFF8A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17.3.4 中标人未按招标文件规定缴纳履约保证金的；</w:t>
      </w:r>
    </w:p>
    <w:p w14:paraId="4AE1BC5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17.3.5 拒绝履行合同义务的。</w:t>
      </w:r>
    </w:p>
    <w:p w14:paraId="605A43C7">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18. 投标有效期</w:t>
      </w:r>
    </w:p>
    <w:p w14:paraId="065882E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 投标有效期见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，在此期间投标文件对供应商具有法律约束力，从本章第11.1款规定的提交投标文件截止时间之日起计算。投标文件有效期不足的将被视为</w:t>
      </w:r>
      <w:r>
        <w:rPr>
          <w:rFonts w:hint="eastAsia" w:asciiTheme="minorEastAsia" w:hAnsiTheme="minorEastAsia" w:eastAsiaTheme="minorEastAsia" w:cstheme="minorEastAsia"/>
          <w:b/>
          <w:bCs/>
          <w:color w:val="auto"/>
          <w:sz w:val="24"/>
          <w:szCs w:val="24"/>
          <w:highlight w:val="none"/>
        </w:rPr>
        <w:t>无效投标</w:t>
      </w:r>
      <w:r>
        <w:rPr>
          <w:rFonts w:hint="eastAsia" w:asciiTheme="minorEastAsia" w:hAnsiTheme="minorEastAsia" w:eastAsiaTheme="minorEastAsia" w:cstheme="minorEastAsia"/>
          <w:color w:val="auto"/>
          <w:sz w:val="24"/>
          <w:szCs w:val="24"/>
          <w:highlight w:val="none"/>
        </w:rPr>
        <w:t>。</w:t>
      </w:r>
    </w:p>
    <w:p w14:paraId="72A4BB3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18.2 投标文件中承诺的投标有效期应当不少于招标文件中载明的投标有效期。投标有效期内投标人撤销投标文件的，采购人或者采购代理机构可以不退还投标保证金。</w:t>
      </w:r>
    </w:p>
    <w:p w14:paraId="25B819FD">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19. 投标文件的签署</w:t>
      </w:r>
    </w:p>
    <w:p w14:paraId="658E6E9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 投标文件的正本和副本应分别装订成册，正本一份，副本份数见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正本和副本的封面上应标记“正本”或“副本”的字样，正本与副本内容须保持一致，如正本与副本内容存在差异，按废标处理。封面标明所采购的项目名称、项目编号、采购人名称、供应商名称、供应商地址、联系人、联系电话及传真等内容。</w:t>
      </w:r>
    </w:p>
    <w:p w14:paraId="115CCEC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 投标文件正本和副本应按招标文件要求签章处盖单位章和由法定代表人或其委托代理人签字；任何加行、涂改、增删，应有法定代表人或其委托代理人在旁边签字。</w:t>
      </w:r>
      <w:r>
        <w:rPr>
          <w:rFonts w:hint="eastAsia" w:asciiTheme="minorEastAsia" w:hAnsiTheme="minorEastAsia" w:eastAsiaTheme="minorEastAsia" w:cstheme="minorEastAsia"/>
          <w:b/>
          <w:bCs/>
          <w:color w:val="auto"/>
          <w:sz w:val="24"/>
          <w:szCs w:val="24"/>
          <w:highlight w:val="none"/>
        </w:rPr>
        <w:t>否则，将导致投标文件无效。</w:t>
      </w:r>
    </w:p>
    <w:p w14:paraId="3ED63BDD">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5AA4D38E">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四、投标文件的递交</w:t>
      </w:r>
    </w:p>
    <w:p w14:paraId="23E1EE26">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20. 投标文件的密封和标记</w:t>
      </w:r>
    </w:p>
    <w:p w14:paraId="4EC0BB5C">
      <w:pPr>
        <w:pStyle w:val="65"/>
        <w:spacing w:line="240" w:lineRule="auto"/>
        <w:ind w:firstLine="56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20.1 供应商应在招标文件规定的响应文件递交截止时间前将电子响应文件上传到指定新疆政府采购网政采云平台。未在响应文件递交截止时间前完成上传的电子响应文件视为逾期送达。逾期上传或未按规定方式上传的电子响应文件，采购单位不予受理。</w:t>
      </w:r>
    </w:p>
    <w:p w14:paraId="227C1B66">
      <w:pPr>
        <w:pStyle w:val="65"/>
        <w:spacing w:line="240" w:lineRule="auto"/>
        <w:ind w:firstLine="56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20.2 是否采用不见面开标详见投标须知前附表。若项目采用不见面开标，只需将电子响应文件在响应文件递交截止时间前通过新疆政府采购网政采云平台上传完成。逾期上传的或者未上传到平台的响应文件，采购人不予受理。</w:t>
      </w:r>
    </w:p>
    <w:p w14:paraId="6D8437D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20.3 采购单位将拒绝并原封退回在规定的响应文件递交截止期后送达的任何响应文件。由于对网上操作不熟悉或自身电脑、网络的原因导致</w:t>
      </w:r>
      <w:r>
        <w:rPr>
          <w:rFonts w:hint="eastAsia" w:asciiTheme="minorEastAsia" w:hAnsiTheme="minorEastAsia" w:eastAsiaTheme="minorEastAsia" w:cstheme="minorEastAsia"/>
          <w:color w:val="auto"/>
          <w:sz w:val="24"/>
          <w:szCs w:val="24"/>
          <w:highlight w:val="none"/>
        </w:rPr>
        <w:t>不能在响应文件递交截止时间之前上传响应文件，新疆政府采购网政采云平台将不负任何责任。</w:t>
      </w:r>
    </w:p>
    <w:p w14:paraId="760DF34A">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 投标文件的补充，修改或者撤回</w:t>
      </w:r>
    </w:p>
    <w:p w14:paraId="341B9B71">
      <w:pPr>
        <w:pStyle w:val="65"/>
        <w:spacing w:line="240" w:lineRule="auto"/>
        <w:ind w:firstLine="56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21.1 供应商在</w:t>
      </w:r>
      <w:r>
        <w:rPr>
          <w:rFonts w:hint="eastAsia" w:asciiTheme="minorEastAsia" w:hAnsiTheme="minorEastAsia" w:eastAsiaTheme="minorEastAsia" w:cstheme="minorEastAsia"/>
          <w:color w:val="auto"/>
          <w:sz w:val="24"/>
          <w:szCs w:val="24"/>
          <w:highlight w:val="none"/>
        </w:rPr>
        <w:t>招标</w:t>
      </w:r>
      <w:r>
        <w:rPr>
          <w:rFonts w:hint="eastAsia" w:asciiTheme="minorEastAsia" w:hAnsiTheme="minorEastAsia" w:eastAsiaTheme="minorEastAsia" w:cstheme="minorEastAsia"/>
          <w:color w:val="auto"/>
          <w:kern w:val="2"/>
          <w:sz w:val="24"/>
          <w:szCs w:val="24"/>
          <w:highlight w:val="none"/>
        </w:rPr>
        <w:t>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AE121B0">
      <w:pPr>
        <w:pStyle w:val="146"/>
        <w:topLinePunct/>
        <w:spacing w:line="240" w:lineRule="auto"/>
        <w:ind w:firstLine="56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21.22供应商所提交的响应文件在评审结束后，无论中标与否都不退还。</w:t>
      </w:r>
    </w:p>
    <w:p w14:paraId="5614389F">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 投标文件的递交与接收</w:t>
      </w:r>
    </w:p>
    <w:p w14:paraId="007D6F3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 供应商应在本章第11.1款规定的投标截止时间前，将投标文件送达</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中指定的地点。在截止时间后送达的投标文件，采购人、采购代理机构应当拒收。</w:t>
      </w:r>
    </w:p>
    <w:p w14:paraId="01E6364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 如</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中要求提供样品的，应按要求在投标截止时间前提供样品及相关资料。</w:t>
      </w:r>
    </w:p>
    <w:p w14:paraId="78A397E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采购活动结束后，对于未中标人提供的样品，应当及时退还或者经未中标人同意后自行处理；对于中标人提供的样品，应当按照招标文件的规定进行保管、封存，并作为履约验收的参考。</w:t>
      </w:r>
    </w:p>
    <w:p w14:paraId="3DEC0A77">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32DCEEF9">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五、开标和评标</w:t>
      </w:r>
    </w:p>
    <w:p w14:paraId="4690E74A">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 开标</w:t>
      </w:r>
    </w:p>
    <w:p w14:paraId="7AF342C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采购代理机构在招标文件规定的投标截止时间的同一时间即开标时间和规定的地点组织公开开标，开标由采购人或者采购代理机构主持，并邀请所有供应商法定代表人或其授权的代理人参加。评标委员会成员不得参加开标活动。</w:t>
      </w:r>
    </w:p>
    <w:p w14:paraId="69089C9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 开标时，由采购人或者采购代理机构工作人员当众唱标，宣布投标人名称、投标价格和招标文件规定的需要宣布的其他内容，并记录在案。</w:t>
      </w:r>
    </w:p>
    <w:p w14:paraId="0B745B86">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投标人不足3家的，不得开标。</w:t>
      </w:r>
    </w:p>
    <w:p w14:paraId="1CC7AEF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23.3 开标过程应当由采购人或者采购代理机构负责记录，由参加开标的采购人代表、监督人、记录人和相关工作人员签字确认后随采购文件一并存档。</w:t>
      </w:r>
    </w:p>
    <w:p w14:paraId="74C4F01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B8BF4E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23.4 公开招标数额标准以上的采购项目，投标截止时间后投标人不足3家或者通过资格审查或符合性审查的投标人不足3家的，除采购任务取消情形外，按照以下方式处理：</w:t>
      </w:r>
    </w:p>
    <w:p w14:paraId="2B249F0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（一）招标文件存在不合理条款或者招标程序不符合规定的，采购人、采购代理机构改正后依法重新招标；</w:t>
      </w:r>
    </w:p>
    <w:p w14:paraId="6480D05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（二）招标文件没有不合理条款、招标程序符合规定，需要采用其他采购方式采购的，采购人应当依法报财政部门批准。</w:t>
      </w:r>
    </w:p>
    <w:p w14:paraId="418EDCB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23.5 公开招标采购项目开标结束后，采购人或者采购代理机构应当依法对投标人的资格进行审查。</w:t>
      </w:r>
    </w:p>
    <w:p w14:paraId="7201A9A3">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合格投标人不足3家的，不得评标。</w:t>
      </w:r>
    </w:p>
    <w:p w14:paraId="01664765">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23.6 </w:t>
      </w:r>
      <w:r>
        <w:rPr>
          <w:rFonts w:hint="eastAsia" w:asciiTheme="minorEastAsia" w:hAnsiTheme="minorEastAsia" w:eastAsiaTheme="minorEastAsia" w:cstheme="minorEastAsia"/>
          <w:bCs/>
          <w:color w:val="auto"/>
          <w:sz w:val="24"/>
          <w:szCs w:val="24"/>
          <w:highlight w:val="none"/>
        </w:rPr>
        <w:t>投标人应当遵循公平竞争的原则，不得恶意串通，不得妨碍其他投标人的竞争行为，不得损害采购人或者其他投标人的合法权益。</w:t>
      </w:r>
    </w:p>
    <w:p w14:paraId="52781B87">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在评标过程中发现投标人有上述情形的，评标委员会应当认定其</w:t>
      </w:r>
      <w:r>
        <w:rPr>
          <w:rFonts w:hint="eastAsia" w:asciiTheme="minorEastAsia" w:hAnsiTheme="minorEastAsia" w:eastAsiaTheme="minorEastAsia" w:cstheme="minorEastAsia"/>
          <w:b/>
          <w:color w:val="auto"/>
          <w:sz w:val="24"/>
          <w:szCs w:val="24"/>
          <w:highlight w:val="none"/>
        </w:rPr>
        <w:t>投标无效</w:t>
      </w:r>
      <w:r>
        <w:rPr>
          <w:rFonts w:hint="eastAsia" w:asciiTheme="minorEastAsia" w:hAnsiTheme="minorEastAsia" w:eastAsiaTheme="minorEastAsia" w:cstheme="minorEastAsia"/>
          <w:bCs/>
          <w:color w:val="auto"/>
          <w:sz w:val="24"/>
          <w:szCs w:val="24"/>
          <w:highlight w:val="none"/>
        </w:rPr>
        <w:t>，并书面报告本级财政部门。</w:t>
      </w:r>
    </w:p>
    <w:p w14:paraId="55E9A827">
      <w:pPr>
        <w:pStyle w:val="65"/>
        <w:spacing w:line="240" w:lineRule="auto"/>
        <w:ind w:firstLine="56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23.7 有下列情形之一的，视为投标人串通投标，其投标无效,并对供应商依照《政府采购法》第七十七条的规定追究法律责任：</w:t>
      </w:r>
    </w:p>
    <w:p w14:paraId="3D1001FF">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（一）不同投标人的投标文件由同一单位或者个人编制；</w:t>
      </w:r>
    </w:p>
    <w:p w14:paraId="43CC6D3C">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（二）不同投标人委托同一单位或者个人办理投标事宜；</w:t>
      </w:r>
    </w:p>
    <w:p w14:paraId="2FB840A1">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w:t>
      </w:r>
      <w:r>
        <w:rPr>
          <w:rFonts w:hint="eastAsia" w:asciiTheme="minorEastAsia" w:hAnsiTheme="minorEastAsia" w:eastAsiaTheme="minorEastAsia" w:cstheme="minorEastAsia"/>
          <w:bCs/>
          <w:color w:val="auto"/>
          <w:spacing w:val="-9"/>
          <w:sz w:val="24"/>
          <w:szCs w:val="24"/>
          <w:highlight w:val="none"/>
        </w:rPr>
        <w:t>不同投标人的投标文件载明的项目管理成员或者联系人员为同一人；</w:t>
      </w:r>
    </w:p>
    <w:p w14:paraId="3F2AC2C6">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（四）不同投标人的投标文件异常一致或者投标报价呈规律性差异；</w:t>
      </w:r>
    </w:p>
    <w:p w14:paraId="424DC7FA">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（五）不同投标人的投标文件相互混装；</w:t>
      </w:r>
    </w:p>
    <w:p w14:paraId="1CD7B274">
      <w:pPr>
        <w:pStyle w:val="65"/>
        <w:spacing w:line="240" w:lineRule="auto"/>
        <w:ind w:firstLine="56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（六）不同投标人的投标保证金从同一单位或者个人的账户转出。</w:t>
      </w:r>
    </w:p>
    <w:p w14:paraId="24D3468C">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 评标委员会</w:t>
      </w:r>
    </w:p>
    <w:p w14:paraId="48E27321">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 采购人或者采购代理机构负责组织评标工作，并履行下列职责：</w:t>
      </w:r>
    </w:p>
    <w:p w14:paraId="771EF67F">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24.1.1</w:t>
      </w:r>
      <w:r>
        <w:rPr>
          <w:rFonts w:hint="eastAsia" w:asciiTheme="minorEastAsia" w:hAnsiTheme="minorEastAsia" w:eastAsiaTheme="minorEastAsia" w:cstheme="minorEastAsia"/>
          <w:spacing w:val="-9"/>
          <w:sz w:val="24"/>
          <w:szCs w:val="24"/>
          <w:highlight w:val="none"/>
        </w:rPr>
        <w:t>核对评审专家身份和采购人代表授权函，对评审专家在政府采购活动中的职责履行情况予以记录，并及时将有关违法违规行为向财政部门报告；</w:t>
      </w:r>
    </w:p>
    <w:p w14:paraId="1B5D1232">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24.1.2宣布评标纪律；</w:t>
      </w:r>
    </w:p>
    <w:p w14:paraId="3460471B">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24.1.3公布投标人名单，告知评审专家应当回避的情形；</w:t>
      </w:r>
    </w:p>
    <w:p w14:paraId="10A00321">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24.1.4组织评标委员会推选评标组长,采购人代表不得担任组长；</w:t>
      </w:r>
    </w:p>
    <w:p w14:paraId="024D03D7">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24.1.5</w:t>
      </w:r>
      <w:r>
        <w:rPr>
          <w:rFonts w:hint="eastAsia" w:asciiTheme="minorEastAsia" w:hAnsiTheme="minorEastAsia" w:eastAsiaTheme="minorEastAsia" w:cstheme="minorEastAsia"/>
          <w:spacing w:val="-9"/>
          <w:sz w:val="24"/>
          <w:szCs w:val="24"/>
          <w:highlight w:val="none"/>
        </w:rPr>
        <w:t>在评标期间采取必要的通讯管理措施,保证评标活动不受外界干扰；</w:t>
      </w:r>
    </w:p>
    <w:p w14:paraId="07F306CE">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24.1.6根据评标委员会的要求介绍政府采购相关政策法规、招标文件；</w:t>
      </w:r>
    </w:p>
    <w:p w14:paraId="4E04826D">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24.1.7维护评标秩序，监督评标委员会依照招标文件规定的评标程序、方法和标准进行独立评审，及时制止和纠正采购人代表、评审专家的倾向性言论或者违法违规行为；</w:t>
      </w:r>
    </w:p>
    <w:p w14:paraId="28AAE547">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24.1.8</w:t>
      </w:r>
      <w:r>
        <w:rPr>
          <w:rFonts w:hint="eastAsia" w:asciiTheme="minorEastAsia" w:hAnsiTheme="minorEastAsia" w:eastAsiaTheme="minorEastAsia" w:cstheme="minorEastAsia"/>
          <w:spacing w:val="-9"/>
          <w:sz w:val="24"/>
          <w:szCs w:val="24"/>
          <w:highlight w:val="none"/>
        </w:rPr>
        <w:t>核对评标结果，有本招标文件投标须知正文第25.10条规定情形的，要求评标委员会复核或者书面说明理由，评标委员会拒绝的，应予记录并向本级财政部门报告；</w:t>
      </w:r>
    </w:p>
    <w:p w14:paraId="37F8F00E">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24.1.9评审工作完成后，按照规定向评审专家支付劳务报酬和异地评审差旅费，不得向评审专家以外的其他人员支付评审劳务报酬；</w:t>
      </w:r>
    </w:p>
    <w:p w14:paraId="2A3BAC54">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24.1.10处理与评标有关的其他事项。</w:t>
      </w:r>
    </w:p>
    <w:p w14:paraId="3B8BEFD7">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采购人可以在评标前说明项目背景和采购需求，说明内容不得含有歧视性、倾向性意见，不得超出招标文件所述范围。说明应当提交书面材料，并随采购文件一并存档。</w:t>
      </w:r>
    </w:p>
    <w:p w14:paraId="75258D19">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 评标委员会负责具体评标事务，并独立履行下列职责：</w:t>
      </w:r>
    </w:p>
    <w:p w14:paraId="6C98D476">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24.2.1</w:t>
      </w:r>
      <w:r>
        <w:rPr>
          <w:rFonts w:hint="eastAsia" w:asciiTheme="minorEastAsia" w:hAnsiTheme="minorEastAsia" w:eastAsiaTheme="minorEastAsia" w:cstheme="minorEastAsia"/>
          <w:spacing w:val="-9"/>
          <w:sz w:val="24"/>
          <w:szCs w:val="24"/>
          <w:highlight w:val="none"/>
        </w:rPr>
        <w:t>审查、评价投标文件是否符合招标文件的商务、技术等实质性要求；</w:t>
      </w:r>
    </w:p>
    <w:p w14:paraId="25A19F37">
      <w:pPr>
        <w:spacing w:line="240" w:lineRule="auto"/>
        <w:ind w:firstLine="561"/>
        <w:rPr>
          <w:rFonts w:hint="eastAsia" w:asciiTheme="minorEastAsia" w:hAnsiTheme="minorEastAsia" w:eastAsiaTheme="minorEastAsia" w:cstheme="minorEastAsia"/>
          <w:sz w:val="24"/>
          <w:szCs w:val="24"/>
          <w:highlight w:val="none"/>
        </w:rPr>
      </w:pPr>
      <w:bookmarkStart w:id="5" w:name="OLE_LINK4"/>
      <w:r>
        <w:rPr>
          <w:rFonts w:hint="eastAsia" w:asciiTheme="minorEastAsia" w:hAnsiTheme="minorEastAsia" w:eastAsiaTheme="minorEastAsia" w:cstheme="minorEastAsia"/>
          <w:sz w:val="24"/>
          <w:szCs w:val="24"/>
          <w:highlight w:val="none"/>
        </w:rPr>
        <w:t>24.2.</w:t>
      </w:r>
      <w:bookmarkEnd w:id="5"/>
      <w:r>
        <w:rPr>
          <w:rFonts w:hint="eastAsia" w:asciiTheme="minorEastAsia" w:hAnsiTheme="minorEastAsia" w:eastAsiaTheme="minorEastAsia" w:cstheme="minorEastAsia"/>
          <w:sz w:val="24"/>
          <w:szCs w:val="24"/>
          <w:highlight w:val="none"/>
        </w:rPr>
        <w:t>2要求投标人对投标文件有关事项作出澄清或者说明；</w:t>
      </w:r>
    </w:p>
    <w:p w14:paraId="00F4DBFA">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24.2.3对投标文件进行比较和评价；</w:t>
      </w:r>
    </w:p>
    <w:p w14:paraId="6DD5FFB0">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24.2.4确定中标候选人名单，以及根据采购人委托直接确定中标人；</w:t>
      </w:r>
    </w:p>
    <w:p w14:paraId="76091F0D">
      <w:pPr>
        <w:spacing w:line="240" w:lineRule="auto"/>
        <w:ind w:firstLine="561"/>
        <w:rPr>
          <w:rFonts w:hint="eastAsia" w:asciiTheme="minorEastAsia" w:hAnsiTheme="minorEastAsia" w:eastAsiaTheme="minorEastAsia" w:cstheme="minorEastAsia"/>
          <w:spacing w:val="-9"/>
          <w:sz w:val="24"/>
          <w:szCs w:val="24"/>
          <w:highlight w:val="none"/>
        </w:rPr>
      </w:pPr>
      <w:r>
        <w:rPr>
          <w:rFonts w:hint="eastAsia" w:asciiTheme="minorEastAsia" w:hAnsiTheme="minorEastAsia" w:eastAsiaTheme="minorEastAsia" w:cstheme="minorEastAsia"/>
          <w:sz w:val="24"/>
          <w:szCs w:val="24"/>
          <w:highlight w:val="none"/>
        </w:rPr>
        <w:t>24.2.5</w:t>
      </w:r>
      <w:r>
        <w:rPr>
          <w:rFonts w:hint="eastAsia" w:asciiTheme="minorEastAsia" w:hAnsiTheme="minorEastAsia" w:eastAsiaTheme="minorEastAsia" w:cstheme="minorEastAsia"/>
          <w:spacing w:val="-9"/>
          <w:sz w:val="24"/>
          <w:szCs w:val="24"/>
          <w:highlight w:val="none"/>
        </w:rPr>
        <w:t>向采购人、采购代理机构或者有关部门报告评标中发现的违法行为。</w:t>
      </w:r>
    </w:p>
    <w:p w14:paraId="22830C32">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24.3 评标委员会由采购人代表和评审专家组成，成员人数应当为5人以上单数，其中评审专家不得少于成员总数的三分之二。评标委员会成员与供应商存在利害关系的，应当回避。</w:t>
      </w:r>
    </w:p>
    <w:p w14:paraId="043E86C1">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采购项目符合下列情形之一的，评标委员会成员人数应当为7人以上单数：</w:t>
      </w:r>
    </w:p>
    <w:p w14:paraId="075C4BCC">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（一）采购预算金额在1000万元以上；</w:t>
      </w:r>
    </w:p>
    <w:p w14:paraId="7DBC9767">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（二）技术复杂；</w:t>
      </w:r>
    </w:p>
    <w:p w14:paraId="0C73AB30">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（三）社会影响较大。</w:t>
      </w:r>
    </w:p>
    <w:p w14:paraId="03A4F45A">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专家对本单位的采购项目只能作为采购人代表参与评标，对技术复杂、专业性强的采购项目，通过随机方式难以确定合适评审专家的，经主管预算单位同意，采购人可以自行选定相应专业领域的评审专家情形除外。采购代理机构工作人员不得参加由本机构代理的政府采购项目的评标。</w:t>
      </w:r>
    </w:p>
    <w:p w14:paraId="15244ECB">
      <w:pPr>
        <w:spacing w:line="240" w:lineRule="auto"/>
        <w:ind w:firstLine="56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评标委员会成员名单在评标结果公告前应当保密。</w:t>
      </w:r>
    </w:p>
    <w:p w14:paraId="4C10E910">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24.4 采购人或者采购代理机构应当从省级以上财政部门设立的政府采购评审专家库中，通过随机方式抽取评审专家。</w:t>
      </w:r>
    </w:p>
    <w:p w14:paraId="398614E4">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对技术复杂、专业性强的采购项目，通过随机方式难以确定合适评审专家的，经主管预算单位同意，采购人可以自行选定相应专业领域的评审专家。</w:t>
      </w:r>
    </w:p>
    <w:p w14:paraId="693A2242">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24.5 评标中因评标委员会成员缺席、回避或者健康等特殊原因导致评标委员会组成不符合《中华人民共和国政府采购法》《中华人民共和国政府采购法实施条例》《政府采购货物和服务招标投标管理办法》相关规定的，采购人或者采购代理机构应当依法补足后继续评标。被更换的评标委员会成员所作出的评标意见无效。</w:t>
      </w:r>
    </w:p>
    <w:p w14:paraId="49DE6B32">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4764E4B">
      <w:pPr>
        <w:spacing w:line="240" w:lineRule="auto"/>
        <w:ind w:firstLine="5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采购人或者采购代理机构应当将变更、重新组建评标委员会的情况予以记录，并随采购文件一并存档。</w:t>
      </w:r>
    </w:p>
    <w:p w14:paraId="5468DD8D">
      <w:pPr>
        <w:spacing w:line="240" w:lineRule="auto"/>
        <w:ind w:firstLine="561"/>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24.6  采购人委派代表参加评审委员会的，要向采购代理机构出具授权函，采购人代表不得担任评标委员会主任委员</w:t>
      </w:r>
      <w:r>
        <w:rPr>
          <w:rFonts w:hint="eastAsia" w:asciiTheme="minorEastAsia" w:hAnsiTheme="minorEastAsia" w:eastAsiaTheme="minorEastAsia" w:cstheme="minorEastAsia"/>
          <w:snapToGrid w:val="0"/>
          <w:sz w:val="24"/>
          <w:szCs w:val="24"/>
          <w:highlight w:val="none"/>
        </w:rPr>
        <w:t>。</w:t>
      </w:r>
      <w:r>
        <w:rPr>
          <w:rFonts w:hint="eastAsia" w:asciiTheme="minorEastAsia" w:hAnsiTheme="minorEastAsia" w:eastAsiaTheme="minorEastAsia" w:cstheme="minorEastAsia"/>
          <w:b/>
          <w:sz w:val="24"/>
          <w:szCs w:val="24"/>
          <w:highlight w:val="none"/>
        </w:rPr>
        <w:t>除授权代表外，采购人可以委派纪检监察等相关人员进入评审现场，对评审工作实施监督，但不得超过２人。</w:t>
      </w:r>
    </w:p>
    <w:p w14:paraId="408B398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24.7  评标委员会成员应认真执行《中华人民共和国政府采购法》、《中华人民共和国政府采购法实施条例》、《政府采购货物和服务招标投标管理办法》及相关法规规定，同时维护采购人与供应商的合法权益。</w:t>
      </w:r>
    </w:p>
    <w:p w14:paraId="6DE1A566">
      <w:pPr>
        <w:pStyle w:val="65"/>
        <w:spacing w:line="240" w:lineRule="auto"/>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24.8 评标委员会及其成员不得有下列行为：</w:t>
      </w:r>
    </w:p>
    <w:p w14:paraId="636E2A90">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（一）确定参与评标至评标结束前私自接触投标人；</w:t>
      </w:r>
    </w:p>
    <w:p w14:paraId="65EBDC4B">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（二）接受投标人提出的与投标文件不一致的澄清或者说明，本招标文件投标须知正文第25.2条规定的情形除外；</w:t>
      </w:r>
    </w:p>
    <w:p w14:paraId="3246C510">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（三）违反评标纪律发表倾向性意见或者征询采购人的倾向性意见；</w:t>
      </w:r>
    </w:p>
    <w:p w14:paraId="5E161CB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（四）对需要专业判断的主观评审因素协商评分；</w:t>
      </w:r>
    </w:p>
    <w:p w14:paraId="6BF32390">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（五）在评标过程中擅离职守，影响评标程序正常进行的；</w:t>
      </w:r>
    </w:p>
    <w:p w14:paraId="7553A68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（六）记录、复制或者带走任何评标资料；</w:t>
      </w:r>
    </w:p>
    <w:p w14:paraId="1467CE5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（七）其他不遵守评标纪律的行为。</w:t>
      </w:r>
    </w:p>
    <w:p w14:paraId="3B4805DC">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评标委员会成员有以上第一至五项行为之一的，其评审意见无效，并不得获取评审劳务报酬和报销异地评审差旅费。</w:t>
      </w:r>
    </w:p>
    <w:p w14:paraId="1A3EA470">
      <w:pPr>
        <w:pStyle w:val="30"/>
        <w:widowControl w:val="0"/>
        <w:snapToGrid w:val="0"/>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24.9评审委员会成员要严格遵守评审时间，主动出具身份证明，遵守评审工作纪律和评审回避的相关规定。在评审工作开始前，将手机等通讯工具或相关电子设备交由采购人或采购代理机构统一保管，拒不上交的，采购人或采购代理机构可以拒绝其参加评审工作并向财政部门报告。</w:t>
      </w:r>
    </w:p>
    <w:p w14:paraId="68042583">
      <w:pPr>
        <w:pStyle w:val="30"/>
        <w:widowControl w:val="0"/>
        <w:snapToGrid w:val="0"/>
        <w:spacing w:line="24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sz w:val="24"/>
          <w:szCs w:val="24"/>
          <w:highlight w:val="none"/>
        </w:rPr>
        <w:t>　　</w:t>
      </w:r>
      <w:r>
        <w:rPr>
          <w:rFonts w:hint="eastAsia" w:asciiTheme="minorEastAsia" w:hAnsiTheme="minorEastAsia" w:eastAsiaTheme="minorEastAsia" w:cstheme="minorEastAsia"/>
          <w:sz w:val="24"/>
          <w:szCs w:val="24"/>
          <w:highlight w:val="none"/>
        </w:rPr>
        <w:t>评审委员会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4BFFCF03">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25. 评标</w:t>
      </w:r>
    </w:p>
    <w:p w14:paraId="1ADE801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 评标委员会按照第三章“评标方法及标准”规定的评标方法、评审因素、标准和程序以及有关法律、法规及规章对投标文件进行评审，评标委员会应当对符合资格的投标人的投标文件进行符合性审查，以确定其是否满足招标文件的实质性要求。</w:t>
      </w:r>
    </w:p>
    <w:p w14:paraId="7716E71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25.2 对于投标文件中含义不明确、同类问题表述不一致或者有明显文字和计算错误的内容，评标委员会应当以书面形式要求投标人作出必要的澄清、说明或者补正。</w:t>
      </w:r>
    </w:p>
    <w:p w14:paraId="20EA775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755C99F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25.3 投标文件报价出现前后不一致的，除招标文件另有规定外，按照下列规定修正：</w:t>
      </w:r>
    </w:p>
    <w:p w14:paraId="7885471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（一）投标文件中开标一览表（报价表）内容与投标文件中相应内容不一致的，以开标一览表（报价表）为准；</w:t>
      </w:r>
    </w:p>
    <w:p w14:paraId="6E9E719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（二）大写金额和小写金额不一致的，以大写金额为准；</w:t>
      </w:r>
    </w:p>
    <w:p w14:paraId="6B4B24E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（三）单价金额小数点或者百分比有明显错位的，以开标一览表的总价为准，并修改单价；</w:t>
      </w:r>
    </w:p>
    <w:p w14:paraId="3ABEF16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（四）总价金额与按单价汇总金额不一致的，以单价金额计算结果为准。</w:t>
      </w:r>
    </w:p>
    <w:p w14:paraId="7F35E8C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同时出现两种以上不一致的，按照前款规定的顺序修正。修正后的报价按照本招标文件投标须知正文第25.2款的规定经投标人确认后产生约束力，投标人不确认的，其投标无效。</w:t>
      </w:r>
    </w:p>
    <w:p w14:paraId="0D2229D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20178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25.5 评标委员会成员对需要共同认定的事项存在争议的，应当按照少数服从多数的原则作出结论。持不同意见的评标委员会成员应当在评标报告上签署不同意见及理由，否则视为同意评标报告。</w:t>
      </w:r>
    </w:p>
    <w:p w14:paraId="28E3EA2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25.6 评标委员会应当按照招标文件中规定的评标方法和标准，对资格性审查、符合性审查合格的投标文件进行商务和技术评估，综合比较与评价。</w:t>
      </w:r>
    </w:p>
    <w:p w14:paraId="1656930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25.7 本项目评标方法为综合评分法。</w:t>
      </w:r>
    </w:p>
    <w:p w14:paraId="682A267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25.7.1 综合评分法，是投标文件满足招标文件全部实质性要求，且按照评审因素的量化指标评审得分最高的投标人为中标候选人的评标方法。</w:t>
      </w:r>
    </w:p>
    <w:p w14:paraId="1C1CC59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评审因素的设定与投标人所提供货物服务的质量相关，包括投标报价、技术或者服务水平、履约能力、售后服务等。资格条件不得作为评审因素。</w:t>
      </w:r>
    </w:p>
    <w:p w14:paraId="1F97B47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25.7.2 评标时，评标委员会各成员应当独立对每个投标人的投标文件进行评价，并汇总每个投标人的得分。</w:t>
      </w:r>
    </w:p>
    <w:p w14:paraId="323ECE4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25.7.3 评标过程中，不得去掉报价中的最高报价和最低报价。</w:t>
      </w:r>
    </w:p>
    <w:p w14:paraId="58B971B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25.7.4 因落实政府采购政策进行价格调整的，以调整后的价格计算评标基准价和投标报价。</w:t>
      </w:r>
    </w:p>
    <w:p w14:paraId="6E16255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25.8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2CF257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25.9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4B3AE5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25.10 评标结果汇总完成后，除下列情形外，任何人不得修改评标结果：</w:t>
      </w:r>
    </w:p>
    <w:p w14:paraId="52CD1E7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（一）分值汇总计算错误的；</w:t>
      </w:r>
    </w:p>
    <w:p w14:paraId="51512FE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（二）分项评分超出评分标准范围的；</w:t>
      </w:r>
    </w:p>
    <w:p w14:paraId="7DFA124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（三）评标委员会成员对客观评审因素评分不一致的；</w:t>
      </w:r>
    </w:p>
    <w:p w14:paraId="55DB261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（四）经评标委员会认定评分畸高、畸低的。</w:t>
      </w:r>
    </w:p>
    <w:p w14:paraId="190A05E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4AB1A1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投标人对上述(一)～(四)项提出质疑的，采购人或者采购代理机构可以组织原评标委员会进行重新评审，重新评审改变评标结果的，应当书面报告本级财政部门。</w:t>
      </w:r>
    </w:p>
    <w:p w14:paraId="14B2B42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25.11 评标委员会根据全体评标成员签字的原始评标记录和评标结果编写评标报告。评标报告应当包括以下内容：</w:t>
      </w:r>
    </w:p>
    <w:p w14:paraId="3728670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（一）招标公告刊登的媒体名称、开标日期和地点；</w:t>
      </w:r>
    </w:p>
    <w:p w14:paraId="70D90D6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（二）投标人名单和评标委员会成员名单；</w:t>
      </w:r>
    </w:p>
    <w:p w14:paraId="77F1842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（三）评标方法和标准；</w:t>
      </w:r>
    </w:p>
    <w:p w14:paraId="65C2A45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（四）开标记录和评标情况及说明，包括无效投标人名单及原因；</w:t>
      </w:r>
    </w:p>
    <w:p w14:paraId="2B8710D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（五）评标结果，确定的中标候选人名单或者经采购人委托直接确定的中标人；</w:t>
      </w:r>
    </w:p>
    <w:p w14:paraId="093EC56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（六）其他需要说明的情况，包括评标过程中投标人根据评标委员会要求进行的澄清、说明或者补正，评标委员会成员的更换等。</w:t>
      </w:r>
    </w:p>
    <w:p w14:paraId="07882F7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25.12 采购人、采购代理机构应当采取必要措施加强评审现场管理，与评审工作无关的人员不得进入评审现场，保证评标在严格保密的情况下进行。除采购人代表、评标现场组织人员外，采购人的其他工作人员以及与评标工作无关的人员不得进入评标现场。各级财政部门对评审活动相关各方违反评审工作纪律及要求的行为，要依法严肃处理。</w:t>
      </w:r>
    </w:p>
    <w:p w14:paraId="6EED5CE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有关人员对评标情况以及在评标过程中获悉的国家秘密、商业秘密负有保密责任。</w:t>
      </w:r>
    </w:p>
    <w:p w14:paraId="08A3101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25.13 评标委员会或者其成员存在下列情形导致评标结果无效的，采购人、采购代理机构可以重新组建评标委员会进行评标，并书面报告本级财政部门，但采购合同已经履行的除外：</w:t>
      </w:r>
    </w:p>
    <w:p w14:paraId="4F5715B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（一）评标委员会组成不符合本招标文件规定的；</w:t>
      </w:r>
    </w:p>
    <w:p w14:paraId="690EEE1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（二）有本招标文件投标须知正文第24.8条第一至五项情形的；</w:t>
      </w:r>
    </w:p>
    <w:p w14:paraId="1831BBC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（三）评标委员会及其成员独立评标受到非法干预的；</w:t>
      </w:r>
    </w:p>
    <w:p w14:paraId="498CA67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（四）有《政府采购法实施条例》第七十五条规定的违法行为的。</w:t>
      </w:r>
    </w:p>
    <w:p w14:paraId="65F1F89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有违法违规行为的原评标委员会成员不得参加重新组建的评标委员会。</w:t>
      </w:r>
    </w:p>
    <w:p w14:paraId="36A88DE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25.14 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5C7E5904">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26. 确定中标人</w:t>
      </w:r>
    </w:p>
    <w:p w14:paraId="1939D6B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26.1 采购代理机构应当在评标结束后2个工作日内将评标报告送采购人。</w:t>
      </w:r>
    </w:p>
    <w:p w14:paraId="732AABA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DE45C4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3A520FE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26.2 采购人或者采购代理机构应当自中标人确定之日起2个工作日内，在省级以上财政部门指定的媒体上公告中标结果，招标文件应当随中标结果同时公告。</w:t>
      </w:r>
    </w:p>
    <w:p w14:paraId="5D4CB00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72D02A4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中标公告期限为1个工作日。</w:t>
      </w:r>
    </w:p>
    <w:p w14:paraId="5257ECC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在公告中标结果的同时，采购人或者采购代理机构应当向中标人发出中标通知书；对未通过资格审查的投标人，应当告知其未通过的原因；采用综合评分法评审的，还应当告知未中标人本人的评审得分与排序。</w:t>
      </w:r>
    </w:p>
    <w:p w14:paraId="79B3288E">
      <w:pPr>
        <w:pStyle w:val="65"/>
        <w:spacing w:line="240" w:lineRule="auto"/>
        <w:ind w:firstLine="560"/>
        <w:jc w:val="both"/>
        <w:rPr>
          <w:rFonts w:hint="eastAsia" w:asciiTheme="minorEastAsia" w:hAnsiTheme="minorEastAsia" w:eastAsiaTheme="minorEastAsia" w:cstheme="minorEastAsia"/>
          <w:color w:val="auto"/>
          <w:spacing w:val="-17"/>
          <w:sz w:val="24"/>
          <w:szCs w:val="24"/>
          <w:highlight w:val="none"/>
        </w:rPr>
      </w:pPr>
      <w:r>
        <w:rPr>
          <w:rFonts w:hint="eastAsia" w:asciiTheme="minorEastAsia" w:hAnsiTheme="minorEastAsia" w:eastAsiaTheme="minorEastAsia" w:cstheme="minorEastAsia"/>
          <w:color w:val="auto"/>
          <w:sz w:val="24"/>
          <w:szCs w:val="24"/>
          <w:highlight w:val="none"/>
        </w:rPr>
        <w:t>26.3 采购人不保证将合同授予最低投标报价的供应商。采购人应当确定排名第一的中标候选人为中标供应商。排名第一的中标候选人放弃中标、因不可抗力提出不能履行合同，或者招标文件规定应当提交履约保证金而在规定的期限内未能提交的，采购人可以确定排名第二的中标候选人为中</w:t>
      </w:r>
      <w:r>
        <w:rPr>
          <w:rFonts w:hint="eastAsia" w:asciiTheme="minorEastAsia" w:hAnsiTheme="minorEastAsia" w:eastAsiaTheme="minorEastAsia" w:cstheme="minorEastAsia"/>
          <w:color w:val="auto"/>
          <w:sz w:val="24"/>
          <w:szCs w:val="24"/>
          <w:highlight w:val="none"/>
          <w:shd w:val="clear" w:color="auto" w:fill="FFFFFF"/>
        </w:rPr>
        <w:t>标供应商。</w:t>
      </w:r>
    </w:p>
    <w:p w14:paraId="0BD9ADB2">
      <w:pPr>
        <w:pStyle w:val="65"/>
        <w:spacing w:line="240" w:lineRule="auto"/>
        <w:ind w:firstLine="560"/>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 xml:space="preserve">26.4 </w:t>
      </w:r>
      <w:r>
        <w:rPr>
          <w:rFonts w:hint="eastAsia" w:asciiTheme="minorEastAsia" w:hAnsiTheme="minorEastAsia" w:eastAsiaTheme="minorEastAsia" w:cstheme="minorEastAsia"/>
          <w:color w:val="auto"/>
          <w:sz w:val="24"/>
          <w:szCs w:val="24"/>
          <w:highlight w:val="none"/>
          <w:shd w:val="clear" w:color="auto" w:fill="FFFFFF"/>
        </w:rPr>
        <w:t>在确定中标供应商前，招标采购单位不得与投标供应商就投标价格、投标方案等实质性内容进行谈判。</w:t>
      </w:r>
    </w:p>
    <w:p w14:paraId="2752521D">
      <w:pPr>
        <w:pStyle w:val="65"/>
        <w:spacing w:line="240" w:lineRule="auto"/>
        <w:ind w:firstLine="56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 xml:space="preserve">26.5 </w:t>
      </w:r>
      <w:r>
        <w:rPr>
          <w:rFonts w:hint="eastAsia" w:asciiTheme="minorEastAsia" w:hAnsiTheme="minorEastAsia" w:eastAsiaTheme="minorEastAsia" w:cstheme="minorEastAsia"/>
          <w:color w:val="auto"/>
          <w:sz w:val="24"/>
          <w:szCs w:val="24"/>
          <w:highlight w:val="none"/>
          <w:shd w:val="clear" w:color="auto" w:fill="FFFFFF"/>
        </w:rPr>
        <w:t>采购人有权在定标之前拒绝任何有不正当行为或扰乱正常招标工作的供应商，由此对供应商造成的损失不负任何责任，同时对此也不做任何解释。</w:t>
      </w:r>
    </w:p>
    <w:p w14:paraId="5697C1E2">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27. 招标终止</w:t>
      </w:r>
    </w:p>
    <w:p w14:paraId="6C27A44C">
      <w:pPr>
        <w:pStyle w:val="30"/>
        <w:widowControl w:val="0"/>
        <w:spacing w:line="24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27.1 在招标采购中，出现下列情形之一的，应予废标：</w:t>
      </w:r>
    </w:p>
    <w:p w14:paraId="0D7530AD">
      <w:pPr>
        <w:pStyle w:val="30"/>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rPr>
        <w:t>　　</w:t>
      </w:r>
      <w:r>
        <w:rPr>
          <w:rFonts w:hint="eastAsia" w:asciiTheme="minorEastAsia" w:hAnsiTheme="minorEastAsia" w:eastAsiaTheme="minorEastAsia" w:cstheme="minorEastAsia"/>
          <w:sz w:val="24"/>
          <w:szCs w:val="24"/>
          <w:highlight w:val="none"/>
          <w:shd w:val="clear" w:color="auto" w:fill="FFFFFF"/>
        </w:rPr>
        <w:t>（一）符合专业条件的供应商或者对招标文件作实质响应的供应商不足三家的；</w:t>
      </w:r>
    </w:p>
    <w:p w14:paraId="7E2FE805">
      <w:pPr>
        <w:pStyle w:val="30"/>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（二）出现影响采购公正的违法、违规行为的；</w:t>
      </w:r>
    </w:p>
    <w:p w14:paraId="3369AF30">
      <w:pPr>
        <w:pStyle w:val="30"/>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（三）投标人的报价均超过了采购预算，采购人不能支付的；</w:t>
      </w:r>
    </w:p>
    <w:p w14:paraId="21AF6D4C">
      <w:pPr>
        <w:pStyle w:val="30"/>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（四）因重大变故，采购任务取消的。</w:t>
      </w:r>
    </w:p>
    <w:p w14:paraId="15B8A3FF">
      <w:pPr>
        <w:pStyle w:val="30"/>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废标后，采购人应当将废标理由通知所有投标人。</w:t>
      </w:r>
    </w:p>
    <w:p w14:paraId="22ECE648">
      <w:pPr>
        <w:pStyle w:val="30"/>
        <w:widowControl w:val="0"/>
        <w:spacing w:line="240" w:lineRule="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废标后，除采购任务取消情形外，应当重新组织招标；需要采取其他方式采购的，应当在采购活动开始前获得设区的市、自治州以上人民政府采购监督管理部门或者政府有关部门批准。</w:t>
      </w:r>
    </w:p>
    <w:p w14:paraId="441185A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27.2 出现下列情形之一的，采购人或者采购代理机构应当终止招标采购活动，在财政部门指定的媒体上发布项目终止公告并说明原因，重新开展采购活动：</w:t>
      </w:r>
    </w:p>
    <w:p w14:paraId="7063BED9">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27.2.1 因情况变化，不再符合规定的招标采购方式适用情形的</w:t>
      </w:r>
      <w:r>
        <w:rPr>
          <w:rFonts w:hint="eastAsia" w:asciiTheme="minorEastAsia" w:hAnsiTheme="minorEastAsia" w:eastAsiaTheme="minorEastAsia" w:cstheme="minorEastAsia"/>
          <w:color w:val="auto"/>
          <w:sz w:val="24"/>
          <w:szCs w:val="24"/>
          <w:highlight w:val="none"/>
          <w:lang w:eastAsia="zh-CN"/>
        </w:rPr>
        <w:t>；</w:t>
      </w:r>
    </w:p>
    <w:p w14:paraId="07EEF91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27.2.2 出现影响采购公正的违法、违规行为的；</w:t>
      </w:r>
    </w:p>
    <w:p w14:paraId="4D6FA72B">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27.2.3 已确定中标人但尚未签订政府采购合同的，中标结果无效，从合格的中标候选人中另行确定中标人；没有合格的中标候选人的</w:t>
      </w:r>
      <w:r>
        <w:rPr>
          <w:rFonts w:hint="eastAsia" w:asciiTheme="minorEastAsia" w:hAnsiTheme="minorEastAsia" w:eastAsiaTheme="minorEastAsia" w:cstheme="minorEastAsia"/>
          <w:color w:val="auto"/>
          <w:sz w:val="24"/>
          <w:szCs w:val="24"/>
          <w:highlight w:val="none"/>
          <w:lang w:eastAsia="zh-CN"/>
        </w:rPr>
        <w:t>；</w:t>
      </w:r>
    </w:p>
    <w:p w14:paraId="0F86760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27.2.4 政府采购合同已签订但尚未履行的，撤销合同，从合格的供应商中另行确定中标人，没有合格的中标人的；</w:t>
      </w:r>
    </w:p>
    <w:p w14:paraId="41BA569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27.2.5 因重大变故，采购任务取消的。</w:t>
      </w:r>
    </w:p>
    <w:p w14:paraId="18F15D37">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28. 重新评审</w:t>
      </w:r>
    </w:p>
    <w:p w14:paraId="69E5B08B">
      <w:pPr>
        <w:pStyle w:val="65"/>
        <w:spacing w:line="240" w:lineRule="auto"/>
        <w:ind w:firstLine="560"/>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28.1 除本须知第25.10所述情形外，采购人或者采购代理机构不能以任何理由组织重新评审。采购人、采购代理机构发现评标委员会未按照招标文件规定的评标标准进行评审的，应当重新开展采购活动，并同时书面报告本级财政部门。</w:t>
      </w:r>
    </w:p>
    <w:p w14:paraId="1CF2AA13">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29. 保密与纪律事项</w:t>
      </w:r>
    </w:p>
    <w:p w14:paraId="3A4581F0">
      <w:pPr>
        <w:pStyle w:val="65"/>
        <w:spacing w:line="240" w:lineRule="auto"/>
        <w:ind w:firstLine="560"/>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 xml:space="preserve">29.1 </w:t>
      </w:r>
      <w:r>
        <w:rPr>
          <w:rFonts w:hint="eastAsia" w:asciiTheme="minorEastAsia" w:hAnsiTheme="minorEastAsia" w:eastAsiaTheme="minorEastAsia" w:cstheme="minorEastAsia"/>
          <w:color w:val="auto"/>
          <w:sz w:val="24"/>
          <w:szCs w:val="24"/>
          <w:highlight w:val="none"/>
          <w:shd w:val="clear" w:color="auto" w:fill="FFFFFF"/>
        </w:rPr>
        <w:t>评标委员会成员以及与评标工作有关的人员不得泄露评审情况以及评标过程中获悉的国家秘密、商业秘密。</w:t>
      </w:r>
    </w:p>
    <w:p w14:paraId="761C777B">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shd w:val="clear" w:color="auto" w:fill="FFFFFF"/>
        </w:rPr>
        <w:t>评标过程保密是指评标开始后评标委员会对供应商资格审查开始至中标公告期结束、中标通知书发出等与项目相关所有的文字、评标委员会的对</w:t>
      </w:r>
      <w:r>
        <w:rPr>
          <w:rFonts w:hint="eastAsia" w:asciiTheme="minorEastAsia" w:hAnsiTheme="minorEastAsia" w:eastAsiaTheme="minorEastAsia" w:cstheme="minorEastAsia"/>
          <w:kern w:val="0"/>
          <w:sz w:val="24"/>
          <w:szCs w:val="24"/>
          <w:highlight w:val="none"/>
        </w:rPr>
        <w:t>话、音视频等相关资料的保密，如与采购项目相关的采购人、采购代理机构、评审委员会及公共资源交易中心人员及其他相关人员泄密，从而导致评标结果出现不公正性，我公司将根据《政府采购法》《政府采购法实施条例》及相关法律法规规定将责任人提请上级行政主管部门追究其责任；构成犯罪的，将提请司法机关依法追究其刑事责任。</w:t>
      </w:r>
    </w:p>
    <w:p w14:paraId="72F335C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29.2 供应商不得与采购人、采购代理机构、其他供应商恶意串通；不得向采购人、采购代理机构或者评标委员会成员行贿或者提供其他不正当利益；不得提供虚假材料谋取中标；不得以任何方式干扰、影响采购工作。</w:t>
      </w:r>
    </w:p>
    <w:p w14:paraId="58A4A06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 有下列情形之一的，属于恶意串通，中标无效，并依照《政府采购法》第七十七条的规定追究法律责任：</w:t>
      </w:r>
    </w:p>
    <w:p w14:paraId="62A6102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29.3.1 供应商直接或者间接从采购人、采购代理机构获得其他供应商的投标情况，并修改其投标文件的；</w:t>
      </w:r>
    </w:p>
    <w:p w14:paraId="51ABF17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29.3.2 采购人、采购代理机构授意投标供应商撤换、修改投标文件的；</w:t>
      </w:r>
    </w:p>
    <w:p w14:paraId="583B3E72">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29.3.3 供应商之间协商技术方案、合同条款以及报价等投标文件实质性内容的</w:t>
      </w:r>
      <w:r>
        <w:rPr>
          <w:rFonts w:hint="eastAsia" w:asciiTheme="minorEastAsia" w:hAnsiTheme="minorEastAsia" w:eastAsiaTheme="minorEastAsia" w:cstheme="minorEastAsia"/>
          <w:color w:val="auto"/>
          <w:sz w:val="24"/>
          <w:szCs w:val="24"/>
          <w:highlight w:val="none"/>
          <w:lang w:eastAsia="zh-CN"/>
        </w:rPr>
        <w:t>；</w:t>
      </w:r>
    </w:p>
    <w:p w14:paraId="40642CB9">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29.3.4 属于同一集团、协会、商会等组织成员的供应商按照该组织要求协同参加政府采购活动的；</w:t>
      </w:r>
    </w:p>
    <w:p w14:paraId="161FEAC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29.3.5 供应商之间事先约定由某一特定投标供应商中标的；</w:t>
      </w:r>
    </w:p>
    <w:p w14:paraId="1114B7A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29.3.6 供应商之间商定部分供应商放弃提交投标文件或者退出招标或者放弃中标的；</w:t>
      </w:r>
    </w:p>
    <w:p w14:paraId="4D04ED6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29.3.7 供应商与采购人、采购代理机构以及评标委员会成员之间、供应商相互之间，为谋求特定供应商中标或者排斥其他供应商的其他串通行为的。</w:t>
      </w:r>
    </w:p>
    <w:p w14:paraId="2E516C5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29.3.8 法律、行政法规或规章规定的其他串通行为。</w:t>
      </w:r>
    </w:p>
    <w:p w14:paraId="4305522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29.4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FFAD34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（一）提供虚假材料谋取中标的；</w:t>
      </w:r>
    </w:p>
    <w:p w14:paraId="7AEA565E">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（二）采取不正当手段诋毁、排挤其他供应商的；</w:t>
      </w:r>
    </w:p>
    <w:p w14:paraId="637D6E5E">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（三）与采购人、其他供应商或者采购代理机构恶意串通的；</w:t>
      </w:r>
    </w:p>
    <w:p w14:paraId="7EB19299">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（四）向采购人、采购代理机构行贿或者提供其他不正当利益的；</w:t>
      </w:r>
    </w:p>
    <w:p w14:paraId="51EAF66B">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（五）在招标采购过程中与采购人进行协商谈判的；</w:t>
      </w:r>
    </w:p>
    <w:p w14:paraId="0676DE3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（六）拒绝有关部门监督检查或者提供虚假情况的。</w:t>
      </w:r>
    </w:p>
    <w:p w14:paraId="3AD648E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供应商有上述第（一）至（五）项情形之一的，中标无效。</w:t>
      </w:r>
    </w:p>
    <w:p w14:paraId="448191EF">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29.5 供应商有下列情形之一的，依照《政府采购法》第七十七条第一款的规定追究法律责任：</w:t>
      </w:r>
    </w:p>
    <w:p w14:paraId="2EDFF4B5">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（一）向评标委员会成员行贿或者提供其他不正当利益；</w:t>
      </w:r>
    </w:p>
    <w:p w14:paraId="202D2362">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（二）中标后无正当理由拒不与采购人签订政府采购合同；</w:t>
      </w:r>
    </w:p>
    <w:p w14:paraId="42389904">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（三）未按照采购文件确定的事项签订政府采购合同；</w:t>
      </w:r>
    </w:p>
    <w:p w14:paraId="574EC22D">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（四）将政府采购合同转包；</w:t>
      </w:r>
    </w:p>
    <w:p w14:paraId="3B9E7A1A">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（五）提供假冒伪劣产品；</w:t>
      </w:r>
    </w:p>
    <w:p w14:paraId="37D37AB7">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（六）擅自变更、中止或者终止政府采购合同。</w:t>
      </w:r>
    </w:p>
    <w:p w14:paraId="10188E18">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供应商有上述第一项规定情形的，中标无效。评审阶段资格发生变化，供应商未依照《政府采购法实施条例》第二十一条的规定通知采购人和采购代理机构的，处以采购金额5‰的罚款，列入不良行为记录名单，中标无效。</w:t>
      </w:r>
    </w:p>
    <w:p w14:paraId="2F51A7C0">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29.6 供应商捏造事实、提供虚假材料或者以非法手段取得证明材料进行投诉的，由财政部门列入不良行为记录名单，禁止其1至3年内参加政府采购活动。</w:t>
      </w:r>
    </w:p>
    <w:p w14:paraId="22EE6710">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29.7 有下列情形之一的，属于恶意串通，对供应商依照《政府采购法》第七十七条第一款的规定追究法律责任，对采购人、采购代理机构及其工作人员依照《政府采购法》第七十二条的规定追究法律责任：</w:t>
      </w:r>
    </w:p>
    <w:p w14:paraId="1AED5B13">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（一）供应商直接或者间接从采购人或者采购代理机构处获得其他供应商的相关情况并修改其投标文件；</w:t>
      </w:r>
    </w:p>
    <w:p w14:paraId="5981885F">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（二）供应商按照采购人或者采购代理机构的授意撤换、修改投标文件；</w:t>
      </w:r>
    </w:p>
    <w:p w14:paraId="0209B93E">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（三）供应商之间协商报价、技术方案等投标文件的实质性内容；</w:t>
      </w:r>
    </w:p>
    <w:p w14:paraId="45789B1C">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（四）属于同一集团、协会、商会等组织成员的供应商按照该组织要求协同参加政府采购活动；</w:t>
      </w:r>
    </w:p>
    <w:p w14:paraId="6907C0AD">
      <w:pPr>
        <w:pStyle w:val="30"/>
        <w:widowControl w:val="0"/>
        <w:spacing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（五）供应商之间事先约定由某一特定供应商中标；</w:t>
      </w:r>
    </w:p>
    <w:p w14:paraId="641538FE">
      <w:pPr>
        <w:pStyle w:val="30"/>
        <w:widowControl w:val="0"/>
        <w:spacing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（六）供应商之间商定部分供应商放弃参加政府采购活动或者放弃中标；</w:t>
      </w:r>
    </w:p>
    <w:p w14:paraId="336DF715">
      <w:pPr>
        <w:pStyle w:val="30"/>
        <w:widowControl w:val="0"/>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（七）供应商与采购人或者采购代理机构之间、供应商相互之间，为谋求特定供应商中标或者排斥其他供应商的其他串通行为。</w:t>
      </w:r>
    </w:p>
    <w:p w14:paraId="4DAEC8AA">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092F217D">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六、中标结果信息公布与授予合同</w:t>
      </w:r>
    </w:p>
    <w:p w14:paraId="34D20C3C">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30. 中标信息的公布</w:t>
      </w:r>
    </w:p>
    <w:p w14:paraId="4A522593">
      <w:pPr>
        <w:pStyle w:val="65"/>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30.1 采购人或者采购代理机构应当自中标供应商确定之日起2个工作日内，发出中标通知书，并在省级以上人民政府财政部门指定的媒体上公告中标结果，招标文件随中标结果同时公告。</w:t>
      </w:r>
    </w:p>
    <w:p w14:paraId="4055887B">
      <w:pPr>
        <w:pStyle w:val="65"/>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30.2 中标通知书对采购人和中标供应商具有同等法律效力。</w:t>
      </w:r>
    </w:p>
    <w:p w14:paraId="0F9ED236">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31. 询问及质疑</w:t>
      </w:r>
    </w:p>
    <w:p w14:paraId="176554E7">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 供应商对政府采购活动事项有疑问的，可以向采购人或采购代理机构提出询问。采购人或采购代理机构将在三个工作日内作出答复。</w:t>
      </w:r>
    </w:p>
    <w:p w14:paraId="3B0724E5">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供应商若认为招标文件、招标过程和中标结果使自己的权益受到损害，应当在下列时间内以书面形式向采购人或采购代理机构提出：</w:t>
      </w:r>
    </w:p>
    <w:p w14:paraId="7E737E9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31.2.1 关于采购过程的质疑，应在采购程序环节结束之日起7个工作日内提出。</w:t>
      </w:r>
    </w:p>
    <w:p w14:paraId="271F0856">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31.2.2 关于中标结果的质疑，应在中标结果信息发布后7个工作日内提出。</w:t>
      </w:r>
    </w:p>
    <w:p w14:paraId="3330A6B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 供应商提出质疑的，应提供质疑书原件。采购人或采购代理机构应当向质疑供应商签收回执。</w:t>
      </w:r>
    </w:p>
    <w:p w14:paraId="4A1F0CA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 质疑书应当包括下列内容：</w:t>
      </w:r>
    </w:p>
    <w:p w14:paraId="0D4BC2FD">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31.4.1 质疑供应商的名称、地址及有效联系方式；</w:t>
      </w:r>
    </w:p>
    <w:p w14:paraId="0C2B179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31.4.2 质疑事项；</w:t>
      </w:r>
    </w:p>
    <w:p w14:paraId="64B43ABF">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31.4.3 事实依据及相关证明材料；</w:t>
      </w:r>
    </w:p>
    <w:p w14:paraId="524776DC">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31.4.4 相关请求及主张。</w:t>
      </w:r>
    </w:p>
    <w:p w14:paraId="01F6436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31.5 质疑书应当由供应商法定代表人或其授权的代理人签字并加盖供应商单位章，质疑书由授权的代理人签字的应附供应商法定代表人委托授权书。</w:t>
      </w:r>
    </w:p>
    <w:p w14:paraId="75BD9D75">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31.6 采购人或采购代理机构将在签收回执之日起七个工作日内作出书面答复，并以书面形式通知质疑投标供应商和其他有关的供应商。</w:t>
      </w:r>
    </w:p>
    <w:p w14:paraId="3CA21129">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31.7 供应商对采购人或采购代理机构的答复不满意，或采购人或采购代理机构未在规定的期限作出答复的，可在答复期满后15个工作日内，按政府采购相关法律法规规章的规定及程序，向同级财政部门提出投诉。</w:t>
      </w:r>
    </w:p>
    <w:p w14:paraId="564DEC78">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31.8 参与政府采购活动的供应商对评审过程或者结果提出质疑的，采购人或采购代理机构可以组织原评审委员会协助处理质疑事项，并依据评审委员会出具的意见进行答复。质疑答复导致中标结果改变的，采购人或采购代理机构应当将相关情况报财政部门备案。</w:t>
      </w:r>
    </w:p>
    <w:p w14:paraId="5EC176E2">
      <w:pPr>
        <w:pStyle w:val="65"/>
        <w:numPr>
          <w:ilvl w:val="0"/>
          <w:numId w:val="5"/>
        </w:numPr>
        <w:tabs>
          <w:tab w:val="left" w:pos="7477"/>
        </w:tabs>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中标通知</w:t>
      </w:r>
      <w:r>
        <w:rPr>
          <w:rFonts w:hint="eastAsia" w:asciiTheme="minorEastAsia" w:hAnsiTheme="minorEastAsia" w:eastAsiaTheme="minorEastAsia" w:cstheme="minorEastAsia"/>
          <w:b/>
          <w:bCs/>
          <w:color w:val="auto"/>
          <w:sz w:val="24"/>
          <w:szCs w:val="24"/>
          <w:highlight w:val="none"/>
          <w:lang w:eastAsia="zh-CN"/>
        </w:rPr>
        <w:tab/>
      </w:r>
    </w:p>
    <w:p w14:paraId="2E4B3C5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中标人确定后，采购人或采购代理机构将以书面形式向中标人发出中标通知书。中标通知书对采购人和中标人具有同等法律效力。中标通知书发出后，采购人不得违法改变中标结果，中标人无正当理由不得放弃中标。</w:t>
      </w:r>
    </w:p>
    <w:p w14:paraId="57E33F72">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中标人在收到采购代理机构的中标通知书后10日内，应按照</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的规定，向采购人提交履约担保。联合体中标的，履约担保由联合体各方或联合体中牵头人的名义提交。</w:t>
      </w:r>
    </w:p>
    <w:p w14:paraId="0705F4CC">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招标文件要求中标供应商提交履约保证金的，供应商应当以支票、汇票、本票或者金融机构、担保机构出具的保函等非现金形式提交。中标人没有按照规定提交履约担保的，视为放弃中标资格，其投标保证金不予退还。</w:t>
      </w:r>
    </w:p>
    <w:p w14:paraId="55B59CCE">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 中标供应商拒绝与采购人签订合同的，采购人可以按照评审报告推荐的中标候选人名单排序，确定下一候选人为中标供应商，也可以重新开展政府采购活动。</w:t>
      </w:r>
    </w:p>
    <w:p w14:paraId="7DF3981A">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33. 签订合同</w:t>
      </w:r>
    </w:p>
    <w:p w14:paraId="70A80B89">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采购人应当自中标通知书发出之日起30日内，按照招标文件和中标人投标文件的规定，与中标人签订书面合同。所签订的合同不得对招标文件确定的事项和中标人投标文件作实质性修改。中标通知书是合同文件的组成部分。</w:t>
      </w:r>
    </w:p>
    <w:p w14:paraId="68EB05EB">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采购人不得向中标人提出任何不合理的要求作为签订合同的条件。</w:t>
      </w:r>
    </w:p>
    <w:p w14:paraId="39F98D69">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 政府采购合同应当包括采购人与中标人的名称和住所、标的、数量、质量、价款或者报酬、履行期限及地点和方式、验收要求、违约责任、解决争议的方法等内容。</w:t>
      </w:r>
    </w:p>
    <w:p w14:paraId="5B91CE80">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采购人与中标人应当根据合同的约定依法履行合同义务。</w:t>
      </w:r>
    </w:p>
    <w:p w14:paraId="077F0B6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政府采购合同的履行、违约责任和解决争议的方法等适用《中华人民共和国民法典》。</w:t>
      </w:r>
    </w:p>
    <w:p w14:paraId="02DEFCF9">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33.4 采购人应当及时对采购项目进行验收。采购人可以邀请参加本项目的其他投标人或者第三方机构参与验收。参与验收的投标人或者第三方机构的意见作为验收书的参考资料一并存档。</w:t>
      </w:r>
    </w:p>
    <w:p w14:paraId="6962F582">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33.5 采购人应当加强对中标人的履约管理，并按照采购合同约定，及时向中标人支付采购资金。对于中标人违反采购合同约定的行为，采购人应当及时处理，依法追究其违约责任。</w:t>
      </w:r>
    </w:p>
    <w:p w14:paraId="52656428">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33.6 中标人应当按照合同约定履行义务。中标人不得向他人转让中标项目，也不得将中标项目分包后分别向他人转让。合同分包需在投标文件中予以说明，并需经采购人同意。否则，采购人有权取消中标供应商的中标资格。</w:t>
      </w:r>
    </w:p>
    <w:p w14:paraId="38ED5896">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 中标人有下列情形之一的，责令限期改正，情节严重的，列入不良行为记录名单，在1至3年内禁止参加政府采购活动，并予以通报：</w:t>
      </w:r>
    </w:p>
    <w:p w14:paraId="61E2EF35">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33.7.1 中标后无正当理由不与采购人签订合同的；</w:t>
      </w:r>
    </w:p>
    <w:p w14:paraId="20888BC6">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33.7.2 未按照招标文件确定的事项签订政府采购合同，或者与采购人另行订立背离合同实质性内容的协议的；</w:t>
      </w:r>
    </w:p>
    <w:p w14:paraId="55F89F57">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33.7.3 拒绝履行合同义务的；</w:t>
      </w:r>
    </w:p>
    <w:p w14:paraId="1D5B719E">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33.7.4 违反法律、规章、规范性文件规定的。</w:t>
      </w:r>
    </w:p>
    <w:p w14:paraId="70220C5B">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33.8 政府采购合同的双方当事人不得擅自变更、中止或者终止合同。</w:t>
      </w:r>
    </w:p>
    <w:p w14:paraId="223EE2F3">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1925F571">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33.9 采购人应当自政府采购合同签订之日起2个工作日内,将政府采购合同在省级以上人民政府财政部门指定的媒体上公告,但政府采购合同中涉及国家秘密、商业秘密的内容除外。</w:t>
      </w:r>
    </w:p>
    <w:p w14:paraId="2B94088C">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34. 政府采购合同履行中数量的变更</w:t>
      </w:r>
    </w:p>
    <w:p w14:paraId="16C6E69D">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政府采购合同履行中，采购人需追加与合同标的相同的货物、工程或者服务的，在不改变合同其他条款的前提下，可以与中标人协商签订补充合同，但所有补充合同的采购金额不得超过原合同采购金额的10%。</w:t>
      </w:r>
    </w:p>
    <w:p w14:paraId="32BAA7EF">
      <w:pPr>
        <w:pStyle w:val="65"/>
        <w:spacing w:before="120" w:beforeLines="50" w:after="120" w:afterLines="50" w:line="240" w:lineRule="auto"/>
        <w:jc w:val="center"/>
        <w:rPr>
          <w:rFonts w:hint="eastAsia" w:asciiTheme="minorEastAsia" w:hAnsiTheme="minorEastAsia" w:eastAsiaTheme="minorEastAsia" w:cstheme="minorEastAsia"/>
          <w:b/>
          <w:bCs/>
          <w:color w:val="auto"/>
          <w:sz w:val="24"/>
          <w:szCs w:val="24"/>
          <w:highlight w:val="none"/>
        </w:rPr>
      </w:pPr>
    </w:p>
    <w:p w14:paraId="3BD6F9A7">
      <w:pPr>
        <w:pStyle w:val="65"/>
        <w:spacing w:before="120" w:beforeLines="50" w:after="120" w:afterLines="5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七、其他规定</w:t>
      </w:r>
    </w:p>
    <w:p w14:paraId="1CD12488">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35. 招标代理服务费</w:t>
      </w:r>
    </w:p>
    <w:p w14:paraId="1A86A9E2">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35.1 中标人应按</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规定交纳招标代理服务费。</w:t>
      </w:r>
    </w:p>
    <w:p w14:paraId="5465AD4A">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36. 其他规定</w:t>
      </w:r>
    </w:p>
    <w:p w14:paraId="0FBC939A">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36.1 采购人、采购代理机构应当建立真实完整的招标采购档案，妥善保存每项采购活动的采购文件。</w:t>
      </w:r>
    </w:p>
    <w:p w14:paraId="47924012">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36.2 招标文件的其他规定见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538ED3BE">
      <w:pPr>
        <w:pStyle w:val="65"/>
        <w:spacing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36.3 本招标文件是根据《中华人民共和国政府采购法》、《中华人民共和国政府采购法实施条例》的规定编制，解释权属新疆元泓工程项目管理咨询有限公司。</w:t>
      </w:r>
    </w:p>
    <w:p w14:paraId="2CD07F69">
      <w:pPr>
        <w:pStyle w:val="65"/>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36.3 参与本次招标的供应商应当有商务、技术人员对评标委员会提出的商务、技术问题进行答疑。</w:t>
      </w:r>
    </w:p>
    <w:p w14:paraId="277F7CF5">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8"/>
          <w:szCs w:val="28"/>
          <w:highlight w:val="none"/>
        </w:rPr>
        <w:t>第三章  评标方法及标准</w:t>
      </w:r>
    </w:p>
    <w:p w14:paraId="52CC151A">
      <w:pPr>
        <w:pStyle w:val="65"/>
        <w:spacing w:before="120" w:beforeLines="50"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一、总则</w:t>
      </w:r>
    </w:p>
    <w:p w14:paraId="7B964A13">
      <w:pPr>
        <w:pStyle w:val="65"/>
        <w:spacing w:line="240" w:lineRule="auto"/>
        <w:ind w:firstLine="561"/>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1．评标委员会</w:t>
      </w:r>
    </w:p>
    <w:p w14:paraId="664BE666">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1.1评标由依法组成的评标委员会负责,其组成方式详投标须知正文。</w:t>
      </w:r>
    </w:p>
    <w:p w14:paraId="66B4D1EE">
      <w:pPr>
        <w:pStyle w:val="65"/>
        <w:numPr>
          <w:ilvl w:val="0"/>
          <w:numId w:val="6"/>
        </w:numPr>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评标方法</w:t>
      </w:r>
    </w:p>
    <w:p w14:paraId="150EFA77">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本项目评标方法为综合评分法。</w:t>
      </w:r>
    </w:p>
    <w:p w14:paraId="5AC99724">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 综合评分法，是投标文件满足招标文件全部实质性要求，且按照评审因素的量化指标评审得分最高的投标人为中标候选人的评标方法。</w:t>
      </w:r>
    </w:p>
    <w:p w14:paraId="4861BE5A">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评审因素的设定与投标人所提供货物服务的质量相关，包括投标报价、技术或者服务水平、履约能力、售后服务等。资格条件不得作为评审因素。</w:t>
      </w:r>
    </w:p>
    <w:p w14:paraId="638DA311">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 评标时，评标委员会各成员应当独立对每个投标人的投标文件进行评价，并汇总每个投标人的得分。</w:t>
      </w:r>
    </w:p>
    <w:p w14:paraId="4845280B">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 评标过程中，不得去掉报价中的最高报价和最低报价。</w:t>
      </w:r>
    </w:p>
    <w:p w14:paraId="5785B0FE">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2.1.4 因落实政府采购政策进行价格调整的，以调整后的价格计算评标基准价和投标报价。</w:t>
      </w:r>
    </w:p>
    <w:p w14:paraId="5C1F2544">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A6DAFF">
      <w:pPr>
        <w:pStyle w:val="65"/>
        <w:spacing w:line="240" w:lineRule="auto"/>
        <w:ind w:firstLine="561"/>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 评标原则</w:t>
      </w:r>
    </w:p>
    <w:p w14:paraId="457F4854">
      <w:pPr>
        <w:spacing w:line="240" w:lineRule="auto"/>
        <w:ind w:firstLine="480" w:firstLineChars="200"/>
        <w:outlineLvl w:val="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3.1 评标委员会成员应当按照客观、公正、审慎的原则，根据招标文件规定的评审程序、评审方法和评审标准进行独立评审。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DFD68C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评标委员会成员应当在评审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290BA7A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评审纪律</w:t>
      </w:r>
    </w:p>
    <w:p w14:paraId="0FEE406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采购人委派代表参加评审委员会的，要向采购代理机构出具授权函。除授权代表外，采购人可以委派纪检监察等相关人员进入评审现场，对评审工作实施监督，但不得超过２人。采购人需要在评审前介绍项目背景和技术需求的，应当事先提交书面介绍材料，介绍内容不得存在歧视性、倾向性意见，不得超出采购文件所述范围，书面介绍材料作为采购项目文件随其他文件一并存档。</w:t>
      </w:r>
      <w:r>
        <w:rPr>
          <w:rFonts w:hint="eastAsia" w:asciiTheme="minorEastAsia" w:hAnsiTheme="minorEastAsia" w:eastAsiaTheme="minorEastAsia" w:cstheme="minorEastAsia"/>
          <w:b/>
          <w:bCs/>
          <w:color w:val="auto"/>
          <w:sz w:val="24"/>
          <w:szCs w:val="24"/>
          <w:highlight w:val="none"/>
        </w:rPr>
        <w:t>评审委员会应当推选组长，但采购人代表不得担任组长</w:t>
      </w:r>
      <w:r>
        <w:rPr>
          <w:rFonts w:hint="eastAsia" w:asciiTheme="minorEastAsia" w:hAnsiTheme="minorEastAsia" w:eastAsiaTheme="minorEastAsia" w:cstheme="minorEastAsia"/>
          <w:color w:val="auto"/>
          <w:sz w:val="24"/>
          <w:szCs w:val="24"/>
          <w:highlight w:val="none"/>
        </w:rPr>
        <w:t>。</w:t>
      </w:r>
    </w:p>
    <w:p w14:paraId="3B897A2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 评审委员会成员要严格遵守评审时间，主动出具身份证明，遵守评审工作纪律和评审回避的相关规定。在评审工作开始前，将手机等通讯工具或相关电子设备交由采购人或采购代理机构统一保管，拒不上交的，采购人或采购代理机构可以拒绝其参加评审工作并向财政部门报告。</w:t>
      </w:r>
    </w:p>
    <w:p w14:paraId="3E1E45E1">
      <w:pPr>
        <w:pStyle w:val="30"/>
        <w:widowControl w:val="0"/>
        <w:snapToGrid w:val="0"/>
        <w:spacing w:line="240" w:lineRule="auto"/>
        <w:ind w:firstLine="57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3.3.3 评审委员会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7DB9ED3F">
      <w:pPr>
        <w:pStyle w:val="30"/>
        <w:widowControl w:val="0"/>
        <w:snapToGrid w:val="0"/>
        <w:spacing w:line="240" w:lineRule="auto"/>
        <w:ind w:firstLine="57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3.3.4 评标委员会成员不得私自泄露评标内容。评标过程应严格遵守保密制度。开标后,直到授予供应商合同止，凡是属于审查、澄清、评价和比较的有关资料以及授标建议等均不得向供应商或其他无关的人员透露。</w:t>
      </w:r>
    </w:p>
    <w:p w14:paraId="42EED78D">
      <w:pPr>
        <w:pStyle w:val="30"/>
        <w:widowControl w:val="0"/>
        <w:snapToGrid w:val="0"/>
        <w:spacing w:line="240" w:lineRule="auto"/>
        <w:ind w:firstLine="57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3.3.5 采购人、采购代理机构要加强评审现场管理，与评审工作无关的人员不得进入评审现场。各级财政部门对评审活动相关各方违反评审工作纪律及要求的行为，要依法严肃处理。</w:t>
      </w:r>
    </w:p>
    <w:p w14:paraId="49A895A8">
      <w:pPr>
        <w:spacing w:line="240" w:lineRule="auto"/>
        <w:ind w:firstLine="538"/>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3.4 评标委员会成员应当履行的义务</w:t>
      </w:r>
    </w:p>
    <w:p w14:paraId="1C47D09E">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评审委员会成员要根据政府采购法律法规和采购文件所载明的评审方法、标准进行评审。遵纪守法，客观、公正、廉洁地履行职责。</w:t>
      </w:r>
    </w:p>
    <w:p w14:paraId="5EE9A36B">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 要熟悉和理解采购文件，认真阅读所有供应商的投标文件，对所有投标文件逐一进行资格性、符合性检查，按采购文件规定的评审方法和标准，进行比较和评价；</w:t>
      </w:r>
    </w:p>
    <w:p w14:paraId="26676460">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3.4.3 对供应商的价格分等客观评分项的评分应当一致，对其他需要借助专业知识评判的主观评分项，应当严格按照评分细则公正评分。</w:t>
      </w:r>
    </w:p>
    <w:p w14:paraId="5B68DA5F">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3.4.4 评审委员会如需要供应商对投标文件有关事项作出澄清的，应当给予供应商必要的反馈时间，但澄清事项不得超出投标文件的范围，不得实质性改变投标文件的内容，不得通过澄清等方式对供应商实行差别对待。</w:t>
      </w:r>
    </w:p>
    <w:p w14:paraId="0842C5F0">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3.4.5 评审委员会要对评分汇总情况进行复核，特别是对排名第一的、报价最低的、投标或相应文件被认定为无效的情形进行重点复核，并根据评审结果推荐中标候选供应商，或者根据采购人委托协议规定直接确定中标供应商，起草并签署评审报告。</w:t>
      </w:r>
    </w:p>
    <w:p w14:paraId="755E83C7">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3.4.6 评审委员会要在采购项目招标失败时，出具招标文件是否存在不合理条款的论证意见，要协助采购人、采购代理机构、财政部门答复质疑或处理投诉事项。</w:t>
      </w:r>
    </w:p>
    <w:p w14:paraId="734DEDBB">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3.4.7 对评标过程和结果，以及供应商的商业秘密保密。</w:t>
      </w:r>
    </w:p>
    <w:p w14:paraId="15F2DCC2">
      <w:pPr>
        <w:pStyle w:val="65"/>
        <w:spacing w:before="120" w:beforeLines="50" w:after="120" w:afterLines="50"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二、评标程序  </w:t>
      </w:r>
    </w:p>
    <w:p w14:paraId="3AF3A719">
      <w:pPr>
        <w:pStyle w:val="65"/>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4．投标文件的初步评审    </w:t>
      </w:r>
    </w:p>
    <w:p w14:paraId="4CEF7342">
      <w:pPr>
        <w:pStyle w:val="65"/>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初步评审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分为资格性</w:t>
      </w:r>
      <w:r>
        <w:rPr>
          <w:rFonts w:hint="eastAsia" w:asciiTheme="minorEastAsia" w:hAnsiTheme="minorEastAsia" w:eastAsiaTheme="minorEastAsia" w:cstheme="minorEastAsia"/>
          <w:color w:val="auto"/>
          <w:sz w:val="24"/>
          <w:szCs w:val="24"/>
          <w:highlight w:val="none"/>
          <w:lang w:eastAsia="zh-CN"/>
        </w:rPr>
        <w:t>审查</w:t>
      </w:r>
      <w:r>
        <w:rPr>
          <w:rFonts w:hint="eastAsia" w:asciiTheme="minorEastAsia" w:hAnsiTheme="minorEastAsia" w:eastAsiaTheme="minorEastAsia" w:cstheme="minorEastAsia"/>
          <w:color w:val="auto"/>
          <w:sz w:val="24"/>
          <w:szCs w:val="24"/>
          <w:highlight w:val="none"/>
        </w:rPr>
        <w:t>和符合性</w:t>
      </w:r>
      <w:r>
        <w:rPr>
          <w:rFonts w:hint="eastAsia" w:asciiTheme="minorEastAsia" w:hAnsiTheme="minorEastAsia" w:eastAsiaTheme="minorEastAsia" w:cstheme="minorEastAsia"/>
          <w:color w:val="auto"/>
          <w:sz w:val="24"/>
          <w:szCs w:val="24"/>
          <w:highlight w:val="none"/>
          <w:lang w:eastAsia="zh-CN"/>
        </w:rPr>
        <w:t>审查</w:t>
      </w:r>
      <w:r>
        <w:rPr>
          <w:rFonts w:hint="eastAsia" w:asciiTheme="minorEastAsia" w:hAnsiTheme="minorEastAsia" w:eastAsiaTheme="minorEastAsia" w:cstheme="minorEastAsia"/>
          <w:color w:val="auto"/>
          <w:sz w:val="24"/>
          <w:szCs w:val="24"/>
          <w:highlight w:val="none"/>
        </w:rPr>
        <w:t>。</w:t>
      </w:r>
    </w:p>
    <w:p w14:paraId="72A2FDBF">
      <w:pPr>
        <w:pStyle w:val="65"/>
        <w:spacing w:line="360" w:lineRule="auto"/>
        <w:ind w:firstLine="567"/>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4.2 商务技术部分评审。</w:t>
      </w:r>
    </w:p>
    <w:p w14:paraId="032082BA">
      <w:pPr>
        <w:pStyle w:val="65"/>
        <w:spacing w:line="360" w:lineRule="auto"/>
        <w:ind w:firstLine="567"/>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报价部分评审。</w:t>
      </w:r>
    </w:p>
    <w:p w14:paraId="2E068D25">
      <w:pPr>
        <w:pStyle w:val="65"/>
        <w:spacing w:line="360" w:lineRule="auto"/>
        <w:ind w:firstLine="560"/>
        <w:jc w:val="both"/>
        <w:rPr>
          <w:rFonts w:hint="eastAsia" w:asciiTheme="minorEastAsia" w:hAnsiTheme="minorEastAsia" w:eastAsiaTheme="minorEastAsia" w:cstheme="minorEastAsia"/>
          <w:color w:val="auto"/>
          <w:spacing w:val="-10"/>
          <w:sz w:val="24"/>
          <w:szCs w:val="24"/>
          <w:highlight w:val="none"/>
        </w:rPr>
      </w:pPr>
    </w:p>
    <w:p w14:paraId="6E415B51">
      <w:pPr>
        <w:snapToGrid w:val="0"/>
        <w:spacing w:line="240" w:lineRule="auto"/>
        <w:jc w:val="center"/>
        <w:rPr>
          <w:rFonts w:hint="eastAsia" w:asciiTheme="minorEastAsia" w:hAnsiTheme="minorEastAsia" w:eastAsiaTheme="minorEastAsia" w:cstheme="minorEastAsia"/>
          <w:b/>
          <w:bCs/>
          <w:kern w:val="0"/>
          <w:sz w:val="24"/>
          <w:szCs w:val="24"/>
          <w:highlight w:val="none"/>
        </w:rPr>
      </w:pPr>
    </w:p>
    <w:p w14:paraId="4892385B">
      <w:pPr>
        <w:snapToGrid w:val="0"/>
        <w:spacing w:line="240" w:lineRule="auto"/>
        <w:jc w:val="center"/>
        <w:rPr>
          <w:rFonts w:hint="eastAsia" w:asciiTheme="minorEastAsia" w:hAnsiTheme="minorEastAsia" w:eastAsiaTheme="minorEastAsia" w:cstheme="minorEastAsia"/>
          <w:b/>
          <w:bCs/>
          <w:kern w:val="0"/>
          <w:sz w:val="24"/>
          <w:szCs w:val="24"/>
          <w:highlight w:val="none"/>
        </w:rPr>
      </w:pPr>
    </w:p>
    <w:p w14:paraId="1A1E6226">
      <w:pPr>
        <w:snapToGrid w:val="0"/>
        <w:spacing w:line="240" w:lineRule="auto"/>
        <w:jc w:val="center"/>
        <w:rPr>
          <w:rFonts w:hint="eastAsia" w:asciiTheme="minorEastAsia" w:hAnsiTheme="minorEastAsia" w:eastAsiaTheme="minorEastAsia" w:cstheme="minorEastAsia"/>
          <w:b/>
          <w:bCs/>
          <w:kern w:val="0"/>
          <w:sz w:val="24"/>
          <w:szCs w:val="24"/>
          <w:highlight w:val="none"/>
        </w:rPr>
      </w:pPr>
    </w:p>
    <w:p w14:paraId="39CD0B73">
      <w:pPr>
        <w:snapToGrid w:val="0"/>
        <w:spacing w:line="240" w:lineRule="auto"/>
        <w:jc w:val="center"/>
        <w:rPr>
          <w:rFonts w:hint="eastAsia" w:asciiTheme="minorEastAsia" w:hAnsiTheme="minorEastAsia" w:eastAsiaTheme="minorEastAsia" w:cstheme="minorEastAsia"/>
          <w:b/>
          <w:bCs/>
          <w:kern w:val="0"/>
          <w:sz w:val="24"/>
          <w:szCs w:val="24"/>
          <w:highlight w:val="none"/>
        </w:rPr>
      </w:pPr>
    </w:p>
    <w:p w14:paraId="68542C94">
      <w:pPr>
        <w:snapToGrid w:val="0"/>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资格性审查表</w:t>
      </w:r>
    </w:p>
    <w:tbl>
      <w:tblPr>
        <w:tblStyle w:val="35"/>
        <w:tblpPr w:leftFromText="180" w:rightFromText="180" w:vertAnchor="text" w:horzAnchor="page" w:tblpX="1018" w:tblpY="487"/>
        <w:tblOverlap w:val="never"/>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914"/>
        <w:gridCol w:w="6384"/>
      </w:tblGrid>
      <w:tr w14:paraId="794A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60" w:type="dxa"/>
            <w:vAlign w:val="center"/>
          </w:tcPr>
          <w:p w14:paraId="2B7D6ABB">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序号</w:t>
            </w:r>
          </w:p>
        </w:tc>
        <w:tc>
          <w:tcPr>
            <w:tcW w:w="2914" w:type="dxa"/>
            <w:vAlign w:val="center"/>
          </w:tcPr>
          <w:p w14:paraId="5171B6A1">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审查因素</w:t>
            </w:r>
          </w:p>
        </w:tc>
        <w:tc>
          <w:tcPr>
            <w:tcW w:w="6384" w:type="dxa"/>
            <w:vAlign w:val="center"/>
          </w:tcPr>
          <w:p w14:paraId="1241D22B">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审查内容</w:t>
            </w:r>
          </w:p>
        </w:tc>
      </w:tr>
      <w:tr w14:paraId="08BD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60" w:type="dxa"/>
            <w:vMerge w:val="restart"/>
            <w:vAlign w:val="center"/>
          </w:tcPr>
          <w:p w14:paraId="45AB329F">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914" w:type="dxa"/>
            <w:vAlign w:val="center"/>
          </w:tcPr>
          <w:p w14:paraId="2FEA4007">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sz w:val="24"/>
                <w:szCs w:val="24"/>
                <w:highlight w:val="none"/>
              </w:rPr>
              <w:t>投标人提供有效的统一社会信用代码的营业执照</w:t>
            </w:r>
          </w:p>
        </w:tc>
        <w:tc>
          <w:tcPr>
            <w:tcW w:w="6384" w:type="dxa"/>
            <w:vAlign w:val="center"/>
          </w:tcPr>
          <w:p w14:paraId="47DEC1F3">
            <w:pPr>
              <w:spacing w:line="240" w:lineRule="auto"/>
              <w:rPr>
                <w:rFonts w:hint="eastAsia" w:eastAsia="宋体" w:asciiTheme="minorEastAsia" w:hAnsiTheme="minorEastAsia" w:cstheme="minorEastAsia"/>
                <w:sz w:val="24"/>
                <w:szCs w:val="24"/>
                <w:highlight w:val="none"/>
                <w:lang w:eastAsia="zh-CN"/>
              </w:rPr>
            </w:pPr>
            <w:r>
              <w:rPr>
                <w:rFonts w:hint="eastAsia"/>
                <w:sz w:val="24"/>
                <w:szCs w:val="24"/>
                <w:highlight w:val="none"/>
              </w:rPr>
              <w:t>投标人提供有效的统一社会信用代码的营业执照，投标人必须是中华人民共和国境内注册的，具有独立承担民事责任的能力</w:t>
            </w:r>
            <w:r>
              <w:rPr>
                <w:rFonts w:hint="eastAsia"/>
                <w:sz w:val="24"/>
                <w:szCs w:val="24"/>
                <w:highlight w:val="none"/>
                <w:lang w:eastAsia="zh-CN"/>
              </w:rPr>
              <w:t>。</w:t>
            </w:r>
          </w:p>
        </w:tc>
      </w:tr>
      <w:tr w14:paraId="3C4B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0" w:type="dxa"/>
            <w:vMerge w:val="continue"/>
            <w:vAlign w:val="center"/>
          </w:tcPr>
          <w:p w14:paraId="2E9D631C">
            <w:pPr>
              <w:spacing w:line="240" w:lineRule="auto"/>
              <w:jc w:val="center"/>
              <w:rPr>
                <w:rFonts w:hint="eastAsia" w:asciiTheme="minorEastAsia" w:hAnsiTheme="minorEastAsia" w:eastAsiaTheme="minorEastAsia" w:cstheme="minorEastAsia"/>
                <w:sz w:val="24"/>
                <w:szCs w:val="24"/>
                <w:highlight w:val="none"/>
              </w:rPr>
            </w:pPr>
          </w:p>
        </w:tc>
        <w:tc>
          <w:tcPr>
            <w:tcW w:w="2914" w:type="dxa"/>
            <w:vAlign w:val="center"/>
          </w:tcPr>
          <w:p w14:paraId="144531F8">
            <w:pPr>
              <w:spacing w:line="240" w:lineRule="auto"/>
              <w:jc w:val="center"/>
              <w:rPr>
                <w:rFonts w:hint="eastAsia" w:asciiTheme="minorEastAsia" w:hAnsiTheme="minorEastAsia" w:eastAsiaTheme="minorEastAsia" w:cstheme="minorEastAsia"/>
                <w:sz w:val="24"/>
                <w:szCs w:val="24"/>
                <w:highlight w:val="none"/>
              </w:rPr>
            </w:pPr>
            <w:r>
              <w:rPr>
                <w:rFonts w:hint="eastAsia"/>
                <w:sz w:val="24"/>
                <w:szCs w:val="24"/>
                <w:highlight w:val="none"/>
              </w:rPr>
              <w:t>具有良好的商业信誉和健全的财务会计制度</w:t>
            </w:r>
          </w:p>
        </w:tc>
        <w:tc>
          <w:tcPr>
            <w:tcW w:w="6384" w:type="dxa"/>
            <w:vAlign w:val="center"/>
          </w:tcPr>
          <w:p w14:paraId="101D3AC3">
            <w:pPr>
              <w:spacing w:line="240" w:lineRule="auto"/>
              <w:rPr>
                <w:rFonts w:hint="eastAsia" w:eastAsia="宋体" w:asciiTheme="minorEastAsia" w:hAnsiTheme="minorEastAsia" w:cstheme="minorEastAsia"/>
                <w:sz w:val="24"/>
                <w:szCs w:val="24"/>
                <w:highlight w:val="none"/>
                <w:lang w:eastAsia="zh-CN"/>
              </w:rPr>
            </w:pPr>
            <w:r>
              <w:rPr>
                <w:rFonts w:hint="eastAsia"/>
                <w:sz w:val="24"/>
                <w:szCs w:val="24"/>
                <w:highlight w:val="none"/>
              </w:rPr>
              <w:t>提供会计师事务所出具的</w:t>
            </w:r>
            <w:r>
              <w:rPr>
                <w:rFonts w:hint="eastAsia"/>
                <w:sz w:val="24"/>
                <w:szCs w:val="24"/>
                <w:highlight w:val="none"/>
                <w:lang w:eastAsia="zh-CN"/>
              </w:rPr>
              <w:t>近三年任意一年度</w:t>
            </w:r>
            <w:r>
              <w:rPr>
                <w:rFonts w:hint="eastAsia"/>
                <w:sz w:val="24"/>
                <w:szCs w:val="24"/>
                <w:highlight w:val="none"/>
              </w:rPr>
              <w:t>财务审计报告，新成立不足一年的提供成立之日起至今的财务报表</w:t>
            </w:r>
            <w:r>
              <w:rPr>
                <w:rFonts w:hint="eastAsia"/>
                <w:sz w:val="24"/>
                <w:szCs w:val="24"/>
                <w:highlight w:val="none"/>
                <w:lang w:eastAsia="zh-CN"/>
              </w:rPr>
              <w:t>。</w:t>
            </w:r>
          </w:p>
        </w:tc>
      </w:tr>
      <w:tr w14:paraId="2488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60" w:type="dxa"/>
            <w:vMerge w:val="continue"/>
            <w:vAlign w:val="center"/>
          </w:tcPr>
          <w:p w14:paraId="62F8D44E">
            <w:pPr>
              <w:spacing w:line="240" w:lineRule="auto"/>
              <w:jc w:val="center"/>
              <w:rPr>
                <w:rFonts w:hint="eastAsia" w:asciiTheme="minorEastAsia" w:hAnsiTheme="minorEastAsia" w:eastAsiaTheme="minorEastAsia" w:cstheme="minorEastAsia"/>
                <w:sz w:val="24"/>
                <w:szCs w:val="24"/>
                <w:highlight w:val="none"/>
              </w:rPr>
            </w:pPr>
          </w:p>
        </w:tc>
        <w:tc>
          <w:tcPr>
            <w:tcW w:w="2914" w:type="dxa"/>
            <w:vAlign w:val="center"/>
          </w:tcPr>
          <w:p w14:paraId="167428F5">
            <w:pPr>
              <w:spacing w:line="240" w:lineRule="auto"/>
              <w:jc w:val="center"/>
              <w:rPr>
                <w:rFonts w:hint="eastAsia" w:asciiTheme="minorEastAsia" w:hAnsiTheme="minorEastAsia" w:eastAsiaTheme="minorEastAsia" w:cstheme="minorEastAsia"/>
                <w:sz w:val="24"/>
                <w:szCs w:val="24"/>
                <w:highlight w:val="none"/>
              </w:rPr>
            </w:pPr>
            <w:r>
              <w:rPr>
                <w:rFonts w:hint="eastAsia"/>
                <w:sz w:val="24"/>
                <w:szCs w:val="24"/>
                <w:highlight w:val="none"/>
              </w:rPr>
              <w:t>依法缴纳税收</w:t>
            </w:r>
          </w:p>
        </w:tc>
        <w:tc>
          <w:tcPr>
            <w:tcW w:w="6384" w:type="dxa"/>
            <w:vAlign w:val="center"/>
          </w:tcPr>
          <w:p w14:paraId="3A432D26">
            <w:pPr>
              <w:spacing w:line="240" w:lineRule="auto"/>
              <w:rPr>
                <w:rFonts w:hint="eastAsia" w:eastAsia="宋体" w:asciiTheme="minorEastAsia" w:hAnsiTheme="minorEastAsia" w:cstheme="minorEastAsia"/>
                <w:sz w:val="24"/>
                <w:szCs w:val="24"/>
                <w:highlight w:val="none"/>
                <w:lang w:eastAsia="zh-CN"/>
              </w:rPr>
            </w:pPr>
            <w:r>
              <w:rPr>
                <w:rFonts w:hint="eastAsia"/>
                <w:sz w:val="24"/>
                <w:szCs w:val="24"/>
                <w:highlight w:val="none"/>
              </w:rPr>
              <w:t>投标人提供自投标截止之日前</w:t>
            </w:r>
            <w:r>
              <w:rPr>
                <w:rFonts w:hint="eastAsia"/>
                <w:sz w:val="24"/>
                <w:szCs w:val="24"/>
                <w:highlight w:val="none"/>
                <w:lang w:eastAsia="zh-CN"/>
              </w:rPr>
              <w:t>一</w:t>
            </w:r>
            <w:r>
              <w:rPr>
                <w:rFonts w:hint="eastAsia"/>
                <w:sz w:val="24"/>
                <w:szCs w:val="24"/>
                <w:highlight w:val="none"/>
              </w:rPr>
              <w:t>年内任意一个月依法缴纳税收的凭据，依法免税的投标人，应提供充足的证明材料</w:t>
            </w:r>
            <w:r>
              <w:rPr>
                <w:rFonts w:hint="eastAsia"/>
                <w:sz w:val="24"/>
                <w:szCs w:val="24"/>
                <w:highlight w:val="none"/>
                <w:lang w:eastAsia="zh-CN"/>
              </w:rPr>
              <w:t>。</w:t>
            </w:r>
          </w:p>
        </w:tc>
      </w:tr>
      <w:tr w14:paraId="73EE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0" w:type="dxa"/>
            <w:vMerge w:val="continue"/>
            <w:vAlign w:val="center"/>
          </w:tcPr>
          <w:p w14:paraId="1708EBFB">
            <w:pPr>
              <w:spacing w:line="240" w:lineRule="auto"/>
              <w:jc w:val="center"/>
              <w:rPr>
                <w:rFonts w:hint="eastAsia" w:asciiTheme="minorEastAsia" w:hAnsiTheme="minorEastAsia" w:eastAsiaTheme="minorEastAsia" w:cstheme="minorEastAsia"/>
                <w:sz w:val="24"/>
                <w:szCs w:val="24"/>
                <w:highlight w:val="none"/>
              </w:rPr>
            </w:pPr>
          </w:p>
        </w:tc>
        <w:tc>
          <w:tcPr>
            <w:tcW w:w="2914" w:type="dxa"/>
            <w:vAlign w:val="center"/>
          </w:tcPr>
          <w:p w14:paraId="2F37FCEA">
            <w:pPr>
              <w:spacing w:line="240" w:lineRule="auto"/>
              <w:jc w:val="center"/>
              <w:rPr>
                <w:rFonts w:hint="eastAsia" w:asciiTheme="minorEastAsia" w:hAnsiTheme="minorEastAsia" w:eastAsiaTheme="minorEastAsia" w:cstheme="minorEastAsia"/>
                <w:sz w:val="24"/>
                <w:szCs w:val="24"/>
                <w:highlight w:val="none"/>
              </w:rPr>
            </w:pPr>
            <w:r>
              <w:rPr>
                <w:rFonts w:hint="eastAsia"/>
                <w:sz w:val="24"/>
                <w:szCs w:val="24"/>
                <w:highlight w:val="none"/>
              </w:rPr>
              <w:t>依法缴纳社保</w:t>
            </w:r>
          </w:p>
        </w:tc>
        <w:tc>
          <w:tcPr>
            <w:tcW w:w="6384" w:type="dxa"/>
            <w:vAlign w:val="center"/>
          </w:tcPr>
          <w:p w14:paraId="4CC3553E">
            <w:pPr>
              <w:spacing w:line="240" w:lineRule="auto"/>
              <w:rPr>
                <w:rFonts w:hint="eastAsia" w:asciiTheme="minorEastAsia" w:hAnsiTheme="minorEastAsia" w:eastAsiaTheme="minorEastAsia" w:cstheme="minorEastAsia"/>
                <w:sz w:val="24"/>
                <w:szCs w:val="24"/>
                <w:highlight w:val="none"/>
              </w:rPr>
            </w:pPr>
            <w:r>
              <w:rPr>
                <w:rFonts w:hint="eastAsia"/>
                <w:sz w:val="24"/>
                <w:szCs w:val="24"/>
                <w:highlight w:val="none"/>
              </w:rPr>
              <w:t>投标人提供自投标截止之日</w:t>
            </w:r>
            <w:r>
              <w:rPr>
                <w:rFonts w:hint="eastAsia"/>
                <w:sz w:val="24"/>
                <w:szCs w:val="24"/>
                <w:highlight w:val="none"/>
                <w:lang w:eastAsia="zh-CN"/>
              </w:rPr>
              <w:t>一</w:t>
            </w:r>
            <w:r>
              <w:rPr>
                <w:rFonts w:hint="eastAsia"/>
                <w:sz w:val="24"/>
                <w:szCs w:val="24"/>
                <w:highlight w:val="none"/>
              </w:rPr>
              <w:t>年内任意一个月依法缴纳社会保障资金的凭据</w:t>
            </w:r>
            <w:r>
              <w:rPr>
                <w:rFonts w:hint="eastAsia"/>
                <w:sz w:val="24"/>
                <w:szCs w:val="24"/>
                <w:highlight w:val="none"/>
                <w:lang w:eastAsia="zh-CN"/>
              </w:rPr>
              <w:t>。</w:t>
            </w:r>
            <w:r>
              <w:rPr>
                <w:rFonts w:hint="eastAsia"/>
                <w:sz w:val="24"/>
                <w:szCs w:val="24"/>
                <w:highlight w:val="none"/>
              </w:rPr>
              <w:t xml:space="preserve">           </w:t>
            </w:r>
          </w:p>
        </w:tc>
      </w:tr>
      <w:tr w14:paraId="38CF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60" w:type="dxa"/>
            <w:vMerge w:val="continue"/>
            <w:vAlign w:val="center"/>
          </w:tcPr>
          <w:p w14:paraId="1B018B27">
            <w:pPr>
              <w:spacing w:line="240" w:lineRule="auto"/>
              <w:jc w:val="center"/>
              <w:rPr>
                <w:rFonts w:hint="eastAsia" w:asciiTheme="minorEastAsia" w:hAnsiTheme="minorEastAsia" w:eastAsiaTheme="minorEastAsia" w:cstheme="minorEastAsia"/>
                <w:sz w:val="24"/>
                <w:szCs w:val="24"/>
                <w:highlight w:val="none"/>
              </w:rPr>
            </w:pPr>
          </w:p>
        </w:tc>
        <w:tc>
          <w:tcPr>
            <w:tcW w:w="2914" w:type="dxa"/>
            <w:vAlign w:val="center"/>
          </w:tcPr>
          <w:p w14:paraId="47C719E5">
            <w:pPr>
              <w:spacing w:line="240" w:lineRule="auto"/>
              <w:jc w:val="center"/>
              <w:rPr>
                <w:rFonts w:hint="eastAsia" w:asciiTheme="minorEastAsia" w:hAnsiTheme="minorEastAsia" w:eastAsiaTheme="minorEastAsia" w:cstheme="minorEastAsia"/>
                <w:sz w:val="24"/>
                <w:szCs w:val="24"/>
                <w:highlight w:val="none"/>
              </w:rPr>
            </w:pPr>
            <w:r>
              <w:rPr>
                <w:rFonts w:hint="eastAsia"/>
                <w:sz w:val="24"/>
                <w:szCs w:val="24"/>
                <w:highlight w:val="none"/>
              </w:rPr>
              <w:t>具备履行合同所必需的设备和专业技术能力</w:t>
            </w:r>
          </w:p>
        </w:tc>
        <w:tc>
          <w:tcPr>
            <w:tcW w:w="6384" w:type="dxa"/>
            <w:vAlign w:val="center"/>
          </w:tcPr>
          <w:p w14:paraId="3A731F33">
            <w:pPr>
              <w:spacing w:line="240" w:lineRule="auto"/>
              <w:jc w:val="both"/>
              <w:rPr>
                <w:rFonts w:hint="eastAsia" w:eastAsia="宋体" w:asciiTheme="minorEastAsia" w:hAnsiTheme="minorEastAsia" w:cstheme="minorEastAsia"/>
                <w:sz w:val="24"/>
                <w:szCs w:val="24"/>
                <w:highlight w:val="none"/>
                <w:lang w:eastAsia="zh-CN"/>
              </w:rPr>
            </w:pPr>
            <w:r>
              <w:rPr>
                <w:rFonts w:hint="eastAsia"/>
                <w:sz w:val="24"/>
                <w:szCs w:val="24"/>
                <w:highlight w:val="none"/>
              </w:rPr>
              <w:t>投标人具备履行合同所必需的设备和专业技术能力（根据项目需求提供履行合同所必需的设备和专业技术能力的证明材料或加盖公章的承诺函）</w:t>
            </w:r>
            <w:r>
              <w:rPr>
                <w:rFonts w:hint="eastAsia"/>
                <w:sz w:val="24"/>
                <w:szCs w:val="24"/>
                <w:highlight w:val="none"/>
                <w:lang w:eastAsia="zh-CN"/>
              </w:rPr>
              <w:t>。</w:t>
            </w:r>
          </w:p>
        </w:tc>
      </w:tr>
      <w:tr w14:paraId="79C2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760" w:type="dxa"/>
            <w:vMerge w:val="continue"/>
            <w:vAlign w:val="center"/>
          </w:tcPr>
          <w:p w14:paraId="35DD8502">
            <w:pPr>
              <w:spacing w:line="240" w:lineRule="auto"/>
              <w:jc w:val="center"/>
              <w:rPr>
                <w:rFonts w:hint="eastAsia" w:asciiTheme="minorEastAsia" w:hAnsiTheme="minorEastAsia" w:eastAsiaTheme="minorEastAsia" w:cstheme="minorEastAsia"/>
                <w:sz w:val="24"/>
                <w:szCs w:val="24"/>
                <w:highlight w:val="none"/>
              </w:rPr>
            </w:pPr>
          </w:p>
        </w:tc>
        <w:tc>
          <w:tcPr>
            <w:tcW w:w="2914" w:type="dxa"/>
            <w:vAlign w:val="center"/>
          </w:tcPr>
          <w:p w14:paraId="13D9123C">
            <w:pPr>
              <w:spacing w:line="240" w:lineRule="auto"/>
              <w:jc w:val="center"/>
              <w:rPr>
                <w:rFonts w:hint="eastAsia" w:asciiTheme="minorEastAsia" w:hAnsiTheme="minorEastAsia" w:eastAsiaTheme="minorEastAsia" w:cstheme="minorEastAsia"/>
                <w:sz w:val="24"/>
                <w:szCs w:val="24"/>
                <w:highlight w:val="none"/>
              </w:rPr>
            </w:pPr>
            <w:r>
              <w:rPr>
                <w:rFonts w:hint="eastAsia"/>
                <w:sz w:val="24"/>
                <w:szCs w:val="24"/>
                <w:highlight w:val="none"/>
              </w:rPr>
              <w:t>参加政府采购活动前 3 年内在经营活动中没有重大违法记录的书面声明</w:t>
            </w:r>
          </w:p>
        </w:tc>
        <w:tc>
          <w:tcPr>
            <w:tcW w:w="6384" w:type="dxa"/>
            <w:vAlign w:val="center"/>
          </w:tcPr>
          <w:p w14:paraId="6E1443A7">
            <w:pPr>
              <w:spacing w:line="240" w:lineRule="auto"/>
              <w:rPr>
                <w:rFonts w:hint="eastAsia" w:eastAsia="宋体" w:asciiTheme="minorEastAsia" w:hAnsiTheme="minorEastAsia" w:cstheme="minorEastAsia"/>
                <w:sz w:val="24"/>
                <w:szCs w:val="24"/>
                <w:highlight w:val="none"/>
                <w:lang w:eastAsia="zh-CN"/>
              </w:rPr>
            </w:pPr>
            <w:r>
              <w:rPr>
                <w:rFonts w:hint="eastAsia"/>
                <w:sz w:val="24"/>
                <w:szCs w:val="24"/>
                <w:highlight w:val="none"/>
              </w:rPr>
              <w:t>投标人提供参加政府采购活动前 3 年内在经营活动中没有重大违法记录的书面声明（截至开标日成立不满 3 年的投标人，可提供自成立以来无重大违法记录的书面声明）</w:t>
            </w:r>
            <w:r>
              <w:rPr>
                <w:rFonts w:hint="eastAsia"/>
                <w:sz w:val="24"/>
                <w:szCs w:val="24"/>
                <w:highlight w:val="none"/>
                <w:lang w:eastAsia="zh-CN"/>
              </w:rPr>
              <w:t>。</w:t>
            </w:r>
          </w:p>
        </w:tc>
      </w:tr>
      <w:tr w14:paraId="5ED9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0" w:type="dxa"/>
            <w:vAlign w:val="center"/>
          </w:tcPr>
          <w:p w14:paraId="75A7D22D">
            <w:pPr>
              <w:spacing w:line="240" w:lineRule="auto"/>
              <w:jc w:val="center"/>
              <w:rPr>
                <w:rFonts w:hint="eastAsia" w:asciiTheme="minorEastAsia" w:hAnsiTheme="minorEastAsia" w:eastAsiaTheme="minorEastAsia" w:cstheme="minorEastAsia"/>
                <w:sz w:val="24"/>
                <w:szCs w:val="24"/>
                <w:highlight w:val="none"/>
              </w:rPr>
            </w:pPr>
          </w:p>
          <w:p w14:paraId="05284A1F">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p w14:paraId="4997E49D">
            <w:pPr>
              <w:spacing w:line="240" w:lineRule="auto"/>
              <w:jc w:val="center"/>
              <w:rPr>
                <w:rFonts w:hint="eastAsia" w:asciiTheme="minorEastAsia" w:hAnsiTheme="minorEastAsia" w:eastAsiaTheme="minorEastAsia" w:cstheme="minorEastAsia"/>
                <w:sz w:val="24"/>
                <w:szCs w:val="24"/>
                <w:highlight w:val="none"/>
              </w:rPr>
            </w:pPr>
          </w:p>
        </w:tc>
        <w:tc>
          <w:tcPr>
            <w:tcW w:w="2914" w:type="dxa"/>
            <w:vAlign w:val="center"/>
          </w:tcPr>
          <w:p w14:paraId="144B18C8">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企业信用</w:t>
            </w:r>
          </w:p>
        </w:tc>
        <w:tc>
          <w:tcPr>
            <w:tcW w:w="6384" w:type="dxa"/>
            <w:vAlign w:val="center"/>
          </w:tcPr>
          <w:p w14:paraId="4744A044">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1.供应商单位负责人为同一人或者存在直接控股、管理关系的不同供应商，不得参加同一合同项下的政府采购活动。（需提供承诺函</w:t>
            </w:r>
            <w:r>
              <w:rPr>
                <w:rFonts w:hint="eastAsia" w:asciiTheme="minorEastAsia" w:hAnsiTheme="minorEastAsia" w:eastAsiaTheme="minorEastAsia" w:cstheme="minorEastAsia"/>
                <w:sz w:val="24"/>
                <w:szCs w:val="24"/>
                <w:highlight w:val="none"/>
                <w:lang w:eastAsia="zh-CN"/>
              </w:rPr>
              <w:t>或声明函</w:t>
            </w:r>
            <w:r>
              <w:rPr>
                <w:rFonts w:hint="eastAsia" w:asciiTheme="minorEastAsia" w:hAnsiTheme="minorEastAsia" w:eastAsiaTheme="minorEastAsia" w:cstheme="minorEastAsia"/>
                <w:sz w:val="24"/>
                <w:szCs w:val="24"/>
                <w:highlight w:val="none"/>
              </w:rPr>
              <w:t>）</w:t>
            </w:r>
          </w:p>
          <w:p w14:paraId="723B0FC8">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2.凡为采购项目提供整体设计、规范编制或者项目管理、监理、检测等服务的供应商，不得再参加本项目的采购活动。（需提供承诺函</w:t>
            </w:r>
            <w:r>
              <w:rPr>
                <w:rFonts w:hint="eastAsia" w:asciiTheme="minorEastAsia" w:hAnsiTheme="minorEastAsia" w:eastAsiaTheme="minorEastAsia" w:cstheme="minorEastAsia"/>
                <w:sz w:val="24"/>
                <w:szCs w:val="24"/>
                <w:highlight w:val="none"/>
                <w:lang w:eastAsia="zh-CN"/>
              </w:rPr>
              <w:t>或声明函</w:t>
            </w:r>
            <w:r>
              <w:rPr>
                <w:rFonts w:hint="eastAsia" w:asciiTheme="minorEastAsia" w:hAnsiTheme="minorEastAsia" w:eastAsiaTheme="minorEastAsia" w:cstheme="minorEastAsia"/>
                <w:sz w:val="24"/>
                <w:szCs w:val="24"/>
                <w:highlight w:val="none"/>
              </w:rPr>
              <w:t>）</w:t>
            </w:r>
          </w:p>
          <w:p w14:paraId="1CD56963">
            <w:pPr>
              <w:spacing w:line="24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r>
              <w:rPr>
                <w:rFonts w:hint="eastAsia" w:asciiTheme="minorEastAsia" w:hAnsiTheme="minorEastAsia" w:eastAsiaTheme="minorEastAsia" w:cstheme="minorEastAsia"/>
                <w:sz w:val="24"/>
                <w:szCs w:val="24"/>
                <w:highlight w:val="none"/>
                <w:lang w:eastAsia="zh-CN"/>
              </w:rPr>
              <w:t>。</w:t>
            </w:r>
          </w:p>
        </w:tc>
      </w:tr>
      <w:tr w14:paraId="76C6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0" w:type="dxa"/>
            <w:vAlign w:val="center"/>
          </w:tcPr>
          <w:p w14:paraId="1B9BB08B">
            <w:pPr>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2914" w:type="dxa"/>
            <w:vAlign w:val="center"/>
          </w:tcPr>
          <w:p w14:paraId="51E3D7FC">
            <w:pPr>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供应商应为中小企业</w:t>
            </w:r>
          </w:p>
        </w:tc>
        <w:tc>
          <w:tcPr>
            <w:tcW w:w="6384" w:type="dxa"/>
            <w:vAlign w:val="center"/>
          </w:tcPr>
          <w:p w14:paraId="2A65F6A8">
            <w:pPr>
              <w:spacing w:line="24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eastAsia="zh-CN"/>
              </w:rPr>
              <w:t>本项目不专门面向中小企业。</w:t>
            </w:r>
            <w:r>
              <w:rPr>
                <w:rFonts w:hint="eastAsia" w:asciiTheme="minorEastAsia" w:hAnsiTheme="minorEastAsia" w:eastAsiaTheme="minorEastAsia" w:cstheme="minorEastAsia"/>
                <w:kern w:val="0"/>
                <w:sz w:val="24"/>
                <w:szCs w:val="24"/>
                <w:highlight w:val="none"/>
              </w:rPr>
              <w:t>根据《关于进一步加大政府采购支持中小企业力度的通知》的规定：预留采购项目预算金额的30%（</w:t>
            </w:r>
            <w:r>
              <w:rPr>
                <w:rFonts w:hint="eastAsia" w:asciiTheme="minorEastAsia" w:hAnsiTheme="minorEastAsia" w:eastAsiaTheme="minorEastAsia" w:cstheme="minorEastAsia"/>
                <w:kern w:val="0"/>
                <w:sz w:val="24"/>
                <w:szCs w:val="24"/>
                <w:highlight w:val="none"/>
                <w:lang w:val="en-US" w:eastAsia="zh-CN"/>
              </w:rPr>
              <w:t>630000</w:t>
            </w:r>
            <w:r>
              <w:rPr>
                <w:rFonts w:hint="eastAsia" w:asciiTheme="minorEastAsia" w:hAnsiTheme="minorEastAsia" w:eastAsiaTheme="minorEastAsia" w:cstheme="minorEastAsia"/>
                <w:kern w:val="0"/>
                <w:sz w:val="24"/>
                <w:szCs w:val="24"/>
                <w:highlight w:val="none"/>
              </w:rPr>
              <w:t>元）专门面向中小企业采购，其中</w:t>
            </w:r>
            <w:r>
              <w:rPr>
                <w:rFonts w:hint="eastAsia" w:asciiTheme="minorEastAsia" w:hAnsiTheme="minorEastAsia" w:eastAsiaTheme="minorEastAsia" w:cstheme="minorEastAsia"/>
                <w:kern w:val="0"/>
                <w:sz w:val="24"/>
                <w:szCs w:val="24"/>
                <w:highlight w:val="none"/>
                <w:lang w:val="en-US" w:eastAsia="zh-CN"/>
              </w:rPr>
              <w:t>630000</w:t>
            </w:r>
            <w:r>
              <w:rPr>
                <w:rFonts w:hint="eastAsia" w:asciiTheme="minorEastAsia" w:hAnsiTheme="minorEastAsia" w:eastAsiaTheme="minorEastAsia" w:cstheme="minorEastAsia"/>
                <w:kern w:val="0"/>
                <w:sz w:val="24"/>
                <w:szCs w:val="24"/>
                <w:highlight w:val="none"/>
              </w:rPr>
              <w:t>元的60%（</w:t>
            </w:r>
            <w:r>
              <w:rPr>
                <w:rFonts w:hint="eastAsia" w:asciiTheme="minorEastAsia" w:hAnsiTheme="minorEastAsia" w:eastAsiaTheme="minorEastAsia" w:cstheme="minorEastAsia"/>
                <w:kern w:val="0"/>
                <w:sz w:val="24"/>
                <w:szCs w:val="24"/>
                <w:highlight w:val="none"/>
                <w:lang w:val="en-US" w:eastAsia="zh-CN"/>
              </w:rPr>
              <w:t>378000</w:t>
            </w:r>
            <w:r>
              <w:rPr>
                <w:rFonts w:hint="eastAsia" w:asciiTheme="minorEastAsia" w:hAnsiTheme="minorEastAsia" w:eastAsiaTheme="minorEastAsia" w:cstheme="minorEastAsia"/>
                <w:kern w:val="0"/>
                <w:sz w:val="24"/>
                <w:szCs w:val="24"/>
                <w:highlight w:val="none"/>
              </w:rPr>
              <w:t>元）预留给小微企业采购</w:t>
            </w:r>
            <w:r>
              <w:rPr>
                <w:rFonts w:hint="eastAsia" w:asciiTheme="minorEastAsia" w:hAnsiTheme="minorEastAsia" w:eastAsiaTheme="minorEastAsia" w:cstheme="minorEastAsia"/>
                <w:kern w:val="0"/>
                <w:sz w:val="24"/>
                <w:szCs w:val="24"/>
                <w:highlight w:val="none"/>
                <w:lang w:val="en-US" w:eastAsia="zh-CN"/>
              </w:rPr>
              <w:t>,对于预留份额，提供的货物由符合政策要求的小微企业制造；如果供应商本身提供的所有标的均由小微企业制造，视同符合了资格条件。中小企业参加政府采购活动，应当出具《政府采购促进中小企业发展管理办法》规定的《中小企业声明函》，否则不得享受相关中小企业扶持政策。</w:t>
            </w:r>
          </w:p>
          <w:p w14:paraId="5EB17587">
            <w:pPr>
              <w:spacing w:line="24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供应商须提供：《分包意向协议》《中小企业声明函》</w:t>
            </w:r>
          </w:p>
        </w:tc>
      </w:tr>
    </w:tbl>
    <w:p w14:paraId="46ADB9D3">
      <w:pPr>
        <w:pStyle w:val="34"/>
        <w:spacing w:line="240" w:lineRule="auto"/>
        <w:ind w:left="0" w:leftChars="0" w:firstLine="0" w:firstLineChars="0"/>
        <w:rPr>
          <w:rFonts w:hint="eastAsia" w:asciiTheme="minorEastAsia" w:hAnsiTheme="minorEastAsia" w:eastAsiaTheme="minorEastAsia" w:cstheme="minorEastAsia"/>
          <w:sz w:val="24"/>
          <w:szCs w:val="24"/>
          <w:highlight w:val="none"/>
        </w:rPr>
      </w:pPr>
    </w:p>
    <w:p w14:paraId="183C6DA1">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 符合性检查。依据招标文件的规定，从投标文件的有效性、完整性和对招标文件的响应程度进行审查，以确定是否对招标文件的实质性要求作出响应。评标委员会评审投标文件的响应性只根据投标文件真实无误的内容，而不依据外部的证据，但投标文件有不真实、不正确的内容时除外。</w:t>
      </w:r>
    </w:p>
    <w:p w14:paraId="0F8B29FB">
      <w:pPr>
        <w:pStyle w:val="65"/>
        <w:spacing w:line="240" w:lineRule="auto"/>
        <w:ind w:firstLine="56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 投标供应商不得通过修正或撤销不符合要求的偏离从而使其投标成为实质上响应的投标。</w:t>
      </w:r>
    </w:p>
    <w:p w14:paraId="7D45B584">
      <w:pPr>
        <w:snapToGrid w:val="0"/>
        <w:spacing w:line="240" w:lineRule="auto"/>
        <w:jc w:val="center"/>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符合性检查</w:t>
      </w:r>
    </w:p>
    <w:tbl>
      <w:tblPr>
        <w:tblStyle w:val="35"/>
        <w:tblpPr w:leftFromText="180" w:rightFromText="180" w:vertAnchor="text" w:horzAnchor="page" w:tblpX="993" w:tblpY="483"/>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164"/>
        <w:gridCol w:w="7171"/>
      </w:tblGrid>
      <w:tr w14:paraId="25CE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0" w:type="dxa"/>
            <w:vAlign w:val="center"/>
          </w:tcPr>
          <w:p w14:paraId="3CDAD392">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序号</w:t>
            </w:r>
          </w:p>
        </w:tc>
        <w:tc>
          <w:tcPr>
            <w:tcW w:w="9335" w:type="dxa"/>
            <w:gridSpan w:val="2"/>
            <w:vAlign w:val="center"/>
          </w:tcPr>
          <w:p w14:paraId="347523D6">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评审标准</w:t>
            </w:r>
          </w:p>
        </w:tc>
      </w:tr>
      <w:tr w14:paraId="0393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70" w:type="dxa"/>
            <w:vAlign w:val="center"/>
          </w:tcPr>
          <w:p w14:paraId="0E32475B">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164" w:type="dxa"/>
            <w:vAlign w:val="center"/>
          </w:tcPr>
          <w:p w14:paraId="0AB197D5">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投标文件签署</w:t>
            </w:r>
          </w:p>
        </w:tc>
        <w:tc>
          <w:tcPr>
            <w:tcW w:w="7171" w:type="dxa"/>
            <w:vAlign w:val="center"/>
          </w:tcPr>
          <w:p w14:paraId="0242D3B9">
            <w:pPr>
              <w:spacing w:line="24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投标文件上法定代表人或其授权代理人的签字</w:t>
            </w:r>
            <w:r>
              <w:rPr>
                <w:rFonts w:hint="eastAsia" w:asciiTheme="minorEastAsia" w:hAnsiTheme="minorEastAsia" w:eastAsiaTheme="minorEastAsia" w:cstheme="minorEastAsia"/>
                <w:sz w:val="24"/>
                <w:szCs w:val="24"/>
                <w:highlight w:val="none"/>
              </w:rPr>
              <w:t>或盖章</w:t>
            </w:r>
            <w:r>
              <w:rPr>
                <w:rFonts w:hint="eastAsia" w:asciiTheme="minorEastAsia" w:hAnsiTheme="minorEastAsia" w:eastAsiaTheme="minorEastAsia" w:cstheme="minorEastAsia"/>
                <w:sz w:val="24"/>
                <w:szCs w:val="24"/>
                <w:highlight w:val="none"/>
                <w:lang w:val="zh-CN"/>
              </w:rPr>
              <w:t>、供应商的单位章齐全符合招标文件规定。</w:t>
            </w:r>
          </w:p>
        </w:tc>
      </w:tr>
      <w:tr w14:paraId="4709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0" w:type="dxa"/>
            <w:vAlign w:val="center"/>
          </w:tcPr>
          <w:p w14:paraId="79FCD732">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164" w:type="dxa"/>
            <w:vAlign w:val="center"/>
          </w:tcPr>
          <w:p w14:paraId="38A11F27">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法定代表人身份证明及法定代表人授权委托书</w:t>
            </w:r>
          </w:p>
        </w:tc>
        <w:tc>
          <w:tcPr>
            <w:tcW w:w="7171" w:type="dxa"/>
            <w:vAlign w:val="center"/>
          </w:tcPr>
          <w:p w14:paraId="0D129DFF">
            <w:pPr>
              <w:spacing w:line="24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法定代表人身份证明及</w:t>
            </w:r>
            <w:r>
              <w:rPr>
                <w:rFonts w:hint="eastAsia" w:asciiTheme="minorEastAsia" w:hAnsiTheme="minorEastAsia" w:eastAsiaTheme="minorEastAsia" w:cstheme="minorEastAsia"/>
                <w:sz w:val="24"/>
                <w:szCs w:val="24"/>
                <w:highlight w:val="none"/>
              </w:rPr>
              <w:t>法定代表人授权委托书</w:t>
            </w:r>
            <w:r>
              <w:rPr>
                <w:rFonts w:hint="eastAsia" w:asciiTheme="minorEastAsia" w:hAnsiTheme="minorEastAsia" w:eastAsiaTheme="minorEastAsia" w:cstheme="minorEastAsia"/>
                <w:sz w:val="24"/>
                <w:szCs w:val="24"/>
                <w:highlight w:val="none"/>
                <w:lang w:val="zh-CN"/>
              </w:rPr>
              <w:t>有效，且符合招标文件规定的格式。</w:t>
            </w:r>
          </w:p>
        </w:tc>
      </w:tr>
      <w:tr w14:paraId="4FBF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14:paraId="0231FBBF">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2164" w:type="dxa"/>
            <w:vAlign w:val="center"/>
          </w:tcPr>
          <w:p w14:paraId="33FEB172">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投标报价</w:t>
            </w:r>
          </w:p>
        </w:tc>
        <w:tc>
          <w:tcPr>
            <w:tcW w:w="7171" w:type="dxa"/>
            <w:vAlign w:val="center"/>
          </w:tcPr>
          <w:p w14:paraId="4BF864C6">
            <w:pPr>
              <w:spacing w:line="24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投标人的投标报价未超出最高投标限价，一份投标文件只有一个投标报价，在招标文件没有规定的情况下，未提交选择性的报价。</w:t>
            </w:r>
          </w:p>
        </w:tc>
      </w:tr>
      <w:tr w14:paraId="16DE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14:paraId="7749662F">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2164" w:type="dxa"/>
            <w:vAlign w:val="center"/>
          </w:tcPr>
          <w:p w14:paraId="15B961D1">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投标保证金</w:t>
            </w:r>
          </w:p>
        </w:tc>
        <w:tc>
          <w:tcPr>
            <w:tcW w:w="7171" w:type="dxa"/>
            <w:vAlign w:val="center"/>
          </w:tcPr>
          <w:p w14:paraId="169B7B5B">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符合本招标文件关于投标保证金的规定。</w:t>
            </w:r>
          </w:p>
        </w:tc>
      </w:tr>
      <w:tr w14:paraId="6ECF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14:paraId="5209BC85">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2164" w:type="dxa"/>
            <w:vAlign w:val="center"/>
          </w:tcPr>
          <w:p w14:paraId="25FE938E">
            <w:pPr>
              <w:spacing w:line="24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合同工期/服务期限/供货期限、质量要求/质保期、售后标准</w:t>
            </w:r>
          </w:p>
        </w:tc>
        <w:tc>
          <w:tcPr>
            <w:tcW w:w="7171" w:type="dxa"/>
            <w:vAlign w:val="center"/>
          </w:tcPr>
          <w:p w14:paraId="4B0D59B0">
            <w:pPr>
              <w:spacing w:line="24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满足招标文件要求。</w:t>
            </w:r>
          </w:p>
        </w:tc>
      </w:tr>
      <w:tr w14:paraId="7F47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14:paraId="5A8CFD32">
            <w:pPr>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p>
        </w:tc>
        <w:tc>
          <w:tcPr>
            <w:tcW w:w="2164" w:type="dxa"/>
            <w:vAlign w:val="center"/>
          </w:tcPr>
          <w:p w14:paraId="45F2B9CB">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投标有效期</w:t>
            </w:r>
          </w:p>
        </w:tc>
        <w:tc>
          <w:tcPr>
            <w:tcW w:w="7171" w:type="dxa"/>
            <w:vAlign w:val="center"/>
          </w:tcPr>
          <w:p w14:paraId="02F08584">
            <w:pPr>
              <w:spacing w:line="24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满足招标文件规定。</w:t>
            </w:r>
          </w:p>
        </w:tc>
      </w:tr>
      <w:tr w14:paraId="574A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14:paraId="3A58B895">
            <w:pPr>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w:t>
            </w:r>
          </w:p>
        </w:tc>
        <w:tc>
          <w:tcPr>
            <w:tcW w:w="2164" w:type="dxa"/>
            <w:tcBorders>
              <w:bottom w:val="single" w:color="auto" w:sz="4" w:space="0"/>
            </w:tcBorders>
            <w:vAlign w:val="center"/>
          </w:tcPr>
          <w:p w14:paraId="6C29AD7C">
            <w:pPr>
              <w:spacing w:line="240" w:lineRule="auto"/>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其他</w:t>
            </w:r>
          </w:p>
        </w:tc>
        <w:tc>
          <w:tcPr>
            <w:tcW w:w="7171" w:type="dxa"/>
            <w:tcBorders>
              <w:bottom w:val="single" w:color="auto" w:sz="4" w:space="0"/>
            </w:tcBorders>
            <w:vAlign w:val="center"/>
          </w:tcPr>
          <w:p w14:paraId="1400E785">
            <w:pPr>
              <w:spacing w:line="24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投标文件未附有采购人不能接受的附加条件及法律、法规和招标文件规定的其他无效情形。</w:t>
            </w:r>
          </w:p>
        </w:tc>
      </w:tr>
    </w:tbl>
    <w:p w14:paraId="0C0CCF72">
      <w:pPr>
        <w:snapToGrid w:val="0"/>
        <w:spacing w:line="240" w:lineRule="auto"/>
        <w:jc w:val="center"/>
        <w:rPr>
          <w:rFonts w:hint="eastAsia" w:asciiTheme="minorEastAsia" w:hAnsiTheme="minorEastAsia" w:eastAsiaTheme="minorEastAsia" w:cstheme="minorEastAsia"/>
          <w:color w:val="auto"/>
          <w:sz w:val="24"/>
          <w:szCs w:val="24"/>
          <w:highlight w:val="none"/>
        </w:rPr>
      </w:pPr>
    </w:p>
    <w:p w14:paraId="7AC27ECD">
      <w:pPr>
        <w:pStyle w:val="65"/>
        <w:spacing w:line="240" w:lineRule="auto"/>
        <w:ind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4.2 有下列情形之一时,评标委员会应予废标,并将理由通知所有投标供应商</w:t>
      </w:r>
      <w:r>
        <w:rPr>
          <w:rFonts w:hint="eastAsia" w:asciiTheme="minorEastAsia" w:hAnsiTheme="minorEastAsia" w:eastAsiaTheme="minorEastAsia" w:cstheme="minorEastAsia"/>
          <w:color w:val="auto"/>
          <w:sz w:val="24"/>
          <w:szCs w:val="24"/>
          <w:highlight w:val="none"/>
          <w:lang w:eastAsia="zh-CN"/>
        </w:rPr>
        <w:t>：</w:t>
      </w:r>
    </w:p>
    <w:p w14:paraId="3A7121E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(1)符合专业条件的投标供应商或者对招标文件作实质性响应的投标供应商不足三家的；</w:t>
      </w:r>
    </w:p>
    <w:p w14:paraId="469A2AE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(2)出现影响招标公正的违法、违规行为的；    </w:t>
      </w:r>
    </w:p>
    <w:p w14:paraId="71EA2ABB">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(3)投标供应商的报份均超过了采购预算,采购人不能支付的；    </w:t>
      </w:r>
    </w:p>
    <w:p w14:paraId="11C5D59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(4)因重大变故，采购任务取消的。</w:t>
      </w:r>
    </w:p>
    <w:p w14:paraId="3CF86288">
      <w:pPr>
        <w:pStyle w:val="65"/>
        <w:spacing w:line="24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废标后，除采购任务取消情形外，招标采购单位应当重新组织招标。需要采取其他采购方式的，应当在采购活动开始前获得设区的市、自治州以上人民政府财政部门的批准。</w:t>
      </w:r>
    </w:p>
    <w:p w14:paraId="3786C0D8">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5．澄清有关问题</w:t>
      </w:r>
    </w:p>
    <w:p w14:paraId="76B9583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对于投标文件中含义不明确、同类问题表述不一致或者有明显文字和计算错误的内容，评标委员会应当以书面形式要求投标人作出必要的澄清、说明或者补正。</w:t>
      </w:r>
    </w:p>
    <w:p w14:paraId="64B0FAC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投标人的澄清、说明或者补正应当采用书面形式，并加盖公章，或者由法定代表人或其授权的代表签字。投标人的澄清、说明或者补正不得超出投标文件的范围或者改变投标文件的实质性内容。    </w:t>
      </w:r>
    </w:p>
    <w:p w14:paraId="1213DA50">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5.2 投标供应商不得对下列内容进行澄清或补充：</w:t>
      </w:r>
    </w:p>
    <w:p w14:paraId="63C2D67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(1)投标报价、质量标准、合同履行期限等实质性内容。    </w:t>
      </w:r>
    </w:p>
    <w:p w14:paraId="264ACBEF">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(2)不满足第二章投标须知第3款规定的实质性要求的投标文件内容。</w:t>
      </w:r>
    </w:p>
    <w:p w14:paraId="686D8E7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 投标文件报价出现前后不一致的，除招标文件另有规定外，按照下列规定修正：</w:t>
      </w:r>
    </w:p>
    <w:p w14:paraId="20FF451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（一）投标文件中开标一览表（报价表）内容与投标文件中相应内容不一致的，以开标一览表（报价表）为准；</w:t>
      </w:r>
    </w:p>
    <w:p w14:paraId="0F4D9DE6">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（二）大写金额和小写金额不一致的，以大写金额为准；</w:t>
      </w:r>
    </w:p>
    <w:p w14:paraId="0C61AD65">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（三）单价金额小数点或者百分比有明显错位的，以开标一览表的总价为准，并修改单价；</w:t>
      </w:r>
    </w:p>
    <w:p w14:paraId="33186C8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（四）总价金额与按单价汇总金额不一致的，以单价金额计算结果为准。</w:t>
      </w:r>
    </w:p>
    <w:p w14:paraId="0D50EE5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同时出现两种以上不一致的，按照前款规定的顺序修正。修正后的报价按照本办法第五十一条第二款的规定经投标人确认后产生约束力，投标人不确认的，其投标无效。    </w:t>
      </w:r>
    </w:p>
    <w:p w14:paraId="5A67D091">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 有效的书面澄清材料，是投标文件的补充材料，成为投标文件的组成部分。</w:t>
      </w:r>
    </w:p>
    <w:p w14:paraId="3620745E">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Theme="minorEastAsia" w:hAnsiTheme="minorEastAsia" w:eastAsiaTheme="minorEastAsia" w:cstheme="minorEastAsia"/>
          <w:b/>
          <w:bCs/>
          <w:color w:val="auto"/>
          <w:sz w:val="24"/>
          <w:szCs w:val="24"/>
          <w:highlight w:val="none"/>
        </w:rPr>
        <w:t>无效投标</w:t>
      </w:r>
      <w:r>
        <w:rPr>
          <w:rFonts w:hint="eastAsia" w:asciiTheme="minorEastAsia" w:hAnsiTheme="minorEastAsia" w:eastAsiaTheme="minorEastAsia" w:cstheme="minorEastAsia"/>
          <w:color w:val="auto"/>
          <w:sz w:val="24"/>
          <w:szCs w:val="24"/>
          <w:highlight w:val="none"/>
        </w:rPr>
        <w:t>处理。</w:t>
      </w:r>
    </w:p>
    <w:p w14:paraId="0977A087">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6．投标文件的详细评审    </w:t>
      </w:r>
    </w:p>
    <w:p w14:paraId="6A9D763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6.1 评标委员会应按照招标文件中规定的评标方法、标准和评标因素，对资格性检查和符合性检查合格的投标文件进行商务和技术评估，综合比较与评价。  </w:t>
      </w:r>
    </w:p>
    <w:p w14:paraId="7558D5B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评标时，评标委员会各成员应当独立对每个投标供应商的投标文件进行评价、评分，然后汇总每个投标供应商每项评分因素的得分。</w:t>
      </w:r>
    </w:p>
    <w:p w14:paraId="248826EE">
      <w:pPr>
        <w:pStyle w:val="65"/>
        <w:spacing w:line="24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 供应商在评标过程中，所进行的力图影响评标结果的不符合招标规则的活动，可能导致其被取消中标资格。</w:t>
      </w:r>
    </w:p>
    <w:p w14:paraId="11B95F2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 评分标准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各投标供应商的总评分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价格评分+商务、技术部分评分=100分，具体评分细则如下：</w:t>
      </w:r>
    </w:p>
    <w:tbl>
      <w:tblPr>
        <w:tblStyle w:val="35"/>
        <w:tblW w:w="4886" w:type="pct"/>
        <w:tblInd w:w="131" w:type="dxa"/>
        <w:tblLayout w:type="fixed"/>
        <w:tblCellMar>
          <w:top w:w="0" w:type="dxa"/>
          <w:left w:w="108" w:type="dxa"/>
          <w:bottom w:w="0" w:type="dxa"/>
          <w:right w:w="108" w:type="dxa"/>
        </w:tblCellMar>
      </w:tblPr>
      <w:tblGrid>
        <w:gridCol w:w="689"/>
        <w:gridCol w:w="985"/>
        <w:gridCol w:w="819"/>
        <w:gridCol w:w="7140"/>
      </w:tblGrid>
      <w:tr w14:paraId="15453D71">
        <w:tblPrEx>
          <w:tblCellMar>
            <w:top w:w="0" w:type="dxa"/>
            <w:left w:w="108" w:type="dxa"/>
            <w:bottom w:w="0" w:type="dxa"/>
            <w:right w:w="108" w:type="dxa"/>
          </w:tblCellMar>
        </w:tblPrEx>
        <w:trPr>
          <w:trHeight w:val="288" w:hRule="atLeast"/>
        </w:trPr>
        <w:tc>
          <w:tcPr>
            <w:tcW w:w="868" w:type="pct"/>
            <w:gridSpan w:val="2"/>
            <w:tcBorders>
              <w:top w:val="single" w:color="000000" w:sz="4" w:space="0"/>
              <w:left w:val="single" w:color="000000" w:sz="4" w:space="0"/>
              <w:bottom w:val="single" w:color="000000" w:sz="4" w:space="0"/>
              <w:right w:val="single" w:color="000000" w:sz="4" w:space="0"/>
            </w:tcBorders>
            <w:noWrap w:val="0"/>
            <w:vAlign w:val="center"/>
          </w:tcPr>
          <w:p w14:paraId="7D4D792F">
            <w:pPr>
              <w:widowControl/>
              <w:spacing w:line="240" w:lineRule="auto"/>
              <w:jc w:val="center"/>
              <w:textAlignment w:val="center"/>
              <w:rPr>
                <w:rFonts w:hint="eastAsia" w:ascii="宋体" w:hAnsi="宋体" w:cs="方正仿宋_GB2312"/>
                <w:b/>
                <w:bCs/>
                <w:color w:val="000000"/>
                <w:sz w:val="24"/>
                <w:szCs w:val="24"/>
                <w:highlight w:val="none"/>
              </w:rPr>
            </w:pPr>
            <w:r>
              <w:rPr>
                <w:rFonts w:hint="eastAsia" w:ascii="宋体" w:hAnsi="宋体" w:cs="方正仿宋_GB2312"/>
                <w:bCs/>
                <w:color w:val="000000"/>
                <w:kern w:val="0"/>
                <w:sz w:val="24"/>
                <w:szCs w:val="24"/>
                <w:highlight w:val="none"/>
              </w:rPr>
              <w:t>评审项目</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43174046">
            <w:pPr>
              <w:widowControl/>
              <w:spacing w:line="240" w:lineRule="auto"/>
              <w:jc w:val="center"/>
              <w:textAlignment w:val="center"/>
              <w:rPr>
                <w:rFonts w:hint="eastAsia" w:ascii="宋体" w:hAnsi="宋体" w:cs="方正仿宋_GB2312"/>
                <w:b/>
                <w:bCs/>
                <w:color w:val="000000"/>
                <w:sz w:val="24"/>
                <w:szCs w:val="24"/>
                <w:highlight w:val="none"/>
              </w:rPr>
            </w:pPr>
            <w:r>
              <w:rPr>
                <w:rFonts w:hint="eastAsia" w:ascii="宋体" w:hAnsi="宋体" w:cs="方正仿宋_GB2312"/>
                <w:bCs/>
                <w:color w:val="000000"/>
                <w:kern w:val="0"/>
                <w:sz w:val="24"/>
                <w:szCs w:val="24"/>
                <w:highlight w:val="none"/>
              </w:rPr>
              <w:t>标准分</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0E77E506">
            <w:pPr>
              <w:widowControl/>
              <w:spacing w:line="240" w:lineRule="auto"/>
              <w:jc w:val="center"/>
              <w:textAlignment w:val="center"/>
              <w:rPr>
                <w:rFonts w:hint="eastAsia" w:ascii="宋体" w:hAnsi="宋体" w:cs="方正仿宋_GB2312"/>
                <w:b/>
                <w:bCs/>
                <w:color w:val="000000"/>
                <w:sz w:val="24"/>
                <w:szCs w:val="24"/>
                <w:highlight w:val="none"/>
              </w:rPr>
            </w:pPr>
            <w:r>
              <w:rPr>
                <w:rFonts w:hint="eastAsia" w:ascii="宋体" w:hAnsi="宋体" w:cs="方正仿宋_GB2312"/>
                <w:bCs/>
                <w:color w:val="000000"/>
                <w:kern w:val="0"/>
                <w:sz w:val="24"/>
                <w:szCs w:val="24"/>
                <w:highlight w:val="none"/>
              </w:rPr>
              <w:t>评审内容</w:t>
            </w:r>
          </w:p>
        </w:tc>
      </w:tr>
      <w:tr w14:paraId="01197177">
        <w:tblPrEx>
          <w:tblCellMar>
            <w:top w:w="0" w:type="dxa"/>
            <w:left w:w="108" w:type="dxa"/>
            <w:bottom w:w="0" w:type="dxa"/>
            <w:right w:w="108" w:type="dxa"/>
          </w:tblCellMar>
        </w:tblPrEx>
        <w:trPr>
          <w:trHeight w:val="792"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7380EBDE">
            <w:pPr>
              <w:widowControl/>
              <w:spacing w:line="240" w:lineRule="auto"/>
              <w:jc w:val="left"/>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报价部分</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40C9A8CD">
            <w:pPr>
              <w:widowControl/>
              <w:spacing w:line="240" w:lineRule="auto"/>
              <w:jc w:val="center"/>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报价</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5882B382">
            <w:pPr>
              <w:pStyle w:val="181"/>
              <w:spacing w:line="240" w:lineRule="auto"/>
              <w:ind w:firstLine="0" w:firstLineChars="0"/>
              <w:rPr>
                <w:rFonts w:hint="eastAsia" w:ascii="宋体" w:hAnsi="宋体" w:eastAsia="宋体" w:cs="方正仿宋_GB2312"/>
                <w:b w:val="0"/>
                <w:color w:val="000000"/>
                <w:sz w:val="24"/>
                <w:szCs w:val="24"/>
                <w:highlight w:val="none"/>
                <w:lang w:val="en-US" w:eastAsia="zh-CN"/>
              </w:rPr>
            </w:pPr>
            <w:r>
              <w:rPr>
                <w:rFonts w:hint="eastAsia" w:ascii="宋体" w:hAnsi="宋体" w:eastAsia="宋体" w:cs="仿宋"/>
                <w:b w:val="0"/>
                <w:color w:val="auto"/>
                <w:kern w:val="0"/>
                <w:sz w:val="24"/>
                <w:szCs w:val="24"/>
                <w:highlight w:val="none"/>
                <w:lang w:val="en-US" w:eastAsia="zh-CN"/>
              </w:rPr>
              <w:t>4</w:t>
            </w:r>
            <w:r>
              <w:rPr>
                <w:rFonts w:hint="eastAsia" w:ascii="宋体" w:hAnsi="宋体" w:eastAsia="宋体" w:cs="仿宋"/>
                <w:b w:val="0"/>
                <w:color w:val="auto"/>
                <w:kern w:val="0"/>
                <w:sz w:val="24"/>
                <w:szCs w:val="24"/>
                <w:highlight w:val="none"/>
              </w:rPr>
              <w:t>0</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3E3A3305">
            <w:pPr>
              <w:pStyle w:val="181"/>
              <w:spacing w:line="240" w:lineRule="auto"/>
              <w:ind w:firstLine="0" w:firstLineChars="0"/>
              <w:jc w:val="left"/>
              <w:rPr>
                <w:rFonts w:hint="eastAsia" w:ascii="宋体" w:hAnsi="宋体" w:cs="方正仿宋_GB2312"/>
                <w:b w:val="0"/>
                <w:color w:val="000000"/>
                <w:sz w:val="24"/>
                <w:szCs w:val="24"/>
                <w:highlight w:val="none"/>
              </w:rPr>
            </w:pPr>
            <w:r>
              <w:rPr>
                <w:rFonts w:hint="eastAsia" w:ascii="宋体" w:hAnsi="宋体" w:eastAsia="宋体" w:cs="仿宋"/>
                <w:b w:val="0"/>
                <w:bCs w:val="0"/>
                <w:color w:val="auto"/>
                <w:kern w:val="0"/>
                <w:sz w:val="24"/>
                <w:szCs w:val="24"/>
                <w:highlight w:val="none"/>
              </w:rPr>
              <w:t>价格分采用低价优先法计算，即满足本招标文件要求的最低投标报价为评标基准价，其价格分为满分，其它投标人的价格分统一按照下列公式计算：投标报价得分=（评标基准价／投标报价）×价格分分值（精确到小数点后两位）。超过了采购项目预算或最高限价的，为无效投标。</w:t>
            </w:r>
          </w:p>
        </w:tc>
      </w:tr>
      <w:tr w14:paraId="6F0C33CA">
        <w:tblPrEx>
          <w:tblCellMar>
            <w:top w:w="0" w:type="dxa"/>
            <w:left w:w="108" w:type="dxa"/>
            <w:bottom w:w="0" w:type="dxa"/>
            <w:right w:w="108" w:type="dxa"/>
          </w:tblCellMar>
        </w:tblPrEx>
        <w:trPr>
          <w:trHeight w:val="288" w:hRule="atLeast"/>
        </w:trPr>
        <w:tc>
          <w:tcPr>
            <w:tcW w:w="357" w:type="pct"/>
            <w:vMerge w:val="restart"/>
            <w:tcBorders>
              <w:top w:val="single" w:color="000000" w:sz="4" w:space="0"/>
              <w:left w:val="single" w:color="000000" w:sz="4" w:space="0"/>
              <w:right w:val="single" w:color="000000" w:sz="4" w:space="0"/>
            </w:tcBorders>
            <w:noWrap/>
            <w:vAlign w:val="center"/>
          </w:tcPr>
          <w:p w14:paraId="7FA827D4">
            <w:pPr>
              <w:widowControl/>
              <w:spacing w:line="240" w:lineRule="auto"/>
              <w:textAlignment w:val="center"/>
              <w:rPr>
                <w:rFonts w:hint="eastAsia" w:ascii="宋体" w:hAnsi="宋体" w:cs="方正仿宋_GB2312"/>
                <w:color w:val="000000"/>
                <w:kern w:val="0"/>
                <w:sz w:val="24"/>
                <w:szCs w:val="24"/>
                <w:highlight w:val="none"/>
              </w:rPr>
            </w:pPr>
            <w:r>
              <w:rPr>
                <w:rFonts w:hint="eastAsia" w:ascii="宋体" w:hAnsi="宋体" w:cs="方正仿宋_GB2312"/>
                <w:color w:val="000000"/>
                <w:kern w:val="0"/>
                <w:sz w:val="24"/>
                <w:szCs w:val="24"/>
                <w:highlight w:val="none"/>
              </w:rPr>
              <w:t>商务部分</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9ED31A7">
            <w:pPr>
              <w:widowControl/>
              <w:spacing w:line="240" w:lineRule="auto"/>
              <w:jc w:val="center"/>
              <w:textAlignment w:val="center"/>
              <w:rPr>
                <w:rFonts w:hint="eastAsia" w:ascii="宋体" w:hAnsi="宋体" w:cs="方正仿宋_GB2312"/>
                <w:color w:val="000000"/>
                <w:kern w:val="0"/>
                <w:sz w:val="24"/>
                <w:szCs w:val="24"/>
                <w:highlight w:val="none"/>
              </w:rPr>
            </w:pPr>
            <w:r>
              <w:rPr>
                <w:rFonts w:ascii="宋体" w:hAnsi="宋体"/>
                <w:color w:val="000000"/>
                <w:sz w:val="24"/>
                <w:szCs w:val="24"/>
                <w:highlight w:val="none"/>
              </w:rPr>
              <w:t>项目实施人员能力</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3F48E00">
            <w:pPr>
              <w:widowControl/>
              <w:spacing w:line="240" w:lineRule="auto"/>
              <w:jc w:val="center"/>
              <w:textAlignment w:val="center"/>
              <w:rPr>
                <w:rFonts w:hint="eastAsia" w:ascii="宋体" w:hAnsi="宋体" w:eastAsia="宋体" w:cs="方正仿宋_GB2312"/>
                <w:color w:val="000000"/>
                <w:kern w:val="0"/>
                <w:sz w:val="24"/>
                <w:szCs w:val="24"/>
                <w:highlight w:val="none"/>
                <w:lang w:eastAsia="zh-CN"/>
              </w:rPr>
            </w:pPr>
            <w:r>
              <w:rPr>
                <w:rFonts w:hint="eastAsia" w:ascii="宋体" w:hAnsi="宋体" w:cs="方正仿宋_GB2312"/>
                <w:color w:val="000000"/>
                <w:kern w:val="0"/>
                <w:sz w:val="24"/>
                <w:szCs w:val="24"/>
                <w:highlight w:val="none"/>
                <w:lang w:val="en-US" w:eastAsia="zh-CN"/>
              </w:rPr>
              <w:t>5</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73FA0D7C">
            <w:pPr>
              <w:spacing w:line="240" w:lineRule="auto"/>
              <w:jc w:val="left"/>
              <w:rPr>
                <w:rFonts w:hint="eastAsia" w:ascii="宋体" w:hAnsi="宋体"/>
                <w:b/>
                <w:color w:val="000000"/>
                <w:sz w:val="24"/>
                <w:szCs w:val="24"/>
                <w:highlight w:val="none"/>
              </w:rPr>
            </w:pPr>
            <w:r>
              <w:rPr>
                <w:rFonts w:ascii="宋体" w:hAnsi="宋体"/>
                <w:color w:val="000000"/>
                <w:sz w:val="24"/>
                <w:szCs w:val="24"/>
                <w:highlight w:val="none"/>
              </w:rPr>
              <w:t xml:space="preserve">投标人提供的项目实施人员专业能力进行评价： </w:t>
            </w:r>
          </w:p>
          <w:p w14:paraId="631453AC">
            <w:pPr>
              <w:spacing w:line="240" w:lineRule="auto"/>
              <w:jc w:val="left"/>
              <w:rPr>
                <w:rFonts w:hint="eastAsia" w:ascii="宋体" w:hAnsi="宋体"/>
                <w:b/>
                <w:color w:val="000000"/>
                <w:sz w:val="24"/>
                <w:szCs w:val="24"/>
                <w:highlight w:val="none"/>
              </w:rPr>
            </w:pPr>
            <w:r>
              <w:rPr>
                <w:rFonts w:hint="eastAsia" w:ascii="宋体" w:hAnsi="宋体"/>
                <w:color w:val="000000"/>
                <w:sz w:val="24"/>
                <w:szCs w:val="24"/>
                <w:highlight w:val="none"/>
              </w:rPr>
              <w:t>1、</w:t>
            </w:r>
            <w:r>
              <w:rPr>
                <w:rFonts w:ascii="宋体" w:hAnsi="宋体"/>
                <w:color w:val="000000"/>
                <w:sz w:val="24"/>
                <w:szCs w:val="24"/>
                <w:highlight w:val="none"/>
              </w:rPr>
              <w:t>投入本项目的项目负责人具备</w:t>
            </w:r>
            <w:r>
              <w:rPr>
                <w:rFonts w:hint="eastAsia" w:ascii="宋体" w:hAnsi="宋体"/>
                <w:color w:val="000000"/>
                <w:sz w:val="24"/>
                <w:szCs w:val="24"/>
                <w:highlight w:val="none"/>
              </w:rPr>
              <w:t>机电专业一级建造师证书</w:t>
            </w:r>
            <w:r>
              <w:rPr>
                <w:rFonts w:ascii="宋体" w:hAnsi="宋体"/>
                <w:color w:val="000000"/>
                <w:sz w:val="24"/>
                <w:szCs w:val="24"/>
                <w:highlight w:val="none"/>
              </w:rPr>
              <w:t>的，得</w:t>
            </w:r>
            <w:r>
              <w:rPr>
                <w:rFonts w:hint="eastAsia" w:ascii="宋体" w:hAnsi="宋体"/>
                <w:color w:val="000000"/>
                <w:sz w:val="24"/>
                <w:szCs w:val="24"/>
                <w:highlight w:val="none"/>
                <w:lang w:val="en-US" w:eastAsia="zh-CN"/>
              </w:rPr>
              <w:t>1</w:t>
            </w:r>
            <w:r>
              <w:rPr>
                <w:rFonts w:ascii="宋体" w:hAnsi="宋体"/>
                <w:color w:val="000000"/>
                <w:sz w:val="24"/>
                <w:szCs w:val="24"/>
                <w:highlight w:val="none"/>
              </w:rPr>
              <w:t xml:space="preserve">分； </w:t>
            </w:r>
          </w:p>
          <w:p w14:paraId="62F985E9">
            <w:pPr>
              <w:spacing w:line="240" w:lineRule="auto"/>
              <w:jc w:val="left"/>
              <w:rPr>
                <w:rFonts w:hint="eastAsia" w:ascii="宋体" w:hAnsi="宋体"/>
                <w:b/>
                <w:color w:val="000000"/>
                <w:sz w:val="24"/>
                <w:szCs w:val="24"/>
                <w:highlight w:val="none"/>
              </w:rPr>
            </w:pPr>
            <w:r>
              <w:rPr>
                <w:rFonts w:hint="eastAsia" w:ascii="宋体" w:hAnsi="宋体"/>
                <w:color w:val="000000"/>
                <w:sz w:val="24"/>
                <w:szCs w:val="24"/>
                <w:highlight w:val="none"/>
              </w:rPr>
              <w:t>2、</w:t>
            </w:r>
            <w:r>
              <w:rPr>
                <w:rFonts w:ascii="宋体" w:hAnsi="宋体"/>
                <w:color w:val="000000"/>
                <w:sz w:val="24"/>
                <w:szCs w:val="24"/>
                <w:highlight w:val="none"/>
              </w:rPr>
              <w:t>投入本项目的项目</w:t>
            </w:r>
            <w:r>
              <w:rPr>
                <w:rFonts w:hint="eastAsia" w:ascii="宋体" w:hAnsi="宋体"/>
                <w:color w:val="000000"/>
                <w:sz w:val="24"/>
                <w:szCs w:val="24"/>
                <w:highlight w:val="none"/>
              </w:rPr>
              <w:t>团队</w:t>
            </w:r>
            <w:r>
              <w:rPr>
                <w:rFonts w:ascii="宋体" w:hAnsi="宋体"/>
                <w:color w:val="000000"/>
                <w:sz w:val="24"/>
                <w:szCs w:val="24"/>
                <w:highlight w:val="none"/>
              </w:rPr>
              <w:t>人员具备</w:t>
            </w:r>
            <w:r>
              <w:rPr>
                <w:rFonts w:hint="eastAsia" w:ascii="宋体" w:hAnsi="宋体"/>
                <w:color w:val="000000"/>
                <w:sz w:val="24"/>
                <w:szCs w:val="24"/>
                <w:highlight w:val="none"/>
              </w:rPr>
              <w:t>机电专业二级建造师证书</w:t>
            </w:r>
            <w:r>
              <w:rPr>
                <w:rFonts w:ascii="宋体" w:hAnsi="宋体"/>
                <w:color w:val="000000"/>
                <w:sz w:val="24"/>
                <w:szCs w:val="24"/>
                <w:highlight w:val="none"/>
              </w:rPr>
              <w:t>的，得1分</w:t>
            </w:r>
          </w:p>
          <w:p w14:paraId="768E91CA">
            <w:pPr>
              <w:spacing w:line="240" w:lineRule="auto"/>
              <w:jc w:val="left"/>
              <w:rPr>
                <w:rFonts w:hint="eastAsia" w:ascii="宋体" w:hAnsi="宋体"/>
                <w:b/>
                <w:color w:val="000000"/>
                <w:sz w:val="24"/>
                <w:szCs w:val="24"/>
                <w:highlight w:val="none"/>
              </w:rPr>
            </w:pPr>
            <w:r>
              <w:rPr>
                <w:rFonts w:hint="eastAsia" w:ascii="宋体" w:hAnsi="宋体"/>
                <w:color w:val="000000"/>
                <w:sz w:val="24"/>
                <w:szCs w:val="24"/>
                <w:highlight w:val="none"/>
              </w:rPr>
              <w:t>3、</w:t>
            </w:r>
            <w:r>
              <w:rPr>
                <w:rFonts w:ascii="宋体" w:hAnsi="宋体"/>
                <w:color w:val="000000"/>
                <w:sz w:val="24"/>
                <w:szCs w:val="24"/>
                <w:highlight w:val="none"/>
              </w:rPr>
              <w:t>投入本项目的项目</w:t>
            </w:r>
            <w:r>
              <w:rPr>
                <w:rFonts w:hint="eastAsia" w:ascii="宋体" w:hAnsi="宋体"/>
                <w:color w:val="000000"/>
                <w:sz w:val="24"/>
                <w:szCs w:val="24"/>
                <w:highlight w:val="none"/>
              </w:rPr>
              <w:t>团队</w:t>
            </w:r>
            <w:r>
              <w:rPr>
                <w:rFonts w:ascii="宋体" w:hAnsi="宋体"/>
                <w:color w:val="000000"/>
                <w:sz w:val="24"/>
                <w:szCs w:val="24"/>
                <w:highlight w:val="none"/>
              </w:rPr>
              <w:t>人员具备无线电调试工（</w:t>
            </w:r>
            <w:r>
              <w:rPr>
                <w:rFonts w:hint="eastAsia" w:ascii="宋体" w:hAnsi="宋体"/>
                <w:color w:val="000000"/>
                <w:sz w:val="24"/>
                <w:szCs w:val="24"/>
                <w:highlight w:val="none"/>
              </w:rPr>
              <w:t>高级</w:t>
            </w:r>
            <w:r>
              <w:rPr>
                <w:rFonts w:ascii="宋体" w:hAnsi="宋体"/>
                <w:color w:val="000000"/>
                <w:sz w:val="24"/>
                <w:szCs w:val="24"/>
                <w:highlight w:val="none"/>
              </w:rPr>
              <w:t>）及系统集成项目管理工程师证书的，得</w:t>
            </w:r>
            <w:r>
              <w:rPr>
                <w:rFonts w:hint="eastAsia" w:ascii="宋体" w:hAnsi="宋体"/>
                <w:color w:val="000000"/>
                <w:sz w:val="24"/>
                <w:szCs w:val="24"/>
                <w:highlight w:val="none"/>
                <w:lang w:val="en-US" w:eastAsia="zh-CN"/>
              </w:rPr>
              <w:t>1</w:t>
            </w:r>
            <w:r>
              <w:rPr>
                <w:rFonts w:ascii="宋体" w:hAnsi="宋体"/>
                <w:color w:val="000000"/>
                <w:sz w:val="24"/>
                <w:szCs w:val="24"/>
                <w:highlight w:val="none"/>
              </w:rPr>
              <w:t xml:space="preserve">分； </w:t>
            </w:r>
          </w:p>
          <w:p w14:paraId="5DA2D9DB">
            <w:pPr>
              <w:spacing w:line="240" w:lineRule="auto"/>
              <w:jc w:val="left"/>
              <w:rPr>
                <w:rFonts w:hint="eastAsia" w:ascii="宋体" w:hAnsi="宋体"/>
                <w:b/>
                <w:color w:val="000000"/>
                <w:sz w:val="24"/>
                <w:szCs w:val="24"/>
                <w:highlight w:val="none"/>
              </w:rPr>
            </w:pPr>
            <w:r>
              <w:rPr>
                <w:rFonts w:hint="eastAsia" w:ascii="宋体" w:hAnsi="宋体"/>
                <w:color w:val="000000"/>
                <w:sz w:val="24"/>
                <w:szCs w:val="24"/>
                <w:highlight w:val="none"/>
              </w:rPr>
              <w:t>4、</w:t>
            </w:r>
            <w:r>
              <w:rPr>
                <w:rFonts w:ascii="宋体" w:hAnsi="宋体"/>
                <w:color w:val="000000"/>
                <w:sz w:val="24"/>
                <w:szCs w:val="24"/>
                <w:highlight w:val="none"/>
              </w:rPr>
              <w:t>投入本项目的项目</w:t>
            </w:r>
            <w:r>
              <w:rPr>
                <w:rFonts w:hint="eastAsia" w:ascii="宋体" w:hAnsi="宋体"/>
                <w:color w:val="000000"/>
                <w:sz w:val="24"/>
                <w:szCs w:val="24"/>
                <w:highlight w:val="none"/>
              </w:rPr>
              <w:t>团队</w:t>
            </w:r>
            <w:r>
              <w:rPr>
                <w:rFonts w:ascii="宋体" w:hAnsi="宋体"/>
                <w:color w:val="000000"/>
                <w:sz w:val="24"/>
                <w:szCs w:val="24"/>
                <w:highlight w:val="none"/>
              </w:rPr>
              <w:t xml:space="preserve">人员具备系统集成项目管理工程师或信息系统项目管理师证书的，得1分； </w:t>
            </w:r>
          </w:p>
          <w:p w14:paraId="3D565D75">
            <w:pPr>
              <w:spacing w:line="240" w:lineRule="auto"/>
              <w:jc w:val="left"/>
              <w:textAlignment w:val="center"/>
              <w:rPr>
                <w:rFonts w:hint="eastAsia" w:ascii="宋体" w:hAnsi="宋体"/>
                <w:b/>
                <w:color w:val="000000"/>
                <w:sz w:val="24"/>
                <w:szCs w:val="24"/>
                <w:highlight w:val="none"/>
              </w:rPr>
            </w:pPr>
            <w:r>
              <w:rPr>
                <w:rFonts w:hint="eastAsia" w:ascii="宋体" w:hAnsi="宋体"/>
                <w:color w:val="000000"/>
                <w:sz w:val="24"/>
                <w:szCs w:val="24"/>
                <w:highlight w:val="none"/>
              </w:rPr>
              <w:t>5、</w:t>
            </w:r>
            <w:r>
              <w:rPr>
                <w:rFonts w:ascii="宋体" w:hAnsi="宋体"/>
                <w:color w:val="000000"/>
                <w:sz w:val="24"/>
                <w:szCs w:val="24"/>
                <w:highlight w:val="none"/>
              </w:rPr>
              <w:t>投入本项目的项目</w:t>
            </w:r>
            <w:r>
              <w:rPr>
                <w:rFonts w:hint="eastAsia" w:ascii="宋体" w:hAnsi="宋体"/>
                <w:color w:val="000000"/>
                <w:sz w:val="24"/>
                <w:szCs w:val="24"/>
                <w:highlight w:val="none"/>
              </w:rPr>
              <w:t>团队</w:t>
            </w:r>
            <w:r>
              <w:rPr>
                <w:rFonts w:ascii="宋体" w:hAnsi="宋体"/>
                <w:color w:val="000000"/>
                <w:sz w:val="24"/>
                <w:szCs w:val="24"/>
                <w:highlight w:val="none"/>
              </w:rPr>
              <w:t>人员</w:t>
            </w:r>
            <w:r>
              <w:rPr>
                <w:rFonts w:hint="eastAsia" w:ascii="宋体" w:hAnsi="宋体"/>
                <w:color w:val="000000"/>
                <w:sz w:val="24"/>
                <w:szCs w:val="24"/>
                <w:highlight w:val="none"/>
              </w:rPr>
              <w:t>具备信息安全保障人员认证证书的得1分；</w:t>
            </w:r>
          </w:p>
          <w:p w14:paraId="27D83055">
            <w:pPr>
              <w:widowControl/>
              <w:spacing w:line="240" w:lineRule="auto"/>
              <w:jc w:val="left"/>
              <w:textAlignment w:val="center"/>
              <w:rPr>
                <w:rFonts w:hint="eastAsia" w:ascii="宋体" w:hAnsi="宋体" w:cs="方正仿宋_GB2312"/>
                <w:color w:val="000000"/>
                <w:kern w:val="0"/>
                <w:sz w:val="24"/>
                <w:szCs w:val="24"/>
                <w:highlight w:val="none"/>
              </w:rPr>
            </w:pPr>
            <w:r>
              <w:rPr>
                <w:rFonts w:ascii="宋体" w:hAnsi="宋体"/>
                <w:color w:val="000000"/>
                <w:sz w:val="24"/>
                <w:szCs w:val="24"/>
                <w:highlight w:val="none"/>
              </w:rPr>
              <w:t>注：同一人员具有多项证书的按一项计算，多人具有同一项证书的按一项计算，不重复计算得分</w:t>
            </w:r>
            <w:r>
              <w:rPr>
                <w:rFonts w:hint="eastAsia" w:ascii="宋体" w:hAnsi="宋体"/>
                <w:color w:val="000000"/>
                <w:sz w:val="24"/>
                <w:szCs w:val="24"/>
                <w:highlight w:val="none"/>
              </w:rPr>
              <w:t>，</w:t>
            </w:r>
            <w:r>
              <w:rPr>
                <w:rFonts w:ascii="宋体" w:hAnsi="宋体"/>
                <w:color w:val="000000"/>
                <w:sz w:val="24"/>
                <w:szCs w:val="24"/>
                <w:highlight w:val="none"/>
              </w:rPr>
              <w:t>须提供以上人员有效证书扫描件</w:t>
            </w:r>
            <w:r>
              <w:rPr>
                <w:rFonts w:hint="eastAsia" w:ascii="宋体" w:hAnsi="宋体"/>
                <w:color w:val="000000"/>
                <w:kern w:val="0"/>
                <w:sz w:val="24"/>
                <w:szCs w:val="24"/>
                <w:highlight w:val="none"/>
              </w:rPr>
              <w:t>。</w:t>
            </w:r>
          </w:p>
        </w:tc>
      </w:tr>
      <w:tr w14:paraId="1653C884">
        <w:tblPrEx>
          <w:tblCellMar>
            <w:top w:w="0" w:type="dxa"/>
            <w:left w:w="108" w:type="dxa"/>
            <w:bottom w:w="0" w:type="dxa"/>
            <w:right w:w="108" w:type="dxa"/>
          </w:tblCellMar>
        </w:tblPrEx>
        <w:trPr>
          <w:trHeight w:val="288" w:hRule="atLeast"/>
        </w:trPr>
        <w:tc>
          <w:tcPr>
            <w:tcW w:w="357" w:type="pct"/>
            <w:vMerge w:val="continue"/>
            <w:tcBorders>
              <w:left w:val="single" w:color="000000" w:sz="4" w:space="0"/>
              <w:right w:val="single" w:color="000000" w:sz="4" w:space="0"/>
            </w:tcBorders>
            <w:noWrap/>
            <w:vAlign w:val="center"/>
          </w:tcPr>
          <w:p w14:paraId="201B1189">
            <w:pPr>
              <w:spacing w:line="240" w:lineRule="auto"/>
              <w:rPr>
                <w:rFonts w:hint="eastAsia" w:ascii="宋体" w:hAnsi="宋体" w:cs="方正仿宋_GB2312"/>
                <w:color w:val="000000"/>
                <w:kern w:val="0"/>
                <w:sz w:val="24"/>
                <w:szCs w:val="24"/>
                <w:highlight w:val="none"/>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27A7DA62">
            <w:pPr>
              <w:widowControl/>
              <w:spacing w:line="240" w:lineRule="auto"/>
              <w:jc w:val="center"/>
              <w:textAlignment w:val="center"/>
              <w:rPr>
                <w:rFonts w:hint="eastAsia" w:ascii="宋体" w:hAnsi="宋体" w:cs="方正仿宋_GB2312"/>
                <w:color w:val="000000"/>
                <w:kern w:val="0"/>
                <w:sz w:val="24"/>
                <w:szCs w:val="24"/>
                <w:highlight w:val="none"/>
              </w:rPr>
            </w:pPr>
            <w:r>
              <w:rPr>
                <w:rFonts w:hint="eastAsia" w:ascii="宋体" w:hAnsi="宋体" w:cs="方正仿宋_GB2312"/>
                <w:color w:val="000000"/>
                <w:kern w:val="0"/>
                <w:sz w:val="24"/>
                <w:szCs w:val="24"/>
                <w:highlight w:val="none"/>
              </w:rPr>
              <w:t>业绩</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2802B027">
            <w:pPr>
              <w:widowControl/>
              <w:spacing w:line="240" w:lineRule="auto"/>
              <w:jc w:val="center"/>
              <w:textAlignment w:val="center"/>
              <w:rPr>
                <w:rFonts w:hint="eastAsia" w:ascii="宋体" w:hAnsi="宋体" w:eastAsia="宋体" w:cs="方正仿宋_GB2312"/>
                <w:color w:val="000000"/>
                <w:kern w:val="0"/>
                <w:sz w:val="24"/>
                <w:szCs w:val="24"/>
                <w:highlight w:val="none"/>
                <w:lang w:eastAsia="zh-CN"/>
              </w:rPr>
            </w:pPr>
            <w:r>
              <w:rPr>
                <w:rFonts w:hint="eastAsia" w:ascii="宋体" w:hAnsi="宋体" w:cs="方正仿宋_GB2312"/>
                <w:color w:val="000000"/>
                <w:kern w:val="0"/>
                <w:sz w:val="24"/>
                <w:szCs w:val="24"/>
                <w:highlight w:val="none"/>
              </w:rPr>
              <w:t>4</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12D77A9A">
            <w:pPr>
              <w:widowControl/>
              <w:spacing w:line="240" w:lineRule="auto"/>
              <w:jc w:val="left"/>
              <w:textAlignment w:val="center"/>
              <w:rPr>
                <w:rFonts w:hint="eastAsia" w:ascii="宋体" w:hAnsi="宋体" w:cs="方正仿宋_GB2312"/>
                <w:color w:val="000000"/>
                <w:kern w:val="0"/>
                <w:sz w:val="24"/>
                <w:szCs w:val="24"/>
                <w:highlight w:val="none"/>
              </w:rPr>
            </w:pPr>
            <w:r>
              <w:rPr>
                <w:rFonts w:hint="eastAsia" w:ascii="宋体" w:hAnsi="宋体" w:cs="方正仿宋_GB2312"/>
                <w:color w:val="000000"/>
                <w:kern w:val="0"/>
                <w:sz w:val="24"/>
                <w:szCs w:val="24"/>
                <w:highlight w:val="none"/>
              </w:rPr>
              <w:t>投标人或生产厂商提供自2022年</w:t>
            </w:r>
            <w:r>
              <w:rPr>
                <w:rFonts w:hint="eastAsia" w:ascii="宋体" w:hAnsi="宋体" w:cs="方正仿宋_GB2312"/>
                <w:color w:val="000000"/>
                <w:kern w:val="0"/>
                <w:sz w:val="24"/>
                <w:szCs w:val="24"/>
                <w:highlight w:val="none"/>
                <w:lang w:val="en-US" w:eastAsia="zh-CN"/>
              </w:rPr>
              <w:t>0</w:t>
            </w:r>
            <w:r>
              <w:rPr>
                <w:rFonts w:hint="eastAsia" w:ascii="宋体" w:hAnsi="宋体" w:cs="方正仿宋_GB2312"/>
                <w:color w:val="000000"/>
                <w:kern w:val="0"/>
                <w:sz w:val="24"/>
                <w:szCs w:val="24"/>
                <w:highlight w:val="none"/>
              </w:rPr>
              <w:t>1月</w:t>
            </w:r>
            <w:r>
              <w:rPr>
                <w:rFonts w:hint="eastAsia" w:ascii="宋体" w:hAnsi="宋体" w:cs="方正仿宋_GB2312"/>
                <w:color w:val="000000"/>
                <w:kern w:val="0"/>
                <w:sz w:val="24"/>
                <w:szCs w:val="24"/>
                <w:highlight w:val="none"/>
                <w:lang w:val="en-US" w:eastAsia="zh-CN"/>
              </w:rPr>
              <w:t>0</w:t>
            </w:r>
            <w:r>
              <w:rPr>
                <w:rFonts w:hint="eastAsia" w:ascii="宋体" w:hAnsi="宋体" w:cs="方正仿宋_GB2312"/>
                <w:color w:val="000000"/>
                <w:kern w:val="0"/>
                <w:sz w:val="24"/>
                <w:szCs w:val="24"/>
                <w:highlight w:val="none"/>
              </w:rPr>
              <w:t>1日至今已完成的类似高校供货业绩（需提供合同或中标通知书复印件加盖公章）提供一份得1分，满分4分；</w:t>
            </w:r>
          </w:p>
        </w:tc>
      </w:tr>
      <w:tr w14:paraId="5F8507F1">
        <w:tblPrEx>
          <w:tblCellMar>
            <w:top w:w="0" w:type="dxa"/>
            <w:left w:w="108" w:type="dxa"/>
            <w:bottom w:w="0" w:type="dxa"/>
            <w:right w:w="108" w:type="dxa"/>
          </w:tblCellMar>
        </w:tblPrEx>
        <w:trPr>
          <w:trHeight w:val="288" w:hRule="atLeast"/>
        </w:trPr>
        <w:tc>
          <w:tcPr>
            <w:tcW w:w="357" w:type="pct"/>
            <w:vMerge w:val="continue"/>
            <w:tcBorders>
              <w:left w:val="single" w:color="000000" w:sz="4" w:space="0"/>
              <w:right w:val="single" w:color="000000" w:sz="4" w:space="0"/>
            </w:tcBorders>
            <w:noWrap/>
            <w:vAlign w:val="center"/>
          </w:tcPr>
          <w:p w14:paraId="787827CF">
            <w:pPr>
              <w:spacing w:line="240" w:lineRule="auto"/>
              <w:rPr>
                <w:rFonts w:hint="eastAsia" w:ascii="宋体" w:hAnsi="宋体" w:cs="方正仿宋_GB2312"/>
                <w:color w:val="000000"/>
                <w:kern w:val="0"/>
                <w:sz w:val="24"/>
                <w:szCs w:val="24"/>
                <w:highlight w:val="none"/>
              </w:rPr>
            </w:pPr>
          </w:p>
        </w:tc>
        <w:tc>
          <w:tcPr>
            <w:tcW w:w="511" w:type="pct"/>
            <w:vMerge w:val="restart"/>
            <w:tcBorders>
              <w:top w:val="single" w:color="000000" w:sz="4" w:space="0"/>
              <w:left w:val="single" w:color="000000" w:sz="4" w:space="0"/>
              <w:right w:val="single" w:color="000000" w:sz="4" w:space="0"/>
            </w:tcBorders>
            <w:noWrap w:val="0"/>
            <w:vAlign w:val="center"/>
          </w:tcPr>
          <w:p w14:paraId="5468EB62">
            <w:pPr>
              <w:widowControl/>
              <w:spacing w:line="240" w:lineRule="auto"/>
              <w:jc w:val="center"/>
              <w:textAlignment w:val="center"/>
              <w:rPr>
                <w:rFonts w:hint="eastAsia" w:ascii="宋体" w:hAnsi="宋体" w:cs="方正仿宋_GB2312"/>
                <w:color w:val="000000"/>
                <w:kern w:val="0"/>
                <w:sz w:val="24"/>
                <w:szCs w:val="24"/>
                <w:highlight w:val="none"/>
              </w:rPr>
            </w:pPr>
            <w:r>
              <w:rPr>
                <w:rFonts w:hint="eastAsia" w:ascii="宋体" w:hAnsi="宋体" w:cs="方正仿宋_GB2312"/>
                <w:color w:val="000000"/>
                <w:kern w:val="0"/>
                <w:sz w:val="24"/>
                <w:szCs w:val="24"/>
                <w:highlight w:val="none"/>
              </w:rPr>
              <w:t>售后服务</w:t>
            </w:r>
          </w:p>
        </w:tc>
        <w:tc>
          <w:tcPr>
            <w:tcW w:w="425" w:type="pct"/>
            <w:vMerge w:val="restart"/>
            <w:tcBorders>
              <w:top w:val="single" w:color="000000" w:sz="4" w:space="0"/>
              <w:left w:val="single" w:color="000000" w:sz="4" w:space="0"/>
              <w:right w:val="single" w:color="000000" w:sz="4" w:space="0"/>
            </w:tcBorders>
            <w:noWrap w:val="0"/>
            <w:vAlign w:val="center"/>
          </w:tcPr>
          <w:p w14:paraId="102489A7">
            <w:pPr>
              <w:widowControl/>
              <w:spacing w:line="240" w:lineRule="auto"/>
              <w:jc w:val="center"/>
              <w:textAlignment w:val="center"/>
              <w:rPr>
                <w:rFonts w:hint="eastAsia" w:ascii="宋体" w:hAnsi="宋体" w:eastAsia="宋体" w:cs="方正仿宋_GB2312"/>
                <w:color w:val="000000"/>
                <w:kern w:val="0"/>
                <w:sz w:val="24"/>
                <w:szCs w:val="24"/>
                <w:highlight w:val="none"/>
                <w:lang w:eastAsia="zh-CN"/>
              </w:rPr>
            </w:pPr>
            <w:r>
              <w:rPr>
                <w:rFonts w:hint="eastAsia" w:ascii="宋体" w:hAnsi="宋体" w:cs="方正仿宋_GB2312"/>
                <w:color w:val="000000"/>
                <w:kern w:val="0"/>
                <w:sz w:val="24"/>
                <w:szCs w:val="24"/>
                <w:highlight w:val="none"/>
              </w:rPr>
              <w:t>6</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40E4D50B">
            <w:pPr>
              <w:adjustRightInd w:val="0"/>
              <w:snapToGrid w:val="0"/>
              <w:spacing w:line="240" w:lineRule="auto"/>
              <w:rPr>
                <w:rFonts w:hint="eastAsia" w:asciiTheme="minorEastAsia" w:hAnsiTheme="minorEastAsia" w:eastAsiaTheme="minorEastAsia" w:cstheme="minorEastAsia"/>
                <w:sz w:val="24"/>
                <w:szCs w:val="24"/>
                <w:highlight w:val="none"/>
                <w:lang w:val="en-US" w:eastAsia="zh-CN"/>
              </w:rPr>
            </w:pPr>
            <w:r>
              <w:rPr>
                <w:rStyle w:val="79"/>
                <w:rFonts w:hint="default" w:ascii="宋体" w:hAnsi="宋体" w:eastAsia="宋体"/>
                <w:sz w:val="24"/>
                <w:szCs w:val="24"/>
                <w:highlight w:val="none"/>
              </w:rPr>
              <w:t>1.投标文件中附有内容完整的售后服务承诺及保障措施，故障应急响应速度快，并满足招标文件中的售后服务要求，</w:t>
            </w:r>
            <w:r>
              <w:rPr>
                <w:rStyle w:val="79"/>
                <w:rFonts w:hint="eastAsia" w:ascii="宋体" w:hAnsi="宋体"/>
                <w:sz w:val="24"/>
                <w:szCs w:val="24"/>
                <w:highlight w:val="none"/>
                <w:lang w:eastAsia="zh-CN"/>
              </w:rPr>
              <w:t>①</w:t>
            </w:r>
            <w:r>
              <w:rPr>
                <w:rStyle w:val="79"/>
                <w:rFonts w:hint="default" w:ascii="宋体" w:hAnsi="宋体" w:eastAsia="宋体"/>
                <w:sz w:val="24"/>
                <w:szCs w:val="24"/>
                <w:highlight w:val="none"/>
              </w:rPr>
              <w:t>提供培训人员计划</w:t>
            </w:r>
            <w:r>
              <w:rPr>
                <w:rStyle w:val="79"/>
                <w:rFonts w:hint="eastAsia" w:ascii="宋体" w:hAnsi="宋体"/>
                <w:sz w:val="24"/>
                <w:szCs w:val="24"/>
                <w:highlight w:val="none"/>
                <w:lang w:eastAsia="zh-CN"/>
              </w:rPr>
              <w:t>②</w:t>
            </w:r>
            <w:r>
              <w:rPr>
                <w:rStyle w:val="79"/>
                <w:rFonts w:hint="default" w:ascii="宋体" w:hAnsi="宋体" w:eastAsia="宋体"/>
                <w:sz w:val="24"/>
                <w:szCs w:val="24"/>
                <w:highlight w:val="none"/>
              </w:rPr>
              <w:t>售后服务体系</w:t>
            </w:r>
            <w:r>
              <w:rPr>
                <w:rStyle w:val="79"/>
                <w:rFonts w:hint="eastAsia" w:ascii="宋体" w:hAnsi="宋体"/>
                <w:sz w:val="24"/>
                <w:szCs w:val="24"/>
                <w:highlight w:val="none"/>
                <w:lang w:eastAsia="zh-CN"/>
              </w:rPr>
              <w:t>③</w:t>
            </w:r>
            <w:r>
              <w:rPr>
                <w:rStyle w:val="79"/>
                <w:rFonts w:hint="default" w:ascii="宋体" w:hAnsi="宋体" w:eastAsia="宋体"/>
                <w:sz w:val="24"/>
                <w:szCs w:val="24"/>
                <w:highlight w:val="none"/>
              </w:rPr>
              <w:t>售后服务承诺</w:t>
            </w:r>
            <w:r>
              <w:rPr>
                <w:rStyle w:val="79"/>
                <w:rFonts w:hint="eastAsia" w:ascii="宋体" w:hAnsi="宋体"/>
                <w:sz w:val="24"/>
                <w:szCs w:val="24"/>
                <w:highlight w:val="none"/>
                <w:lang w:eastAsia="zh-CN"/>
              </w:rPr>
              <w:t>④</w:t>
            </w:r>
            <w:r>
              <w:rPr>
                <w:rStyle w:val="79"/>
                <w:rFonts w:hint="default" w:ascii="宋体" w:hAnsi="宋体" w:eastAsia="宋体"/>
                <w:sz w:val="24"/>
                <w:szCs w:val="24"/>
                <w:highlight w:val="none"/>
              </w:rPr>
              <w:t>售后服务响应机制</w:t>
            </w:r>
            <w:r>
              <w:rPr>
                <w:rStyle w:val="79"/>
                <w:rFonts w:hint="eastAsia" w:ascii="宋体" w:hAnsi="宋体"/>
                <w:sz w:val="24"/>
                <w:szCs w:val="24"/>
                <w:highlight w:val="none"/>
                <w:lang w:eastAsia="zh-CN"/>
              </w:rPr>
              <w:t>。</w:t>
            </w:r>
            <w:r>
              <w:rPr>
                <w:rStyle w:val="79"/>
                <w:rFonts w:hint="default" w:ascii="宋体" w:hAnsi="宋体" w:eastAsia="宋体"/>
                <w:sz w:val="24"/>
                <w:szCs w:val="24"/>
                <w:highlight w:val="none"/>
              </w:rPr>
              <w:t>对以上各项指标进行综合打分。</w:t>
            </w:r>
            <w:r>
              <w:rPr>
                <w:rFonts w:hint="eastAsia" w:asciiTheme="minorEastAsia" w:hAnsiTheme="minorEastAsia" w:eastAsiaTheme="minorEastAsia" w:cstheme="minorEastAsia"/>
                <w:sz w:val="24"/>
                <w:szCs w:val="24"/>
                <w:highlight w:val="none"/>
                <w:lang w:eastAsia="zh-CN"/>
              </w:rPr>
              <w:t>方案内容完整齐全，符合项目实际的，得</w:t>
            </w:r>
            <w:r>
              <w:rPr>
                <w:rFonts w:hint="eastAsia" w:asciiTheme="minorEastAsia" w:hAnsiTheme="minorEastAsia" w:eastAsiaTheme="minorEastAsia" w:cstheme="minorEastAsia"/>
                <w:sz w:val="24"/>
                <w:szCs w:val="24"/>
                <w:highlight w:val="none"/>
                <w:lang w:val="en-US" w:eastAsia="zh-CN"/>
              </w:rPr>
              <w:t>4分；每缺少一项方案内容扣1分，或有一项内容存在缺陷的，扣0.5分，扣完为止；未提供</w:t>
            </w:r>
            <w:r>
              <w:rPr>
                <w:rFonts w:hint="eastAsia" w:asciiTheme="minorEastAsia" w:hAnsiTheme="minorEastAsia" w:eastAsiaTheme="minorEastAsia" w:cstheme="minorEastAsia"/>
                <w:sz w:val="24"/>
                <w:szCs w:val="24"/>
                <w:highlight w:val="none"/>
                <w:lang w:eastAsia="zh-CN"/>
              </w:rPr>
              <w:t>项目实施方案</w:t>
            </w:r>
            <w:r>
              <w:rPr>
                <w:rFonts w:hint="eastAsia" w:asciiTheme="minorEastAsia" w:hAnsiTheme="minorEastAsia" w:eastAsiaTheme="minorEastAsia" w:cstheme="minorEastAsia"/>
                <w:sz w:val="24"/>
                <w:szCs w:val="24"/>
                <w:highlight w:val="none"/>
                <w:lang w:val="en-US" w:eastAsia="zh-CN"/>
              </w:rPr>
              <w:t>的，此项不得分。</w:t>
            </w:r>
          </w:p>
          <w:p w14:paraId="04661E20">
            <w:pPr>
              <w:widowControl/>
              <w:spacing w:line="240" w:lineRule="auto"/>
              <w:jc w:val="left"/>
              <w:textAlignment w:val="center"/>
              <w:rPr>
                <w:rFonts w:hint="eastAsia" w:ascii="宋体" w:hAnsi="宋体" w:cs="方正仿宋_GB2312"/>
                <w:color w:val="000000"/>
                <w:kern w:val="0"/>
                <w:sz w:val="24"/>
                <w:szCs w:val="24"/>
                <w:highlight w:val="none"/>
              </w:rPr>
            </w:pPr>
            <w:r>
              <w:rPr>
                <w:rFonts w:hint="eastAsia" w:ascii="宋体" w:hAnsi="宋体" w:eastAsia="宋体" w:cs="宋体"/>
                <w:b/>
                <w:bCs/>
                <w:color w:val="auto"/>
                <w:sz w:val="24"/>
                <w:szCs w:val="24"/>
                <w:highlight w:val="none"/>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46271F00">
        <w:tblPrEx>
          <w:tblCellMar>
            <w:top w:w="0" w:type="dxa"/>
            <w:left w:w="108" w:type="dxa"/>
            <w:bottom w:w="0" w:type="dxa"/>
            <w:right w:w="108" w:type="dxa"/>
          </w:tblCellMar>
        </w:tblPrEx>
        <w:trPr>
          <w:trHeight w:val="288" w:hRule="atLeast"/>
        </w:trPr>
        <w:tc>
          <w:tcPr>
            <w:tcW w:w="357" w:type="pct"/>
            <w:vMerge w:val="continue"/>
            <w:tcBorders>
              <w:left w:val="single" w:color="000000" w:sz="4" w:space="0"/>
              <w:bottom w:val="single" w:color="000000" w:sz="4" w:space="0"/>
              <w:right w:val="single" w:color="000000" w:sz="4" w:space="0"/>
            </w:tcBorders>
            <w:noWrap/>
            <w:vAlign w:val="center"/>
          </w:tcPr>
          <w:p w14:paraId="3507BCDF">
            <w:pPr>
              <w:spacing w:line="240" w:lineRule="auto"/>
              <w:rPr>
                <w:rFonts w:hint="eastAsia" w:ascii="宋体" w:hAnsi="宋体" w:cs="方正仿宋_GB2312"/>
                <w:color w:val="000000"/>
                <w:kern w:val="0"/>
                <w:sz w:val="24"/>
                <w:szCs w:val="24"/>
                <w:highlight w:val="none"/>
              </w:rPr>
            </w:pPr>
          </w:p>
        </w:tc>
        <w:tc>
          <w:tcPr>
            <w:tcW w:w="511" w:type="pct"/>
            <w:vMerge w:val="continue"/>
            <w:tcBorders>
              <w:left w:val="single" w:color="000000" w:sz="4" w:space="0"/>
              <w:bottom w:val="single" w:color="000000" w:sz="4" w:space="0"/>
              <w:right w:val="single" w:color="000000" w:sz="4" w:space="0"/>
            </w:tcBorders>
            <w:noWrap w:val="0"/>
            <w:vAlign w:val="center"/>
          </w:tcPr>
          <w:p w14:paraId="0BF33243">
            <w:pPr>
              <w:spacing w:line="240" w:lineRule="auto"/>
              <w:rPr>
                <w:rFonts w:hint="eastAsia" w:ascii="宋体" w:hAnsi="宋体" w:cs="方正仿宋_GB2312"/>
                <w:color w:val="000000"/>
                <w:kern w:val="0"/>
                <w:sz w:val="24"/>
                <w:szCs w:val="24"/>
                <w:highlight w:val="none"/>
              </w:rPr>
            </w:pPr>
          </w:p>
        </w:tc>
        <w:tc>
          <w:tcPr>
            <w:tcW w:w="425" w:type="pct"/>
            <w:vMerge w:val="continue"/>
            <w:tcBorders>
              <w:left w:val="single" w:color="000000" w:sz="4" w:space="0"/>
              <w:bottom w:val="single" w:color="000000" w:sz="4" w:space="0"/>
              <w:right w:val="single" w:color="000000" w:sz="4" w:space="0"/>
            </w:tcBorders>
            <w:noWrap w:val="0"/>
            <w:vAlign w:val="center"/>
          </w:tcPr>
          <w:p w14:paraId="35FDAE83">
            <w:pPr>
              <w:spacing w:line="240" w:lineRule="auto"/>
              <w:jc w:val="center"/>
              <w:rPr>
                <w:rFonts w:hint="eastAsia" w:ascii="宋体" w:hAnsi="宋体" w:cs="方正仿宋_GB2312"/>
                <w:color w:val="000000"/>
                <w:kern w:val="0"/>
                <w:sz w:val="24"/>
                <w:szCs w:val="24"/>
                <w:highlight w:val="none"/>
              </w:rPr>
            </w:pP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608673F3">
            <w:pPr>
              <w:widowControl/>
              <w:spacing w:line="240" w:lineRule="auto"/>
              <w:jc w:val="left"/>
              <w:textAlignment w:val="center"/>
              <w:rPr>
                <w:rFonts w:hint="eastAsia" w:ascii="宋体" w:hAnsi="宋体" w:cs="方正仿宋_GB2312"/>
                <w:color w:val="000000"/>
                <w:kern w:val="0"/>
                <w:sz w:val="24"/>
                <w:szCs w:val="24"/>
                <w:highlight w:val="none"/>
              </w:rPr>
            </w:pPr>
            <w:r>
              <w:rPr>
                <w:rStyle w:val="79"/>
                <w:rFonts w:hint="default" w:ascii="宋体" w:hAnsi="宋体" w:eastAsia="宋体"/>
                <w:sz w:val="24"/>
                <w:szCs w:val="24"/>
                <w:highlight w:val="none"/>
              </w:rPr>
              <w:t>2.投标人所投产品厂商在采购人所在省份有常驻售后服务人员，同时团队人员具有实施服务过类似项目实施经验，具备以上条件得</w:t>
            </w:r>
            <w:r>
              <w:rPr>
                <w:rStyle w:val="79"/>
                <w:rFonts w:hint="eastAsia" w:ascii="宋体" w:hAnsi="宋体"/>
                <w:sz w:val="24"/>
                <w:szCs w:val="24"/>
                <w:highlight w:val="none"/>
                <w:lang w:val="en-US" w:eastAsia="zh-CN"/>
              </w:rPr>
              <w:t>2</w:t>
            </w:r>
            <w:r>
              <w:rPr>
                <w:rStyle w:val="79"/>
                <w:rFonts w:hint="default" w:ascii="宋体" w:hAnsi="宋体" w:eastAsia="宋体"/>
                <w:sz w:val="24"/>
                <w:szCs w:val="24"/>
                <w:highlight w:val="none"/>
              </w:rPr>
              <w:t>分，没有不得分。生产厂家新疆本地驻点服务承诺函，不提供以上条件不得分。</w:t>
            </w:r>
          </w:p>
        </w:tc>
      </w:tr>
      <w:tr w14:paraId="30BD9EBB">
        <w:tblPrEx>
          <w:tblCellMar>
            <w:top w:w="0" w:type="dxa"/>
            <w:left w:w="108" w:type="dxa"/>
            <w:bottom w:w="0" w:type="dxa"/>
            <w:right w:w="108" w:type="dxa"/>
          </w:tblCellMar>
        </w:tblPrEx>
        <w:trPr>
          <w:trHeight w:val="288" w:hRule="atLeast"/>
        </w:trPr>
        <w:tc>
          <w:tcPr>
            <w:tcW w:w="357" w:type="pct"/>
            <w:vMerge w:val="restart"/>
            <w:tcBorders>
              <w:top w:val="single" w:color="000000" w:sz="4" w:space="0"/>
              <w:left w:val="single" w:color="000000" w:sz="4" w:space="0"/>
              <w:bottom w:val="single" w:color="000000" w:sz="4" w:space="0"/>
              <w:right w:val="single" w:color="000000" w:sz="4" w:space="0"/>
            </w:tcBorders>
            <w:noWrap/>
            <w:vAlign w:val="center"/>
          </w:tcPr>
          <w:p w14:paraId="1AA615C6">
            <w:pPr>
              <w:widowControl/>
              <w:spacing w:line="240" w:lineRule="auto"/>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技术部分</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14:paraId="13293ACE">
            <w:pPr>
              <w:widowControl/>
              <w:spacing w:line="240" w:lineRule="auto"/>
              <w:jc w:val="center"/>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技术标准和要求</w:t>
            </w: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14:paraId="3D12F3D8">
            <w:pPr>
              <w:widowControl/>
              <w:spacing w:line="240" w:lineRule="auto"/>
              <w:jc w:val="center"/>
              <w:textAlignment w:val="center"/>
              <w:rPr>
                <w:rFonts w:hint="eastAsia" w:ascii="宋体" w:hAnsi="宋体" w:eastAsia="宋体" w:cs="方正仿宋_GB2312"/>
                <w:b/>
                <w:color w:val="000000"/>
                <w:sz w:val="24"/>
                <w:szCs w:val="24"/>
                <w:highlight w:val="none"/>
                <w:lang w:eastAsia="zh-CN"/>
              </w:rPr>
            </w:pPr>
            <w:r>
              <w:rPr>
                <w:rFonts w:hint="eastAsia" w:ascii="宋体" w:hAnsi="宋体" w:cs="方正仿宋_GB2312"/>
                <w:color w:val="000000"/>
                <w:kern w:val="0"/>
                <w:sz w:val="24"/>
                <w:szCs w:val="24"/>
                <w:highlight w:val="none"/>
              </w:rPr>
              <w:t>30</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0FEAF8EC">
            <w:pPr>
              <w:widowControl/>
              <w:spacing w:line="240" w:lineRule="auto"/>
              <w:jc w:val="left"/>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投标人投标文件中对招标文件技术标准和要求的</w:t>
            </w:r>
            <w:r>
              <w:rPr>
                <w:rFonts w:hint="eastAsia" w:ascii="宋体" w:hAnsi="宋体" w:cs="方正仿宋_GB2312"/>
                <w:color w:val="000000"/>
                <w:kern w:val="0"/>
                <w:sz w:val="24"/>
                <w:szCs w:val="24"/>
                <w:highlight w:val="none"/>
                <w:lang w:eastAsia="zh-CN"/>
              </w:rPr>
              <w:t>响应</w:t>
            </w:r>
            <w:r>
              <w:rPr>
                <w:rFonts w:hint="eastAsia" w:ascii="宋体" w:hAnsi="宋体" w:cs="方正仿宋_GB2312"/>
                <w:color w:val="000000"/>
                <w:kern w:val="0"/>
                <w:sz w:val="24"/>
                <w:szCs w:val="24"/>
                <w:highlight w:val="none"/>
              </w:rPr>
              <w:t>程度：</w:t>
            </w:r>
          </w:p>
        </w:tc>
      </w:tr>
      <w:tr w14:paraId="52AF5D17">
        <w:tblPrEx>
          <w:tblCellMar>
            <w:top w:w="0" w:type="dxa"/>
            <w:left w:w="108" w:type="dxa"/>
            <w:bottom w:w="0" w:type="dxa"/>
            <w:right w:w="108" w:type="dxa"/>
          </w:tblCellMar>
        </w:tblPrEx>
        <w:trPr>
          <w:trHeight w:val="288"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ign w:val="center"/>
          </w:tcPr>
          <w:p w14:paraId="5D6BCDEA">
            <w:pPr>
              <w:spacing w:line="240" w:lineRule="auto"/>
              <w:rPr>
                <w:rFonts w:hint="eastAsia" w:ascii="宋体" w:hAnsi="宋体" w:cs="方正仿宋_GB2312"/>
                <w:b/>
                <w:color w:val="000000"/>
                <w:sz w:val="24"/>
                <w:szCs w:val="24"/>
                <w:highlight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EC089B">
            <w:pPr>
              <w:spacing w:line="240" w:lineRule="auto"/>
              <w:jc w:val="center"/>
              <w:rPr>
                <w:rFonts w:hint="eastAsia" w:ascii="宋体" w:hAnsi="宋体" w:cs="方正仿宋_GB2312"/>
                <w:b/>
                <w:color w:val="000000"/>
                <w:sz w:val="24"/>
                <w:szCs w:val="24"/>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609EFF">
            <w:pPr>
              <w:spacing w:line="240" w:lineRule="auto"/>
              <w:jc w:val="center"/>
              <w:rPr>
                <w:rFonts w:hint="eastAsia" w:ascii="宋体" w:hAnsi="宋体" w:cs="方正仿宋_GB2312"/>
                <w:b/>
                <w:color w:val="000000"/>
                <w:sz w:val="24"/>
                <w:szCs w:val="24"/>
                <w:highlight w:val="none"/>
              </w:rPr>
            </w:pP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2D139626">
            <w:pPr>
              <w:widowControl/>
              <w:spacing w:line="240" w:lineRule="auto"/>
              <w:jc w:val="left"/>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（1）投标人全部满足或优于招标文件技术标准和要求，得30分。</w:t>
            </w:r>
          </w:p>
        </w:tc>
      </w:tr>
      <w:tr w14:paraId="5AF20004">
        <w:tblPrEx>
          <w:tblCellMar>
            <w:top w:w="0" w:type="dxa"/>
            <w:left w:w="108" w:type="dxa"/>
            <w:bottom w:w="0" w:type="dxa"/>
            <w:right w:w="108" w:type="dxa"/>
          </w:tblCellMar>
        </w:tblPrEx>
        <w:trPr>
          <w:trHeight w:val="288"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ign w:val="center"/>
          </w:tcPr>
          <w:p w14:paraId="4E53BEA0">
            <w:pPr>
              <w:spacing w:line="240" w:lineRule="auto"/>
              <w:rPr>
                <w:rFonts w:hint="eastAsia" w:ascii="宋体" w:hAnsi="宋体" w:cs="方正仿宋_GB2312"/>
                <w:b/>
                <w:color w:val="000000"/>
                <w:sz w:val="24"/>
                <w:szCs w:val="24"/>
                <w:highlight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DA9677">
            <w:pPr>
              <w:spacing w:line="240" w:lineRule="auto"/>
              <w:jc w:val="center"/>
              <w:rPr>
                <w:rFonts w:hint="eastAsia" w:ascii="宋体" w:hAnsi="宋体" w:cs="方正仿宋_GB2312"/>
                <w:b/>
                <w:color w:val="000000"/>
                <w:sz w:val="24"/>
                <w:szCs w:val="24"/>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D14C7B">
            <w:pPr>
              <w:spacing w:line="240" w:lineRule="auto"/>
              <w:jc w:val="center"/>
              <w:rPr>
                <w:rFonts w:hint="eastAsia" w:ascii="宋体" w:hAnsi="宋体" w:cs="方正仿宋_GB2312"/>
                <w:b/>
                <w:color w:val="000000"/>
                <w:sz w:val="24"/>
                <w:szCs w:val="24"/>
                <w:highlight w:val="none"/>
              </w:rPr>
            </w:pP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2973602D">
            <w:pPr>
              <w:widowControl/>
              <w:spacing w:line="240" w:lineRule="auto"/>
              <w:jc w:val="left"/>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（2）1个“▲”条款负偏离，扣减2分；</w:t>
            </w:r>
          </w:p>
        </w:tc>
      </w:tr>
      <w:tr w14:paraId="1AE49267">
        <w:tblPrEx>
          <w:tblCellMar>
            <w:top w:w="0" w:type="dxa"/>
            <w:left w:w="108" w:type="dxa"/>
            <w:bottom w:w="0" w:type="dxa"/>
            <w:right w:w="108" w:type="dxa"/>
          </w:tblCellMar>
        </w:tblPrEx>
        <w:trPr>
          <w:trHeight w:val="288"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ign w:val="center"/>
          </w:tcPr>
          <w:p w14:paraId="14A337A2">
            <w:pPr>
              <w:spacing w:line="240" w:lineRule="auto"/>
              <w:rPr>
                <w:rFonts w:hint="eastAsia" w:ascii="宋体" w:hAnsi="宋体" w:cs="方正仿宋_GB2312"/>
                <w:b/>
                <w:color w:val="000000"/>
                <w:sz w:val="24"/>
                <w:szCs w:val="24"/>
                <w:highlight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19E942">
            <w:pPr>
              <w:spacing w:line="240" w:lineRule="auto"/>
              <w:jc w:val="center"/>
              <w:rPr>
                <w:rFonts w:hint="eastAsia" w:ascii="宋体" w:hAnsi="宋体" w:cs="方正仿宋_GB2312"/>
                <w:b/>
                <w:color w:val="000000"/>
                <w:sz w:val="24"/>
                <w:szCs w:val="24"/>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916ED5">
            <w:pPr>
              <w:spacing w:line="240" w:lineRule="auto"/>
              <w:jc w:val="center"/>
              <w:rPr>
                <w:rFonts w:hint="eastAsia" w:ascii="宋体" w:hAnsi="宋体" w:cs="方正仿宋_GB2312"/>
                <w:b/>
                <w:color w:val="000000"/>
                <w:sz w:val="24"/>
                <w:szCs w:val="24"/>
                <w:highlight w:val="none"/>
              </w:rPr>
            </w:pP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62108360">
            <w:pPr>
              <w:widowControl/>
              <w:spacing w:line="240" w:lineRule="auto"/>
              <w:jc w:val="left"/>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（3）1个非“▲”条款存在负偏离，扣减1分；</w:t>
            </w:r>
          </w:p>
        </w:tc>
      </w:tr>
      <w:tr w14:paraId="33D53D86">
        <w:tblPrEx>
          <w:tblCellMar>
            <w:top w:w="0" w:type="dxa"/>
            <w:left w:w="108" w:type="dxa"/>
            <w:bottom w:w="0" w:type="dxa"/>
            <w:right w:w="108" w:type="dxa"/>
          </w:tblCellMar>
        </w:tblPrEx>
        <w:trPr>
          <w:trHeight w:val="288"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ign w:val="center"/>
          </w:tcPr>
          <w:p w14:paraId="48966143">
            <w:pPr>
              <w:spacing w:line="240" w:lineRule="auto"/>
              <w:rPr>
                <w:rFonts w:hint="eastAsia" w:ascii="宋体" w:hAnsi="宋体" w:cs="方正仿宋_GB2312"/>
                <w:b/>
                <w:color w:val="000000"/>
                <w:sz w:val="24"/>
                <w:szCs w:val="24"/>
                <w:highlight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D110A1">
            <w:pPr>
              <w:spacing w:line="240" w:lineRule="auto"/>
              <w:jc w:val="center"/>
              <w:rPr>
                <w:rFonts w:hint="eastAsia" w:ascii="宋体" w:hAnsi="宋体" w:cs="方正仿宋_GB2312"/>
                <w:b/>
                <w:color w:val="000000"/>
                <w:sz w:val="24"/>
                <w:szCs w:val="24"/>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271321">
            <w:pPr>
              <w:spacing w:line="240" w:lineRule="auto"/>
              <w:jc w:val="center"/>
              <w:rPr>
                <w:rFonts w:hint="eastAsia" w:ascii="宋体" w:hAnsi="宋体" w:cs="方正仿宋_GB2312"/>
                <w:b/>
                <w:color w:val="000000"/>
                <w:sz w:val="24"/>
                <w:szCs w:val="24"/>
                <w:highlight w:val="none"/>
              </w:rPr>
            </w:pP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5AF00E88">
            <w:pPr>
              <w:widowControl/>
              <w:spacing w:line="240" w:lineRule="auto"/>
              <w:jc w:val="left"/>
              <w:textAlignment w:val="center"/>
              <w:rPr>
                <w:rFonts w:hint="eastAsia" w:ascii="宋体" w:hAnsi="宋体" w:cs="方正仿宋_GB2312"/>
                <w:color w:val="000000"/>
                <w:kern w:val="0"/>
                <w:sz w:val="24"/>
                <w:szCs w:val="24"/>
                <w:highlight w:val="none"/>
              </w:rPr>
            </w:pPr>
            <w:r>
              <w:rPr>
                <w:rFonts w:hint="eastAsia" w:ascii="宋体" w:hAnsi="宋体" w:cs="方正仿宋_GB2312"/>
                <w:color w:val="000000"/>
                <w:kern w:val="0"/>
                <w:sz w:val="24"/>
                <w:szCs w:val="24"/>
                <w:highlight w:val="none"/>
              </w:rPr>
              <w:t>直至扣到0分为止。</w:t>
            </w:r>
          </w:p>
        </w:tc>
      </w:tr>
      <w:tr w14:paraId="181E1544">
        <w:tblPrEx>
          <w:tblCellMar>
            <w:top w:w="0" w:type="dxa"/>
            <w:left w:w="108" w:type="dxa"/>
            <w:bottom w:w="0" w:type="dxa"/>
            <w:right w:w="108" w:type="dxa"/>
          </w:tblCellMar>
        </w:tblPrEx>
        <w:trPr>
          <w:trHeight w:val="288"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ign w:val="center"/>
          </w:tcPr>
          <w:p w14:paraId="01E16763">
            <w:pPr>
              <w:spacing w:line="240" w:lineRule="auto"/>
              <w:rPr>
                <w:rFonts w:hint="eastAsia" w:ascii="宋体" w:hAnsi="宋体" w:cs="方正仿宋_GB2312"/>
                <w:b/>
                <w:color w:val="000000"/>
                <w:sz w:val="24"/>
                <w:szCs w:val="24"/>
                <w:highlight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F62715">
            <w:pPr>
              <w:spacing w:line="240" w:lineRule="auto"/>
              <w:jc w:val="center"/>
              <w:rPr>
                <w:rFonts w:hint="eastAsia" w:ascii="宋体" w:hAnsi="宋体" w:cs="方正仿宋_GB2312"/>
                <w:b/>
                <w:color w:val="000000"/>
                <w:sz w:val="24"/>
                <w:szCs w:val="24"/>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E29E4">
            <w:pPr>
              <w:spacing w:line="240" w:lineRule="auto"/>
              <w:jc w:val="center"/>
              <w:rPr>
                <w:rFonts w:hint="eastAsia" w:ascii="宋体" w:hAnsi="宋体" w:cs="方正仿宋_GB2312"/>
                <w:b/>
                <w:color w:val="000000"/>
                <w:sz w:val="24"/>
                <w:szCs w:val="24"/>
                <w:highlight w:val="none"/>
              </w:rPr>
            </w:pP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33D30C39">
            <w:pPr>
              <w:widowControl/>
              <w:spacing w:line="240" w:lineRule="auto"/>
              <w:jc w:val="left"/>
              <w:textAlignment w:val="center"/>
              <w:rPr>
                <w:rFonts w:hint="eastAsia" w:ascii="宋体" w:hAnsi="宋体" w:cs="方正仿宋_GB2312"/>
                <w:b/>
                <w:color w:val="000000"/>
                <w:sz w:val="24"/>
                <w:szCs w:val="24"/>
                <w:highlight w:val="none"/>
              </w:rPr>
            </w:pPr>
            <w:r>
              <w:rPr>
                <w:rFonts w:hint="eastAsia" w:asciiTheme="minorEastAsia" w:hAnsiTheme="minorEastAsia" w:eastAsiaTheme="minorEastAsia" w:cstheme="minorEastAsia"/>
                <w:b/>
                <w:bCs/>
                <w:sz w:val="24"/>
                <w:szCs w:val="24"/>
                <w:highlight w:val="none"/>
                <w:lang w:eastAsia="zh-CN"/>
              </w:rPr>
              <w:t>注：负偏离评审依据：</w:t>
            </w:r>
            <w:r>
              <w:rPr>
                <w:rFonts w:hint="eastAsia" w:asciiTheme="minorEastAsia" w:hAnsiTheme="minorEastAsia" w:eastAsiaTheme="minorEastAsia" w:cstheme="minorEastAsia"/>
                <w:b/>
                <w:bCs/>
                <w:sz w:val="24"/>
                <w:szCs w:val="24"/>
                <w:highlight w:val="none"/>
                <w:lang w:val="en-US" w:eastAsia="zh-CN"/>
              </w:rPr>
              <w:t>①所提供产品技术参数低于招标文件要求的，视为负偏离；②技术参数响应条款（以投标文件内技术偏离表为准）与招标文件对比有缺项、漏项的，视为负偏离；③投标人提供的投标文件中产品技术偏离表、产品技术规格书描述的同一产品技术参数响应值不一致的，视为负偏离。</w:t>
            </w:r>
          </w:p>
        </w:tc>
      </w:tr>
      <w:tr w14:paraId="7E99F64C">
        <w:tblPrEx>
          <w:tblCellMar>
            <w:top w:w="0" w:type="dxa"/>
            <w:left w:w="108" w:type="dxa"/>
            <w:bottom w:w="0" w:type="dxa"/>
            <w:right w:w="108" w:type="dxa"/>
          </w:tblCellMar>
        </w:tblPrEx>
        <w:trPr>
          <w:trHeight w:val="528"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ign w:val="center"/>
          </w:tcPr>
          <w:p w14:paraId="3D8BA36A">
            <w:pPr>
              <w:spacing w:line="240" w:lineRule="auto"/>
              <w:rPr>
                <w:rFonts w:hint="eastAsia" w:ascii="宋体" w:hAnsi="宋体" w:cs="方正仿宋_GB2312"/>
                <w:b/>
                <w:color w:val="000000"/>
                <w:sz w:val="24"/>
                <w:szCs w:val="24"/>
                <w:highlight w:val="none"/>
              </w:rPr>
            </w:pPr>
          </w:p>
        </w:tc>
        <w:tc>
          <w:tcPr>
            <w:tcW w:w="511" w:type="pct"/>
            <w:tcBorders>
              <w:top w:val="single" w:color="000000" w:sz="4" w:space="0"/>
              <w:left w:val="single" w:color="000000" w:sz="4" w:space="0"/>
              <w:right w:val="single" w:color="000000" w:sz="4" w:space="0"/>
            </w:tcBorders>
            <w:noWrap w:val="0"/>
            <w:vAlign w:val="center"/>
          </w:tcPr>
          <w:p w14:paraId="1E5FCAE3">
            <w:pPr>
              <w:widowControl/>
              <w:spacing w:line="240" w:lineRule="auto"/>
              <w:jc w:val="center"/>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技术性能</w:t>
            </w:r>
          </w:p>
        </w:tc>
        <w:tc>
          <w:tcPr>
            <w:tcW w:w="425" w:type="pct"/>
            <w:tcBorders>
              <w:top w:val="single" w:color="000000" w:sz="4" w:space="0"/>
              <w:left w:val="single" w:color="000000" w:sz="4" w:space="0"/>
              <w:right w:val="single" w:color="000000" w:sz="4" w:space="0"/>
            </w:tcBorders>
            <w:noWrap w:val="0"/>
            <w:vAlign w:val="center"/>
          </w:tcPr>
          <w:p w14:paraId="4C5A3D37">
            <w:pPr>
              <w:widowControl/>
              <w:spacing w:line="240" w:lineRule="auto"/>
              <w:jc w:val="center"/>
              <w:textAlignment w:val="center"/>
              <w:rPr>
                <w:rFonts w:hint="eastAsia" w:ascii="宋体" w:hAnsi="宋体" w:eastAsia="宋体" w:cs="方正仿宋_GB2312"/>
                <w:b/>
                <w:color w:val="000000"/>
                <w:sz w:val="24"/>
                <w:szCs w:val="24"/>
                <w:highlight w:val="none"/>
                <w:lang w:eastAsia="zh-CN"/>
              </w:rPr>
            </w:pPr>
            <w:r>
              <w:rPr>
                <w:rFonts w:hint="eastAsia" w:ascii="宋体" w:hAnsi="宋体" w:cs="方正仿宋_GB2312"/>
                <w:color w:val="000000"/>
                <w:kern w:val="0"/>
                <w:sz w:val="24"/>
                <w:szCs w:val="24"/>
                <w:highlight w:val="none"/>
                <w:lang w:val="en-US" w:eastAsia="zh-CN"/>
              </w:rPr>
              <w:t>6</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371ACBA4">
            <w:pPr>
              <w:spacing w:line="240" w:lineRule="auto"/>
              <w:jc w:val="both"/>
              <w:rPr>
                <w:rFonts w:hint="eastAsia" w:ascii="宋体" w:hAnsi="宋体"/>
                <w:color w:val="000000"/>
                <w:kern w:val="0"/>
                <w:sz w:val="24"/>
                <w:szCs w:val="24"/>
                <w:highlight w:val="none"/>
              </w:rPr>
            </w:pPr>
            <w:r>
              <w:rPr>
                <w:rFonts w:hint="eastAsia" w:ascii="宋体" w:hAnsi="宋体"/>
                <w:color w:val="000000"/>
                <w:kern w:val="0"/>
                <w:sz w:val="24"/>
                <w:szCs w:val="24"/>
                <w:highlight w:val="none"/>
              </w:rPr>
              <w:t>1、图书加工具备信息化技术水平能力要求，加工支持利用视觉盘点纯OCR定位技术（无须额外贴专用码加工）对藏书进行定位，手机拍摄层架条码后直接拍摄所在架位图书即完成图书定位工作，提供相应技术方案、软件关键截图和相应软著</w:t>
            </w:r>
            <w:r>
              <w:rPr>
                <w:rFonts w:hint="eastAsia" w:ascii="宋体" w:hAnsi="宋体"/>
                <w:color w:val="000000"/>
                <w:kern w:val="0"/>
                <w:sz w:val="24"/>
                <w:szCs w:val="24"/>
                <w:highlight w:val="none"/>
                <w:lang w:eastAsia="zh-CN"/>
              </w:rPr>
              <w:t>证明材料</w:t>
            </w:r>
            <w:r>
              <w:rPr>
                <w:rFonts w:hint="eastAsia" w:ascii="宋体" w:hAnsi="宋体"/>
                <w:color w:val="000000"/>
                <w:kern w:val="0"/>
                <w:sz w:val="24"/>
                <w:szCs w:val="24"/>
                <w:highlight w:val="none"/>
              </w:rPr>
              <w:t>，支持以上视觉OCR定位技术且提供材料完整得</w:t>
            </w:r>
            <w:r>
              <w:rPr>
                <w:rFonts w:hint="eastAsia" w:ascii="宋体" w:hAnsi="宋体"/>
                <w:color w:val="000000"/>
                <w:kern w:val="0"/>
                <w:sz w:val="24"/>
                <w:szCs w:val="24"/>
                <w:highlight w:val="none"/>
                <w:lang w:val="en-US" w:eastAsia="zh-CN"/>
              </w:rPr>
              <w:t>2</w:t>
            </w:r>
            <w:r>
              <w:rPr>
                <w:rFonts w:hint="eastAsia" w:ascii="宋体" w:hAnsi="宋体"/>
                <w:color w:val="000000"/>
                <w:kern w:val="0"/>
                <w:sz w:val="24"/>
                <w:szCs w:val="24"/>
                <w:highlight w:val="none"/>
              </w:rPr>
              <w:t>分。</w:t>
            </w:r>
          </w:p>
          <w:p w14:paraId="49CD852E">
            <w:pPr>
              <w:spacing w:line="240" w:lineRule="auto"/>
              <w:jc w:val="both"/>
              <w:rPr>
                <w:rFonts w:hint="eastAsia" w:ascii="宋体" w:hAnsi="宋体"/>
                <w:b/>
                <w:color w:val="000000"/>
                <w:kern w:val="0"/>
                <w:sz w:val="24"/>
                <w:szCs w:val="24"/>
                <w:highlight w:val="none"/>
                <w:lang w:bidi="hi-IN"/>
              </w:rPr>
            </w:pPr>
            <w:r>
              <w:rPr>
                <w:rFonts w:hint="eastAsia" w:ascii="宋体" w:hAnsi="宋体"/>
                <w:color w:val="000000"/>
                <w:kern w:val="0"/>
                <w:sz w:val="24"/>
                <w:szCs w:val="24"/>
                <w:highlight w:val="none"/>
              </w:rPr>
              <w:t>2</w:t>
            </w:r>
            <w:r>
              <w:rPr>
                <w:rFonts w:ascii="宋体" w:hAnsi="宋体"/>
                <w:color w:val="000000"/>
                <w:kern w:val="0"/>
                <w:sz w:val="24"/>
                <w:szCs w:val="24"/>
                <w:highlight w:val="none"/>
              </w:rPr>
              <w:t>、</w:t>
            </w:r>
            <w:r>
              <w:rPr>
                <w:rFonts w:hint="eastAsia" w:ascii="宋体" w:hAnsi="宋体"/>
                <w:color w:val="000000"/>
                <w:kern w:val="0"/>
                <w:sz w:val="24"/>
                <w:szCs w:val="24"/>
                <w:highlight w:val="none"/>
              </w:rPr>
              <w:t>为保证项目的顺利完工，确保投标企业综合技术实力，投标人或生产厂商具备国家级专精特新小巨人称号的得2分，提供证书扫描件并加盖投标人公章，无或其他情况不得分。</w:t>
            </w:r>
          </w:p>
          <w:p w14:paraId="463CC41C">
            <w:pPr>
              <w:spacing w:line="240" w:lineRule="auto"/>
              <w:jc w:val="both"/>
              <w:rPr>
                <w:rFonts w:hint="eastAsia" w:ascii="宋体" w:hAnsi="宋体"/>
                <w:color w:val="000000"/>
                <w:kern w:val="0"/>
                <w:sz w:val="24"/>
                <w:szCs w:val="24"/>
                <w:highlight w:val="none"/>
                <w:lang w:bidi="hi-IN"/>
              </w:rPr>
            </w:pPr>
            <w:r>
              <w:rPr>
                <w:rFonts w:hint="eastAsia" w:ascii="宋体" w:hAnsi="宋体"/>
                <w:color w:val="000000"/>
                <w:kern w:val="0"/>
                <w:sz w:val="24"/>
                <w:szCs w:val="24"/>
                <w:highlight w:val="none"/>
                <w:lang w:bidi="hi-IN"/>
              </w:rPr>
              <w:t>3、为保证读者信息隐私性，投标人</w:t>
            </w:r>
            <w:r>
              <w:rPr>
                <w:rFonts w:hint="eastAsia" w:ascii="宋体" w:hAnsi="宋体"/>
                <w:color w:val="000000"/>
                <w:kern w:val="0"/>
                <w:sz w:val="24"/>
                <w:szCs w:val="24"/>
                <w:highlight w:val="none"/>
              </w:rPr>
              <w:t>或生产厂商</w:t>
            </w:r>
            <w:r>
              <w:rPr>
                <w:rFonts w:hint="eastAsia" w:ascii="宋体" w:hAnsi="宋体"/>
                <w:color w:val="000000"/>
                <w:kern w:val="0"/>
                <w:sz w:val="24"/>
                <w:szCs w:val="24"/>
                <w:highlight w:val="none"/>
                <w:lang w:bidi="hi-IN"/>
              </w:rPr>
              <w:t>具有隐私信息管理体系认证的得</w:t>
            </w:r>
            <w:r>
              <w:rPr>
                <w:rFonts w:ascii="宋体" w:hAnsi="宋体"/>
                <w:color w:val="000000"/>
                <w:kern w:val="0"/>
                <w:sz w:val="24"/>
                <w:szCs w:val="24"/>
                <w:highlight w:val="none"/>
                <w:lang w:bidi="hi-IN"/>
              </w:rPr>
              <w:t>2</w:t>
            </w:r>
            <w:r>
              <w:rPr>
                <w:rFonts w:hint="eastAsia" w:ascii="宋体" w:hAnsi="宋体"/>
                <w:color w:val="000000"/>
                <w:kern w:val="0"/>
                <w:sz w:val="24"/>
                <w:szCs w:val="24"/>
                <w:highlight w:val="none"/>
                <w:lang w:bidi="hi-IN"/>
              </w:rPr>
              <w:t>分，提供证书扫描件并加盖投标人公章（认证覆盖业务范围需至少包括射频技术智能识别系统和图书馆公共管理系统开发相关的隐私管理活动，提供认证证书复印件及全国认证认可信息公共服务平台查询结果，无或其他情况不得分）</w:t>
            </w:r>
          </w:p>
        </w:tc>
      </w:tr>
      <w:tr w14:paraId="3CE1398F">
        <w:tblPrEx>
          <w:tblCellMar>
            <w:top w:w="0" w:type="dxa"/>
            <w:left w:w="108" w:type="dxa"/>
            <w:bottom w:w="0" w:type="dxa"/>
            <w:right w:w="108" w:type="dxa"/>
          </w:tblCellMar>
        </w:tblPrEx>
        <w:trPr>
          <w:trHeight w:val="416" w:hRule="atLeast"/>
        </w:trPr>
        <w:tc>
          <w:tcPr>
            <w:tcW w:w="357" w:type="pct"/>
            <w:vMerge w:val="continue"/>
            <w:tcBorders>
              <w:top w:val="single" w:color="000000" w:sz="4" w:space="0"/>
              <w:left w:val="single" w:color="000000" w:sz="4" w:space="0"/>
              <w:bottom w:val="single" w:color="000000" w:sz="4" w:space="0"/>
              <w:right w:val="single" w:color="000000" w:sz="4" w:space="0"/>
            </w:tcBorders>
            <w:noWrap/>
            <w:vAlign w:val="center"/>
          </w:tcPr>
          <w:p w14:paraId="6C38F07A">
            <w:pPr>
              <w:spacing w:line="240" w:lineRule="auto"/>
              <w:rPr>
                <w:rFonts w:hint="eastAsia" w:ascii="宋体" w:hAnsi="宋体" w:cs="方正仿宋_GB2312"/>
                <w:b/>
                <w:color w:val="000000"/>
                <w:sz w:val="24"/>
                <w:szCs w:val="24"/>
                <w:highlight w:val="none"/>
              </w:rPr>
            </w:pP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7080BDCF">
            <w:pPr>
              <w:widowControl/>
              <w:spacing w:line="240" w:lineRule="auto"/>
              <w:jc w:val="center"/>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产品功能截图证明</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49D4C6D8">
            <w:pPr>
              <w:widowControl/>
              <w:spacing w:line="240" w:lineRule="auto"/>
              <w:jc w:val="center"/>
              <w:textAlignment w:val="center"/>
              <w:rPr>
                <w:rFonts w:hint="eastAsia" w:ascii="宋体" w:hAnsi="宋体" w:eastAsia="宋体" w:cs="方正仿宋_GB2312"/>
                <w:b/>
                <w:color w:val="000000"/>
                <w:sz w:val="24"/>
                <w:szCs w:val="24"/>
                <w:highlight w:val="none"/>
                <w:lang w:eastAsia="zh-CN"/>
              </w:rPr>
            </w:pPr>
            <w:r>
              <w:rPr>
                <w:rFonts w:hint="eastAsia" w:ascii="宋体" w:hAnsi="宋体" w:cs="方正仿宋_GB2312"/>
                <w:color w:val="000000"/>
                <w:kern w:val="0"/>
                <w:sz w:val="24"/>
                <w:szCs w:val="24"/>
                <w:highlight w:val="none"/>
                <w:lang w:val="en-US" w:eastAsia="zh-CN"/>
              </w:rPr>
              <w:t>9</w:t>
            </w:r>
          </w:p>
        </w:tc>
        <w:tc>
          <w:tcPr>
            <w:tcW w:w="3706" w:type="pct"/>
            <w:tcBorders>
              <w:top w:val="single" w:color="000000" w:sz="4" w:space="0"/>
              <w:left w:val="single" w:color="000000" w:sz="4" w:space="0"/>
              <w:bottom w:val="single" w:color="000000" w:sz="4" w:space="0"/>
              <w:right w:val="single" w:color="000000" w:sz="4" w:space="0"/>
            </w:tcBorders>
            <w:noWrap w:val="0"/>
            <w:vAlign w:val="center"/>
          </w:tcPr>
          <w:p w14:paraId="517DAE8A">
            <w:pPr>
              <w:widowControl/>
              <w:spacing w:line="240" w:lineRule="auto"/>
              <w:jc w:val="left"/>
              <w:textAlignment w:val="center"/>
              <w:rPr>
                <w:rFonts w:hint="eastAsia" w:ascii="宋体" w:hAnsi="宋体" w:cs="方正仿宋_GB2312"/>
                <w:b/>
                <w:color w:val="000000"/>
                <w:sz w:val="24"/>
                <w:szCs w:val="24"/>
                <w:highlight w:val="none"/>
              </w:rPr>
            </w:pPr>
            <w:r>
              <w:rPr>
                <w:rFonts w:hint="eastAsia" w:ascii="宋体" w:hAnsi="宋体" w:cs="方正仿宋_GB2312"/>
                <w:color w:val="000000"/>
                <w:kern w:val="0"/>
                <w:sz w:val="24"/>
                <w:szCs w:val="24"/>
                <w:highlight w:val="none"/>
              </w:rPr>
              <w:t>1、自助借还书机功能截图证明：①扫码听书及有声书推荐功能：自助借还机软件支持升级扫码听书功能，要求屏幕上借还界面可显示有声书二维码，支持扫描二维码到手机上收听有声书，得</w:t>
            </w:r>
            <w:r>
              <w:rPr>
                <w:rFonts w:hint="eastAsia" w:ascii="宋体" w:hAnsi="宋体" w:cs="方正仿宋_GB2312"/>
                <w:color w:val="000000"/>
                <w:kern w:val="0"/>
                <w:sz w:val="24"/>
                <w:szCs w:val="24"/>
                <w:highlight w:val="none"/>
                <w:lang w:val="en-US" w:eastAsia="zh-CN"/>
              </w:rPr>
              <w:t>1</w:t>
            </w:r>
            <w:r>
              <w:rPr>
                <w:rFonts w:hint="eastAsia" w:ascii="宋体" w:hAnsi="宋体" w:cs="方正仿宋_GB2312"/>
                <w:color w:val="000000"/>
                <w:kern w:val="0"/>
                <w:sz w:val="24"/>
                <w:szCs w:val="24"/>
                <w:highlight w:val="none"/>
              </w:rPr>
              <w:t>分；②读者借书、还书后，系统根据读者借阅、还书信息自动推送相似类型有声书，得</w:t>
            </w:r>
            <w:r>
              <w:rPr>
                <w:rFonts w:hint="eastAsia" w:ascii="宋体" w:hAnsi="宋体" w:cs="方正仿宋_GB2312"/>
                <w:color w:val="000000"/>
                <w:kern w:val="0"/>
                <w:sz w:val="24"/>
                <w:szCs w:val="24"/>
                <w:highlight w:val="none"/>
                <w:lang w:val="en-US" w:eastAsia="zh-CN"/>
              </w:rPr>
              <w:t>1</w:t>
            </w:r>
            <w:r>
              <w:rPr>
                <w:rFonts w:hint="eastAsia" w:ascii="宋体" w:hAnsi="宋体" w:cs="方正仿宋_GB2312"/>
                <w:color w:val="000000"/>
                <w:kern w:val="0"/>
                <w:sz w:val="24"/>
                <w:szCs w:val="24"/>
                <w:highlight w:val="none"/>
              </w:rPr>
              <w:t>分；③点击图书封面出现大图弹窗，显示书籍名称、封面和二维码，至少推荐6张专辑，使用微信扫描书籍上的二维码，即可到移动端去收听有声资源，得</w:t>
            </w:r>
            <w:r>
              <w:rPr>
                <w:rFonts w:hint="eastAsia" w:ascii="宋体" w:hAnsi="宋体" w:cs="方正仿宋_GB2312"/>
                <w:color w:val="000000"/>
                <w:kern w:val="0"/>
                <w:sz w:val="24"/>
                <w:szCs w:val="24"/>
                <w:highlight w:val="none"/>
                <w:lang w:val="en-US" w:eastAsia="zh-CN"/>
              </w:rPr>
              <w:t>1</w:t>
            </w:r>
            <w:r>
              <w:rPr>
                <w:rFonts w:hint="eastAsia" w:ascii="宋体" w:hAnsi="宋体" w:cs="方正仿宋_GB2312"/>
                <w:color w:val="000000"/>
                <w:kern w:val="0"/>
                <w:sz w:val="24"/>
                <w:szCs w:val="24"/>
                <w:highlight w:val="none"/>
              </w:rPr>
              <w:t>分；</w:t>
            </w:r>
            <w:r>
              <w:rPr>
                <w:rFonts w:hint="eastAsia" w:ascii="宋体" w:hAnsi="宋体" w:cs="方正仿宋_GB2312"/>
                <w:color w:val="000000"/>
                <w:kern w:val="0"/>
                <w:sz w:val="24"/>
                <w:szCs w:val="24"/>
                <w:highlight w:val="none"/>
              </w:rPr>
              <w:br w:type="textWrapping"/>
            </w:r>
            <w:r>
              <w:rPr>
                <w:rFonts w:hint="eastAsia" w:ascii="宋体" w:hAnsi="宋体" w:cs="方正仿宋_GB2312"/>
                <w:color w:val="000000"/>
                <w:kern w:val="0"/>
                <w:sz w:val="24"/>
                <w:szCs w:val="24"/>
                <w:highlight w:val="none"/>
              </w:rPr>
              <w:t>2、移动式盘点车项内容配套盘点模块证明材料：①设备小巧、易拆装，读写模块支持前后双向360度转动，得1分；②标配不少于1700mAh可充电电池，通过Micro USB 数据线进行充电，得1分；③可通过手机APP无线控制该模块的读写，得1分；④模块自带应用软件可同时扫描一维码、二维码、RFID超高频电子标签，并显示与标签对应的图书信息，得</w:t>
            </w:r>
            <w:r>
              <w:rPr>
                <w:rFonts w:hint="eastAsia" w:ascii="宋体" w:hAnsi="宋体" w:cs="方正仿宋_GB2312"/>
                <w:color w:val="000000"/>
                <w:kern w:val="0"/>
                <w:sz w:val="24"/>
                <w:szCs w:val="24"/>
                <w:highlight w:val="none"/>
                <w:lang w:val="en-US" w:eastAsia="zh-CN"/>
              </w:rPr>
              <w:t>1</w:t>
            </w:r>
            <w:r>
              <w:rPr>
                <w:rFonts w:hint="eastAsia" w:ascii="宋体" w:hAnsi="宋体" w:cs="方正仿宋_GB2312"/>
                <w:color w:val="000000"/>
                <w:kern w:val="0"/>
                <w:sz w:val="24"/>
                <w:szCs w:val="24"/>
                <w:highlight w:val="none"/>
              </w:rPr>
              <w:t>分；⑤模块自带应用软件操作简单，主要功能包括：图书上架指导、区域检查、盘点统计等，得2分；</w:t>
            </w:r>
          </w:p>
        </w:tc>
      </w:tr>
    </w:tbl>
    <w:p w14:paraId="1205C379">
      <w:pPr>
        <w:pStyle w:val="65"/>
        <w:spacing w:line="240" w:lineRule="auto"/>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7．推荐中标候选人名单    </w:t>
      </w:r>
    </w:p>
    <w:p w14:paraId="50D0030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7.1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14:paraId="1600EAB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 评标结果汇总完成后，除下列情形外，任何人不得修改评标结果：</w:t>
      </w:r>
    </w:p>
    <w:p w14:paraId="40AB85E8">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(一)分值汇总计算错误的；</w:t>
      </w:r>
    </w:p>
    <w:p w14:paraId="7297FED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(二)分项评分超出评分标准范围的；</w:t>
      </w:r>
    </w:p>
    <w:p w14:paraId="52D3CEF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(三)评标委员会成员对客观评审因素评分不一致的；</w:t>
      </w:r>
    </w:p>
    <w:p w14:paraId="27FB953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(四)经评标委员会认定评分畸高、畸低的。</w:t>
      </w:r>
    </w:p>
    <w:p w14:paraId="490B492C">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49940C3">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投标人对上述(一)～(四)提出质疑的，采购人或者采购代理机构可以组织原评标委员会进行重新评审，重新评审改变评标结果的，应当书面报告本级财政部门。</w:t>
      </w:r>
    </w:p>
    <w:p w14:paraId="45276D7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 评标委员会根据全体评标成员签字的原始评标记录和评标结果编写评标报告。评标报告应当包括以下内容：</w:t>
      </w:r>
    </w:p>
    <w:p w14:paraId="55DB8252">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（一）招标公告刊登的媒体名称、开标日期和地点；</w:t>
      </w:r>
    </w:p>
    <w:p w14:paraId="216EA2EA">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（二）投标人名单和评标委员会成员名单；</w:t>
      </w:r>
    </w:p>
    <w:p w14:paraId="47E86B37">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（三）评标方法和标准；</w:t>
      </w:r>
    </w:p>
    <w:p w14:paraId="473FCAFD">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（四）开标记录和评标情况及说明，包括无效投标人名单及原因；</w:t>
      </w:r>
    </w:p>
    <w:p w14:paraId="659870A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（五）评标结果，确定的中标候选人名单或者经采购人委托直接确定的中标人；</w:t>
      </w:r>
    </w:p>
    <w:p w14:paraId="7BF9ED24">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（六）其他需要说明的情况，包括评标过程中投标人根据评标委员会要求进行的澄清、说明或者补正，评标委员会成员的更换等。</w:t>
      </w:r>
    </w:p>
    <w:p w14:paraId="77084A60">
      <w:pPr>
        <w:pStyle w:val="65"/>
        <w:spacing w:line="240" w:lineRule="auto"/>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 本次招标采购推荐的中标候选人数量见</w:t>
      </w:r>
      <w:r>
        <w:rPr>
          <w:rFonts w:hint="eastAsia" w:asciiTheme="minorEastAsia" w:hAnsiTheme="minorEastAsia" w:eastAsiaTheme="minorEastAsia" w:cstheme="minorEastAsia"/>
          <w:b/>
          <w:bCs/>
          <w:color w:val="auto"/>
          <w:sz w:val="24"/>
          <w:szCs w:val="24"/>
          <w:highlight w:val="none"/>
        </w:rPr>
        <w:t>投标须知前附表</w:t>
      </w:r>
      <w:r>
        <w:rPr>
          <w:rFonts w:hint="eastAsia" w:asciiTheme="minorEastAsia" w:hAnsiTheme="minorEastAsia" w:eastAsiaTheme="minorEastAsia" w:cstheme="minorEastAsia"/>
          <w:color w:val="auto"/>
          <w:sz w:val="24"/>
          <w:szCs w:val="24"/>
          <w:highlight w:val="none"/>
        </w:rPr>
        <w:t>。</w:t>
      </w:r>
    </w:p>
    <w:p w14:paraId="176F8D20">
      <w:pPr>
        <w:pStyle w:val="65"/>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sz w:val="36"/>
          <w:szCs w:val="36"/>
          <w:highlight w:val="none"/>
        </w:rPr>
        <w:br w:type="page"/>
      </w:r>
      <w:r>
        <w:rPr>
          <w:rFonts w:hint="eastAsia" w:asciiTheme="minorEastAsia" w:hAnsiTheme="minorEastAsia" w:eastAsiaTheme="minorEastAsia" w:cstheme="minorEastAsia"/>
          <w:b/>
          <w:bCs/>
          <w:color w:val="auto"/>
          <w:sz w:val="28"/>
          <w:szCs w:val="28"/>
          <w:highlight w:val="none"/>
        </w:rPr>
        <w:t>第四章  政府采购合同格式</w:t>
      </w:r>
    </w:p>
    <w:p w14:paraId="2BEB082F">
      <w:pPr>
        <w:pStyle w:val="65"/>
        <w:spacing w:line="240" w:lineRule="auto"/>
        <w:jc w:val="center"/>
        <w:rPr>
          <w:rFonts w:hint="eastAsia" w:ascii="宋体" w:hAnsi="宋体" w:eastAsia="宋体" w:cs="Arial"/>
          <w:b/>
          <w:bCs/>
          <w:kern w:val="0"/>
          <w:sz w:val="24"/>
          <w:szCs w:val="24"/>
          <w:highlight w:val="none"/>
          <w:lang w:eastAsia="zh-CN"/>
        </w:rPr>
      </w:pPr>
    </w:p>
    <w:p w14:paraId="193333AF">
      <w:pPr>
        <w:pStyle w:val="65"/>
        <w:spacing w:line="240" w:lineRule="auto"/>
        <w:jc w:val="center"/>
        <w:rPr>
          <w:rFonts w:hint="eastAsia" w:ascii="宋体" w:hAnsi="宋体" w:eastAsia="宋体" w:cs="Arial"/>
          <w:b/>
          <w:bCs/>
          <w:kern w:val="0"/>
          <w:sz w:val="24"/>
          <w:szCs w:val="24"/>
          <w:highlight w:val="none"/>
          <w:lang w:eastAsia="zh-CN"/>
        </w:rPr>
      </w:pPr>
      <w:r>
        <w:rPr>
          <w:rFonts w:hint="eastAsia" w:ascii="宋体" w:hAnsi="宋体" w:eastAsia="宋体" w:cs="Arial"/>
          <w:b/>
          <w:bCs/>
          <w:kern w:val="0"/>
          <w:sz w:val="24"/>
          <w:szCs w:val="24"/>
          <w:highlight w:val="none"/>
          <w:lang w:eastAsia="zh-CN"/>
        </w:rPr>
        <w:t>（此格式</w:t>
      </w:r>
      <w:r>
        <w:rPr>
          <w:rFonts w:hint="eastAsia" w:ascii="宋体" w:hAnsi="宋体" w:eastAsia="宋体" w:cs="Arial"/>
          <w:b/>
          <w:bCs/>
          <w:kern w:val="0"/>
          <w:sz w:val="24"/>
          <w:szCs w:val="24"/>
          <w:highlight w:val="none"/>
        </w:rPr>
        <w:t>仅供参考，具体内容以采购人与供货人签订的合同为准</w:t>
      </w:r>
      <w:r>
        <w:rPr>
          <w:rFonts w:hint="eastAsia" w:ascii="宋体" w:hAnsi="宋体" w:eastAsia="宋体" w:cs="Arial"/>
          <w:b/>
          <w:bCs/>
          <w:kern w:val="0"/>
          <w:sz w:val="24"/>
          <w:szCs w:val="24"/>
          <w:highlight w:val="none"/>
          <w:lang w:eastAsia="zh-CN"/>
        </w:rPr>
        <w:t>）</w:t>
      </w:r>
    </w:p>
    <w:p w14:paraId="6307A9C0">
      <w:pPr>
        <w:pStyle w:val="65"/>
        <w:spacing w:line="240" w:lineRule="auto"/>
        <w:jc w:val="center"/>
        <w:rPr>
          <w:rFonts w:hint="eastAsia" w:ascii="宋体" w:hAnsi="宋体" w:eastAsia="宋体" w:cs="Arial"/>
          <w:b/>
          <w:bCs/>
          <w:kern w:val="0"/>
          <w:sz w:val="24"/>
          <w:szCs w:val="24"/>
          <w:highlight w:val="none"/>
          <w:lang w:eastAsia="zh-CN"/>
        </w:rPr>
      </w:pPr>
    </w:p>
    <w:p w14:paraId="41731F52">
      <w:pPr>
        <w:spacing w:before="122" w:line="240" w:lineRule="auto"/>
        <w:ind w:right="626"/>
        <w:jc w:val="center"/>
        <w:rPr>
          <w:rFonts w:hint="eastAsia" w:asciiTheme="minorEastAsia" w:hAnsiTheme="minorEastAsia" w:eastAsiaTheme="minorEastAsia" w:cstheme="minorEastAsia"/>
          <w:b/>
          <w:bCs/>
          <w:color w:val="000000"/>
          <w:kern w:val="0"/>
          <w:sz w:val="44"/>
          <w:szCs w:val="44"/>
          <w:highlight w:val="none"/>
        </w:rPr>
      </w:pPr>
      <w:r>
        <w:rPr>
          <w:rFonts w:hint="eastAsia" w:asciiTheme="minorEastAsia" w:hAnsiTheme="minorEastAsia" w:eastAsiaTheme="minorEastAsia" w:cstheme="minorEastAsia"/>
          <w:b/>
          <w:bCs/>
          <w:color w:val="000000"/>
          <w:kern w:val="0"/>
          <w:sz w:val="44"/>
          <w:szCs w:val="44"/>
          <w:highlight w:val="none"/>
          <w:lang w:val="en-US" w:eastAsia="zh-CN"/>
        </w:rPr>
        <w:t xml:space="preserve">   </w:t>
      </w:r>
      <w:r>
        <w:rPr>
          <w:rFonts w:hint="eastAsia" w:asciiTheme="minorEastAsia" w:hAnsiTheme="minorEastAsia" w:eastAsiaTheme="minorEastAsia" w:cstheme="minorEastAsia"/>
          <w:b/>
          <w:bCs/>
          <w:color w:val="000000"/>
          <w:kern w:val="0"/>
          <w:sz w:val="44"/>
          <w:szCs w:val="44"/>
          <w:highlight w:val="none"/>
        </w:rPr>
        <w:t>新疆应用职业技术学院</w:t>
      </w:r>
      <w:r>
        <w:rPr>
          <w:rFonts w:hint="eastAsia" w:asciiTheme="minorEastAsia" w:hAnsiTheme="minorEastAsia" w:eastAsiaTheme="minorEastAsia" w:cstheme="minorEastAsia"/>
          <w:b/>
          <w:bCs/>
          <w:color w:val="000000"/>
          <w:kern w:val="0"/>
          <w:sz w:val="44"/>
          <w:szCs w:val="44"/>
          <w:highlight w:val="none"/>
          <w:u w:val="single"/>
        </w:rPr>
        <w:t xml:space="preserve">     </w:t>
      </w:r>
      <w:r>
        <w:rPr>
          <w:rFonts w:hint="eastAsia" w:asciiTheme="minorEastAsia" w:hAnsiTheme="minorEastAsia" w:eastAsiaTheme="minorEastAsia" w:cstheme="minorEastAsia"/>
          <w:b/>
          <w:bCs/>
          <w:color w:val="000000"/>
          <w:kern w:val="0"/>
          <w:sz w:val="44"/>
          <w:szCs w:val="44"/>
          <w:highlight w:val="none"/>
        </w:rPr>
        <w:t>设备采购合同</w:t>
      </w:r>
    </w:p>
    <w:p w14:paraId="14EE6CC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p>
    <w:p w14:paraId="5064B5C1">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甲方（买受人）：</w:t>
      </w:r>
    </w:p>
    <w:p w14:paraId="5626ABEE">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统一社会信用代码：</w:t>
      </w:r>
    </w:p>
    <w:p w14:paraId="19D5D984">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乙方（出卖人）：</w:t>
      </w:r>
    </w:p>
    <w:p w14:paraId="565DA0C3">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统一社会信用代码：</w:t>
      </w:r>
    </w:p>
    <w:p w14:paraId="69940C2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上述各方经平等自愿协商，签订本合同以共同遵守。</w:t>
      </w:r>
    </w:p>
    <w:p w14:paraId="001787E0">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1.定义</w:t>
      </w:r>
    </w:p>
    <w:p w14:paraId="4E87AA1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1.1.在本合同中（包括附件），如有下列名词及术语，除另有明确说明或上下文另有要求，均应具有本款所赋予的含义。</w:t>
      </w:r>
    </w:p>
    <w:p w14:paraId="0D395B2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1.2.“买受人”（甲方）是指</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750909D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1.3.“出卖人”（乙方）是指</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w:t>
      </w:r>
    </w:p>
    <w:p w14:paraId="67E687C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1.4.“合同”是指买卖双方签署的、载明买卖双方约定权利义务的协议，包括所有的附件、上述文件所提到的构成合同的所有文件以及日后对原合同做出的任何书面更改。</w:t>
      </w:r>
    </w:p>
    <w:p w14:paraId="7D01094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1.5.“合同价格”是指在乙方完全和适当地履行其合同义务后，甲方根据合同规定应支付给乙方的价款。</w:t>
      </w:r>
    </w:p>
    <w:p w14:paraId="73375F8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1.6.“生效日期”是指本合同</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款中所规定的合同的生效日期。</w:t>
      </w:r>
    </w:p>
    <w:p w14:paraId="7D57F3C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1.7.“技术资料”是指与合同设备相关的设计、制造、监造、检验、安装、调试、验收、性能验收试验和技术指导等文件（包括图纸、各种文字说明、标准、各种软件）。</w:t>
      </w:r>
    </w:p>
    <w:p w14:paraId="42CBA16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1.8.“合同设备”是指乙方根据合同所要供应的机器、装置、材料、物品、专用工具、备品备件和所有各种物品，如合同附件所列示和规定的。</w:t>
      </w:r>
    </w:p>
    <w:p w14:paraId="6F61B82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监造”是指在合同设备的制造过程中，由甲方和/或乙方委托的有资质的监造单位派出代表对乙方提供的合同设备的关键部分进行质量监督，实行文件见证和现场见证。此种质量监造不解除和减轻乙方对合同设备质量所负的责任。</w:t>
      </w:r>
    </w:p>
    <w:p w14:paraId="3E92BE01">
      <w:pPr>
        <w:widowControl/>
        <w:spacing w:line="24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1.10.“初步验收”是</w:t>
      </w:r>
      <w:r>
        <w:rPr>
          <w:rFonts w:hint="eastAsia" w:asciiTheme="minorEastAsia" w:hAnsiTheme="minorEastAsia" w:eastAsiaTheme="minorEastAsia" w:cstheme="minorEastAsia"/>
          <w:kern w:val="0"/>
          <w:sz w:val="24"/>
          <w:szCs w:val="24"/>
          <w:highlight w:val="none"/>
          <w:u w:val="single"/>
        </w:rPr>
        <w:t>  由甲方规定   </w:t>
      </w:r>
      <w:r>
        <w:rPr>
          <w:rFonts w:hint="eastAsia" w:asciiTheme="minorEastAsia" w:hAnsiTheme="minorEastAsia" w:eastAsiaTheme="minorEastAsia" w:cstheme="minorEastAsia"/>
          <w:kern w:val="0"/>
          <w:sz w:val="24"/>
          <w:szCs w:val="24"/>
          <w:highlight w:val="none"/>
        </w:rPr>
        <w:t>。</w:t>
      </w:r>
    </w:p>
    <w:p w14:paraId="45745294">
      <w:pPr>
        <w:widowControl/>
        <w:spacing w:line="24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1.11.“性能验收”是</w:t>
      </w:r>
      <w:r>
        <w:rPr>
          <w:rFonts w:hint="eastAsia" w:asciiTheme="minorEastAsia" w:hAnsiTheme="minorEastAsia" w:eastAsiaTheme="minorEastAsia" w:cstheme="minorEastAsia"/>
          <w:kern w:val="0"/>
          <w:sz w:val="24"/>
          <w:szCs w:val="24"/>
          <w:highlight w:val="none"/>
          <w:u w:val="single"/>
        </w:rPr>
        <w:t>  由甲方规定    </w:t>
      </w:r>
      <w:r>
        <w:rPr>
          <w:rFonts w:hint="eastAsia" w:asciiTheme="minorEastAsia" w:hAnsiTheme="minorEastAsia" w:eastAsiaTheme="minorEastAsia" w:cstheme="minorEastAsia"/>
          <w:kern w:val="0"/>
          <w:sz w:val="24"/>
          <w:szCs w:val="24"/>
          <w:highlight w:val="none"/>
        </w:rPr>
        <w:t>。</w:t>
      </w:r>
    </w:p>
    <w:p w14:paraId="1231380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1.12.“最终验收”是指甲方对合同设备保证期满后的验收。</w:t>
      </w:r>
    </w:p>
    <w:p w14:paraId="4EE19FC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1.13.“日、月、年”是指公历的日、月、年；“天”是指24小时；“周”是指7天。</w:t>
      </w:r>
    </w:p>
    <w:p w14:paraId="7E02DAB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1.14.“技术服务”是指由乙方提供的与本合同设备有关的工程设计、设备监造、检验、土建、安装、调试、验收、性能验收试验、运行、检修时相应的技术指导、技术配合、技术培训等全过程的服务。</w:t>
      </w:r>
    </w:p>
    <w:p w14:paraId="0E00FC6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1.15.“现场”是指</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，为甲方安装合同设备所在地。</w:t>
      </w:r>
    </w:p>
    <w:p w14:paraId="4ACDEEA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1.16.“备品备件”是指根据本合同提供的备用部件，包括随机（商业运行前）备品备件和3年商业运行及第一次大修用备品备件。</w:t>
      </w:r>
    </w:p>
    <w:p w14:paraId="53E920A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1.17.“随机备品备件”是指在安装、调试、试运阶段所需的备品备件。</w:t>
      </w:r>
    </w:p>
    <w:p w14:paraId="2215A51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1.18.“分包商”或“分供货商”是指由乙方将合同供货范围内任何部分的供货分包给的其他法人及该法人的继任方和该法人允许的受让方。</w:t>
      </w:r>
    </w:p>
    <w:p w14:paraId="1FCA898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1.19.“监造代表”由甲方或乙方委托的监造单位派出的对合同设备进行监造的人员。</w:t>
      </w:r>
    </w:p>
    <w:p w14:paraId="01DC05C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1.20.“设备缺陷”是指乙方因设计、制造错误或疏忽所引起的本合同设备（包括部件、原材料、铸锻件、</w:t>
      </w:r>
      <w:r>
        <w:rPr>
          <w:rFonts w:hint="eastAsia" w:asciiTheme="minorEastAsia" w:hAnsiTheme="minorEastAsia" w:eastAsiaTheme="minorEastAsia" w:cstheme="minorEastAsia"/>
          <w:color w:val="000000"/>
          <w:kern w:val="0"/>
          <w:sz w:val="24"/>
          <w:szCs w:val="24"/>
          <w:highlight w:val="none"/>
          <w:lang w:eastAsia="zh-CN"/>
        </w:rPr>
        <w:t>元器件</w:t>
      </w:r>
      <w:r>
        <w:rPr>
          <w:rFonts w:hint="eastAsia" w:asciiTheme="minorEastAsia" w:hAnsiTheme="minorEastAsia" w:eastAsiaTheme="minorEastAsia" w:cstheme="minorEastAsia"/>
          <w:color w:val="000000"/>
          <w:kern w:val="0"/>
          <w:sz w:val="24"/>
          <w:szCs w:val="24"/>
          <w:highlight w:val="none"/>
        </w:rPr>
        <w:t>等）达不到本合同规定的性能、质量标准要求的情形。</w:t>
      </w:r>
    </w:p>
    <w:p w14:paraId="33A4043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1.21.“运杂费”是指合同设备从乙方始发到交货地点所发生的公路、水路、铁路、航空运费、保险费及运输过程中发生的各种费用。</w:t>
      </w:r>
    </w:p>
    <w:p w14:paraId="5A3FF886">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1.22.“质保期”为设备正常运行后双方约定的期限或有关标准、规定注明的期限或者为设备交货</w:t>
      </w:r>
      <w:r>
        <w:rPr>
          <w:rFonts w:hint="eastAsia" w:asciiTheme="minorEastAsia" w:hAnsiTheme="minorEastAsia" w:eastAsiaTheme="minorEastAsia" w:cstheme="minorEastAsia"/>
          <w:b/>
          <w:bCs/>
          <w:color w:val="000000"/>
          <w:kern w:val="0"/>
          <w:sz w:val="24"/>
          <w:szCs w:val="24"/>
          <w:highlight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rPr>
        <w:t>个月以后，两者以先到期的为准。</w:t>
      </w:r>
    </w:p>
    <w:p w14:paraId="7AF8F4E0">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2.合同标的</w:t>
      </w:r>
    </w:p>
    <w:p w14:paraId="1DAE567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2.1.标的、数量、价款及交（提）货时间</w:t>
      </w:r>
    </w:p>
    <w:p w14:paraId="23CAF66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详见附件1</w:t>
      </w:r>
    </w:p>
    <w:p w14:paraId="17D4BDD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2.2.合同供货范围</w:t>
      </w:r>
      <w:r>
        <w:rPr>
          <w:rFonts w:hint="eastAsia" w:asciiTheme="minorEastAsia" w:hAnsiTheme="minorEastAsia" w:eastAsiaTheme="minorEastAsia" w:cstheme="minorEastAsia"/>
          <w:color w:val="000000"/>
          <w:kern w:val="0"/>
          <w:sz w:val="24"/>
          <w:szCs w:val="24"/>
          <w:highlight w:val="none"/>
          <w:lang w:eastAsia="zh-CN"/>
        </w:rPr>
        <w:t>包括</w:t>
      </w:r>
      <w:r>
        <w:rPr>
          <w:rFonts w:hint="eastAsia" w:asciiTheme="minorEastAsia" w:hAnsiTheme="minorEastAsia" w:eastAsiaTheme="minorEastAsia" w:cstheme="minorEastAsia"/>
          <w:color w:val="000000"/>
          <w:kern w:val="0"/>
          <w:sz w:val="24"/>
          <w:szCs w:val="24"/>
          <w:highlight w:val="none"/>
        </w:rPr>
        <w:t>所有设备、技术资料、专用工具、备品备件。在本合同履行过程中如发现有任何漏项和短缺，乙方应自费在甲方要求的时间内补齐，因此造成甲方的损失，由乙方负责赔偿。</w:t>
      </w:r>
    </w:p>
    <w:p w14:paraId="53EED48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2.3.凡乙方供应的设备应是全新的、技术先进的并且是安全的、经济的、成熟可靠的。</w:t>
      </w:r>
    </w:p>
    <w:p w14:paraId="0FD0CD16">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2.4.乙方负责提供技术服务并提供设备的运输和保险。</w:t>
      </w:r>
    </w:p>
    <w:p w14:paraId="65E5EA8D">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3.合同价款</w:t>
      </w:r>
    </w:p>
    <w:p w14:paraId="20A52CB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3.1.本合同使用货币种类为人民币。</w:t>
      </w:r>
    </w:p>
    <w:p w14:paraId="408ED27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3.2.本合同价格包括合同设备（含备品备件、专用工具）、技术资料、技术服务等费用，还包括合同设备的税费、运杂费、保险费等与本合同有关的所有费用。</w:t>
      </w:r>
    </w:p>
    <w:p w14:paraId="1152B2D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3.2.1.合同设备价格为人民币</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元。</w:t>
      </w:r>
    </w:p>
    <w:p w14:paraId="7611FF9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本合同设备价格包括与设备有关的技术资料费、乙方所应交纳的税费、从制造厂到始发站（车上）的运输、装卸、保险费及所有设备包装费。</w:t>
      </w:r>
    </w:p>
    <w:p w14:paraId="405925D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3.2.2.合同设备的技术服务费为人民币</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元。</w:t>
      </w:r>
    </w:p>
    <w:p w14:paraId="545194A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3.2.3.合同设备从始发站到现场交货点的运杂费为人民币</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元。</w:t>
      </w:r>
    </w:p>
    <w:p w14:paraId="3389CEA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3.3.合同的分项价格见附件</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276DB6A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3.4.本合同价款在合同履行期限内为不变价。</w:t>
      </w:r>
    </w:p>
    <w:p w14:paraId="1945DC6D">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4.付款</w:t>
      </w:r>
    </w:p>
    <w:p w14:paraId="1E9BE0F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4.1.付款方式：</w:t>
      </w:r>
      <w:r>
        <w:rPr>
          <w:rFonts w:hint="eastAsia" w:asciiTheme="minorEastAsia" w:hAnsiTheme="minorEastAsia" w:eastAsiaTheme="minorEastAsia" w:cstheme="minorEastAsia"/>
          <w:color w:val="000000"/>
          <w:kern w:val="0"/>
          <w:sz w:val="24"/>
          <w:szCs w:val="24"/>
          <w:highlight w:val="none"/>
          <w:u w:val="single"/>
        </w:rPr>
        <w:t>合同签订后，供货方先向采购方开具符合采购方财务需要的等额增值税普通发票。甲方收到上述发票后 7 日内，向供货方支付 50%合同额。系统和各类设施设备到货、调试完毕并验收合格，经采购方确认能够正常使用且内容、质量无误之后，支付剩余合同金额50%。</w:t>
      </w:r>
    </w:p>
    <w:p w14:paraId="0B7A26D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4.2.合同款项的支付</w:t>
      </w:r>
    </w:p>
    <w:p w14:paraId="58D0AC2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4.2.1.本合同签署生效</w:t>
      </w:r>
      <w:r>
        <w:rPr>
          <w:rFonts w:hint="eastAsia" w:asciiTheme="minorEastAsia" w:hAnsiTheme="minorEastAsia" w:eastAsiaTheme="minorEastAsia" w:cstheme="minorEastAsia"/>
          <w:color w:val="000000"/>
          <w:kern w:val="0"/>
          <w:sz w:val="24"/>
          <w:szCs w:val="24"/>
          <w:highlight w:val="none"/>
          <w:lang w:eastAsia="zh-CN"/>
        </w:rPr>
        <w:t>后一</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个工作日内，乙方向甲方提交了合同价格提供金额为合同价款</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%的正式财务收据后，甲方将向乙方支付合同价格</w:t>
      </w:r>
      <w:r>
        <w:rPr>
          <w:rFonts w:hint="eastAsia" w:asciiTheme="minorEastAsia" w:hAnsiTheme="minorEastAsia" w:eastAsiaTheme="minorEastAsia" w:cstheme="minorEastAsia"/>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color w:val="000000"/>
          <w:kern w:val="0"/>
          <w:sz w:val="24"/>
          <w:szCs w:val="24"/>
          <w:highlight w:val="none"/>
        </w:rPr>
        <w:t>%的款项即人民币（大写）</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元），作为预付款。</w:t>
      </w:r>
    </w:p>
    <w:p w14:paraId="217D993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4.2.2.乙方按交货进度在规定的时间内将合同设备全部运到交货地点，并向甲方提供合同设备的商业发票（金额为合同价格的100％）、清单、质量检验合格证明、货物检验</w:t>
      </w:r>
      <w:r>
        <w:rPr>
          <w:rFonts w:hint="eastAsia" w:asciiTheme="minorEastAsia" w:hAnsiTheme="minorEastAsia" w:eastAsiaTheme="minorEastAsia" w:cstheme="minorEastAsia"/>
          <w:color w:val="000000"/>
          <w:kern w:val="0"/>
          <w:sz w:val="24"/>
          <w:szCs w:val="24"/>
          <w:highlight w:val="none"/>
          <w:lang w:eastAsia="zh-CN"/>
        </w:rPr>
        <w:t>接收</w:t>
      </w:r>
      <w:r>
        <w:rPr>
          <w:rFonts w:hint="eastAsia" w:asciiTheme="minorEastAsia" w:hAnsiTheme="minorEastAsia" w:eastAsiaTheme="minorEastAsia" w:cstheme="minorEastAsia"/>
          <w:color w:val="000000"/>
          <w:kern w:val="0"/>
          <w:sz w:val="24"/>
          <w:szCs w:val="24"/>
          <w:highlight w:val="none"/>
        </w:rPr>
        <w:t>单以及合同附件</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中规定的技术资料，甲方验明无误后</w:t>
      </w:r>
      <w:r>
        <w:rPr>
          <w:rFonts w:hint="eastAsia" w:asciiTheme="minorEastAsia" w:hAnsiTheme="minorEastAsia" w:eastAsiaTheme="minorEastAsia" w:cstheme="minorEastAsia"/>
          <w:color w:val="000000"/>
          <w:kern w:val="0"/>
          <w:sz w:val="24"/>
          <w:szCs w:val="24"/>
          <w:highlight w:val="none"/>
          <w:u w:val="single"/>
        </w:rPr>
        <w:t>7</w:t>
      </w:r>
      <w:r>
        <w:rPr>
          <w:rFonts w:hint="eastAsia" w:asciiTheme="minorEastAsia" w:hAnsiTheme="minorEastAsia" w:eastAsiaTheme="minorEastAsia" w:cstheme="minorEastAsia"/>
          <w:color w:val="000000"/>
          <w:kern w:val="0"/>
          <w:sz w:val="24"/>
          <w:szCs w:val="24"/>
          <w:highlight w:val="none"/>
        </w:rPr>
        <w:t>个工作日内，向乙方支付至合同价格的</w:t>
      </w:r>
      <w:r>
        <w:rPr>
          <w:rFonts w:hint="eastAsia" w:asciiTheme="minorEastAsia" w:hAnsiTheme="minorEastAsia" w:eastAsiaTheme="minorEastAsia" w:cstheme="minorEastAsia"/>
          <w:color w:val="000000"/>
          <w:kern w:val="0"/>
          <w:sz w:val="24"/>
          <w:szCs w:val="24"/>
          <w:highlight w:val="none"/>
          <w:u w:val="single"/>
        </w:rPr>
        <w:t>85</w:t>
      </w:r>
      <w:r>
        <w:rPr>
          <w:rFonts w:hint="eastAsia" w:asciiTheme="minorEastAsia" w:hAnsiTheme="minorEastAsia" w:eastAsiaTheme="minorEastAsia" w:cstheme="minorEastAsia"/>
          <w:color w:val="000000"/>
          <w:kern w:val="0"/>
          <w:sz w:val="24"/>
          <w:szCs w:val="24"/>
          <w:highlight w:val="none"/>
        </w:rPr>
        <w:t>%。</w:t>
      </w:r>
    </w:p>
    <w:p w14:paraId="6D56B16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4.2.3.乙方按照合同规定，将全部合同设备安装、调试完成，设备正常运行</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经甲方验收合格后</w:t>
      </w:r>
      <w:r>
        <w:rPr>
          <w:rFonts w:hint="eastAsia" w:asciiTheme="minorEastAsia" w:hAnsiTheme="minorEastAsia" w:eastAsiaTheme="minorEastAsia" w:cstheme="minorEastAsia"/>
          <w:color w:val="000000"/>
          <w:kern w:val="0"/>
          <w:sz w:val="24"/>
          <w:szCs w:val="24"/>
          <w:highlight w:val="none"/>
          <w:u w:val="single"/>
        </w:rPr>
        <w:t>7个工作日</w:t>
      </w:r>
      <w:r>
        <w:rPr>
          <w:rFonts w:hint="eastAsia" w:asciiTheme="minorEastAsia" w:hAnsiTheme="minorEastAsia" w:eastAsiaTheme="minorEastAsia" w:cstheme="minorEastAsia"/>
          <w:color w:val="000000"/>
          <w:kern w:val="0"/>
          <w:sz w:val="24"/>
          <w:szCs w:val="24"/>
          <w:highlight w:val="none"/>
        </w:rPr>
        <w:t>内向乙方支付至合同价格的</w:t>
      </w:r>
      <w:r>
        <w:rPr>
          <w:rFonts w:hint="eastAsia" w:asciiTheme="minorEastAsia" w:hAnsiTheme="minorEastAsia" w:eastAsiaTheme="minorEastAsia" w:cstheme="minorEastAsia"/>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color w:val="000000"/>
          <w:kern w:val="0"/>
          <w:sz w:val="24"/>
          <w:szCs w:val="24"/>
          <w:highlight w:val="none"/>
        </w:rPr>
        <w:t>%。</w:t>
      </w:r>
    </w:p>
    <w:p w14:paraId="2A98CB1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4.2.4.合同总价的</w:t>
      </w:r>
      <w:r>
        <w:rPr>
          <w:rFonts w:hint="eastAsia" w:asciiTheme="minorEastAsia" w:hAnsiTheme="minorEastAsia" w:eastAsiaTheme="minorEastAsia" w:cstheme="minorEastAsia"/>
          <w:color w:val="000000"/>
          <w:kern w:val="0"/>
          <w:sz w:val="24"/>
          <w:szCs w:val="24"/>
          <w:highlight w:val="none"/>
          <w:u w:val="single"/>
        </w:rPr>
        <w:t>3</w:t>
      </w:r>
      <w:r>
        <w:rPr>
          <w:rFonts w:hint="eastAsia" w:asciiTheme="minorEastAsia" w:hAnsiTheme="minorEastAsia" w:eastAsiaTheme="minorEastAsia" w:cstheme="minorEastAsia"/>
          <w:color w:val="000000"/>
          <w:kern w:val="0"/>
          <w:sz w:val="24"/>
          <w:szCs w:val="24"/>
          <w:highlight w:val="none"/>
        </w:rPr>
        <w:t>%作为设备质量保证金，合同设备保证期满，无质量问题，乙方提交相应的财务收据、设备最终验收证书的原件等，经甲方审核无误后，甲方在</w:t>
      </w:r>
      <w:r>
        <w:rPr>
          <w:rFonts w:hint="eastAsia" w:asciiTheme="minorEastAsia" w:hAnsiTheme="minorEastAsia" w:eastAsiaTheme="minorEastAsia" w:cstheme="minorEastAsia"/>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color w:val="000000"/>
          <w:kern w:val="0"/>
          <w:sz w:val="24"/>
          <w:szCs w:val="24"/>
          <w:highlight w:val="none"/>
          <w:u w:val="single"/>
        </w:rPr>
        <w:t>个工作日</w:t>
      </w:r>
      <w:r>
        <w:rPr>
          <w:rFonts w:hint="eastAsia" w:asciiTheme="minorEastAsia" w:hAnsiTheme="minorEastAsia" w:eastAsiaTheme="minorEastAsia" w:cstheme="minorEastAsia"/>
          <w:color w:val="000000"/>
          <w:kern w:val="0"/>
          <w:sz w:val="24"/>
          <w:szCs w:val="24"/>
          <w:highlight w:val="none"/>
        </w:rPr>
        <w:t>内向乙方支付合同总价的</w:t>
      </w:r>
      <w:r>
        <w:rPr>
          <w:rFonts w:hint="eastAsia" w:asciiTheme="minorEastAsia" w:hAnsiTheme="minorEastAsia" w:eastAsiaTheme="minorEastAsia" w:cstheme="minorEastAsia"/>
          <w:color w:val="000000"/>
          <w:kern w:val="0"/>
          <w:sz w:val="24"/>
          <w:szCs w:val="24"/>
          <w:highlight w:val="none"/>
          <w:u w:val="single"/>
        </w:rPr>
        <w:t>3</w:t>
      </w:r>
      <w:r>
        <w:rPr>
          <w:rFonts w:hint="eastAsia" w:asciiTheme="minorEastAsia" w:hAnsiTheme="minorEastAsia" w:eastAsiaTheme="minorEastAsia" w:cstheme="minorEastAsia"/>
          <w:color w:val="000000"/>
          <w:kern w:val="0"/>
          <w:sz w:val="24"/>
          <w:szCs w:val="24"/>
          <w:highlight w:val="none"/>
        </w:rPr>
        <w:t>%。</w:t>
      </w:r>
    </w:p>
    <w:p w14:paraId="0A9A81D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4.3.主要分包和外购设备的付款。</w:t>
      </w:r>
    </w:p>
    <w:p w14:paraId="35A04B1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4.3.1.由于甲方与合同分包商和外购设备供货商没有直接的合同关系，本合同设备的分包和外购设备的付款由乙方负责。如非因甲方原因，发生导致分包和外购设备有可能不被按时交货，甲方有权暂时终止向乙方付款，直至交货后继续履行付款义务。因此影响整个设备安装进度的，由乙方承担甲方受到的损失。</w:t>
      </w:r>
    </w:p>
    <w:p w14:paraId="0014C0D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4.3.2.如因乙方资金问题，未向分包商或外购设备供货商付款，导致超过</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天仍不能交货，甲方出于保障工程进度的目的，有权直接向分包商或外购设备供货商付款，此付款及相应利息（甲方存款利息）将从下一笔甲方向乙方的付款中扣除。甲方此付款行为不免除乙方对设备所承担的义务。甲方此行为不属于违约行为。</w:t>
      </w:r>
    </w:p>
    <w:p w14:paraId="0C918DE3">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5.交付和运输</w:t>
      </w:r>
    </w:p>
    <w:p w14:paraId="161BC94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5.1.交货时间</w:t>
      </w:r>
    </w:p>
    <w:p w14:paraId="164EA1A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5.1.1.本合同设备的交货期及交货顺序应满足工程建设设备安装进度和顺序的要求。具体交货时间见附件</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09327D6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5.1.2.甲方保留随时调整交货日期的权利，如甲方要求推迟交货，则乙方应无条件答应并保管好合同设备，若推迟</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日以上交货，甲方承担相应仓储费。如甲方要求提前交货，要根据乙方的合理生产周期。</w:t>
      </w:r>
    </w:p>
    <w:p w14:paraId="1331E93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5.1.3.设备的交货以到现场后甲方签认的交接单为准。</w:t>
      </w:r>
    </w:p>
    <w:p w14:paraId="7DA51D1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5.2.交货地点</w:t>
      </w:r>
    </w:p>
    <w:p w14:paraId="534C14C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甲方指定地点：</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。合同设备所有权自合同设备交付时起由乙方转移给甲方。合同设备毁损、灭失的风险，在合同设备交付之前由乙方承担，交付之后由甲方承担。</w:t>
      </w:r>
    </w:p>
    <w:p w14:paraId="6B40FFB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5.3.乙方须向承运部门办理申请发运设备所需要的运输工具计划，负责合同设备从乙方到现场交货地点的运输。</w:t>
      </w:r>
    </w:p>
    <w:p w14:paraId="37DF9FE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5.4.合同生效</w:t>
      </w:r>
      <w:r>
        <w:rPr>
          <w:rFonts w:hint="eastAsia" w:asciiTheme="minorEastAsia" w:hAnsiTheme="minorEastAsia" w:eastAsiaTheme="minorEastAsia" w:cstheme="minorEastAsia"/>
          <w:color w:val="000000"/>
          <w:kern w:val="0"/>
          <w:sz w:val="24"/>
          <w:szCs w:val="24"/>
          <w:highlight w:val="none"/>
          <w:lang w:eastAsia="zh-CN"/>
        </w:rPr>
        <w:t>后一</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日内乙方应按照本合同附件</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的规定向甲方提供本合同项下的货物总清单和装箱总清单及每批货物名称、总重量、总体积和交货日期的初步交货计划。在每批货物预计启运前</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日，乙方应以书面文件将运输方式及5.5款中的各项内容通知甲方。</w:t>
      </w:r>
    </w:p>
    <w:p w14:paraId="4EB5FB4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5.5.在每批货物备妥及装运车辆／船发出</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小时内，乙方应书面将该批货物的如下内容通知甲方。通知内容包括：</w:t>
      </w:r>
    </w:p>
    <w:p w14:paraId="203392E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（1）合同号；</w:t>
      </w:r>
    </w:p>
    <w:p w14:paraId="507E8EB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（2）机组号；</w:t>
      </w:r>
    </w:p>
    <w:p w14:paraId="5B6AB20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（3）货物备妥发运日；</w:t>
      </w:r>
    </w:p>
    <w:p w14:paraId="61EDD09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（4）货物名称及编号和价格；</w:t>
      </w:r>
    </w:p>
    <w:p w14:paraId="6C60455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（5）货物总毛重；</w:t>
      </w:r>
    </w:p>
    <w:p w14:paraId="0650752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（6）货物总体积；</w:t>
      </w:r>
    </w:p>
    <w:p w14:paraId="25BCD12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（7）总包装件数；</w:t>
      </w:r>
    </w:p>
    <w:p w14:paraId="1C9F8B9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（8）交运车站／码头名称、车号／船号和运单号。</w:t>
      </w:r>
    </w:p>
    <w:p w14:paraId="31EA340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5.5.1.重量超过二十吨或尺寸超过9米×3米×3米的每件货物的名称、重量、体积和件数。对每件该类设备（部件）必须标明重心和吊点位置，并附有草图。</w:t>
      </w:r>
    </w:p>
    <w:p w14:paraId="29C2326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5.5.2.对于特殊物品（易燃、易爆、有毒物品及其他危险品和运输过程中对温度等环境因素和震动有特殊要求的设备或物品）必须特别标明其品名、性质、特殊保护措施、保存方法以及处理意外情况的方法。</w:t>
      </w:r>
    </w:p>
    <w:p w14:paraId="0267EF3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5.6.在质保期内和在质保期满后至第一次大修时止由于乙方的过失或疏忽造成的供应设备（或部件）的损坏或潜在缺陷，而动用了甲方库存中的备品备件以调换损坏的设备或部件，则乙方应负责免费将动用的备品备件</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日内补齐，交付该等备品备件前应通知甲方。</w:t>
      </w:r>
    </w:p>
    <w:p w14:paraId="3BD3C9F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5.7.乙方应按附件</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的规定的交付进度和交付数量向甲方提供设备设计、监造、施工、调试、试验、检验、培训、运行和维修所需的技术资料。所有乙方提供的技术资料均应符合双方共同确定的</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标准。</w:t>
      </w:r>
    </w:p>
    <w:p w14:paraId="52FE71E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5.8.技术资料一般以邮寄方式递交，每批技术资料交邮后，乙方应在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小时内将技术资料的交邮日期、邮单号、技术资料的详细清单、件数及重量、合同号等以传真或电报通知甲方。</w:t>
      </w:r>
    </w:p>
    <w:p w14:paraId="36DCD40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5.9.技术资料以邮政部门提货通知单时间戳记为技术资料的实际交付日期。如果技术资料经甲方或甲方代表检查后发现有缺少、丢失或损坏，且非因甲方原因，乙方应在收到甲方通知后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日内（对急用者应在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日内）免费向现场补充提供缺少、丢失或损坏的技术资料。如因甲方原因发生缺少、丢失或损坏，乙方应在接到甲方通知后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天内（对急用者应在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天内），向现场补充提供缺少、丢失或损坏部分，费用由甲方承担。</w:t>
      </w:r>
    </w:p>
    <w:p w14:paraId="42FCA74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5.10.技术资料邮寄地址。</w:t>
      </w:r>
    </w:p>
    <w:p w14:paraId="2A76822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邮编：</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4621571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联系人：</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1DC239E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电话：</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573F99F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传真： </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5B3C795C">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6.包装与标记</w:t>
      </w:r>
    </w:p>
    <w:p w14:paraId="17286B6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6.1.乙方交付的所有货物要符合</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的规定且适合长途运输、多次搬运和装卸的坚固包装。包装应保证在运输、装卸过程中完好无损，并有减振、防冲击的措施。包装应按设备特点，按需要分别加上防潮、防霉、防锈、防腐蚀的保护措施，以保证货物在没有任何损坏和腐蚀的情况下安全运抵合同设备安装现场。若包装无法防止运输、装卸过程中垂直、水平加速度引起的设备损坏，乙方要在设备的设计结构上予以解决。产品包装前，乙方负责按部套进行检查清理，不留异物，并保证零部件齐全。</w:t>
      </w:r>
    </w:p>
    <w:p w14:paraId="5C16A54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6.2.乙方对各散装部件在装配图中的部件号、零件号应标记清楚。</w:t>
      </w:r>
    </w:p>
    <w:p w14:paraId="4F5E28B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6.3.乙方应在每件包装箱的两个侧面上，用不褪色的油漆以明显易见的中文字样印刷以下标记。</w:t>
      </w:r>
    </w:p>
    <w:p w14:paraId="16A8B3C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（1）合同号；</w:t>
      </w:r>
    </w:p>
    <w:p w14:paraId="0ED8E79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（2）目的站／码头；</w:t>
      </w:r>
    </w:p>
    <w:p w14:paraId="25B1FD8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（3）供货、收货单位名称；</w:t>
      </w:r>
    </w:p>
    <w:p w14:paraId="1025F9C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（4）设备名称、机组号、图号；</w:t>
      </w:r>
    </w:p>
    <w:p w14:paraId="28E05E0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（5）箱号／件号；</w:t>
      </w:r>
    </w:p>
    <w:p w14:paraId="3DEC470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（6）毛重／净重（公斤）；</w:t>
      </w:r>
    </w:p>
    <w:p w14:paraId="7D4BF7A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（7）体积（长×宽×高，以毫米表示）。</w:t>
      </w:r>
    </w:p>
    <w:p w14:paraId="6DF9F35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凡重量为</w:t>
      </w:r>
      <w:r>
        <w:rPr>
          <w:rFonts w:hint="eastAsia" w:asciiTheme="minorEastAsia" w:hAnsiTheme="minorEastAsia" w:eastAsiaTheme="minorEastAsia" w:cstheme="minorEastAsia"/>
          <w:color w:val="000000"/>
          <w:kern w:val="0"/>
          <w:sz w:val="24"/>
          <w:szCs w:val="24"/>
          <w:highlight w:val="none"/>
          <w:lang w:eastAsia="zh-CN"/>
        </w:rPr>
        <w:t>两吨</w:t>
      </w:r>
      <w:r>
        <w:rPr>
          <w:rFonts w:hint="eastAsia" w:asciiTheme="minorEastAsia" w:hAnsiTheme="minorEastAsia" w:eastAsiaTheme="minorEastAsia" w:cstheme="minorEastAsia"/>
          <w:color w:val="000000"/>
          <w:kern w:val="0"/>
          <w:sz w:val="24"/>
          <w:szCs w:val="24"/>
          <w:highlight w:val="none"/>
        </w:rPr>
        <w:t>或超过</w:t>
      </w:r>
      <w:r>
        <w:rPr>
          <w:rFonts w:hint="eastAsia" w:asciiTheme="minorEastAsia" w:hAnsiTheme="minorEastAsia" w:eastAsiaTheme="minorEastAsia" w:cstheme="minorEastAsia"/>
          <w:color w:val="000000"/>
          <w:kern w:val="0"/>
          <w:sz w:val="24"/>
          <w:szCs w:val="24"/>
          <w:highlight w:val="none"/>
          <w:lang w:eastAsia="zh-CN"/>
        </w:rPr>
        <w:t>两吨</w:t>
      </w:r>
      <w:r>
        <w:rPr>
          <w:rFonts w:hint="eastAsia" w:asciiTheme="minorEastAsia" w:hAnsiTheme="minorEastAsia" w:eastAsiaTheme="minorEastAsia" w:cstheme="minorEastAsia"/>
          <w:color w:val="000000"/>
          <w:kern w:val="0"/>
          <w:sz w:val="24"/>
          <w:szCs w:val="24"/>
          <w:highlight w:val="none"/>
        </w:rPr>
        <w:t>的货物，应在包装箱的侧面以运输常用的标记和图案标明重心位置及起吊点，以便于装卸搬运。按照货物的特点，装卸和运输上的不同要求，包装箱上应明显地印刷有“轻放”“勿倒置”和“防雨”等字样。</w:t>
      </w:r>
    </w:p>
    <w:p w14:paraId="22C6438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6.4.对裸装货物应以金属标签或直接在设备本身上注明上述有关内容。大件货物应带有足够的货物支架或包装垫木。</w:t>
      </w:r>
    </w:p>
    <w:p w14:paraId="50CFF4B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6.5.备品备件应分别包装并按6.2款注明上述内容，专用工具也应分别包装。</w:t>
      </w:r>
    </w:p>
    <w:p w14:paraId="65D5D90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6.6.各种设备的松散零星部件应采用好的包装方式，装入尺寸适当的箱内，并尽可能整车发运以减少运输费用。</w:t>
      </w:r>
    </w:p>
    <w:p w14:paraId="4E42C8C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6.7.所有管道、管件、阀门及其他设备的端口必须用保护盖或其他方式妥善防护。</w:t>
      </w:r>
    </w:p>
    <w:p w14:paraId="00E6C8E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6.8.每件包装箱内，应附有包括分件名称、数量、价格、机组号、图号的详细装箱单、合格证。外购件包装箱内应有产品出厂质量合格证明书、技术说明各一份。另邮寄装箱清单各二份。</w:t>
      </w:r>
    </w:p>
    <w:p w14:paraId="36D176F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6.9.乙方和／或其分包商不得用同一箱号标明任何两个箱件。</w:t>
      </w:r>
    </w:p>
    <w:p w14:paraId="79FC37D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6.10.乙方交付的技术资料应使用适合于长途运输、多次搬运、防雨和防潮的包装。每一包资料内应附有技术资料的详细清单一式二份，标明技术资料的序号、文件项号、名称和页数。每包技术资料的封面上应注明下述内容。</w:t>
      </w:r>
    </w:p>
    <w:p w14:paraId="6257EE7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（1）合同号；</w:t>
      </w:r>
    </w:p>
    <w:p w14:paraId="29D3BA9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（2）供货、收货单位名称；</w:t>
      </w:r>
    </w:p>
    <w:p w14:paraId="409F9A9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（3）目的站／码头；</w:t>
      </w:r>
    </w:p>
    <w:p w14:paraId="5F3270B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（4）毛重；</w:t>
      </w:r>
    </w:p>
    <w:p w14:paraId="1CAA56C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（5）箱号／件号。</w:t>
      </w:r>
    </w:p>
    <w:p w14:paraId="711ABE4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6.11.甲方可派遣代表到乙方工厂及装货车站检查包装质量和监督装车情况。</w:t>
      </w:r>
    </w:p>
    <w:p w14:paraId="5F8176C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6.12.甲方应对多次使用的专用铁路包装箱、包装架等，在该部件到货清点之后2个月内返乙方（费用由乙方承担）。</w:t>
      </w:r>
    </w:p>
    <w:p w14:paraId="0383099D">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7.技术服务</w:t>
      </w:r>
    </w:p>
    <w:p w14:paraId="281449D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7.1.乙方应及时提供与本合同设备有关的设计、检验、安装、调试、验收、性能验收试验、运行、检修等相应的技术指导、技术配合、技术培训等全过程的服务。</w:t>
      </w:r>
    </w:p>
    <w:p w14:paraId="45A1EA0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7.2.乙方须派代表到现场进行技术服务，指导甲方按乙方的技术资料进行安装、调试和启动，并负责解决合同设备在安装调试、试运行中发现的制造质量及性能等有关问题。</w:t>
      </w:r>
    </w:p>
    <w:p w14:paraId="1E7028B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7.3.乙方应在合同生效后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日内以邮寄方式向甲方提交执行7.1和7.2款中规定的服务工作的组织计划一式两份，作为本合同技术服务附件的内容。</w:t>
      </w:r>
    </w:p>
    <w:p w14:paraId="4B39B1F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7.4.乙方有义务在必要时邀请甲方参与乙方的技术设计，并向甲方解释技术设计。</w:t>
      </w:r>
    </w:p>
    <w:p w14:paraId="2C91A38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7.5.技术联络会的费用、次数、人数和地点，详见合同技术服务附件。如遇有重大问题需要乙方与甲方立即研究协商时，任何一方均可建议召开会议，在一般情况下，另一方应同意参加，费用各自承担。</w:t>
      </w:r>
    </w:p>
    <w:p w14:paraId="1750ABA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7.6.各次会议双方均应签订会议纪要，所签纪要双方均应执行。如涉及合同条款的修改，须经双方有权代表签署，以修改后的条款为准。</w:t>
      </w:r>
    </w:p>
    <w:p w14:paraId="5C7696C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7.7.乙方提出并经双方在会议上确认的安装、调试和运行技术服务方案，乙方如有修改，须以书面形式通知甲方，经甲方确认后方可进行。为适应现场条件的要求，甲方有权提出变更或修改意见，并书面通知乙方，乙方应给予充分考虑，应尽量满足甲方要求。</w:t>
      </w:r>
    </w:p>
    <w:p w14:paraId="2EEE84A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7.8.乙方（包括分包与外购）须对一切与本合同有关的供货、设备及技术接口、技术服务等问题负全部责任。</w:t>
      </w:r>
    </w:p>
    <w:p w14:paraId="2C8971F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7.9.凡与本合同设备相连接的其他设备装置，乙方有提供接口和技术配合的义务，并不由此而发生合同价款以外的任何费用。</w:t>
      </w:r>
    </w:p>
    <w:p w14:paraId="646A598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7.10.乙方派到现场服务的技术人员应是有实践经验、可胜任此项工作的人员。乙方派到现场服务的技术人员在本合同生效后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提交甲方予以确认。甲方有权提出更换不符合要求的乙方现场服务人员，乙方应根据现场需要，重新选派甲方认可的服务人员，如果甲方在书面提出该项要求10天内乙方没有答复，将视为延误工期处理。乙方的分包商需要前往现场提供技术服务的，应由乙方统一组织并征得甲方同意，费用应由乙方自行负担。</w:t>
      </w:r>
    </w:p>
    <w:p w14:paraId="517D0F8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7.11.由于乙方技术服务人员对安装、调试、试运的技术指导的疏忽和错误以及乙方未按要求派人指导而造成的损失应由乙方负责。</w:t>
      </w:r>
    </w:p>
    <w:p w14:paraId="6063376D">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8.监造与检验</w:t>
      </w:r>
    </w:p>
    <w:p w14:paraId="7CF9822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8.1.监造</w:t>
      </w:r>
    </w:p>
    <w:p w14:paraId="4CB0770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8.1.1.乙方应在本合同生效日期起</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日内，向甲方提供本合同设备的设计、制造和检验标准的目录。设计、制造和检验标准应符合附件1和附件5的规定。</w:t>
      </w:r>
    </w:p>
    <w:p w14:paraId="3F1963A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8.1.2.甲方将委托有监造资质的监造单位进行设备监造。在监造工作实施前，为便于监造工作的实施，甲方、乙方和监造方签订三方监造工作协议。监造工作的内容按监造协议确定，但不限于此。乙方有配合监造的义务，在监造中及时提供相应资料和标准，并不由此而发生任何费用。</w:t>
      </w:r>
    </w:p>
    <w:p w14:paraId="35D2D4D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8.1.3.监造的范围及具体监造检验／见证项目见监造协议。</w:t>
      </w:r>
    </w:p>
    <w:p w14:paraId="3764992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8.1.4.乙方必须为甲方委托的驻厂代表和监造代表的监造检验提供如下便利条件：提前7天提供设备的监造内容和检验时间；提供与本合同设备监造有关的标准（包括工厂标准）、图纸、资料、工艺及实际工艺过程和检验记录（包括中间检验记录和／或不一致性报告）；向监造代表提供工作、生活方便。</w:t>
      </w:r>
    </w:p>
    <w:p w14:paraId="24FC6FE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8.1.5.监造检验／见证（一般为现场见证）应尽量结合乙方工厂实际生产过程（不包括发现重大问题时的停工检验）。若监造代表不能按乙方通知时间及时到场，乙方的试验工作可正常进行，试验结果有效，但是监造代表有权事后了解、查阅、复制检查试验报告和结果（转为文件见证）。若乙方未及时通知监造代表而单独检验，甲方将不承认该检验结果，乙方应在监造代表在场的情况下再次进行该项试验。</w:t>
      </w:r>
    </w:p>
    <w:p w14:paraId="708EFBA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8.1.6.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乙方不得擅自处理。</w:t>
      </w:r>
    </w:p>
    <w:p w14:paraId="661222E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8.1.7.不论监造代表是否参与监造与出厂检验或者监造代表参加了监造与检验，并且签署了监造与检验报告，均不能被视为乙方按合同规定承担的质量保证责任的解除，也不能免除乙方对设备质量应承担的责任。</w:t>
      </w:r>
    </w:p>
    <w:p w14:paraId="65CCE97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8.2.工厂检验与现场开箱检验</w:t>
      </w:r>
    </w:p>
    <w:p w14:paraId="2466B21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8.2.1.由乙方供应的所有合同设备／部件（包括分包与外购），在生产过程中都须进行严格的检验和试验，出厂前须进行部套和／或整机总装和试验。所有检验、试验和总装（装配）必须有正式的记录文件。以上工作完成之后，并经监造代表确认，合格的才能出厂发运。所有这些正式的记录文件及合格证作为技术资料的一部分邮寄给甲方存档。此外，乙方还应在随机文件中提供合格证、质量证明文件和原产地约定。</w:t>
      </w:r>
    </w:p>
    <w:p w14:paraId="1F4B1A5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8.2.2.货物到达目的地后，乙方在接到甲方通知后应及时到现场，与甲方一起根据运单和装箱单对货物的包装、外观及件数进行清点检验。如发现有任何不符之处经双方代表确认属乙方责任后，由乙方处理解决。当货物运到甲方现场后，甲方应尽快开箱检验，检验货物的数量，规格、质量情况。甲方应在开箱检查前7日通知乙方开箱检验日期，乙方应派遣检验人员参加现场检验工作，甲方应为乙方检验人员提供工作和生活方便。如检验时，乙方人员未按时赴现场，甲方有权自行开箱检验，检验结果和记录对双方有效，并可作为甲方向乙方提出索赔的有效证据。按照本款规定，经检验合格的货物，甲方将向乙方签发接收单，乙方在收到甲方签发的接收单并出具回执时，视为该批货物已由乙方交付。</w:t>
      </w:r>
    </w:p>
    <w:p w14:paraId="4C2718A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8.2.3.现场检验时，如发现设备由于乙方原因（包括运输）有任何损坏、缺陷、短少或不符合合同中规定的质量标准和规范时，应做好记录，并由双方代表签字，各执一份，作为甲方向乙方提出修理和／或更换和／或索赔的依据；如果乙方委托甲方修理损坏的设备，所有修理设备的费用由乙方承担；如果由于甲方原因，发现损坏或短缺，乙方在接到买方通知后，应尽快提供或替换相应的部件，但费用由甲方自负。</w:t>
      </w:r>
    </w:p>
    <w:p w14:paraId="5254413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8.2.4.乙方如对上述甲方提出修理、更换、索赔的要求有异议，应在接到甲方书面通知后7日内提出，否则上述要求成立。如有异议，乙方在接到通知后半个月内，自费派代表赴现场同甲方代表共同复验。</w:t>
      </w:r>
    </w:p>
    <w:p w14:paraId="7022B30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8.2.5.如双方代表在共同检验中对检验记录不能取得一致意见时，可由双方委托</w:t>
      </w:r>
      <w:r>
        <w:rPr>
          <w:rFonts w:hint="eastAsia" w:asciiTheme="minorEastAsia" w:hAnsiTheme="minorEastAsia" w:eastAsiaTheme="minorEastAsia" w:cstheme="minorEastAsia"/>
          <w:color w:val="000000"/>
          <w:kern w:val="0"/>
          <w:sz w:val="24"/>
          <w:szCs w:val="24"/>
          <w:highlight w:val="none"/>
        </w:rPr>
        <w:t>具备检测资质的检测机构</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日内进行检验。检验结果对双方都有约束力，检验费用由责任方负担。</w:t>
      </w:r>
    </w:p>
    <w:p w14:paraId="67D28767">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9.安装、调试、试运和验收</w:t>
      </w:r>
    </w:p>
    <w:p w14:paraId="2A00348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9.1.本合同设备由甲方根据乙方提供的技术资料、检验标准、图纸及说明书进行安装、调试、运行和维修。整个安装、调试过程须在乙方现场技术服务人员指导下进行。重要工序须经乙方现场技术服务人员签字确认，重要工序由双方在安装、调试、运行前书面确认。在安装、调试过程中，若甲方未按乙方的技术资料规定和现场技术服务人员指导、未经乙方现场技术服务人员签字确认而出现问题，甲方自行负责（设备问题除外）；若甲方按乙方技术资料规定和现场技术服务人员的指导、乙方现场技术服务人员签字确认而出现问题，由乙方承担责任。</w:t>
      </w:r>
    </w:p>
    <w:p w14:paraId="1E89E08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9.2.合同设备的安装：</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4D540B5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9.3.合同设备的调试：</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42F267A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9.4.验收试验：</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5F28AC65">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10.分包与外购</w:t>
      </w:r>
    </w:p>
    <w:p w14:paraId="1B8290F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10.1.乙方未经同意不得将本合同范围内的设备/部件进行分包。乙方需分包的内容和比例应征得甲方书面同意，否则不得分包。接受分包的单位（分包商）不得再次分包。</w:t>
      </w:r>
    </w:p>
    <w:p w14:paraId="679DF6B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10.2.乙方将本合同范围内需分包与外购的设备／部件的内容和比例提交甲方同意后，在合同谈判时，将此部分设备／部件的分包商预选名单、分包商资质材料，提交给甲方。甲方收到乙方提交的分包商文件后</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日内进行审查，审查同意后，以书面形式予以答复，甲方可推荐预选名单以外的分包商。乙方须在甲方同意的分包商名单中选定分包商，并在设计联络会上确定分包与外购设备的最终厂家。分包与外购设备最终厂家的确定必须经甲方书面确认。</w:t>
      </w:r>
    </w:p>
    <w:p w14:paraId="3D84604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10.3.乙方具有独立的、自主的材料和设备采购权利，可以采取各种适合自己的采购方式，但在分包与外购的设备/部件的问题上应充分采纳甲方根据实际运行经验以及实地考察、调研所提出的意见和建议，甲方有权对部分分包与外购的设备/部件要求乙方招标采购，并确认结果。</w:t>
      </w:r>
    </w:p>
    <w:p w14:paraId="2033DC2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10.4.分包（外购）设备／部件的技术服务、技术配合按本合同技术服务条款的约定执行。</w:t>
      </w:r>
    </w:p>
    <w:p w14:paraId="24B585D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10.5.乙方对所有分包设备、部件承担本合同项下的全部责任。</w:t>
      </w:r>
    </w:p>
    <w:p w14:paraId="1EB4BF5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10.6.分包与外购内容见附件。</w:t>
      </w:r>
    </w:p>
    <w:p w14:paraId="3281E8E9">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11.税和费</w:t>
      </w:r>
    </w:p>
    <w:p w14:paraId="1493921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本合同价格为含税价。乙方提供的设备、技术资料、服务、运输、保险、进口设备／部件等所有税和费已全部包含在合同价格内，由乙方承担。</w:t>
      </w:r>
    </w:p>
    <w:p w14:paraId="4C0C6A06">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12.保险</w:t>
      </w:r>
    </w:p>
    <w:p w14:paraId="700661D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12.1.乙方须对合同设备，根据水运、陆运和空运等运输方式，向保险公司以甲方和乙方为共同受益人投保发运合同设备价格110％的运输一切险，保险区段为乙方仓库到甲方现场止。设备（在交货地点）交货之前乙方为保险受益人，设备（在交货地点）交货之后甲方为保险受益人。</w:t>
      </w:r>
    </w:p>
    <w:p w14:paraId="2DC65B6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12.2.如果发生乙方未对每台/套设备进行投保，甲方有权将这部分保险费从该台/套设备的运杂费中扣除，因其发生的连带责任，将全部由乙方承担。</w:t>
      </w:r>
    </w:p>
    <w:p w14:paraId="10037C5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12.3.乙方应将保险合同的副本于每台/套设备交货前</w:t>
      </w:r>
      <w:r>
        <w:rPr>
          <w:rFonts w:hint="eastAsia" w:asciiTheme="minorEastAsia" w:hAnsiTheme="minorEastAsia" w:eastAsiaTheme="minorEastAsia" w:cstheme="minorEastAsia"/>
          <w:b/>
          <w:bCs/>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日内提供给甲方，如果乙方未能及时提供，甲方将认为乙方未对该台/套设备投保，并按12.2款处理。</w:t>
      </w:r>
    </w:p>
    <w:p w14:paraId="245028D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12.4.如果交付的合同设备和/或文件在运输途中发生丢失或损坏，乙方应与保险公司联系进行索赔。如果此种丢失或损坏不属于保险公司的赔偿范围，则乙方应负责对甲方进行赔偿。</w:t>
      </w:r>
    </w:p>
    <w:p w14:paraId="008BD072">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13.知识产权</w:t>
      </w:r>
    </w:p>
    <w:p w14:paraId="5B684EB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13.1.乙方应保证甲方不受由于使用了乙方提供的合同设备（包括技术）而引起的对任何第三方的设计、工艺方案、技术资料、商标、专利等知识产权产生侵权。</w:t>
      </w:r>
    </w:p>
    <w:p w14:paraId="0242872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13.2.如果发生任何第三方的侵权指控，甲方于上述指控之日起</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个工作日内尽快通知乙方，乙方负责与第三方交涉处理此事，并承担一切由此引起的法律上和经济上的责任，从而使甲方免受由于第三方索赔从法律及经济责任上所造成的损害。</w:t>
      </w:r>
    </w:p>
    <w:p w14:paraId="6B3A4EF0">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14.保证与索赔</w:t>
      </w:r>
    </w:p>
    <w:p w14:paraId="4910793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14.1.本合同设备质量保证期为设备调试完毕正常运行后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年。</w:t>
      </w:r>
    </w:p>
    <w:p w14:paraId="637D83B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14.2.乙方保证其供应的本合同设备是全新的，技术水平是先进的、成熟的、质量优良的，设备的选型均符合安全可靠、经济运行和易于维护的要求。乙方保证根据本合同所交付的技术资料完整统一和内容正确、</w:t>
      </w:r>
      <w:r>
        <w:rPr>
          <w:rFonts w:hint="eastAsia" w:asciiTheme="minorEastAsia" w:hAnsiTheme="minorEastAsia" w:eastAsiaTheme="minorEastAsia" w:cstheme="minorEastAsia"/>
          <w:color w:val="000000"/>
          <w:kern w:val="0"/>
          <w:sz w:val="24"/>
          <w:szCs w:val="24"/>
          <w:highlight w:val="none"/>
          <w:lang w:eastAsia="zh-CN"/>
        </w:rPr>
        <w:t>准确</w:t>
      </w:r>
      <w:r>
        <w:rPr>
          <w:rFonts w:hint="eastAsia" w:asciiTheme="minorEastAsia" w:hAnsiTheme="minorEastAsia" w:eastAsiaTheme="minorEastAsia" w:cstheme="minorEastAsia"/>
          <w:color w:val="000000"/>
          <w:kern w:val="0"/>
          <w:sz w:val="24"/>
          <w:szCs w:val="24"/>
          <w:highlight w:val="none"/>
        </w:rPr>
        <w:t>并能满足合同设备的设计、安装、调试、运行和维修的要求。</w:t>
      </w:r>
    </w:p>
    <w:p w14:paraId="596C0FB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14.3.本设备合同执行期间，如果乙方提供的设备有缺陷和技术资料有错误，或者由于乙方技术人员指导错误和疏忽，造成工程返工、报废，乙方应立即无偿更换和修理。如需更换，乙方应负担由此产生的到安装现场更换的一切费用，更换或修理期限应不迟于证实属乙方责任之日起</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由于甲方未按乙方所提供的技术资料、图纸、说明书和乙方现场技术服务人员的指导而进行施工、安装、调试造成的设备损坏，由甲方负责修理，更换，但乙方有义务尽快提供所需更换的部件，对于甲方要求的紧急部件，乙方应安排最快的方式运输，所有费用均由甲方负担。</w:t>
      </w:r>
    </w:p>
    <w:p w14:paraId="4BE1271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14.4.合同规定的保证期满后，由甲方在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日内出具合同设备保证期满最终验收证书交给乙方。甲方出具最终验收证书的先决条件是：乙方应完成甲方在保证期满前提出的索赔。</w:t>
      </w:r>
    </w:p>
    <w:p w14:paraId="65E5429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14.5.在保证期内，如发现设备有缺陷，不符合本合同规定时，如属乙方责任，则甲方有权向乙方提出索赔。如乙方对此索赔有异议按8.2.5条款办理。否则乙方在接到甲方索赔文件后，应立即无偿修理、更换、赔款或委托甲方安排大型修理。包括由此产生的到安装现场的更换费用、运费及保险费由乙方负担。</w:t>
      </w:r>
    </w:p>
    <w:p w14:paraId="4EADC13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14.6.如由于乙方责任需要更换、修理有缺陷的设备，而使合同设备停运或推迟安装时，则保证期应按实际修理或更换所延误的时间做相应的延长。</w:t>
      </w:r>
    </w:p>
    <w:p w14:paraId="3CDEE38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14.7.如合同设备在保证期内发现属乙方责任的十分严重的缺陷（如设备性能达不到要求等）则其保证期将自该缺陷修正后开始计算</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年。</w:t>
      </w:r>
    </w:p>
    <w:p w14:paraId="2E46F7B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14.8.如果不是由于甲方原因或甲方要求推迟交货而乙方未能按本合同规定的交货期交货时（不可抗力除外），甲方有权向乙方收取违约金：每延迟一日，违约金金额为迟交货物金额的</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%；合同设备延迟交付的违约金总金额累计不超过每套合同设备总价的</w:t>
      </w:r>
      <w:r>
        <w:rPr>
          <w:rFonts w:hint="eastAsia" w:asciiTheme="minorEastAsia" w:hAnsiTheme="minorEastAsia" w:eastAsiaTheme="minorEastAsia" w:cstheme="minorEastAsia"/>
          <w:color w:val="000000"/>
          <w:kern w:val="0"/>
          <w:sz w:val="24"/>
          <w:szCs w:val="24"/>
          <w:highlight w:val="none"/>
          <w:u w:val="single"/>
        </w:rPr>
        <w:t>30</w:t>
      </w:r>
      <w:r>
        <w:rPr>
          <w:rFonts w:hint="eastAsia" w:asciiTheme="minorEastAsia" w:hAnsiTheme="minorEastAsia" w:eastAsiaTheme="minorEastAsia" w:cstheme="minorEastAsia"/>
          <w:color w:val="000000"/>
          <w:kern w:val="0"/>
          <w:sz w:val="24"/>
          <w:szCs w:val="24"/>
          <w:highlight w:val="none"/>
        </w:rPr>
        <w:t>%。乙方支付违约金，并不解除乙方按照合同继续交货的义务。对安装、试运行有重大影响的设备延迟交付，甲方有权向乙方收取违约金：每延迟一日，违约金金额为迟交货物金额的</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%，合同设备延迟交付的违约金总金额累计不超过合同总价的</w:t>
      </w:r>
      <w:r>
        <w:rPr>
          <w:rFonts w:hint="eastAsia" w:asciiTheme="minorEastAsia" w:hAnsiTheme="minorEastAsia" w:eastAsiaTheme="minorEastAsia" w:cstheme="minorEastAsia"/>
          <w:color w:val="000000"/>
          <w:kern w:val="0"/>
          <w:sz w:val="24"/>
          <w:szCs w:val="24"/>
          <w:highlight w:val="none"/>
          <w:u w:val="single"/>
        </w:rPr>
        <w:t>30</w:t>
      </w:r>
      <w:r>
        <w:rPr>
          <w:rFonts w:hint="eastAsia" w:asciiTheme="minorEastAsia" w:hAnsiTheme="minorEastAsia" w:eastAsiaTheme="minorEastAsia" w:cstheme="minorEastAsia"/>
          <w:color w:val="000000"/>
          <w:kern w:val="0"/>
          <w:sz w:val="24"/>
          <w:szCs w:val="24"/>
          <w:highlight w:val="none"/>
        </w:rPr>
        <w:t>%。同时，甲方有权终止部分或全部合同。如乙方未按合同或附件的规定按时向甲方提供技术资料的，甲方有权向乙方收取违约金：每延迟一日，违约金金额为合同总价的</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%，该违约金总金额累计不超过合同总价的</w:t>
      </w:r>
      <w:r>
        <w:rPr>
          <w:rFonts w:hint="eastAsia" w:asciiTheme="minorEastAsia" w:hAnsiTheme="minorEastAsia" w:eastAsiaTheme="minorEastAsia" w:cstheme="minorEastAsia"/>
          <w:color w:val="000000"/>
          <w:kern w:val="0"/>
          <w:sz w:val="24"/>
          <w:szCs w:val="24"/>
          <w:highlight w:val="none"/>
          <w:u w:val="single"/>
        </w:rPr>
        <w:t>30</w:t>
      </w:r>
      <w:r>
        <w:rPr>
          <w:rFonts w:hint="eastAsia" w:asciiTheme="minorEastAsia" w:hAnsiTheme="minorEastAsia" w:eastAsiaTheme="minorEastAsia" w:cstheme="minorEastAsia"/>
          <w:color w:val="000000"/>
          <w:kern w:val="0"/>
          <w:sz w:val="24"/>
          <w:szCs w:val="24"/>
          <w:highlight w:val="none"/>
        </w:rPr>
        <w:t>%。乙方提交违约金后，仍有义务向甲方提供技术帮助，采取各种措施以使设备达到各项经济指标。如果由于乙方和/或分包商技术服务的延误，造成执行合同延误，每延误工期一日，乙方应向甲方支付合同总价</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%的违约金，该违约金总金额累计不超过合同总价的</w:t>
      </w:r>
      <w:r>
        <w:rPr>
          <w:rFonts w:hint="eastAsia" w:asciiTheme="minorEastAsia" w:hAnsiTheme="minorEastAsia" w:eastAsiaTheme="minorEastAsia" w:cstheme="minorEastAsia"/>
          <w:color w:val="000000"/>
          <w:kern w:val="0"/>
          <w:sz w:val="24"/>
          <w:szCs w:val="24"/>
          <w:highlight w:val="none"/>
          <w:u w:val="single"/>
        </w:rPr>
        <w:t>30</w:t>
      </w:r>
      <w:r>
        <w:rPr>
          <w:rFonts w:hint="eastAsia" w:asciiTheme="minorEastAsia" w:hAnsiTheme="minorEastAsia" w:eastAsiaTheme="minorEastAsia" w:cstheme="minorEastAsia"/>
          <w:color w:val="000000"/>
          <w:kern w:val="0"/>
          <w:sz w:val="24"/>
          <w:szCs w:val="24"/>
          <w:highlight w:val="none"/>
        </w:rPr>
        <w:t>%。</w:t>
      </w:r>
    </w:p>
    <w:p w14:paraId="297B9FA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14.9.由于乙方责任，根据本合同及附件规定验收试验后，不能达到本合同及其附件规定的一项或多项保证指标时，乙方应向甲方支付违约金：每不能达到一项保证指标，违约金金额为合同总价的</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%，每不能达到一项关键指标；违约金金额为合同总价的</w:t>
      </w:r>
      <w:r>
        <w:rPr>
          <w:rFonts w:hint="eastAsia" w:asciiTheme="minorEastAsia" w:hAnsiTheme="minorEastAsia" w:eastAsiaTheme="minorEastAsia" w:cstheme="minorEastAsia"/>
          <w:color w:val="000000"/>
          <w:kern w:val="0"/>
          <w:sz w:val="24"/>
          <w:szCs w:val="24"/>
          <w:highlight w:val="none"/>
          <w:u w:val="single"/>
        </w:rPr>
        <w:t>5</w:t>
      </w:r>
      <w:r>
        <w:rPr>
          <w:rFonts w:hint="eastAsia" w:asciiTheme="minorEastAsia" w:hAnsiTheme="minorEastAsia" w:eastAsiaTheme="minorEastAsia" w:cstheme="minorEastAsia"/>
          <w:color w:val="000000"/>
          <w:kern w:val="0"/>
          <w:sz w:val="24"/>
          <w:szCs w:val="24"/>
          <w:highlight w:val="none"/>
        </w:rPr>
        <w:t>%，该违约金总金额累计不超过合同总价的</w:t>
      </w:r>
      <w:r>
        <w:rPr>
          <w:rFonts w:hint="eastAsia" w:asciiTheme="minorEastAsia" w:hAnsiTheme="minorEastAsia" w:eastAsiaTheme="minorEastAsia" w:cstheme="minorEastAsia"/>
          <w:color w:val="000000"/>
          <w:kern w:val="0"/>
          <w:sz w:val="24"/>
          <w:szCs w:val="24"/>
          <w:highlight w:val="none"/>
          <w:u w:val="single"/>
        </w:rPr>
        <w:t>30</w:t>
      </w:r>
      <w:r>
        <w:rPr>
          <w:rFonts w:hint="eastAsia" w:asciiTheme="minorEastAsia" w:hAnsiTheme="minorEastAsia" w:eastAsiaTheme="minorEastAsia" w:cstheme="minorEastAsia"/>
          <w:color w:val="000000"/>
          <w:kern w:val="0"/>
          <w:sz w:val="24"/>
          <w:szCs w:val="24"/>
          <w:highlight w:val="none"/>
        </w:rPr>
        <w:t>%。如违约金不足以弥补甲方直接损失的，乙方应赔偿甲方的直接损失。</w:t>
      </w:r>
    </w:p>
    <w:p w14:paraId="1B34F8F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14.10.乙方支付全部违约金、赔偿金或者乙方提供的满意的替换件被甲方接受之日，即为甲方出具初步验收证书之日。但乙方支付迟交违约金并不解除合同规定的相应义务。</w:t>
      </w:r>
    </w:p>
    <w:p w14:paraId="2A71B34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14.11.如果由于甲方的原因，迟付货款，工期可获得相应延长。</w:t>
      </w:r>
    </w:p>
    <w:p w14:paraId="4D0F393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14.12.如果发生乙方的合同履行违约行为，相关款项将由乙方在接到甲方的书面通知和此类赔偿的证明文件后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日内向甲方支付，甲方也有权从履约保函和任何一笔付款中扣除；如果属于质量问题造成的甲方损失，相关款项将从质量保证金中扣除；上述金额不足扣除部分，甲方有权向乙方继续追索，乙方应予以支付。</w:t>
      </w:r>
    </w:p>
    <w:p w14:paraId="5ACDECF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14.13.如果发生甲方的合同履行违约，相关款项将由甲方在接到乙方的书面通知和此类赔偿的证明文件且由甲方认可后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日内向乙方支付。</w:t>
      </w:r>
    </w:p>
    <w:p w14:paraId="4935BFFE">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15.不可抗力</w:t>
      </w:r>
    </w:p>
    <w:p w14:paraId="367FC03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15.1.不可抗力是指：严重的自然灾害和灾难（如台风、洪水、地震、火灾和爆炸等）、战争（不论是否宣战）、叛乱、动乱等等，其特点是不可预见、无法避免。合同双方中的任何一方，由于不可抗力事件而影响合同义务的执行时，则延迟履行合同义务的期限相当于不可抗力事件影响的时间，但是不能因为不可抗力的延迟而调整合同价格。</w:t>
      </w:r>
    </w:p>
    <w:p w14:paraId="2A98F51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15.2.受到不可抗力影响的一方应在不可抗力事故发生后，尽快将所发生的不可抗力事件的情况以传真或电报通知另一方，并在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日内将有关当局出具的证明文件提交给另一方审阅确认，受影响的一方同时应尽量设法缩小这种影响和由此而引起的延误，一旦不可抗力的影响消除后，应将此情况立即通知对方。</w:t>
      </w:r>
    </w:p>
    <w:p w14:paraId="3307788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15.3.如双方对不可抗力事件的影响估计将延续到</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日以上时，双方应通过友好协商解决本合同的执行问题（包括交货、安装、试运行和验收等问题）。</w:t>
      </w:r>
    </w:p>
    <w:p w14:paraId="6B6FFBBB">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16.合同的变更、修改、中止和终止</w:t>
      </w:r>
    </w:p>
    <w:p w14:paraId="55B5D0D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16.1.本合同一经生效，合同双方均不得擅自对本合同的内容（包括附件）作任何单方的修改。但任何一方均可以对合同内容以书面形式提出变更、修改、取消或补充的建议。该项建议应以书面形式通知对方。如果该项修改改变了合同价格和交货进度，应在收到上述修改通知书后的14个工作日内，提出影响合同价格和／或交货期的详细说明。双方一致同意变更合同内容，须经双方法定代表人或委托代理人（须经法定代表人书面授权委托）签字并加盖合同专用章后生效。</w:t>
      </w:r>
    </w:p>
    <w:p w14:paraId="3561CA7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16.2.如果乙方有违反或拒绝执行本合同规定的行为时，甲方</w:t>
      </w:r>
      <w:r>
        <w:rPr>
          <w:rFonts w:hint="eastAsia" w:asciiTheme="minorEastAsia" w:hAnsiTheme="minorEastAsia" w:eastAsiaTheme="minorEastAsia" w:cstheme="minorEastAsia"/>
          <w:color w:val="000000"/>
          <w:kern w:val="0"/>
          <w:sz w:val="24"/>
          <w:szCs w:val="24"/>
          <w:highlight w:val="none"/>
          <w:lang w:eastAsia="zh-CN"/>
        </w:rPr>
        <w:t>将</w:t>
      </w:r>
      <w:r>
        <w:rPr>
          <w:rFonts w:hint="eastAsia" w:asciiTheme="minorEastAsia" w:hAnsiTheme="minorEastAsia" w:eastAsiaTheme="minorEastAsia" w:cstheme="minorEastAsia"/>
          <w:color w:val="000000"/>
          <w:kern w:val="0"/>
          <w:sz w:val="24"/>
          <w:szCs w:val="24"/>
          <w:highlight w:val="none"/>
        </w:rPr>
        <w:t>书面通知乙方，乙方在接到通知后</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日内确认无误后应对违反或拒绝做出修正，如果认为在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内来不及纠正时，应提出修正计划。如果得不到纠正或提不出修正计划，甲方将保留中止本合同的一部分或全部的权利。对于这种中止，甲方将不出具变更通知书，由此而发生的一切费用、损失和索赔将由乙方负担。如果乙方的违约行为本合同其他条款有明确规定，则按有关条款处理。</w:t>
      </w:r>
    </w:p>
    <w:p w14:paraId="18D2CB8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16.3.如果甲方行使中止权利，甲方有权停付到期应向乙方支付中止部分的款项，并有权将在执行合同中预付给乙方的中止部分款项索回。</w:t>
      </w:r>
    </w:p>
    <w:p w14:paraId="5255F45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16.4.在合同执行过程中，若因国家计划调整而引起本合同无法正常执行时，甲方和／或乙方可以向对方提出中止执行合同或修改合同有关条款的建议，与之有关的事宜双方协商办理。</w:t>
      </w:r>
    </w:p>
    <w:p w14:paraId="34DB56C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16.5.当在合同（附件）中注明的原材料、外购件、外协厂的厂商、规格、产地、牌号、数量由于乙方原因，发生变更，需事先书面提交甲方确认同意，对此而引起对交货期的延迟影响，由乙方承担责任。</w:t>
      </w:r>
    </w:p>
    <w:p w14:paraId="7ABFAA7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16.6.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可执行经过甲方同意的一部分合同。</w:t>
      </w:r>
    </w:p>
    <w:p w14:paraId="08771E8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16.7.若16.6款考虑的情况确实发生，甲方有权从乙方手中将与本合同设备有关的工作接管并收归己有，并在合理期限内从乙方的现场房屋中迁出所有与本合同设备有关的设计、图纸、说明和材料，这些东西的所有权已属甲方，乙方应给甲方提供全权处理并提供一切合理的方便，使其能搬走上述这类设计、图纸、说明和材料，甲方对这种终止合同直接或间接引起的对乙方的任何索赔不承担责任。此外，双方应对乙方已经实际履行的合同部分评价达成协议，并处理合同提前结束的一切后果。</w:t>
      </w:r>
    </w:p>
    <w:p w14:paraId="2A475C55">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17.合同争议的解决</w:t>
      </w:r>
    </w:p>
    <w:p w14:paraId="57AE082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17.1.因本合同引起的或与本合同有关的任何争议，由合同各方协商解决，也可由有关部门调解。协商或调解不成的，应向奎屯市人民法院起诉。</w:t>
      </w:r>
    </w:p>
    <w:p w14:paraId="3602D49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17.2.法院判决对双方都有约束力。</w:t>
      </w:r>
    </w:p>
    <w:p w14:paraId="7B7F2D15">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17.3.在法院审理期间，除法院审理规定的特殊事项外，合同仍应继续履行。</w:t>
      </w:r>
    </w:p>
    <w:p w14:paraId="60E97B51">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17.4.如因乙方迟延交货</w:t>
      </w:r>
      <w:r>
        <w:rPr>
          <w:rFonts w:hint="eastAsia" w:asciiTheme="minorEastAsia" w:hAnsiTheme="minorEastAsia" w:eastAsiaTheme="minorEastAsia" w:cstheme="minorEastAsia"/>
          <w:color w:val="000000"/>
          <w:kern w:val="0"/>
          <w:sz w:val="24"/>
          <w:szCs w:val="24"/>
          <w:highlight w:val="none"/>
          <w:lang w:eastAsia="zh-CN"/>
        </w:rPr>
        <w:t>超过</w:t>
      </w:r>
      <w:r>
        <w:rPr>
          <w:rFonts w:hint="eastAsia" w:asciiTheme="minorEastAsia" w:hAnsiTheme="minorEastAsia" w:eastAsiaTheme="minorEastAsia" w:cstheme="minorEastAsia"/>
          <w:color w:val="000000"/>
          <w:kern w:val="0"/>
          <w:sz w:val="24"/>
          <w:szCs w:val="24"/>
          <w:highlight w:val="none"/>
        </w:rPr>
        <w:t>3日以上，甲方享有单方解除权。</w:t>
      </w:r>
    </w:p>
    <w:p w14:paraId="0F4BB4C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17.5.因乙方违约造成甲方损失的，乙方除赔偿甲方相应损失外，还需承担甲方因此维权而产生的财产性损失（包括但不限于律师费、诉讼费、鉴定费、交通食宿费等）。</w:t>
      </w:r>
    </w:p>
    <w:p w14:paraId="15BD74E3">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18.合同生效</w:t>
      </w:r>
    </w:p>
    <w:p w14:paraId="7380098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18.1.本合同自</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日起生效。</w:t>
      </w:r>
    </w:p>
    <w:p w14:paraId="1F0EB19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18.2.本合同有效期：从合同生效之日起到质保期满并理赔完毕货款两清之日止。</w:t>
      </w:r>
    </w:p>
    <w:p w14:paraId="2C5C7E7C">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19.适用法律及其他</w:t>
      </w:r>
    </w:p>
    <w:p w14:paraId="6B6FB4CF">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19.1.法律适用：本合同适用法律为中华人民共和国法律。</w:t>
      </w:r>
    </w:p>
    <w:p w14:paraId="5D590C8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19.2.权利义务的转让：双方任何一方未取得另一方事先同意前，不得将本合同项下的部分或全部权利或义务转让给第三方。</w:t>
      </w:r>
    </w:p>
    <w:p w14:paraId="05A6342B">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19.3.保密：本合同项下双方相互提供的文件、资料，双方除为履行本合同之目的外，均不得提供给其他无关的第三方。</w:t>
      </w:r>
    </w:p>
    <w:p w14:paraId="3109A80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19.4.安全规定：乙方进入甲方厂区需遵守安全管理规定，因违反安全管理规定而造成的人身伤亡和财产损失由乙方承担责任。</w:t>
      </w:r>
    </w:p>
    <w:p w14:paraId="315EFC5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19.5.双方代表：合同双方应指定二名授权代表，分别负责直接处理“本合同设备”的技术和商务问题。</w:t>
      </w:r>
    </w:p>
    <w:p w14:paraId="7162C94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甲方代表：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7614D50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联系方式：</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5FFB586C">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乙方代表：</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58A8D6D9">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联系方式：</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w:t>
      </w:r>
    </w:p>
    <w:p w14:paraId="2FC1967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19.6.未尽事宜：双方未尽事宜，通过友好协商解决，双方达成一致后签订补充协议，作为本合同的附件。</w:t>
      </w:r>
    </w:p>
    <w:p w14:paraId="5D471787">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19.7.本合同一式</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份，甲、乙双方各持</w:t>
      </w:r>
      <w:r>
        <w:rPr>
          <w:rFonts w:hint="eastAsia" w:asciiTheme="minorEastAsia" w:hAnsiTheme="minorEastAsia" w:eastAsiaTheme="minorEastAsia" w:cstheme="minorEastAsia"/>
          <w:color w:val="000000"/>
          <w:kern w:val="0"/>
          <w:sz w:val="24"/>
          <w:szCs w:val="24"/>
          <w:highlight w:val="none"/>
          <w:u w:val="single"/>
        </w:rPr>
        <w:t>      </w:t>
      </w:r>
      <w:r>
        <w:rPr>
          <w:rFonts w:hint="eastAsia" w:asciiTheme="minorEastAsia" w:hAnsiTheme="minorEastAsia" w:eastAsiaTheme="minorEastAsia" w:cstheme="minorEastAsia"/>
          <w:color w:val="000000"/>
          <w:kern w:val="0"/>
          <w:sz w:val="24"/>
          <w:szCs w:val="24"/>
          <w:highlight w:val="none"/>
        </w:rPr>
        <w:t>份。</w:t>
      </w:r>
    </w:p>
    <w:p w14:paraId="352BFB5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376F93F6">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签署时间：    年    月    日</w:t>
      </w:r>
    </w:p>
    <w:p w14:paraId="0A176C3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34A9045E">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甲方（盖章）：</w:t>
      </w:r>
    </w:p>
    <w:p w14:paraId="2F75ACE1">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法定代表人或授权代表（签字）：</w:t>
      </w:r>
    </w:p>
    <w:p w14:paraId="13C42F4D">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 </w:t>
      </w:r>
    </w:p>
    <w:p w14:paraId="31F5B064">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乙方（盖章）：</w:t>
      </w:r>
    </w:p>
    <w:p w14:paraId="47FA7920">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法定代表人或授权代表（签字）：</w:t>
      </w:r>
    </w:p>
    <w:p w14:paraId="15AFEC4C">
      <w:pPr>
        <w:widowControl/>
        <w:spacing w:line="240" w:lineRule="auto"/>
        <w:ind w:firstLine="482" w:firstLineChars="200"/>
        <w:jc w:val="left"/>
        <w:rPr>
          <w:rFonts w:hint="eastAsia" w:ascii="宋体" w:hAnsi="宋体" w:eastAsia="宋体" w:cs="Arial"/>
          <w:b/>
          <w:bCs/>
          <w:kern w:val="0"/>
          <w:sz w:val="24"/>
          <w:szCs w:val="24"/>
          <w:highlight w:val="none"/>
        </w:rPr>
      </w:pPr>
    </w:p>
    <w:p w14:paraId="2EAE7A9C">
      <w:pPr>
        <w:widowControl/>
        <w:spacing w:line="240" w:lineRule="auto"/>
        <w:ind w:firstLine="482" w:firstLineChars="200"/>
        <w:jc w:val="left"/>
        <w:rPr>
          <w:rFonts w:hint="eastAsia" w:ascii="宋体" w:hAnsi="宋体" w:eastAsia="宋体" w:cs="Arial"/>
          <w:b/>
          <w:bCs/>
          <w:kern w:val="0"/>
          <w:sz w:val="24"/>
          <w:szCs w:val="24"/>
          <w:highlight w:val="none"/>
        </w:rPr>
      </w:pPr>
    </w:p>
    <w:p w14:paraId="02FC1738">
      <w:pPr>
        <w:widowControl/>
        <w:spacing w:line="240" w:lineRule="auto"/>
        <w:ind w:firstLine="482" w:firstLineChars="200"/>
        <w:jc w:val="left"/>
        <w:rPr>
          <w:rFonts w:hint="eastAsia" w:ascii="宋体" w:hAnsi="宋体" w:eastAsia="宋体" w:cs="Arial"/>
          <w:b/>
          <w:bCs/>
          <w:kern w:val="0"/>
          <w:sz w:val="24"/>
          <w:szCs w:val="24"/>
          <w:highlight w:val="none"/>
        </w:rPr>
      </w:pPr>
    </w:p>
    <w:p w14:paraId="121953F2">
      <w:pPr>
        <w:widowControl/>
        <w:spacing w:line="240" w:lineRule="auto"/>
        <w:ind w:firstLine="482" w:firstLineChars="200"/>
        <w:jc w:val="left"/>
        <w:rPr>
          <w:rFonts w:hint="eastAsia" w:ascii="宋体" w:hAnsi="宋体" w:eastAsia="宋体" w:cs="Arial"/>
          <w:b/>
          <w:bCs/>
          <w:kern w:val="0"/>
          <w:sz w:val="24"/>
          <w:szCs w:val="24"/>
          <w:highlight w:val="none"/>
        </w:rPr>
      </w:pPr>
    </w:p>
    <w:p w14:paraId="27115559">
      <w:pPr>
        <w:widowControl/>
        <w:spacing w:line="240" w:lineRule="auto"/>
        <w:ind w:firstLine="482" w:firstLineChars="200"/>
        <w:jc w:val="left"/>
        <w:rPr>
          <w:rFonts w:hint="eastAsia" w:ascii="宋体" w:hAnsi="宋体" w:eastAsia="宋体" w:cs="Arial"/>
          <w:b/>
          <w:bCs/>
          <w:kern w:val="0"/>
          <w:sz w:val="24"/>
          <w:szCs w:val="24"/>
          <w:highlight w:val="none"/>
        </w:rPr>
      </w:pPr>
    </w:p>
    <w:p w14:paraId="3D8DFA24">
      <w:pPr>
        <w:widowControl/>
        <w:spacing w:line="240" w:lineRule="auto"/>
        <w:ind w:firstLine="482" w:firstLineChars="200"/>
        <w:jc w:val="left"/>
        <w:rPr>
          <w:rFonts w:hint="eastAsia" w:asciiTheme="minorEastAsia" w:hAnsiTheme="minorEastAsia" w:eastAsiaTheme="minorEastAsia" w:cstheme="minorEastAsia"/>
          <w:b/>
          <w:bCs/>
          <w:color w:val="000000"/>
          <w:kern w:val="0"/>
          <w:sz w:val="24"/>
          <w:szCs w:val="24"/>
          <w:highlight w:val="none"/>
        </w:rPr>
      </w:pPr>
      <w:r>
        <w:rPr>
          <w:rFonts w:hint="eastAsia" w:ascii="宋体" w:hAnsi="宋体" w:eastAsia="宋体" w:cs="Arial"/>
          <w:b/>
          <w:bCs/>
          <w:kern w:val="0"/>
          <w:sz w:val="24"/>
          <w:szCs w:val="24"/>
          <w:highlight w:val="none"/>
        </w:rPr>
        <w:t>备注：上述内容仅供参考，具体内容以采购人与供货人签订的合同为准。</w:t>
      </w:r>
    </w:p>
    <w:p w14:paraId="4A454792">
      <w:pPr>
        <w:numPr>
          <w:ilvl w:val="0"/>
          <w:numId w:val="0"/>
        </w:numPr>
        <w:autoSpaceDN w:val="0"/>
        <w:spacing w:line="240" w:lineRule="auto"/>
        <w:jc w:val="center"/>
        <w:rPr>
          <w:rFonts w:hint="eastAsia" w:asciiTheme="minorEastAsia" w:hAnsiTheme="minorEastAsia" w:eastAsiaTheme="minorEastAsia" w:cstheme="minorEastAsia"/>
          <w:b/>
          <w:bCs/>
          <w:sz w:val="36"/>
          <w:szCs w:val="36"/>
          <w:highlight w:val="none"/>
        </w:rPr>
      </w:pPr>
    </w:p>
    <w:p w14:paraId="3AC54B18">
      <w:pPr>
        <w:bidi w:val="0"/>
        <w:spacing w:line="240" w:lineRule="auto"/>
        <w:rPr>
          <w:rFonts w:hint="eastAsia" w:asciiTheme="minorEastAsia" w:hAnsiTheme="minorEastAsia" w:eastAsiaTheme="minorEastAsia" w:cstheme="minorEastAsia"/>
          <w:sz w:val="30"/>
          <w:szCs w:val="30"/>
          <w:highlight w:val="none"/>
          <w:shd w:val="clear" w:color="auto" w:fill="FFFFFF"/>
        </w:rPr>
      </w:pPr>
    </w:p>
    <w:p w14:paraId="6B07D226">
      <w:pPr>
        <w:bidi w:val="0"/>
        <w:spacing w:line="240" w:lineRule="auto"/>
        <w:rPr>
          <w:rFonts w:hint="eastAsia" w:asciiTheme="minorEastAsia" w:hAnsiTheme="minorEastAsia" w:eastAsiaTheme="minorEastAsia" w:cstheme="minorEastAsia"/>
          <w:sz w:val="30"/>
          <w:szCs w:val="30"/>
          <w:highlight w:val="none"/>
          <w:shd w:val="clear" w:color="auto" w:fill="FFFFFF"/>
        </w:rPr>
      </w:pPr>
    </w:p>
    <w:p w14:paraId="5DA212D4">
      <w:pPr>
        <w:bidi w:val="0"/>
        <w:spacing w:line="240" w:lineRule="auto"/>
        <w:rPr>
          <w:rFonts w:hint="eastAsia" w:asciiTheme="minorEastAsia" w:hAnsiTheme="minorEastAsia" w:eastAsiaTheme="minorEastAsia" w:cstheme="minorEastAsia"/>
          <w:sz w:val="30"/>
          <w:szCs w:val="30"/>
          <w:highlight w:val="none"/>
          <w:shd w:val="clear" w:color="auto" w:fill="FFFFFF"/>
        </w:rPr>
      </w:pPr>
    </w:p>
    <w:p w14:paraId="2AE3C82D">
      <w:pPr>
        <w:bidi w:val="0"/>
        <w:spacing w:line="240" w:lineRule="auto"/>
        <w:rPr>
          <w:rFonts w:hint="eastAsia" w:asciiTheme="minorEastAsia" w:hAnsiTheme="minorEastAsia" w:eastAsiaTheme="minorEastAsia" w:cstheme="minorEastAsia"/>
          <w:sz w:val="30"/>
          <w:szCs w:val="30"/>
          <w:highlight w:val="none"/>
          <w:shd w:val="clear" w:color="auto" w:fill="FFFFFF"/>
        </w:rPr>
      </w:pPr>
    </w:p>
    <w:p w14:paraId="7E5EE949">
      <w:pPr>
        <w:bidi w:val="0"/>
        <w:spacing w:line="240" w:lineRule="auto"/>
        <w:rPr>
          <w:rFonts w:hint="eastAsia" w:asciiTheme="minorEastAsia" w:hAnsiTheme="minorEastAsia" w:eastAsiaTheme="minorEastAsia" w:cstheme="minorEastAsia"/>
          <w:sz w:val="30"/>
          <w:szCs w:val="30"/>
          <w:highlight w:val="none"/>
          <w:shd w:val="clear" w:color="auto" w:fill="FFFFFF"/>
        </w:rPr>
      </w:pPr>
    </w:p>
    <w:p w14:paraId="53A5EF57">
      <w:pPr>
        <w:bidi w:val="0"/>
        <w:spacing w:line="240" w:lineRule="auto"/>
        <w:rPr>
          <w:rFonts w:hint="eastAsia" w:asciiTheme="minorEastAsia" w:hAnsiTheme="minorEastAsia" w:eastAsiaTheme="minorEastAsia" w:cstheme="minorEastAsia"/>
          <w:sz w:val="30"/>
          <w:szCs w:val="30"/>
          <w:highlight w:val="none"/>
          <w:shd w:val="clear" w:color="auto" w:fill="FFFFFF"/>
        </w:rPr>
      </w:pPr>
    </w:p>
    <w:p w14:paraId="137D0E10">
      <w:pPr>
        <w:bidi w:val="0"/>
        <w:spacing w:line="240" w:lineRule="auto"/>
        <w:jc w:val="center"/>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rPr>
        <w:t xml:space="preserve"> </w:t>
      </w:r>
      <w:r>
        <w:rPr>
          <w:rFonts w:hint="eastAsia" w:asciiTheme="minorEastAsia" w:hAnsiTheme="minorEastAsia" w:eastAsiaTheme="minorEastAsia" w:cstheme="minorEastAsia"/>
          <w:b/>
          <w:bCs/>
          <w:sz w:val="28"/>
          <w:szCs w:val="28"/>
          <w:highlight w:val="none"/>
          <w:lang w:eastAsia="zh-CN"/>
        </w:rPr>
        <w:t>第五章</w:t>
      </w:r>
      <w:r>
        <w:rPr>
          <w:rFonts w:hint="eastAsia" w:asciiTheme="minorEastAsia" w:hAnsiTheme="minorEastAsia" w:eastAsiaTheme="minorEastAsia" w:cstheme="minorEastAsia"/>
          <w:b/>
          <w:bCs/>
          <w:sz w:val="28"/>
          <w:szCs w:val="28"/>
          <w:highlight w:val="none"/>
          <w:lang w:val="en-US" w:eastAsia="zh-CN"/>
        </w:rPr>
        <w:t xml:space="preserve">  技术标准和要求</w:t>
      </w:r>
    </w:p>
    <w:p w14:paraId="2B09A1C9">
      <w:pPr>
        <w:bidi w:val="0"/>
        <w:spacing w:line="240" w:lineRule="auto"/>
        <w:jc w:val="center"/>
        <w:rPr>
          <w:rFonts w:hint="eastAsia" w:asciiTheme="minorEastAsia" w:hAnsiTheme="minorEastAsia" w:eastAsiaTheme="minorEastAsia" w:cstheme="minorEastAsia"/>
          <w:b/>
          <w:bCs/>
          <w:sz w:val="28"/>
          <w:szCs w:val="28"/>
          <w:highlight w:val="none"/>
          <w:lang w:val="en-US" w:eastAsia="zh-CN"/>
        </w:rPr>
      </w:pPr>
    </w:p>
    <w:tbl>
      <w:tblPr>
        <w:tblStyle w:val="35"/>
        <w:tblW w:w="90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4517"/>
        <w:gridCol w:w="1515"/>
        <w:gridCol w:w="2165"/>
      </w:tblGrid>
      <w:tr w14:paraId="52A6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753CBB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67CD33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产品名称</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DC6D0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B4466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r>
      <w:tr w14:paraId="2664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4563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2BDB3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图书电子标签</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1707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260000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4000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r>
      <w:tr w14:paraId="4C66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DEA6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4B082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图书层\架标标签</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6FDE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33B2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r>
      <w:tr w14:paraId="3A43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718D2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5EA22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馆员工作站</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B769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3BC8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r>
      <w:tr w14:paraId="4603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3B9DD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0A5AE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立式自助借还书机</w:t>
            </w:r>
          </w:p>
          <w:p w14:paraId="64DFF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（核心产品）</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38E4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6159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r>
      <w:tr w14:paraId="0D0E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6191F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57555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多通道智能门禁（3通道）</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4402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F947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r>
      <w:tr w14:paraId="78C2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A8F7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4F883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RFID图书馆管理系统软件</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C8E8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 </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ECF7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r>
      <w:tr w14:paraId="5E2C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5FF98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6F494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RFID系统集成及接口</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82EB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0293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r>
      <w:tr w14:paraId="48CE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52BE6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158A3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79"/>
                <w:rFonts w:hint="eastAsia" w:asciiTheme="minorEastAsia" w:hAnsiTheme="minorEastAsia" w:eastAsiaTheme="minorEastAsia" w:cstheme="minorEastAsia"/>
                <w:color w:val="auto"/>
                <w:sz w:val="24"/>
                <w:szCs w:val="24"/>
                <w:highlight w:val="none"/>
                <w:lang w:val="en-US" w:eastAsia="zh-CN" w:bidi="ar"/>
              </w:rPr>
              <w:t>触摸屏</w:t>
            </w:r>
            <w:r>
              <w:rPr>
                <w:rStyle w:val="180"/>
                <w:rFonts w:hint="eastAsia" w:asciiTheme="minorEastAsia" w:hAnsiTheme="minorEastAsia" w:eastAsiaTheme="minorEastAsia" w:cstheme="minorEastAsia"/>
                <w:color w:val="auto"/>
                <w:sz w:val="24"/>
                <w:szCs w:val="24"/>
                <w:highlight w:val="none"/>
                <w:lang w:val="en-US" w:eastAsia="zh-CN" w:bidi="ar"/>
              </w:rPr>
              <w:t>OPAC</w:t>
            </w:r>
            <w:r>
              <w:rPr>
                <w:rStyle w:val="179"/>
                <w:rFonts w:hint="eastAsia" w:asciiTheme="minorEastAsia" w:hAnsiTheme="minorEastAsia" w:eastAsiaTheme="minorEastAsia" w:cstheme="minorEastAsia"/>
                <w:color w:val="auto"/>
                <w:sz w:val="24"/>
                <w:szCs w:val="24"/>
                <w:highlight w:val="none"/>
                <w:lang w:val="en-US" w:eastAsia="zh-CN" w:bidi="ar"/>
              </w:rPr>
              <w:t>查询系统</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4AA9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AC19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r>
      <w:tr w14:paraId="185C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8F21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5728E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移动式盘点机</w:t>
            </w:r>
          </w:p>
          <w:p w14:paraId="4B921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（核心产品）</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BA1D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AA84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r>
      <w:tr w14:paraId="0659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3C71F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585A4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预约借还书书柜</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8F1F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9464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r>
      <w:tr w14:paraId="5650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4464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3977A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RFID三维定位管理系统</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C145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EF32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r>
      <w:tr w14:paraId="3689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D730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12E1F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图书加工</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75CF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260000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D15B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册</w:t>
            </w:r>
          </w:p>
        </w:tc>
      </w:tr>
      <w:tr w14:paraId="21B1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60A86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2A169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IC空间管理软件</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A3AA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095D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r>
      <w:tr w14:paraId="09FE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D018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3341D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IC空间配套设备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F28F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B102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间</w:t>
            </w:r>
          </w:p>
        </w:tc>
      </w:tr>
      <w:tr w14:paraId="0DAF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ACFBE5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03389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全自动装订机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D0F3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E384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r>
      <w:tr w14:paraId="6839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B4BA3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4517" w:type="dxa"/>
            <w:tcBorders>
              <w:top w:val="single" w:color="000000" w:sz="4" w:space="0"/>
              <w:left w:val="single" w:color="000000" w:sz="4" w:space="0"/>
              <w:bottom w:val="single" w:color="000000" w:sz="4" w:space="0"/>
              <w:right w:val="single" w:color="000000" w:sz="4" w:space="0"/>
            </w:tcBorders>
            <w:noWrap w:val="0"/>
            <w:vAlign w:val="center"/>
          </w:tcPr>
          <w:p w14:paraId="41948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会议音响设备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CDCF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9904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r>
    </w:tbl>
    <w:p w14:paraId="66ADA805">
      <w:pPr>
        <w:spacing w:line="280" w:lineRule="exact"/>
        <w:rPr>
          <w:rFonts w:hint="eastAsia" w:ascii="宋体" w:hAnsi="宋体" w:eastAsia="宋体" w:cs="Times New Roman"/>
          <w:bCs/>
          <w:sz w:val="24"/>
          <w:szCs w:val="24"/>
          <w:highlight w:val="none"/>
        </w:rPr>
      </w:pPr>
    </w:p>
    <w:p w14:paraId="109E4E3A">
      <w:pPr>
        <w:spacing w:line="360" w:lineRule="auto"/>
        <w:rPr>
          <w:rFonts w:hint="eastAsia" w:ascii="宋体" w:hAnsi="宋体" w:cs="宋体"/>
          <w:sz w:val="24"/>
          <w:highlight w:val="none"/>
        </w:rPr>
      </w:pPr>
    </w:p>
    <w:tbl>
      <w:tblPr>
        <w:tblStyle w:val="3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088"/>
      </w:tblGrid>
      <w:tr w14:paraId="7BCA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F96D1FD">
            <w:pPr>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序号</w:t>
            </w:r>
          </w:p>
        </w:tc>
        <w:tc>
          <w:tcPr>
            <w:tcW w:w="1134" w:type="dxa"/>
            <w:noWrap w:val="0"/>
            <w:vAlign w:val="center"/>
          </w:tcPr>
          <w:p w14:paraId="5BD8A64A">
            <w:pPr>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项目</w:t>
            </w:r>
          </w:p>
        </w:tc>
        <w:tc>
          <w:tcPr>
            <w:tcW w:w="7088" w:type="dxa"/>
            <w:noWrap w:val="0"/>
            <w:vAlign w:val="center"/>
          </w:tcPr>
          <w:p w14:paraId="37CAC17D">
            <w:pPr>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技术参数</w:t>
            </w:r>
          </w:p>
        </w:tc>
      </w:tr>
      <w:tr w14:paraId="5957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DB4FB0B">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1134" w:type="dxa"/>
            <w:noWrap w:val="0"/>
            <w:vAlign w:val="center"/>
          </w:tcPr>
          <w:p w14:paraId="732FEB82">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图书电子标签</w:t>
            </w:r>
          </w:p>
        </w:tc>
        <w:tc>
          <w:tcPr>
            <w:tcW w:w="7088" w:type="dxa"/>
            <w:noWrap w:val="0"/>
            <w:vAlign w:val="center"/>
          </w:tcPr>
          <w:p w14:paraId="2F2E96F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功能要求：</w:t>
            </w:r>
          </w:p>
          <w:p w14:paraId="36FA5D8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1、标签为无源标签，须符合ISO18000-6C空中接口标准。</w:t>
            </w:r>
          </w:p>
          <w:p w14:paraId="20E35B2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2、图书标签必须安装于图书内页夹缝中，隐蔽性高、不易撕毁、脱落。</w:t>
            </w:r>
          </w:p>
          <w:p w14:paraId="2D77443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3、可重复擦写≥10万次。</w:t>
            </w:r>
          </w:p>
          <w:p w14:paraId="4AA4774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4、标签采用AFI位或EAS作为防盗的安全标志方法，标志位可由用户自由修改。</w:t>
            </w:r>
          </w:p>
          <w:p w14:paraId="1995111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5、标签应自带单面或双面粘性，所用胶水为中性环保胶水，不损伤图书纸张。</w:t>
            </w:r>
          </w:p>
          <w:p w14:paraId="29E4D17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技术要求：</w:t>
            </w:r>
          </w:p>
          <w:p w14:paraId="5F36CEB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1、工作频率：860～960MHz。</w:t>
            </w:r>
          </w:p>
          <w:p w14:paraId="4670B6E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2、标签尺寸：≤124mm×5mm (长×宽)。</w:t>
            </w:r>
          </w:p>
          <w:p w14:paraId="611FD74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3、标签天线类型：铝质蚀刻天线，PET基底。</w:t>
            </w:r>
          </w:p>
          <w:p w14:paraId="3C71D15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4、基材：格拉辛底纸。</w:t>
            </w:r>
          </w:p>
          <w:p w14:paraId="7D71470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5、芯片类型：高性能芯片。</w:t>
            </w:r>
          </w:p>
          <w:p w14:paraId="45FC63E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6、标签内存容量：≥96位EPC码，512位用户数据区。</w:t>
            </w:r>
          </w:p>
          <w:p w14:paraId="7CD7224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7、有效识读距离：应符合自助借还、书架、安全门等设备读取要求。</w:t>
            </w:r>
          </w:p>
          <w:p w14:paraId="70E36DF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8、防冲突性：允许工作区间内多个标签的可靠识读。</w:t>
            </w:r>
          </w:p>
          <w:p w14:paraId="25F4430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9、有效使用寿命：≥10年（标签要求10年内包换）。</w:t>
            </w:r>
          </w:p>
          <w:p w14:paraId="5C11973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10、有效使用次数：≥10万次。</w:t>
            </w:r>
          </w:p>
          <w:p w14:paraId="59B6F24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11、访问密码：≥ 32bits。</w:t>
            </w:r>
          </w:p>
          <w:p w14:paraId="7DDDEBB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▲12、为保证所投产品环境适应及使用性能，所投产品通过电磁兼容性能试验，符合GB/T9254.1-2021《信息技术设备、多媒体设备和接收机电磁兼容1部分:发射要求》、GB/T 9254.2-2021《信息技术设备、多媒体设备和接收机电磁兼容第2部分: 抗扰度要求》(GB/T 17626.3-2016《电磁兼容试验和测量技术射频电磁场辐射抗扰度试验》标准，提供</w:t>
            </w:r>
            <w:r>
              <w:rPr>
                <w:rFonts w:hint="eastAsia" w:asciiTheme="minorEastAsia" w:hAnsiTheme="minorEastAsia" w:eastAsiaTheme="minorEastAsia" w:cstheme="minorEastAsia"/>
                <w:kern w:val="0"/>
                <w:sz w:val="24"/>
                <w:szCs w:val="24"/>
                <w:highlight w:val="none"/>
              </w:rPr>
              <w:t>具备检测资质的检测机构</w:t>
            </w:r>
            <w:r>
              <w:rPr>
                <w:rFonts w:hint="eastAsia" w:asciiTheme="minorEastAsia" w:hAnsiTheme="minorEastAsia" w:eastAsiaTheme="minorEastAsia" w:cstheme="minorEastAsia"/>
                <w:kern w:val="0"/>
                <w:sz w:val="24"/>
                <w:szCs w:val="24"/>
                <w:highlight w:val="none"/>
              </w:rPr>
              <w:t>出具的检测报告（为保障所检测项目的严格性、有效性，测试报告须通过中国合格评定国家认可委员会CNAS及中国计量认证CMA认可，具备CNAS及CMA标识）。</w:t>
            </w:r>
          </w:p>
          <w:p w14:paraId="7F41BA8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▲13、RFID 标签具有可靠的粘性，为保障标签粘贴牢固，标签满足 180℃剥离强度，符合《GB/T2792-2014 胶粘带剥离强度的试验方法》黏胶玻璃强度须≥3.5 N/cm，提供检测机构出具的标签剥离强度测试报告（测试报告须通过CNAS及CMA认证标识）。</w:t>
            </w:r>
          </w:p>
          <w:p w14:paraId="32AB380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服务要求：</w:t>
            </w:r>
          </w:p>
          <w:p w14:paraId="61230FB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1、10年质保，保用期内对因质量问题不能正常使用的标签提供免费更换。</w:t>
            </w:r>
          </w:p>
          <w:p w14:paraId="2C0EFD1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为保证未来使用过程中问题反馈及解决的时效性，投标人或生产厂商具有客户投诉管理体系认证，提供证书扫描件并加盖投标人公章（认证范围需至少包括射频技术智能识别系统和图书馆公共管理系统开发，提供全国认证认可信息公共服务平台查询结果）。</w:t>
            </w:r>
          </w:p>
        </w:tc>
      </w:tr>
      <w:tr w14:paraId="24E4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63F84AA">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1134" w:type="dxa"/>
            <w:noWrap w:val="0"/>
            <w:vAlign w:val="center"/>
          </w:tcPr>
          <w:p w14:paraId="4D825C9A">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图书层架标签</w:t>
            </w:r>
          </w:p>
        </w:tc>
        <w:tc>
          <w:tcPr>
            <w:tcW w:w="7088" w:type="dxa"/>
            <w:noWrap w:val="0"/>
            <w:vAlign w:val="center"/>
          </w:tcPr>
          <w:p w14:paraId="682EFA8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功能要求：</w:t>
            </w:r>
          </w:p>
          <w:p w14:paraId="3C303B3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1、标签为无源标签，须符合国际标准ISO18000-6C空中接口标准。</w:t>
            </w:r>
          </w:p>
          <w:p w14:paraId="0954BDF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2、可重复擦写≥10万次。</w:t>
            </w:r>
          </w:p>
          <w:p w14:paraId="57FE9DE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3、应可粘贴在金属书架层板表面，不影响标签的读取。</w:t>
            </w:r>
          </w:p>
          <w:p w14:paraId="1FD54B8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4、可按图书馆要求打印标签表面标识内容。</w:t>
            </w:r>
          </w:p>
          <w:p w14:paraId="1E2104F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5、标签可以非接触式的读取和写入。</w:t>
            </w:r>
          </w:p>
          <w:p w14:paraId="2CAECA6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6、标签具备耐高温、低温环境性能，并保证读取性能无差异。</w:t>
            </w:r>
          </w:p>
          <w:p w14:paraId="09B5271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技术要求：</w:t>
            </w:r>
          </w:p>
          <w:p w14:paraId="01FDB07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1、工作频率：860MHz ～ 960MHz。</w:t>
            </w:r>
          </w:p>
          <w:p w14:paraId="5EB729C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2、标签尺寸：≤83mm*20mm*5.4mm(长*宽*厚)，可根据客户要求定制。</w:t>
            </w:r>
          </w:p>
          <w:p w14:paraId="530624B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3、标签天线类型：铝质蚀刻天线，PET基底或同性能类型。</w:t>
            </w:r>
          </w:p>
          <w:p w14:paraId="1C15B22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4、芯片类型：Higgs 9（C07）等同性能芯片。</w:t>
            </w:r>
          </w:p>
          <w:p w14:paraId="21E0BF3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5、标签内存容量：≥ 96位EPC码，512位用户数据区。</w:t>
            </w:r>
          </w:p>
          <w:p w14:paraId="05DF44F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6、有效识读距离：应符合盘点车等设备读取要求。</w:t>
            </w:r>
          </w:p>
          <w:p w14:paraId="0933CB9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7、有效使用次数：≥10 万次。</w:t>
            </w:r>
          </w:p>
          <w:p w14:paraId="7B0455B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8、访问密码：≥ 32bits。</w:t>
            </w:r>
          </w:p>
          <w:p w14:paraId="5800D7F6">
            <w:pPr>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kern w:val="0"/>
                <w:sz w:val="24"/>
                <w:szCs w:val="24"/>
                <w:highlight w:val="none"/>
              </w:rPr>
              <w:t>9、</w:t>
            </w:r>
            <w:r>
              <w:rPr>
                <w:rFonts w:hint="eastAsia" w:asciiTheme="minorEastAsia" w:hAnsiTheme="minorEastAsia" w:eastAsiaTheme="minorEastAsia" w:cstheme="minorEastAsia"/>
                <w:color w:val="000000"/>
                <w:kern w:val="0"/>
                <w:sz w:val="24"/>
                <w:szCs w:val="24"/>
                <w:highlight w:val="none"/>
              </w:rPr>
              <w:t>RFID层架标签具有可靠的粘性，为保障标签粘贴牢固，标签满足180℃剥离强度，符合《GB/T2792-2014胶粘带剥离强度的试验方法》黏胶玻璃强度须≥12 N/cm，提供检测机构出具的标签剥离强度测试报告（为保障所检测项目的严格性、有效性，测试报告须通过中国合格评定国家认可委员会CNAS及中国计量认证CMA认可，具备CNAS及CMA标识）。</w:t>
            </w:r>
          </w:p>
          <w:p w14:paraId="2AC4C77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▲10、为保证所投产品环境适应及使用性能，所投产品通过电磁兼容性能试验，符合GB/T 9254.1-2021《信息技术设备、多媒体设备和接收机 电磁兼容 第1部分:发射要求》、GB/T 9254.2-2021《信息技术设备、多媒体设备和接收机 电磁兼容 第2部分:抗扰度要求》、GB/T 17626.3-2016《电磁兼容试验和测量技术 射频电磁场辐射抗扰度试验》标准，提供</w:t>
            </w:r>
            <w:r>
              <w:rPr>
                <w:rFonts w:hint="eastAsia" w:asciiTheme="minorEastAsia" w:hAnsiTheme="minorEastAsia" w:eastAsiaTheme="minorEastAsia" w:cstheme="minorEastAsia"/>
                <w:color w:val="000000"/>
                <w:kern w:val="0"/>
                <w:sz w:val="24"/>
                <w:szCs w:val="24"/>
                <w:highlight w:val="none"/>
              </w:rPr>
              <w:t>具备检测资质的检测机构</w:t>
            </w:r>
            <w:r>
              <w:rPr>
                <w:rFonts w:hint="eastAsia" w:asciiTheme="minorEastAsia" w:hAnsiTheme="minorEastAsia" w:eastAsiaTheme="minorEastAsia" w:cstheme="minorEastAsia"/>
                <w:color w:val="000000"/>
                <w:kern w:val="0"/>
                <w:sz w:val="24"/>
                <w:szCs w:val="24"/>
                <w:highlight w:val="none"/>
              </w:rPr>
              <w:t>出具的检测报告（为保障所检测项目的严格性、有效性，测试报告须通过中国合格评定国家认可委员会CNAS及中国计量认证CMA认可，具备CNAS及CMA标识）。</w:t>
            </w:r>
          </w:p>
          <w:p w14:paraId="4991BC6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服务要求：</w:t>
            </w:r>
          </w:p>
          <w:p w14:paraId="0DC015E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为保证未来使用过程中问题反馈及解决的时效性，投标人或生产厂商具有客户投诉管理体系认证，提供证书扫描件并加盖投标人公章（认证范围需至少包括射频技术智能识别系统和图书馆公共管理系统开发，提供全国认证认可信息公共服务平台查询结果）。</w:t>
            </w:r>
          </w:p>
        </w:tc>
      </w:tr>
      <w:tr w14:paraId="088D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A04FDF7">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1134" w:type="dxa"/>
            <w:noWrap w:val="0"/>
            <w:vAlign w:val="center"/>
          </w:tcPr>
          <w:p w14:paraId="1465E2B0">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馆员工作站</w:t>
            </w:r>
          </w:p>
        </w:tc>
        <w:tc>
          <w:tcPr>
            <w:tcW w:w="7088" w:type="dxa"/>
            <w:noWrap w:val="0"/>
            <w:vAlign w:val="center"/>
          </w:tcPr>
          <w:p w14:paraId="128809B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功能要求：</w:t>
            </w:r>
          </w:p>
          <w:p w14:paraId="30D5DCB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1、须符合相关行业标准，如ISO18000-6C标准。</w:t>
            </w:r>
          </w:p>
          <w:p w14:paraId="01B8789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2、RFID 阅读器、天线采用一体化设计，非散件方式，且轻便方便移动。</w:t>
            </w:r>
          </w:p>
          <w:p w14:paraId="670D5AB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3、通过标准串口或 USB 接口连接至计算机设备。</w:t>
            </w:r>
          </w:p>
          <w:p w14:paraId="4075D09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4、可对 RFID 标签非接触式地进行阅读，可以将流通资料的相关信息快速写入标签。</w:t>
            </w:r>
          </w:p>
          <w:p w14:paraId="0DE63FD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5、必须具备防冲突功能，能保证多个标签同时可靠识别。</w:t>
            </w:r>
          </w:p>
          <w:p w14:paraId="6CC0473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6、RFID天线必须采用屏蔽式设计，适用于各种现场应用场合，保证只能在天线上方的 RFID图书能够识别。</w:t>
            </w:r>
          </w:p>
          <w:p w14:paraId="59E853E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7、标签加工程序有准确的操作提示，若条码录入成功，能够显示录入的条码信息及预设信息，若录入失败，界面会显示录入失败提示。</w:t>
            </w:r>
          </w:p>
          <w:p w14:paraId="6AB60E1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8、图书批量转换过程中，不需要按动鼠标或键盘操作 RFID 标签软件即可实现标签快速转换。</w:t>
            </w:r>
          </w:p>
          <w:p w14:paraId="57B6971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9、具有RFID标签信息读取、写入功能，防盗位改写功能，可对条形码进行识别转换后，将条码号写入RFID标签。</w:t>
            </w:r>
          </w:p>
          <w:p w14:paraId="4D17A9C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10、系统可实现与图书馆业务系统关联，实现RFID流通资料的借还功能。</w:t>
            </w:r>
          </w:p>
          <w:p w14:paraId="7C20CA1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▲11、系统具备标签转换工作量统计功能，可按人、时间生成统计报表并导出数据（提供</w:t>
            </w:r>
            <w:r>
              <w:rPr>
                <w:rFonts w:hint="eastAsia" w:asciiTheme="minorEastAsia" w:hAnsiTheme="minorEastAsia" w:eastAsiaTheme="minorEastAsia" w:cstheme="minorEastAsia"/>
                <w:kern w:val="0"/>
                <w:sz w:val="24"/>
                <w:szCs w:val="24"/>
                <w:highlight w:val="none"/>
              </w:rPr>
              <w:t>具备检测资质的检测机构</w:t>
            </w:r>
            <w:r>
              <w:rPr>
                <w:rFonts w:hint="eastAsia" w:asciiTheme="minorEastAsia" w:hAnsiTheme="minorEastAsia" w:eastAsiaTheme="minorEastAsia" w:cstheme="minorEastAsia"/>
                <w:kern w:val="0"/>
                <w:sz w:val="24"/>
                <w:szCs w:val="24"/>
                <w:highlight w:val="none"/>
              </w:rPr>
              <w:t>出具的检测报告）。</w:t>
            </w:r>
          </w:p>
          <w:p w14:paraId="016800D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技术要求：</w:t>
            </w:r>
          </w:p>
          <w:p w14:paraId="72D0A63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1、工作频率/遵循标准：860-960MHz/ISO18000-6C。</w:t>
            </w:r>
          </w:p>
          <w:p w14:paraId="33E49A7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2、规格尺寸：≤433mm * 297mm * 34mm (长*宽*高)。</w:t>
            </w:r>
          </w:p>
          <w:p w14:paraId="43C9402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3、一体式馆员阅读器材质：铝合金和玻璃。</w:t>
            </w:r>
          </w:p>
          <w:p w14:paraId="5B70C1F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4、设备净重：≤5kg。</w:t>
            </w:r>
          </w:p>
          <w:p w14:paraId="2E239F8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5、识读性能：读写距离可达 15cm 以上，5 本/次。</w:t>
            </w:r>
          </w:p>
          <w:p w14:paraId="6F723AC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6、RFID 阅读器通信接口：RS-232；USB 供电要求：AC 220V，50Hz。</w:t>
            </w:r>
          </w:p>
          <w:p w14:paraId="767C9DA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天线板须采用一体化设计，读取面板尺寸须大于标准A4纸张尺寸，图书可任意角度平放摆放。同时为减少误读率，操作天线板表面须有高低差设计以区分天线板的天线感应区和其他区域，提供图示材料证明文件并加盖投标人公章。</w:t>
            </w:r>
          </w:p>
          <w:p w14:paraId="7FDCD6E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8、所投设备型号防水、防尘等级须≥IP65，符合GB/T4208-2017外壳防护等级，且通过IP防护等级测试，提供第三方检测机构出具的认证证书。</w:t>
            </w:r>
          </w:p>
          <w:p w14:paraId="4763BDB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为保证所投产品环境适应及使用性能，所投产品需通过电磁兼容性能试验，符合《GB/T17626.13-2006交流电源端口谐波、谐间波及电网信号的低频抗扰度试验》、《GB/T17626.14-2005电压波动抗扰度试验》和《GB/T17626.28-2006工频频率变化抗扰度试验》标准, 提供中国计量认证CMA及中国合格评定国家认可委员会CNAS认可的检测机构出具的相关证明文件（证明文件具有CMA及CNAS标识）复印件并加盖投标人公章。</w:t>
            </w:r>
          </w:p>
          <w:p w14:paraId="0C05E36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为保证所投产品环境适应及使用性能，所投设备读写器通过恒定湿热试验（温湿度40℃，85%RH，试验时间≥12h）性能试验，试验后，样品外观结构和功能正常，样品能正常读取标签信息。符合恒定湿热试验等国家和行业相关标准，提供</w:t>
            </w:r>
            <w:r>
              <w:rPr>
                <w:rFonts w:hint="eastAsia" w:asciiTheme="minorEastAsia" w:hAnsiTheme="minorEastAsia" w:eastAsiaTheme="minorEastAsia" w:cstheme="minorEastAsia"/>
                <w:kern w:val="0"/>
                <w:sz w:val="24"/>
                <w:szCs w:val="24"/>
                <w:highlight w:val="none"/>
              </w:rPr>
              <w:t>具备检测资质的检测机构出具</w:t>
            </w:r>
            <w:r>
              <w:rPr>
                <w:rFonts w:hint="eastAsia" w:asciiTheme="minorEastAsia" w:hAnsiTheme="minorEastAsia" w:eastAsiaTheme="minorEastAsia" w:cstheme="minorEastAsia"/>
                <w:kern w:val="0"/>
                <w:sz w:val="24"/>
                <w:szCs w:val="24"/>
                <w:highlight w:val="none"/>
              </w:rPr>
              <w:t>的检测报告（为保障所检测项目的严格性、有效性，测试报告须通过中国合格评定国家认可委员会CNAS及中国计量认证CMA认可，具备CNAS及CMA标识）。</w:t>
            </w:r>
          </w:p>
          <w:p w14:paraId="40D2931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▲11、为了保证产品使用的可靠性，所投产品需通过GB/T 5080.7-1986《设备可靠性试验恒定失效率假设下的失效率与平均无故障时间的验证试验方案》、GB/T18239-2000《集成电路(IC)卡读写机通用规范》，其可靠性指标MTBF的m1值需不低于10000h，</w:t>
            </w:r>
            <w:r>
              <w:rPr>
                <w:rFonts w:hint="eastAsia" w:asciiTheme="minorEastAsia" w:hAnsiTheme="minorEastAsia" w:eastAsiaTheme="minorEastAsia" w:cstheme="minorEastAsia"/>
                <w:kern w:val="0"/>
                <w:sz w:val="24"/>
                <w:szCs w:val="24"/>
                <w:highlight w:val="none"/>
              </w:rPr>
              <w:t>提供具备检测资质的检测机构出具</w:t>
            </w:r>
            <w:r>
              <w:rPr>
                <w:rFonts w:hint="eastAsia" w:asciiTheme="minorEastAsia" w:hAnsiTheme="minorEastAsia" w:eastAsiaTheme="minorEastAsia" w:cstheme="minorEastAsia"/>
                <w:kern w:val="0"/>
                <w:sz w:val="24"/>
                <w:szCs w:val="24"/>
                <w:highlight w:val="none"/>
              </w:rPr>
              <w:t>的检测报告（为保障所检测项目的严格性、有效性，测试报告须通过中国合格评定国家认可委员会CNAS及中国计量认证CMA认可，具备CNAS及CMA标识）。</w:t>
            </w:r>
          </w:p>
          <w:p w14:paraId="33B1238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▲12、为保证所投产品环境适应及使用性能，所投设备读写器通过低气压试验性能试验，试验后，样品外观结构和功能正常，样品能正常读取标签信息。符合低气压试验等国家和行业相关标准，提供</w:t>
            </w:r>
            <w:r>
              <w:rPr>
                <w:rFonts w:hint="eastAsia" w:asciiTheme="minorEastAsia" w:hAnsiTheme="minorEastAsia" w:eastAsiaTheme="minorEastAsia" w:cstheme="minorEastAsia"/>
                <w:kern w:val="0"/>
                <w:sz w:val="24"/>
                <w:szCs w:val="24"/>
                <w:highlight w:val="none"/>
              </w:rPr>
              <w:t>具备检测资质的检测机构出具的</w:t>
            </w:r>
            <w:r>
              <w:rPr>
                <w:rFonts w:hint="eastAsia" w:asciiTheme="minorEastAsia" w:hAnsiTheme="minorEastAsia" w:eastAsiaTheme="minorEastAsia" w:cstheme="minorEastAsia"/>
                <w:kern w:val="0"/>
                <w:sz w:val="24"/>
                <w:szCs w:val="24"/>
                <w:highlight w:val="none"/>
              </w:rPr>
              <w:t>检测报告（为保障所检测项目的严格性、有效性，测试报告须通过中国合格评定国家认可委员会CNAS认可，具备CNAS标识）。</w:t>
            </w:r>
          </w:p>
          <w:p w14:paraId="2F100CD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服务要求：</w:t>
            </w:r>
          </w:p>
          <w:p w14:paraId="7E7E625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▲1、投标人或生产厂商须具备持续创新的软硬件、服务升级能力，并保障招标人所采购设备符合国家知识产权规定，投标人或生产厂商须具有知识产权管理体系认证证书标准，须提供复印件加盖投标人公章。</w:t>
            </w:r>
          </w:p>
          <w:p w14:paraId="6F3BD32B">
            <w:pPr>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rPr>
              <w:t>▲2、为保证未来使用过程中问题反馈及解决的时效性，投标人或生产厂商具有客户投诉管理体系认证，提供证书扫描件并加盖投标人公章（认证范围需至少包括射频技术智能识别系统和图书馆公共管理系统开发，提供全国认证认可信息公共服务平台查询结果）。</w:t>
            </w:r>
          </w:p>
          <w:p w14:paraId="3143FBE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为保证系统安全稳定，投标人或生产厂商具有信息安全服务资质认证证书，提供证书扫描件并加盖投标人公章。（认证范围需至少包括软件安全开发服务、信息系统安全集成服务，提供认证证书复印件及全国认证认可信息公共服务平台查询结果。）。</w:t>
            </w:r>
          </w:p>
        </w:tc>
      </w:tr>
      <w:tr w14:paraId="790C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15585B0">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w:t>
            </w:r>
          </w:p>
        </w:tc>
        <w:tc>
          <w:tcPr>
            <w:tcW w:w="1134" w:type="dxa"/>
            <w:noWrap w:val="0"/>
            <w:vAlign w:val="center"/>
          </w:tcPr>
          <w:p w14:paraId="2443FE72">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立式自助借还书机</w:t>
            </w:r>
          </w:p>
        </w:tc>
        <w:tc>
          <w:tcPr>
            <w:tcW w:w="7088" w:type="dxa"/>
            <w:noWrap w:val="0"/>
            <w:vAlign w:val="center"/>
          </w:tcPr>
          <w:p w14:paraId="3758A40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功能要求</w:t>
            </w:r>
          </w:p>
          <w:p w14:paraId="26E6E03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1、须符合国际标准ISO18000-6C 空中接口标准。</w:t>
            </w:r>
          </w:p>
          <w:p w14:paraId="4B437BF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2、可以非接触式地快速识别粘贴在流通资料上的RFID标签，所投设备须具有能屏蔽电磁信号的图书放置槽，同时设备具有置物平台，可以放置读者随身携带的包、水杯等。</w:t>
            </w:r>
          </w:p>
          <w:p w14:paraId="3ECC6EC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3、支持图书馆使用的借书证、身份证、一卡通、人脸识别、动态二维码。</w:t>
            </w:r>
          </w:p>
          <w:p w14:paraId="5DD3B49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4、系统有读者可选择的借还、续借、借阅查询、查询密码和修改密码等功能，可以按照实际需要增添部分功能。</w:t>
            </w:r>
          </w:p>
          <w:p w14:paraId="45DAB7F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5、系统支持多本人脸识别借还书，支持可由用户设置的凭条打印。</w:t>
            </w:r>
          </w:p>
          <w:p w14:paraId="3A965C3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6、可根据图书管理系统需要设置为要求用户输入密码。</w:t>
            </w:r>
          </w:p>
          <w:p w14:paraId="53EE378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7、具备安全设计，杜绝借还过程中出现漏读、误读现象。</w:t>
            </w:r>
          </w:p>
          <w:p w14:paraId="0864950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8、系统必须提供准确的工作统计，如交易数量、交易类型、成功与否的交易统计等。</w:t>
            </w:r>
          </w:p>
          <w:p w14:paraId="7827CBB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9、设备在空闲时可自动播放使用帮助视频或其它设置内容。</w:t>
            </w:r>
          </w:p>
          <w:p w14:paraId="35E0E08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10、提供可调控音量的语音提示操作的功能。</w:t>
            </w:r>
          </w:p>
          <w:p w14:paraId="66215FC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11、内置打印机有缺纸报警功能并能在系统界面进行提示。</w:t>
            </w:r>
          </w:p>
          <w:p w14:paraId="38997D6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12、设备可通过标准串口、USB接口、有线网络接口或无线网络连接至计算机设备，同时外观无读者可利用的任何接口。</w:t>
            </w:r>
          </w:p>
          <w:p w14:paraId="7A16CCB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13、系统拥有远程监控和诊断功能。</w:t>
            </w:r>
          </w:p>
          <w:p w14:paraId="6C2C7E9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14、在设备意外断电情况下，系统可设置支持离线操作模式（包括图书馆网络故障，仍然能提供借还书服务），并在连线后，有完善的后续处理功能。</w:t>
            </w:r>
          </w:p>
          <w:p w14:paraId="7B69014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15、系统必须提供自动续连功能，在网络短暂故障恢复后，自动连接流通系统服务器，并恢复自助服务,无需馆员协助连接或重新启动服务。</w:t>
            </w:r>
          </w:p>
          <w:p w14:paraId="11B3844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16、设备软件具有升级功能，可以提供配套移动端在线听书软件，实现读者在线听书，提供移动端在线听书系统软件著作权复印件。</w:t>
            </w:r>
          </w:p>
          <w:p w14:paraId="0BA2AAF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17、展示推荐有声资源</w:t>
            </w:r>
          </w:p>
          <w:p w14:paraId="5FB8171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▲17.1精选推荐：首页轮播图推荐精选的有声资源，点击轮播图可以查看更多有声资源。（提供具有CMA及CNAS标识</w:t>
            </w:r>
            <w:r>
              <w:rPr>
                <w:rFonts w:hint="eastAsia" w:asciiTheme="minorEastAsia" w:hAnsiTheme="minorEastAsia" w:eastAsiaTheme="minorEastAsia" w:cstheme="minorEastAsia"/>
                <w:kern w:val="0"/>
                <w:sz w:val="24"/>
                <w:szCs w:val="24"/>
                <w:highlight w:val="none"/>
              </w:rPr>
              <w:t>的具备检测资质的检测机构出具</w:t>
            </w:r>
            <w:r>
              <w:rPr>
                <w:rFonts w:hint="eastAsia" w:asciiTheme="minorEastAsia" w:hAnsiTheme="minorEastAsia" w:eastAsiaTheme="minorEastAsia" w:cstheme="minorEastAsia"/>
                <w:kern w:val="0"/>
                <w:sz w:val="24"/>
                <w:szCs w:val="24"/>
                <w:highlight w:val="none"/>
              </w:rPr>
              <w:t>的功能检测报告扫描件进行佐证）</w:t>
            </w:r>
          </w:p>
          <w:p w14:paraId="3F808DE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▲17.2每个分类下默认显示不少于6张专辑，有声资源内容随着后台的内容更新而更新。</w:t>
            </w:r>
          </w:p>
          <w:p w14:paraId="570E3E6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1）分类可配置：从轮播图可以查看更多分类，默认显示6个有声资源分类，可配置显示更多分类。（提供具有CMA及CNAS标识的</w:t>
            </w:r>
            <w:r>
              <w:rPr>
                <w:rFonts w:hint="eastAsia" w:asciiTheme="minorEastAsia" w:hAnsiTheme="minorEastAsia" w:eastAsiaTheme="minorEastAsia" w:cstheme="minorEastAsia"/>
                <w:kern w:val="0"/>
                <w:sz w:val="24"/>
                <w:szCs w:val="24"/>
                <w:highlight w:val="none"/>
              </w:rPr>
              <w:t>具备检测资质的检测机构出具的</w:t>
            </w:r>
            <w:r>
              <w:rPr>
                <w:rFonts w:hint="eastAsia" w:asciiTheme="minorEastAsia" w:hAnsiTheme="minorEastAsia" w:eastAsiaTheme="minorEastAsia" w:cstheme="minorEastAsia"/>
                <w:kern w:val="0"/>
                <w:sz w:val="24"/>
                <w:szCs w:val="24"/>
                <w:highlight w:val="none"/>
              </w:rPr>
              <w:t>功能检测报告扫描件进行佐证）</w:t>
            </w:r>
          </w:p>
          <w:p w14:paraId="54B4535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2）数量可配置：借还书之后下方默认推荐6张有声资源专辑，可配置显示更多数量。（提供具有CMA及CNAS标识的</w:t>
            </w:r>
            <w:r>
              <w:rPr>
                <w:rFonts w:hint="eastAsia" w:asciiTheme="minorEastAsia" w:hAnsiTheme="minorEastAsia" w:eastAsiaTheme="minorEastAsia" w:cstheme="minorEastAsia"/>
                <w:kern w:val="0"/>
                <w:sz w:val="24"/>
                <w:szCs w:val="24"/>
                <w:highlight w:val="none"/>
              </w:rPr>
              <w:t>具备检测资质的检测机构出</w:t>
            </w:r>
            <w:r>
              <w:rPr>
                <w:rFonts w:hint="eastAsia" w:asciiTheme="minorEastAsia" w:hAnsiTheme="minorEastAsia" w:eastAsiaTheme="minorEastAsia" w:cstheme="minorEastAsia"/>
                <w:kern w:val="0"/>
                <w:sz w:val="24"/>
                <w:szCs w:val="24"/>
                <w:highlight w:val="none"/>
              </w:rPr>
              <w:t>具的功能检测报告扫描件进行佐证）</w:t>
            </w:r>
          </w:p>
          <w:p w14:paraId="23EB324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▲17.3借书推荐：完成图书借阅之后，根据本次所借书籍，屏幕下方显示推荐相关的有声资源。（提供具有CMA及CNAS标识的</w:t>
            </w:r>
            <w:r>
              <w:rPr>
                <w:rFonts w:hint="eastAsia" w:asciiTheme="minorEastAsia" w:hAnsiTheme="minorEastAsia" w:eastAsiaTheme="minorEastAsia" w:cstheme="minorEastAsia"/>
                <w:kern w:val="0"/>
                <w:sz w:val="24"/>
                <w:szCs w:val="24"/>
                <w:highlight w:val="none"/>
              </w:rPr>
              <w:t>具备检测资质的检测机构出具</w:t>
            </w:r>
            <w:r>
              <w:rPr>
                <w:rFonts w:hint="eastAsia" w:asciiTheme="minorEastAsia" w:hAnsiTheme="minorEastAsia" w:eastAsiaTheme="minorEastAsia" w:cstheme="minorEastAsia"/>
                <w:kern w:val="0"/>
                <w:sz w:val="24"/>
                <w:szCs w:val="24"/>
                <w:highlight w:val="none"/>
              </w:rPr>
              <w:t>的功能检测报告扫描件进行佐证）</w:t>
            </w:r>
          </w:p>
          <w:p w14:paraId="257A4BC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▲17.4还书推荐：根据本次所还书籍，屏幕下方显示推荐相关的有声资源。（提供具有CMA及CNAS标识</w:t>
            </w:r>
            <w:r>
              <w:rPr>
                <w:rFonts w:hint="eastAsia" w:asciiTheme="minorEastAsia" w:hAnsiTheme="minorEastAsia" w:eastAsiaTheme="minorEastAsia" w:cstheme="minorEastAsia"/>
                <w:kern w:val="0"/>
                <w:sz w:val="24"/>
                <w:szCs w:val="24"/>
                <w:highlight w:val="none"/>
              </w:rPr>
              <w:t>的具备检测资质的检测机构出具的功能检测报告扫描件进行佐证）</w:t>
            </w:r>
          </w:p>
          <w:p w14:paraId="6F1DC77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▲17.5查询/续借推荐：根据借阅历史，屏幕下方显示推荐相关的有声资源。（提供具有CMA及CNAS标识的</w:t>
            </w:r>
            <w:r>
              <w:rPr>
                <w:rFonts w:hint="eastAsia" w:asciiTheme="minorEastAsia" w:hAnsiTheme="minorEastAsia" w:eastAsiaTheme="minorEastAsia" w:cstheme="minorEastAsia"/>
                <w:kern w:val="0"/>
                <w:sz w:val="24"/>
                <w:szCs w:val="24"/>
                <w:highlight w:val="none"/>
              </w:rPr>
              <w:t>具备检测资质的检测机构出具的</w:t>
            </w:r>
            <w:r>
              <w:rPr>
                <w:rFonts w:hint="eastAsia" w:asciiTheme="minorEastAsia" w:hAnsiTheme="minorEastAsia" w:eastAsiaTheme="minorEastAsia" w:cstheme="minorEastAsia"/>
                <w:kern w:val="0"/>
                <w:sz w:val="24"/>
                <w:szCs w:val="24"/>
                <w:highlight w:val="none"/>
              </w:rPr>
              <w:t>功能检测报告扫描件进行佐证）</w:t>
            </w:r>
          </w:p>
          <w:p w14:paraId="36D4790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▲17.6在屏幕推荐的书籍，可以使用微信扫描书籍二维码，无需读者下载客户端即可在手机借阅有声书资源。（提供具有CMA及CNAS标识</w:t>
            </w:r>
            <w:r>
              <w:rPr>
                <w:rFonts w:hint="eastAsia" w:asciiTheme="minorEastAsia" w:hAnsiTheme="minorEastAsia" w:eastAsiaTheme="minorEastAsia" w:cstheme="minorEastAsia"/>
                <w:kern w:val="0"/>
                <w:sz w:val="24"/>
                <w:szCs w:val="24"/>
                <w:highlight w:val="none"/>
              </w:rPr>
              <w:t>的具备检测资质的检测机构出具的</w:t>
            </w:r>
            <w:r>
              <w:rPr>
                <w:rFonts w:hint="eastAsia" w:asciiTheme="minorEastAsia" w:hAnsiTheme="minorEastAsia" w:eastAsiaTheme="minorEastAsia" w:cstheme="minorEastAsia"/>
                <w:kern w:val="0"/>
                <w:sz w:val="24"/>
                <w:szCs w:val="24"/>
                <w:highlight w:val="none"/>
              </w:rPr>
              <w:t>功能检测报告扫描件进行佐证）</w:t>
            </w:r>
          </w:p>
          <w:p w14:paraId="3DD0C77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▲18、讲书资源支持与樊登读书或喜马拉雅或蜻蜓FM国内知名有声平台实现对接，无版权纠纷,提供正版授权文件。</w:t>
            </w:r>
          </w:p>
          <w:p w14:paraId="429A933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技术要求：</w:t>
            </w:r>
          </w:p>
          <w:p w14:paraId="1F456C8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1、响应速度：不少于每秒5个标签（图书厚度为25mm）。</w:t>
            </w:r>
          </w:p>
          <w:p w14:paraId="158EFE6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2、识读性能：读写距离可达15cm以上。</w:t>
            </w:r>
          </w:p>
          <w:p w14:paraId="1B331A1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3、通信接口：USB、RS232、RJ45、千兆自适应网口、802.11n等。</w:t>
            </w:r>
          </w:p>
          <w:p w14:paraId="4E89D28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4、主触摸显示屏：≥21.5 寸 1920*1080 竖屏，对比度 1500:1，电容屏。</w:t>
            </w:r>
          </w:p>
          <w:p w14:paraId="6537219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5、工控机性能：CPU≥I5- 4570，四核CPU，8G内存DDR3，512G固态硬盘，Windows10企业版。</w:t>
            </w:r>
          </w:p>
          <w:p w14:paraId="62669AA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6、工作温度：0℃～ 50℃，相对湿度5% ～ 95%。</w:t>
            </w:r>
          </w:p>
          <w:p w14:paraId="5EE8FEB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7、机体材质：冷轧钢板，汽车烤漆工艺等环保材质。</w:t>
            </w:r>
          </w:p>
          <w:p w14:paraId="749031C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8、支持读者证类型：ISO15693 、ISO14443A、身份证等。</w:t>
            </w:r>
          </w:p>
          <w:p w14:paraId="72CDFA0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9、选配模块：一维二维条码模块 (用于识别条码读者证)。</w:t>
            </w:r>
          </w:p>
          <w:p w14:paraId="71458F8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10、所投设备型号防水、防尘等级须≥IP65，符合 GB/T4208-2017外壳防护等级，且通过IP防护等级测试，具有相关检测报告，提供第三方检测机构出具的认证证书。</w:t>
            </w:r>
          </w:p>
          <w:p w14:paraId="2179210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为保证所投产品环境适应及使用性能，所投产品需通过电磁兼容性能试验，符合《GB/T17626.13-2006交流电源端口谐波、谐间波及电网信号的低频抗扰度试验》、《GB/T17626.14-2005电压波动抗扰度试验》和《GB/T17626.28-2006工频频率变化抗扰度试验》标准, 提供中国计量认证CMA及中国合格评定国家认可委员会CNAS认可的检测机构出具的相关证明文件（证明文件具有CMA及CNAS标识）复印件并加盖投标人公章。</w:t>
            </w:r>
          </w:p>
          <w:p w14:paraId="58EDBDC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为保证所投产品环境适应及使用性能，所投设备读写器通过恒定湿热试验（温湿度40℃，85%RH，试验时间≥12h）性能试验，试验后，样品外观结构和功能正常，样品能正常读取标签信息。符合恒定湿热试验等国家和行业相关标准，提</w:t>
            </w:r>
            <w:r>
              <w:rPr>
                <w:rFonts w:hint="eastAsia" w:asciiTheme="minorEastAsia" w:hAnsiTheme="minorEastAsia" w:eastAsiaTheme="minorEastAsia" w:cstheme="minorEastAsia"/>
                <w:kern w:val="0"/>
                <w:sz w:val="24"/>
                <w:szCs w:val="24"/>
                <w:highlight w:val="none"/>
              </w:rPr>
              <w:t>供具备检测资质的检测机构出具的检测</w:t>
            </w:r>
            <w:r>
              <w:rPr>
                <w:rFonts w:hint="eastAsia" w:asciiTheme="minorEastAsia" w:hAnsiTheme="minorEastAsia" w:eastAsiaTheme="minorEastAsia" w:cstheme="minorEastAsia"/>
                <w:kern w:val="0"/>
                <w:sz w:val="24"/>
                <w:szCs w:val="24"/>
                <w:highlight w:val="none"/>
              </w:rPr>
              <w:t>报告（为保障所检测项目的严格性、有效性，测试报告须通过中国合格评定国家认可委员会CNAS及中国计量认证CMA认可，具备CNAS及CMA标识）</w:t>
            </w:r>
            <w:r>
              <w:rPr>
                <w:rFonts w:hint="eastAsia" w:asciiTheme="minorEastAsia" w:hAnsiTheme="minorEastAsia" w:eastAsiaTheme="minorEastAsia" w:cstheme="minorEastAsia"/>
                <w:color w:val="000000"/>
                <w:kern w:val="0"/>
                <w:sz w:val="24"/>
                <w:szCs w:val="24"/>
                <w:highlight w:val="none"/>
              </w:rPr>
              <w:t>。</w:t>
            </w:r>
          </w:p>
          <w:p w14:paraId="1F57B55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13、为保证设备运输过程中性能不受影响，设备通过振动试验，符合《GB/T 4857.23》振动试验标准，在温度：24℃；湿度：58%RH的环境下，X，Y，Z 轴试验各试验4小时，总振动测试12小时后，样品外包装箱无变形损坏，，</w:t>
            </w:r>
            <w:r>
              <w:rPr>
                <w:rFonts w:hint="eastAsia" w:asciiTheme="minorEastAsia" w:hAnsiTheme="minorEastAsia" w:eastAsiaTheme="minorEastAsia" w:cstheme="minorEastAsia"/>
                <w:kern w:val="0"/>
                <w:sz w:val="24"/>
                <w:szCs w:val="24"/>
                <w:highlight w:val="none"/>
              </w:rPr>
              <w:t>提供具备检测资质的检测机构出具</w:t>
            </w:r>
            <w:r>
              <w:rPr>
                <w:rFonts w:hint="eastAsia" w:asciiTheme="minorEastAsia" w:hAnsiTheme="minorEastAsia" w:eastAsiaTheme="minorEastAsia" w:cstheme="minorEastAsia"/>
                <w:kern w:val="0"/>
                <w:sz w:val="24"/>
                <w:szCs w:val="24"/>
                <w:highlight w:val="none"/>
              </w:rPr>
              <w:t>的检测报告（为保障所检测项目的严格性、有效性，测试报告须通过中国合格评定国家认可委员会CNAS及中国计量认证CMA认可，具备CNAS及CMA标识）</w:t>
            </w:r>
            <w:r>
              <w:rPr>
                <w:rFonts w:hint="eastAsia" w:asciiTheme="minorEastAsia" w:hAnsiTheme="minorEastAsia" w:eastAsiaTheme="minorEastAsia" w:cstheme="minorEastAsia"/>
                <w:color w:val="000000"/>
                <w:kern w:val="0"/>
                <w:sz w:val="24"/>
                <w:szCs w:val="24"/>
                <w:highlight w:val="none"/>
              </w:rPr>
              <w:t>。</w:t>
            </w:r>
          </w:p>
          <w:p w14:paraId="495625F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▲14、为保证所投产品环境适应及使用性能，所投设备读写器通过低气压试验性能试验，试验后，样品外观结构和功能正常，样品能正常读取标签信息。符合低气压试验等国家和行业相关标准，</w:t>
            </w:r>
            <w:r>
              <w:rPr>
                <w:rFonts w:hint="eastAsia" w:asciiTheme="minorEastAsia" w:hAnsiTheme="minorEastAsia" w:eastAsiaTheme="minorEastAsia" w:cstheme="minorEastAsia"/>
                <w:kern w:val="0"/>
                <w:sz w:val="24"/>
                <w:szCs w:val="24"/>
                <w:highlight w:val="none"/>
              </w:rPr>
              <w:t>提供具备检测资质的检测机构出具的检测</w:t>
            </w:r>
            <w:r>
              <w:rPr>
                <w:rFonts w:hint="eastAsia" w:asciiTheme="minorEastAsia" w:hAnsiTheme="minorEastAsia" w:eastAsiaTheme="minorEastAsia" w:cstheme="minorEastAsia"/>
                <w:kern w:val="0"/>
                <w:sz w:val="24"/>
                <w:szCs w:val="24"/>
                <w:highlight w:val="none"/>
              </w:rPr>
              <w:t>报告（为保障所检测项目的严格性、有效性，测试报告须通过中国合格评定国家认可委员会CNAS认可，具备CNAS标识）。</w:t>
            </w:r>
          </w:p>
          <w:p w14:paraId="2C2508B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▲15、为了保证产品使用的可靠性，所投产品需通过GB/T 5080.7-1986《设备可靠性试验恒定失效率假设下的失效率与平均无故障时间的验证试验方案》、GB/T18239-2000《集成电路(IC)卡读写机通用规范》，其可靠性指标MTBF的m1值需不低于10000 h，</w:t>
            </w:r>
            <w:r>
              <w:rPr>
                <w:rFonts w:hint="eastAsia" w:asciiTheme="minorEastAsia" w:hAnsiTheme="minorEastAsia" w:eastAsiaTheme="minorEastAsia" w:cstheme="minorEastAsia"/>
                <w:kern w:val="0"/>
                <w:sz w:val="24"/>
                <w:szCs w:val="24"/>
                <w:highlight w:val="none"/>
              </w:rPr>
              <w:t>提供具备检测资质的检测机构出具的</w:t>
            </w:r>
            <w:r>
              <w:rPr>
                <w:rFonts w:hint="eastAsia" w:asciiTheme="minorEastAsia" w:hAnsiTheme="minorEastAsia" w:eastAsiaTheme="minorEastAsia" w:cstheme="minorEastAsia"/>
                <w:kern w:val="0"/>
                <w:sz w:val="24"/>
                <w:szCs w:val="24"/>
                <w:highlight w:val="none"/>
              </w:rPr>
              <w:t>检测报告（为保障所检测项目的严格性、有效性，测试报告须通过中国合格评定国家认可委员会CNAS及中国计量认证CMA认可，具备CNAS及CMA标识）。</w:t>
            </w:r>
          </w:p>
          <w:p w14:paraId="3E3CCAEB">
            <w:pPr>
              <w:pStyle w:val="2"/>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、每个自助借还机需要配一个沉降式还书箱</w:t>
            </w:r>
          </w:p>
          <w:p w14:paraId="718BA313">
            <w:pPr>
              <w:pStyle w:val="2"/>
              <w:ind w:left="0" w:leftChars="0" w:firstLine="0"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技术要求:</w:t>
            </w:r>
          </w:p>
          <w:p w14:paraId="1D8C2B38">
            <w:pPr>
              <w:pStyle w:val="2"/>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eastAsiaTheme="minorEastAsia" w:cstheme="minorEastAsia"/>
                <w:kern w:val="0"/>
                <w:sz w:val="24"/>
                <w:szCs w:val="24"/>
                <w:highlight w:val="none"/>
                <w:lang w:val="en-US" w:eastAsia="zh-CN"/>
              </w:rPr>
              <w:t>1、材质要求:电泳铝型材，铝塑纤维板，毛毯，超静音耐磨脚轮，不锈钢无缝拉手；</w:t>
            </w:r>
          </w:p>
          <w:p w14:paraId="773CFF9B">
            <w:pPr>
              <w:pStyle w:val="2"/>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eastAsiaTheme="minorEastAsia" w:cstheme="minorEastAsia"/>
                <w:kern w:val="0"/>
                <w:sz w:val="24"/>
                <w:szCs w:val="24"/>
                <w:highlight w:val="none"/>
                <w:lang w:val="en-US" w:eastAsia="zh-CN"/>
              </w:rPr>
              <w:t>2、要求外观美观大方，结构稳定，前后四轮均可自由转向，方便载重推向，前两轮带刹车可锁死，防止无意推动，整体设计不易攀爬，防止倾倒。</w:t>
            </w:r>
          </w:p>
          <w:p w14:paraId="2D5D6D8C">
            <w:pPr>
              <w:pStyle w:val="2"/>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eastAsiaTheme="minorEastAsia" w:cstheme="minorEastAsia"/>
                <w:kern w:val="0"/>
                <w:sz w:val="24"/>
                <w:szCs w:val="24"/>
                <w:highlight w:val="none"/>
                <w:lang w:val="en-US" w:eastAsia="zh-CN"/>
              </w:rPr>
              <w:t>3、要求可方便移动，适用不同环境。</w:t>
            </w:r>
          </w:p>
          <w:p w14:paraId="2DCB78F4">
            <w:pPr>
              <w:pStyle w:val="2"/>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eastAsiaTheme="minorEastAsia" w:cstheme="minorEastAsia"/>
                <w:kern w:val="0"/>
                <w:sz w:val="24"/>
                <w:szCs w:val="24"/>
                <w:highlight w:val="none"/>
                <w:lang w:val="en-US" w:eastAsia="zh-CN"/>
              </w:rPr>
              <w:t>4、内部要求采用升降结构，根据负载自动升降，有效降低书籍滑落的撞击力，减少功能要求 书籍破损。承载板可在图书重力作用下自行适度升降。</w:t>
            </w:r>
          </w:p>
          <w:p w14:paraId="6CF40AE3">
            <w:pPr>
              <w:pStyle w:val="2"/>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eastAsiaTheme="minorEastAsia" w:cstheme="minorEastAsia"/>
                <w:kern w:val="0"/>
                <w:sz w:val="24"/>
                <w:szCs w:val="24"/>
                <w:highlight w:val="none"/>
                <w:lang w:val="en-US" w:eastAsia="zh-CN"/>
              </w:rPr>
              <w:t>5、承载板要求自由升降，无负载时升降面离上平面约680 mm，行程约450 mm。侧面封板采用高强度PVC材板，耐瞬时冲击强度高，有抗变形能力。</w:t>
            </w:r>
          </w:p>
          <w:p w14:paraId="75DC6E33">
            <w:pPr>
              <w:pStyle w:val="2"/>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eastAsiaTheme="minorEastAsia" w:cstheme="minorEastAsia"/>
                <w:kern w:val="0"/>
                <w:sz w:val="24"/>
                <w:szCs w:val="24"/>
                <w:highlight w:val="none"/>
                <w:lang w:val="en-US" w:eastAsia="zh-CN"/>
              </w:rPr>
              <w:t>6、还书时，要求静音效果好。</w:t>
            </w:r>
          </w:p>
          <w:p w14:paraId="12A3E511">
            <w:pPr>
              <w:pStyle w:val="2"/>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eastAsiaTheme="minorEastAsia" w:cstheme="minorEastAsia"/>
                <w:kern w:val="0"/>
                <w:sz w:val="24"/>
                <w:szCs w:val="24"/>
                <w:highlight w:val="none"/>
                <w:lang w:val="en-US" w:eastAsia="zh-CN"/>
              </w:rPr>
              <w:t>7、要求最大承重不低于200KG,升降托架有效最大承重不低于100KG, 抗变形数次10w以上。</w:t>
            </w:r>
          </w:p>
          <w:p w14:paraId="7A3FE728">
            <w:pPr>
              <w:pStyle w:val="2"/>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eastAsiaTheme="minorEastAsia" w:cstheme="minorEastAsia"/>
                <w:kern w:val="0"/>
                <w:sz w:val="24"/>
                <w:szCs w:val="24"/>
                <w:highlight w:val="none"/>
                <w:lang w:val="en-US" w:eastAsia="zh-CN"/>
              </w:rPr>
              <w:t>8、要求采用线性压簧结构，使得托架能随图书重量成线性比例升降。</w:t>
            </w:r>
          </w:p>
          <w:p w14:paraId="1B631FC5">
            <w:pPr>
              <w:pStyle w:val="2"/>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eastAsiaTheme="minorEastAsia" w:cstheme="minorEastAsia"/>
                <w:kern w:val="0"/>
                <w:sz w:val="24"/>
                <w:szCs w:val="24"/>
                <w:highlight w:val="none"/>
                <w:lang w:val="en-US" w:eastAsia="zh-CN"/>
              </w:rPr>
              <w:t>9、平台升降高度:≤450mm。</w:t>
            </w:r>
          </w:p>
          <w:p w14:paraId="3FD66C1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服务要求</w:t>
            </w:r>
          </w:p>
          <w:p w14:paraId="72F10A8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1、投标人或生产厂商须具备持续创新的软硬件、服务升级能力，并保障招标人所采购设备符合国家知识产权规定，投标人或生产厂商须具有知识产权管理体系认证证书标准，须提供复印件加盖投标人公章。</w:t>
            </w:r>
          </w:p>
          <w:p w14:paraId="3DFA9AE3">
            <w:pPr>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2、为保证未来使用过程中问题反馈及解决的时效性，投标人或生产厂商具有客户投诉管理体系认证，提供证书扫描件并加盖投标人公章（认证范围需至少包括射频技术智能识别系统和图书馆公共管理系统开发，提供全国认证认可信息公共服务平台查询结果）。</w:t>
            </w:r>
          </w:p>
          <w:p w14:paraId="08C0C34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3、为保证系统安全稳定，投标人或生产厂商具有信息安全服务资质认证证书，提供证书扫描件并加盖投标人公章。（认证范围需至少包括软件安全开发服务、信息系统安全集成服务，提供认证证书复印件及全国认证认可信息公共服务平台查询结果。）。</w:t>
            </w:r>
          </w:p>
        </w:tc>
      </w:tr>
      <w:tr w14:paraId="2F76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791AE43">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w:t>
            </w:r>
          </w:p>
        </w:tc>
        <w:tc>
          <w:tcPr>
            <w:tcW w:w="1134" w:type="dxa"/>
            <w:noWrap w:val="0"/>
            <w:vAlign w:val="center"/>
          </w:tcPr>
          <w:p w14:paraId="1E4C112C">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多通道智能门禁（3通道）</w:t>
            </w:r>
          </w:p>
        </w:tc>
        <w:tc>
          <w:tcPr>
            <w:tcW w:w="7088" w:type="dxa"/>
            <w:noWrap w:val="0"/>
            <w:vAlign w:val="center"/>
          </w:tcPr>
          <w:p w14:paraId="43B3F44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功能要求</w:t>
            </w:r>
          </w:p>
          <w:p w14:paraId="7228D1A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1、设备设计紧凑，符合ADA相关标准要求，三通道宽度≥2700mm，并且要能够方便地应用到图书馆的周边环境中。</w:t>
            </w:r>
          </w:p>
          <w:p w14:paraId="379F935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2、符合国际标准ISO18000-6C 空中接口标准。</w:t>
            </w:r>
          </w:p>
          <w:p w14:paraId="23DB338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3、非接触式的快速识别粘贴在流通资料上的RFID标签。</w:t>
            </w:r>
          </w:p>
          <w:p w14:paraId="2670445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4、要求对图书馆内的印刷品、视听出版物、CD及DVD等流通资料中的RFID标签进行安全扫描，不能损坏粘贴在流通资料中的磁性介质的资料，且不受流通资料中的磁条干扰。</w:t>
            </w:r>
          </w:p>
          <w:p w14:paraId="004CD48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5、设备能够同磁性安全监测门系统协同工作，如两种门前后独立安装，不会相互之间产生影响。</w:t>
            </w:r>
          </w:p>
          <w:p w14:paraId="0DFC21A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6、系统设备具备扩展性，一排可安装至少2个天线门架（单通道），并且不会降低系统检测的灵敏度；最高可达到9个门（8通道）连在一起，而不降低系统检测的灵敏度。（提</w:t>
            </w:r>
            <w:r>
              <w:rPr>
                <w:rFonts w:hint="eastAsia" w:asciiTheme="minorEastAsia" w:hAnsiTheme="minorEastAsia" w:eastAsiaTheme="minorEastAsia" w:cstheme="minorEastAsia"/>
                <w:kern w:val="0"/>
                <w:sz w:val="24"/>
                <w:szCs w:val="24"/>
                <w:highlight w:val="none"/>
              </w:rPr>
              <w:t>供具备检测资质的检测机构出</w:t>
            </w:r>
            <w:r>
              <w:rPr>
                <w:rFonts w:hint="eastAsia" w:asciiTheme="minorEastAsia" w:hAnsiTheme="minorEastAsia" w:eastAsiaTheme="minorEastAsia" w:cstheme="minorEastAsia"/>
                <w:kern w:val="0"/>
                <w:sz w:val="24"/>
                <w:szCs w:val="24"/>
                <w:highlight w:val="none"/>
              </w:rPr>
              <w:t>具的检测报告）。</w:t>
            </w:r>
          </w:p>
          <w:p w14:paraId="047E069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7、设备系统具有高侦测性能，能够进行三维监测，要求无误报，无漏报。</w:t>
            </w:r>
          </w:p>
          <w:p w14:paraId="66A2704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8、系统具有故障报警提示功能。</w:t>
            </w:r>
          </w:p>
          <w:p w14:paraId="771DC29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9、具有音频和视觉报警信号，且信号源可设置，报警音量可调控。</w:t>
            </w:r>
          </w:p>
          <w:p w14:paraId="4439F05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10、系统设备通过简单的硬件转换可以升级，紧跟最新技术发展。</w:t>
            </w:r>
          </w:p>
          <w:p w14:paraId="23E18E3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11、设备本身具备人员流量计数功能，数据可重置。（LCD人员流量统计显示有三种模式可工选择：人员进+出的总和，进的人数，出的人数），支持软上报人流量。</w:t>
            </w:r>
          </w:p>
          <w:p w14:paraId="32FE4BE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12、对心脏起搏器的佩带者、孕妇、磁性媒质软盘、磁带和 录像带等无害。</w:t>
            </w:r>
          </w:p>
          <w:p w14:paraId="0D9BC74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13、独立工作，不需要与服务器或数据库相连，可离线工作。</w:t>
            </w:r>
          </w:p>
          <w:p w14:paraId="2A50C9F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14、平均故障间隔时间（MTBF）：≥10000小时（提</w:t>
            </w:r>
            <w:r>
              <w:rPr>
                <w:rFonts w:hint="eastAsia" w:asciiTheme="minorEastAsia" w:hAnsiTheme="minorEastAsia" w:eastAsiaTheme="minorEastAsia" w:cstheme="minorEastAsia"/>
                <w:kern w:val="0"/>
                <w:sz w:val="24"/>
                <w:szCs w:val="24"/>
                <w:highlight w:val="none"/>
              </w:rPr>
              <w:t>供具备检测资质的检测机构出</w:t>
            </w:r>
            <w:r>
              <w:rPr>
                <w:rFonts w:hint="eastAsia" w:asciiTheme="minorEastAsia" w:hAnsiTheme="minorEastAsia" w:eastAsiaTheme="minorEastAsia" w:cstheme="minorEastAsia"/>
                <w:kern w:val="0"/>
                <w:sz w:val="24"/>
                <w:szCs w:val="24"/>
                <w:highlight w:val="none"/>
              </w:rPr>
              <w:t>具的检测报告）。</w:t>
            </w:r>
          </w:p>
          <w:p w14:paraId="6FD06B3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▲15、支持安全门扩展可视化系统，对违禁图书报警并输出多媒体信息包括书名、条码号、违禁图书的封面照片（提供</w:t>
            </w:r>
            <w:r>
              <w:rPr>
                <w:rFonts w:hint="eastAsia" w:asciiTheme="minorEastAsia" w:hAnsiTheme="minorEastAsia" w:eastAsiaTheme="minorEastAsia" w:cstheme="minorEastAsia"/>
                <w:kern w:val="0"/>
                <w:sz w:val="24"/>
                <w:szCs w:val="24"/>
                <w:highlight w:val="none"/>
              </w:rPr>
              <w:t>具备检测资质的检测机构出具</w:t>
            </w:r>
            <w:r>
              <w:rPr>
                <w:rFonts w:hint="eastAsia" w:asciiTheme="minorEastAsia" w:hAnsiTheme="minorEastAsia" w:eastAsiaTheme="minorEastAsia" w:cstheme="minorEastAsia"/>
                <w:kern w:val="0"/>
                <w:sz w:val="24"/>
                <w:szCs w:val="24"/>
                <w:highlight w:val="none"/>
              </w:rPr>
              <w:t>的检测报告）。</w:t>
            </w:r>
          </w:p>
          <w:p w14:paraId="29AB80E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技术要求</w:t>
            </w:r>
          </w:p>
          <w:p w14:paraId="0C80C09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1、规格尺寸(单门): ≥1370×370×77mm(高*长*厚)；</w:t>
            </w:r>
          </w:p>
          <w:p w14:paraId="23E3957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2、机体材质：铝型材+ABS；</w:t>
            </w:r>
          </w:p>
          <w:p w14:paraId="5631399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3、设备净重(单门)：≤40kg；</w:t>
            </w:r>
          </w:p>
          <w:p w14:paraId="1C5D109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4、工作频率 920-925MHz；</w:t>
            </w:r>
          </w:p>
          <w:p w14:paraId="420CF77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5、阅读范围半径：≥1100 mm。</w:t>
            </w:r>
          </w:p>
          <w:p w14:paraId="183CB8F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6、系统相应速度不小于20本/每秒。</w:t>
            </w:r>
          </w:p>
          <w:p w14:paraId="5FC6708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7、供电要求：AC 220V，50Hz；</w:t>
            </w:r>
          </w:p>
          <w:p w14:paraId="1EB549E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8、输出功率 10-33dbm（可调）；</w:t>
            </w:r>
          </w:p>
          <w:p w14:paraId="2D537B1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9、工作温度：-20℃～60℃。</w:t>
            </w:r>
          </w:p>
          <w:p w14:paraId="2A54E1F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10、所投设备型号防水、防尘等级须≥IP65，符合GB/T4208-2017外壳防护等级，且通过 IP 防护等级测试，提供第三方检测机构出具的认证证书。</w:t>
            </w:r>
          </w:p>
          <w:p w14:paraId="06AC3AC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11、相关的RFID阅读产品设备，可在非常短的时间内读取存储在标签中的资料（实际工作环境，若以标签容量1024bits为标准计算，每种工序中标签的读取速度都能达到0.1s之内），</w:t>
            </w:r>
            <w:r>
              <w:rPr>
                <w:rFonts w:hint="eastAsia" w:asciiTheme="minorEastAsia" w:hAnsiTheme="minorEastAsia" w:eastAsiaTheme="minorEastAsia" w:cstheme="minorEastAsia"/>
                <w:color w:val="000000"/>
                <w:kern w:val="0"/>
                <w:sz w:val="24"/>
                <w:szCs w:val="24"/>
                <w:highlight w:val="none"/>
              </w:rPr>
              <w:t>提供检测机构出具的检测报告加盖投标人公章。</w:t>
            </w:r>
          </w:p>
          <w:p w14:paraId="59701D6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为保证所投产品环境适应及使用性能，所投设备读写器通过恒定湿热试验（温湿度40℃，85%RH，试验时间≥12h）性能试验，试验后，样品外观结构和功能正常，样品能正常读取标签信息。符合恒定湿热试验等国家和行业相关标准，</w:t>
            </w:r>
            <w:r>
              <w:rPr>
                <w:rFonts w:hint="eastAsia" w:asciiTheme="minorEastAsia" w:hAnsiTheme="minorEastAsia" w:eastAsiaTheme="minorEastAsia" w:cstheme="minorEastAsia"/>
                <w:color w:val="000000"/>
                <w:kern w:val="0"/>
                <w:sz w:val="24"/>
                <w:szCs w:val="24"/>
                <w:highlight w:val="none"/>
              </w:rPr>
              <w:t>提供检测机构出具的检测报告加盖投标人公章。</w:t>
            </w:r>
          </w:p>
          <w:p w14:paraId="17F6070E">
            <w:pPr>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 xml:space="preserve">13.为保证所投产品环境适应及使用性能，所投产品需通过电磁兼容性能试验，符合《GB/T17626.13-2006交流电源端口谐波、谐间波及电网信号的低频抗扰度试验》、《GB/T17626.14-2005电压波动抗扰度试验》和《GB/T17626.28-2006工频频率变化抗扰度试验》标准, </w:t>
            </w:r>
            <w:r>
              <w:rPr>
                <w:rFonts w:hint="eastAsia" w:asciiTheme="minorEastAsia" w:hAnsiTheme="minorEastAsia" w:eastAsiaTheme="minorEastAsia" w:cstheme="minorEastAsia"/>
                <w:color w:val="000000"/>
                <w:kern w:val="0"/>
                <w:sz w:val="24"/>
                <w:szCs w:val="24"/>
                <w:highlight w:val="none"/>
              </w:rPr>
              <w:t>提</w:t>
            </w:r>
            <w:r>
              <w:rPr>
                <w:rFonts w:hint="eastAsia" w:asciiTheme="minorEastAsia" w:hAnsiTheme="minorEastAsia" w:eastAsiaTheme="minorEastAsia" w:cstheme="minorEastAsia"/>
                <w:color w:val="000000"/>
                <w:kern w:val="0"/>
                <w:sz w:val="24"/>
                <w:szCs w:val="24"/>
                <w:highlight w:val="none"/>
              </w:rPr>
              <w:t>供具备检测资质的检测机构的检测报</w:t>
            </w:r>
            <w:r>
              <w:rPr>
                <w:rFonts w:hint="eastAsia" w:asciiTheme="minorEastAsia" w:hAnsiTheme="minorEastAsia" w:eastAsiaTheme="minorEastAsia" w:cstheme="minorEastAsia"/>
                <w:color w:val="000000"/>
                <w:kern w:val="0"/>
                <w:sz w:val="24"/>
                <w:szCs w:val="24"/>
                <w:highlight w:val="none"/>
              </w:rPr>
              <w:t>告加盖投标人公章。</w:t>
            </w:r>
          </w:p>
          <w:p w14:paraId="0629ABB8">
            <w:pPr>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14、为保障设备性能稳定性，产品使用的核心读写器需通过环境试验相关性能试验，符合《GB/T2423.10-2019环境试验第2部分：试验方法试验Fc：振动(正弦)》、《GB/T2423.56-2018环境试验第2部分:试验方法试验Fh:宽带随机振动和导则》、《GB/T2423.5-2019环境试验 第2部分：试验方法 试验Ea和导则：冲击 标准》等相关标准，</w:t>
            </w:r>
            <w:r>
              <w:rPr>
                <w:rFonts w:hint="eastAsia" w:asciiTheme="minorEastAsia" w:hAnsiTheme="minorEastAsia" w:eastAsiaTheme="minorEastAsia" w:cstheme="minorEastAsia"/>
                <w:color w:val="000000"/>
                <w:kern w:val="0"/>
                <w:sz w:val="24"/>
                <w:szCs w:val="24"/>
                <w:highlight w:val="none"/>
              </w:rPr>
              <w:t>提供具备检测资质的检测机构出</w:t>
            </w:r>
            <w:r>
              <w:rPr>
                <w:rFonts w:hint="eastAsia" w:asciiTheme="minorEastAsia" w:hAnsiTheme="minorEastAsia" w:eastAsiaTheme="minorEastAsia" w:cstheme="minorEastAsia"/>
                <w:color w:val="000000"/>
                <w:kern w:val="0"/>
                <w:sz w:val="24"/>
                <w:szCs w:val="24"/>
                <w:highlight w:val="none"/>
              </w:rPr>
              <w:t>具的检测报告（为保障所检测项目的严格性、有效性，测试报告须通过中国合格评定国家认可委员会CNAS及中国计量认证CMA认可，具备CNAS及CMA标识）。</w:t>
            </w:r>
          </w:p>
          <w:p w14:paraId="635B76C5">
            <w:pPr>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▲15、为了保证产品使用的可靠性，所投产品需通过GB/T 5080.7-1986《设备可靠性试验恒定失效率假设下的失效率与平均无故障时间的验证试验方案》、GB/T18239-2000《集成电路(IC)卡读写机通用规范》，其可靠性指标MTBF的m1值需不低于10000 h，</w:t>
            </w:r>
            <w:r>
              <w:rPr>
                <w:rFonts w:hint="eastAsia" w:asciiTheme="minorEastAsia" w:hAnsiTheme="minorEastAsia" w:eastAsiaTheme="minorEastAsia" w:cstheme="minorEastAsia"/>
                <w:color w:val="000000"/>
                <w:kern w:val="0"/>
                <w:sz w:val="24"/>
                <w:szCs w:val="24"/>
                <w:highlight w:val="none"/>
              </w:rPr>
              <w:t>提供具备检测资质的检测机构出具</w:t>
            </w:r>
            <w:r>
              <w:rPr>
                <w:rFonts w:hint="eastAsia" w:asciiTheme="minorEastAsia" w:hAnsiTheme="minorEastAsia" w:eastAsiaTheme="minorEastAsia" w:cstheme="minorEastAsia"/>
                <w:color w:val="000000"/>
                <w:kern w:val="0"/>
                <w:sz w:val="24"/>
                <w:szCs w:val="24"/>
                <w:highlight w:val="none"/>
              </w:rPr>
              <w:t>的检测报告（为保障所检测项目的严格性、有效性，测试报告须通过中国合格评定国家认可委员会CNAS及中国计量认证CMA认可，具备CNAS及CMA标识）</w:t>
            </w:r>
          </w:p>
          <w:p w14:paraId="6EBA992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▲16、设备符合《GB8702-2014》电磁环境控制限制标准，提</w:t>
            </w:r>
            <w:r>
              <w:rPr>
                <w:rFonts w:hint="eastAsia" w:asciiTheme="minorEastAsia" w:hAnsiTheme="minorEastAsia" w:eastAsiaTheme="minorEastAsia" w:cstheme="minorEastAsia"/>
                <w:color w:val="000000"/>
                <w:kern w:val="0"/>
                <w:sz w:val="24"/>
                <w:szCs w:val="24"/>
                <w:highlight w:val="none"/>
              </w:rPr>
              <w:t>供具备检测资质的检测机构出具</w:t>
            </w:r>
            <w:r>
              <w:rPr>
                <w:rFonts w:hint="eastAsia" w:asciiTheme="minorEastAsia" w:hAnsiTheme="minorEastAsia" w:eastAsiaTheme="minorEastAsia" w:cstheme="minorEastAsia"/>
                <w:color w:val="000000"/>
                <w:kern w:val="0"/>
                <w:sz w:val="24"/>
                <w:szCs w:val="24"/>
                <w:highlight w:val="none"/>
              </w:rPr>
              <w:t>的检测报告（为保障所检测项目的严格性、有效性，测试报告须通过中国合格评定国家认可委员会CNAS及中国计量认证CMA认可，具备CNAS及CMA标识）。</w:t>
            </w:r>
          </w:p>
          <w:p w14:paraId="0F719AA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四、服务要求</w:t>
            </w:r>
          </w:p>
          <w:p w14:paraId="1A36448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1、投标人或生产厂商须具备持续创新的软硬件、服务升级能力，并保障招标人所采购设备符合国家知识产权规定，投标人或生产厂商须具有知识产权管理体系认证证书标准，须提供复印件加盖投标人公章。</w:t>
            </w:r>
          </w:p>
          <w:p w14:paraId="21D163DD">
            <w:pPr>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2、为保证未来使用过程中问题反馈及解决的时效性，投标人或生产厂商具有客户投诉管理体系认证，提供证书扫描件并加盖投标人公章（认证范围需至少包括射频技术智能识别系统和图书馆公共管理系统开发，提供全国认证认可信息公共服务平台查询结果）。</w:t>
            </w:r>
          </w:p>
          <w:p w14:paraId="442ACB8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3、为保证系统安全稳定，投标人或生产厂商具有信息安全服务资质认证证书，提供证书扫描件并加盖投标人公章。（认证范围需至少包括软件安全开发服务、信息系统安全集成服务，提供认证证书复印件及全国认证认可信息公共服务平台查询结果。）。</w:t>
            </w:r>
          </w:p>
        </w:tc>
      </w:tr>
      <w:tr w14:paraId="30DB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4F45FA3">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w:t>
            </w:r>
          </w:p>
        </w:tc>
        <w:tc>
          <w:tcPr>
            <w:tcW w:w="1134" w:type="dxa"/>
            <w:noWrap w:val="0"/>
            <w:vAlign w:val="center"/>
          </w:tcPr>
          <w:p w14:paraId="31CA6A60">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RFID图书馆管理系统软件</w:t>
            </w:r>
          </w:p>
        </w:tc>
        <w:tc>
          <w:tcPr>
            <w:tcW w:w="7088" w:type="dxa"/>
            <w:noWrap w:val="0"/>
            <w:vAlign w:val="center"/>
          </w:tcPr>
          <w:p w14:paraId="6D00527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1、系统平台以面向网络化、标准化、数字化、为基本设计思想，具有完备的系统功能、友好的用户界面、灵活的参数设置，并遵循各类标准协议，对RFID系统实施的创新服务提供必要的技术支持。</w:t>
            </w:r>
          </w:p>
          <w:p w14:paraId="1618496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馆员工作站系统：完成对图书电子标签的注册、转换、注销等功能,主要有：1）将流通资料的相关信息写入标签；2）改变标签报警位设置；3）判别挑选出非本馆图书、剔旧清单内图书；4）可拓展标签剥离功能等。</w:t>
            </w:r>
          </w:p>
          <w:p w14:paraId="53935D3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3、图书安全检测系统：对借阅图书进行合法性监测，保证系统的高侦测性和零误报率。主要功能有：1）对粘贴有 RFID 标签的流通资料进行扫描；2）根据报警位设置进行安全识别；3）报警位可设置为多种格式，适应大开间及分散借阅室等不同的报警需求；4）单门报警，方便人机联防需要；5）根据通道长度任意增加通道门数量等功能。</w:t>
            </w:r>
          </w:p>
          <w:p w14:paraId="2686272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4、自助借还系统：实现对安装有电子标签的图书进行借还、续借、欠款信息提示及支付等功能。提供SIP2 接口支持，自助借还子系统与图书管理系统和读者管理系统连接，共同完成以下功能 ：1）图书馆流通业务，包括图书的借出归还、已借图书的续借、读者借书信息查询；2）根据借还对应关系更改图书报警位；3）异常图书及异常读者判别提示；4）欠款信息提示及支付等功能。</w:t>
            </w:r>
          </w:p>
          <w:p w14:paraId="11DC7CA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5.图书盘点子系统：通过对书架上粘贴有 RFID 标签的流通资料的扫描，可以帮助上架、顺架、倒架、查找和统计特定的流通资料等，在图书馆工作人员清点馆藏和盘点书籍时发挥效用。</w:t>
            </w:r>
          </w:p>
        </w:tc>
      </w:tr>
      <w:tr w14:paraId="405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BFE8268">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w:t>
            </w:r>
          </w:p>
        </w:tc>
        <w:tc>
          <w:tcPr>
            <w:tcW w:w="1134" w:type="dxa"/>
            <w:noWrap w:val="0"/>
            <w:vAlign w:val="center"/>
          </w:tcPr>
          <w:p w14:paraId="6DD6ACD5">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RFID系统集成及接口</w:t>
            </w:r>
          </w:p>
        </w:tc>
        <w:tc>
          <w:tcPr>
            <w:tcW w:w="7088" w:type="dxa"/>
            <w:noWrap w:val="0"/>
            <w:vAlign w:val="center"/>
          </w:tcPr>
          <w:p w14:paraId="526D45D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1、RFID前端系统中，凡是与系统直接通讯时，都必须采用通用的网络通讯接口和协议。</w:t>
            </w:r>
          </w:p>
          <w:p w14:paraId="27E0317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2、RFID前端系统中，凡是不直接与系统直接通讯时，各种设备的硬件接口要采用标准的串口、USB接口等。</w:t>
            </w:r>
          </w:p>
          <w:p w14:paraId="0A79260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3、RFID系统在和图书系统进行数据通讯时，要遵守图书馆数据应用的规定，确保数据库数据的安全、准确。</w:t>
            </w:r>
          </w:p>
          <w:p w14:paraId="5978D76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4、通过网络连接方式进行数据交换。能兼容图书馆业内相关数据协议和计算机网络协议。</w:t>
            </w:r>
          </w:p>
        </w:tc>
      </w:tr>
      <w:tr w14:paraId="7BAC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BC6B969">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w:t>
            </w:r>
          </w:p>
        </w:tc>
        <w:tc>
          <w:tcPr>
            <w:tcW w:w="1134" w:type="dxa"/>
            <w:noWrap w:val="0"/>
            <w:vAlign w:val="center"/>
          </w:tcPr>
          <w:p w14:paraId="28326617">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触摸屏OPAC查询系统</w:t>
            </w:r>
          </w:p>
        </w:tc>
        <w:tc>
          <w:tcPr>
            <w:tcW w:w="7088" w:type="dxa"/>
            <w:noWrap w:val="0"/>
            <w:vAlign w:val="center"/>
          </w:tcPr>
          <w:p w14:paraId="2FEFC7E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功能要求:</w:t>
            </w:r>
          </w:p>
          <w:p w14:paraId="2BC11E6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支持图书馆系统文献联合查询，可根据题名、责任者、主题词、中图法分类号、索书号、丛书名、ISBN等关键词进行多级文献检索，支持书位查询、图书定位和智能路径提示。</w:t>
            </w:r>
          </w:p>
          <w:p w14:paraId="2B97519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采用一体化设计理念，配备多点触摸屏、工控机。设备体积小巧，方便投放场地的选择。</w:t>
            </w:r>
          </w:p>
          <w:p w14:paraId="0736F1E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设备性能稳定，查询快速、高效。</w:t>
            </w:r>
          </w:p>
          <w:p w14:paraId="326BDE4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对接OPAC查询系统，网络支持对图书馆系统文献查询。</w:t>
            </w:r>
          </w:p>
          <w:p w14:paraId="65539C9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模块化设计，维护简便。</w:t>
            </w:r>
          </w:p>
          <w:p w14:paraId="6235951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提供屏幕软键盘，支持中英文输入。</w:t>
            </w:r>
          </w:p>
          <w:p w14:paraId="4788032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读者可以查询所有馆藏书刊的馆藏地信息、书刊信息状态。该查询系统提供了题名、著者、索取号、出版社等多个检索入口。</w:t>
            </w:r>
          </w:p>
          <w:p w14:paraId="484863E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8.支持启动时自动显示OPAC查询界面主页</w:t>
            </w:r>
          </w:p>
          <w:p w14:paraId="22E7737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9.支持设置定时开关机</w:t>
            </w:r>
          </w:p>
          <w:p w14:paraId="5099381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10.系统采用windows或者Android系统。</w:t>
            </w:r>
          </w:p>
          <w:p w14:paraId="47E40AF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11.显示尺寸不低于43英寸</w:t>
            </w:r>
          </w:p>
          <w:p w14:paraId="43648D4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12.显示面积不低于539.25*940.89mm</w:t>
            </w:r>
          </w:p>
          <w:p w14:paraId="66F37EC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13.分辨率不低于1920*1080      </w:t>
            </w:r>
          </w:p>
          <w:p w14:paraId="662B18A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14.亮度≥350cd/m2</w:t>
            </w:r>
          </w:p>
          <w:p w14:paraId="3C08CE5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15.背光类型：ELED</w:t>
            </w:r>
          </w:p>
          <w:p w14:paraId="4886242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16.响应时间&lt;8ms</w:t>
            </w:r>
          </w:p>
          <w:p w14:paraId="1FBF865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17.触控点数不少于10点触摸</w:t>
            </w:r>
          </w:p>
          <w:p w14:paraId="742D363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18.触控介质：手指或触控笔</w:t>
            </w:r>
          </w:p>
          <w:p w14:paraId="7B055C4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19.触控精度≦2mm</w:t>
            </w:r>
          </w:p>
          <w:p w14:paraId="02CF7CD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20.触控次数：无限触控次数</w:t>
            </w:r>
          </w:p>
          <w:p w14:paraId="5ECD72C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21.运行内存不低于2G</w:t>
            </w:r>
          </w:p>
          <w:p w14:paraId="28DC901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22.存储内存不低于16G</w:t>
            </w:r>
          </w:p>
          <w:p w14:paraId="587A7BF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23.系统版本不低于Android 7.1</w:t>
            </w:r>
          </w:p>
          <w:p w14:paraId="6148BB5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24.鼠标键盘：支持有线/无线鼠标键盘</w:t>
            </w:r>
          </w:p>
        </w:tc>
      </w:tr>
      <w:tr w14:paraId="01B6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55FBD2F">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w:t>
            </w:r>
          </w:p>
        </w:tc>
        <w:tc>
          <w:tcPr>
            <w:tcW w:w="1134" w:type="dxa"/>
            <w:noWrap w:val="0"/>
            <w:vAlign w:val="center"/>
          </w:tcPr>
          <w:p w14:paraId="63A548C7">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移动式盘点机</w:t>
            </w:r>
          </w:p>
        </w:tc>
        <w:tc>
          <w:tcPr>
            <w:tcW w:w="7088" w:type="dxa"/>
            <w:noWrap w:val="0"/>
            <w:vAlign w:val="center"/>
          </w:tcPr>
          <w:p w14:paraId="7B832FA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功能要求</w:t>
            </w:r>
          </w:p>
          <w:p w14:paraId="37C1A78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1、须符合相关行业标准，如ISO18000-6C标准。</w:t>
            </w:r>
          </w:p>
          <w:p w14:paraId="361CB89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2、设备设计紧凑，美观大方，可以很方便地集成到图书馆的家具设施和图书馆业务实施环境中。</w:t>
            </w:r>
          </w:p>
          <w:p w14:paraId="16BA3C4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3、设备采用移动推车式设计，集成≥21.5寸触摸屏一体机、RFID阅读器、RFID手持天线、蓄电池。</w:t>
            </w:r>
          </w:p>
          <w:p w14:paraId="30285D4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4、可以非接触式地快速识别粘贴在流通资料上的RFID标签。 </w:t>
            </w:r>
          </w:p>
          <w:p w14:paraId="4E47358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5、具备充电组件，有效充电一次可使用时间≥8小时。</w:t>
            </w:r>
          </w:p>
          <w:p w14:paraId="075C781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6、内部设备通过标准USB接口与触摸屏一体机连接。</w:t>
            </w:r>
          </w:p>
          <w:p w14:paraId="073071D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7、设备具备电量显示装置，通过自带LED板显示现有设备电压状态，并具备预警装置，当供电不足时，设备会自动提醒。</w:t>
            </w:r>
          </w:p>
          <w:p w14:paraId="5E8FC90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8、设备供电模块具备欠压保护功能。</w:t>
            </w:r>
          </w:p>
          <w:p w14:paraId="177AB05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9、触摸屏一体机固定于移动清点车台面。 </w:t>
            </w:r>
          </w:p>
          <w:p w14:paraId="5AF8B9F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10、通过钥匙控制整机的电源开关。     </w:t>
            </w:r>
          </w:p>
          <w:p w14:paraId="53B460C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11、设备配套软件包括数据采集、图书清点、数据上传、数据下载、图书查找功能.</w:t>
            </w:r>
          </w:p>
          <w:p w14:paraId="0403D85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12、设备配套软件须实现以下功能:</w:t>
            </w:r>
          </w:p>
          <w:p w14:paraId="2BD2149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12.1数据采集：移动清点设备触摸一体机安装数据采集软件，通过手持天线，可采集图书馆在架文献资料的RFID信息，并将信息存储于本地计算机设备。数据采集功能通过离线模式可实现。</w:t>
            </w:r>
          </w:p>
          <w:p w14:paraId="7B2E45B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12.2数据上传：工作人员把数据采集得到的在架文献资料RFID信息，通过数据上传软件上传到图书馆后台业务系统，实现文献资料架位号定位功能，该项功能必须通过有线网络或者无线网络与图书馆后台系统对接。</w:t>
            </w:r>
          </w:p>
          <w:p w14:paraId="695526B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12.3数据下载：工作人员通过数据下载软件，与后台业务系统连接，将数据采集得到的在架文献信息下载到本地，形成本地基础数据库，该项功能必须通过有线网络或者无线网络与图书馆后台业务系统连接。</w:t>
            </w:r>
          </w:p>
          <w:p w14:paraId="00A99ED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12.4图书错架整理：工作人员将数据下载得到的基础数据库安装于清点设备的触摸一体工控机，工作人员可实现在架文献的错架整理，对错架的图书进行自动提醒。</w:t>
            </w:r>
          </w:p>
          <w:p w14:paraId="47AC9A1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12.5图书查找：根据工作人提供的条码在配套软件中可实现图书查找功能，当扫描到指定图书，系统软件界面自动提醒。</w:t>
            </w:r>
          </w:p>
          <w:p w14:paraId="197D6CA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13、配套软件与图书馆管理系统交换数据要求界面窗口化，操作简单。</w:t>
            </w:r>
          </w:p>
          <w:p w14:paraId="1A7E0AC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14、设备配套软件须能实现资料搜索、资料错架检查、顺架、保存典藏结果等功能</w:t>
            </w:r>
          </w:p>
          <w:p w14:paraId="546F9D1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▲15、以3D技术形式详细显示每个单层所在层架位（</w:t>
            </w:r>
            <w:r>
              <w:rPr>
                <w:rFonts w:hint="eastAsia" w:asciiTheme="minorEastAsia" w:hAnsiTheme="minorEastAsia" w:eastAsiaTheme="minorEastAsia" w:cstheme="minorEastAsia"/>
                <w:kern w:val="0"/>
                <w:sz w:val="24"/>
                <w:szCs w:val="24"/>
                <w:highlight w:val="none"/>
              </w:rPr>
              <w:t>提供具备检测资质的检测机构出具</w:t>
            </w:r>
            <w:r>
              <w:rPr>
                <w:rFonts w:hint="eastAsia" w:asciiTheme="minorEastAsia" w:hAnsiTheme="minorEastAsia" w:eastAsiaTheme="minorEastAsia" w:cstheme="minorEastAsia"/>
                <w:kern w:val="0"/>
                <w:sz w:val="24"/>
                <w:szCs w:val="24"/>
                <w:highlight w:val="none"/>
              </w:rPr>
              <w:t>的检测报告）</w:t>
            </w:r>
          </w:p>
          <w:p w14:paraId="71524DF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16、可将图书架位信息与单册信息相关联、更新单册位置信息，并提供系统查询显示（提</w:t>
            </w:r>
            <w:r>
              <w:rPr>
                <w:rFonts w:hint="eastAsia" w:asciiTheme="minorEastAsia" w:hAnsiTheme="minorEastAsia" w:eastAsiaTheme="minorEastAsia" w:cstheme="minorEastAsia"/>
                <w:kern w:val="0"/>
                <w:sz w:val="24"/>
                <w:szCs w:val="24"/>
                <w:highlight w:val="none"/>
              </w:rPr>
              <w:t>供具备检测资质的检测机构的检测报</w:t>
            </w:r>
            <w:r>
              <w:rPr>
                <w:rFonts w:hint="eastAsia" w:asciiTheme="minorEastAsia" w:hAnsiTheme="minorEastAsia" w:eastAsiaTheme="minorEastAsia" w:cstheme="minorEastAsia"/>
                <w:kern w:val="0"/>
                <w:sz w:val="24"/>
                <w:szCs w:val="24"/>
                <w:highlight w:val="none"/>
              </w:rPr>
              <w:t>告）。</w:t>
            </w:r>
          </w:p>
          <w:p w14:paraId="0C75AD9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技术要求</w:t>
            </w:r>
          </w:p>
          <w:p w14:paraId="055FF52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1、外观要求：占地面积≤0.4M²,视觉高度在0.9m-1.1m之间。</w:t>
            </w:r>
          </w:p>
          <w:p w14:paraId="28FAC2C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2、整体需求：采用静音万向轮，后置滑轮可锁死，防止无意推动。</w:t>
            </w:r>
          </w:p>
          <w:p w14:paraId="55F1E01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设计要求：设备采用三层设计，第一层采用封装设计，内部集成蓄电池、阅读器、电源控制模块，第二层采用镂空设计，工作人员可在上架时将文献放置在该区域，第三层为触摸操作屏放置台，侧面挂接手持天线模块。</w:t>
            </w:r>
          </w:p>
          <w:p w14:paraId="6F4152C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4、安全要求：结构稳固，防脱落设计，外表设计圆滑,无锋利棱角，内部布线系统严密，以免因线路破损短路发生火灾等消防危险。</w:t>
            </w:r>
          </w:p>
          <w:p w14:paraId="76E10FD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5、整体集成需求：设备采用移动推车式设计，集成触摸屏一体机、RFID阅读器、RFID手持天线、蓄电池。</w:t>
            </w:r>
          </w:p>
          <w:p w14:paraId="052088B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6、规格尺寸：≥825mm * 405mm * 1190mm (长*宽*高，单位：mm)。</w:t>
            </w:r>
          </w:p>
          <w:p w14:paraId="643451B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7、机体材质：优质冷轧钢板，表面喷塑处理。</w:t>
            </w:r>
          </w:p>
          <w:p w14:paraId="0F6DC76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8、触摸显示：≥21.5英寸，红外触摸，中文界面。</w:t>
            </w:r>
          </w:p>
          <w:p w14:paraId="4B4332B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9、工作频率/遵循标准：860-960MHz/ISO18000-6C。</w:t>
            </w:r>
          </w:p>
          <w:p w14:paraId="48FDD52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10、工控主机：CPU≥I5- 4570，四核CPU，8G内存DDR3，512G固态硬盘，Windows10企业版。</w:t>
            </w:r>
          </w:p>
          <w:p w14:paraId="60DC47A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11、RFID图书识读能力：单次清单成功率可达95%以上。</w:t>
            </w:r>
          </w:p>
          <w:p w14:paraId="6E144FB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12、具备无线网络功能；</w:t>
            </w:r>
          </w:p>
          <w:p w14:paraId="18F93B4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13、供电要求：AC 220V，50Hz。</w:t>
            </w:r>
          </w:p>
          <w:p w14:paraId="1782D63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14、续航时间：≥10H。</w:t>
            </w:r>
          </w:p>
          <w:p w14:paraId="1EC1194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15、设备净重≤50KG。</w:t>
            </w:r>
          </w:p>
          <w:p w14:paraId="20948AF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16、系统手持部分重量≤250g</w:t>
            </w:r>
          </w:p>
          <w:p w14:paraId="231CED2F">
            <w:pPr>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kern w:val="0"/>
                <w:sz w:val="24"/>
                <w:szCs w:val="24"/>
                <w:highlight w:val="none"/>
              </w:rPr>
              <w:t>17、</w:t>
            </w:r>
            <w:r>
              <w:rPr>
                <w:rFonts w:hint="eastAsia" w:asciiTheme="minorEastAsia" w:hAnsiTheme="minorEastAsia" w:eastAsiaTheme="minorEastAsia" w:cstheme="minorEastAsia"/>
                <w:color w:val="000000"/>
                <w:kern w:val="0"/>
                <w:sz w:val="24"/>
                <w:szCs w:val="24"/>
                <w:highlight w:val="none"/>
              </w:rPr>
              <w:t>盘点车配套可独立使用的无线蓝牙盘点模块。</w:t>
            </w:r>
          </w:p>
          <w:p w14:paraId="3A2F36C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18、为保证所投产品环境适应及使用性能，所投设备读写器通过恒定湿热试验（温湿度40℃，85%RH，试验时间≥12h）性能试验，试验后，样品外观结构和功能正常，样品能正常读取标签信息。符合恒定湿热试验等国家和行业相关标准，提供具</w:t>
            </w:r>
            <w:r>
              <w:rPr>
                <w:rFonts w:hint="eastAsia" w:asciiTheme="minorEastAsia" w:hAnsiTheme="minorEastAsia" w:eastAsiaTheme="minorEastAsia" w:cstheme="minorEastAsia"/>
                <w:kern w:val="0"/>
                <w:sz w:val="24"/>
                <w:szCs w:val="24"/>
                <w:highlight w:val="none"/>
              </w:rPr>
              <w:t>备检测资质的检测机构出具的检</w:t>
            </w:r>
            <w:r>
              <w:rPr>
                <w:rFonts w:hint="eastAsia" w:asciiTheme="minorEastAsia" w:hAnsiTheme="minorEastAsia" w:eastAsiaTheme="minorEastAsia" w:cstheme="minorEastAsia"/>
                <w:kern w:val="0"/>
                <w:sz w:val="24"/>
                <w:szCs w:val="24"/>
                <w:highlight w:val="none"/>
              </w:rPr>
              <w:t>测报告（为保障所检测项目的严格性、有效性，测试报告须通过中国合格评定国家认可委员会CNAS及中国计量认证CMA认可，具备CNAS及CMA标识）。</w:t>
            </w:r>
          </w:p>
          <w:p w14:paraId="218A7EB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19、为保证设备材料及工艺更有利于人体健康及环境保护，所投设备符合电子电气产品中对有害物质的限量要求，检测物料不得少于100种。提供</w:t>
            </w:r>
            <w:r>
              <w:rPr>
                <w:rFonts w:hint="eastAsia" w:asciiTheme="minorEastAsia" w:hAnsiTheme="minorEastAsia" w:eastAsiaTheme="minorEastAsia" w:cstheme="minorEastAsia"/>
                <w:kern w:val="0"/>
                <w:sz w:val="24"/>
                <w:szCs w:val="24"/>
                <w:highlight w:val="none"/>
              </w:rPr>
              <w:t>具备检测资质的检测机构出具的检测</w:t>
            </w:r>
            <w:r>
              <w:rPr>
                <w:rFonts w:hint="eastAsia" w:asciiTheme="minorEastAsia" w:hAnsiTheme="minorEastAsia" w:eastAsiaTheme="minorEastAsia" w:cstheme="minorEastAsia"/>
                <w:kern w:val="0"/>
                <w:sz w:val="24"/>
                <w:szCs w:val="24"/>
                <w:highlight w:val="none"/>
              </w:rPr>
              <w:t>报告（为保障所检测项目的严格性、有效性，测试报告须通过中国合格评定国家认可委员会CNAS及中国计量认证CMA认可，具备CNAS及CMA标识）</w:t>
            </w:r>
            <w:r>
              <w:rPr>
                <w:rFonts w:hint="eastAsia" w:asciiTheme="minorEastAsia" w:hAnsiTheme="minorEastAsia" w:eastAsiaTheme="minorEastAsia" w:cstheme="minorEastAsia"/>
                <w:color w:val="000000"/>
                <w:kern w:val="0"/>
                <w:sz w:val="24"/>
                <w:szCs w:val="24"/>
                <w:highlight w:val="none"/>
              </w:rPr>
              <w:t>。</w:t>
            </w:r>
          </w:p>
          <w:p w14:paraId="02125A7C">
            <w:pPr>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 xml:space="preserve">20、为保证所投产品环境适应及使用性能，所投产品需通过电磁兼容抗扰度性能试验，符合《GB/T17626.13-2006交流电源端口谐波、谐间波及电网信号的低频抗扰度试验》、《GB/T17626.14-2005电压波动抗扰度试验》、《GB/T17626.28-2006工频频率变化抗扰度试验》等标准, </w:t>
            </w:r>
            <w:r>
              <w:rPr>
                <w:rFonts w:hint="eastAsia" w:asciiTheme="minorEastAsia" w:hAnsiTheme="minorEastAsia" w:eastAsiaTheme="minorEastAsia" w:cstheme="minorEastAsia"/>
                <w:color w:val="000000"/>
                <w:kern w:val="0"/>
                <w:sz w:val="24"/>
                <w:szCs w:val="24"/>
                <w:highlight w:val="none"/>
              </w:rPr>
              <w:t>提供省级</w:t>
            </w:r>
            <w:r>
              <w:rPr>
                <w:rFonts w:hint="eastAsia" w:asciiTheme="minorEastAsia" w:hAnsiTheme="minorEastAsia" w:eastAsiaTheme="minorEastAsia" w:cstheme="minorEastAsia"/>
                <w:color w:val="000000"/>
                <w:kern w:val="0"/>
                <w:sz w:val="24"/>
                <w:szCs w:val="24"/>
                <w:highlight w:val="none"/>
              </w:rPr>
              <w:t>以上具备检测资质的检测机构出具</w:t>
            </w:r>
            <w:r>
              <w:rPr>
                <w:rFonts w:hint="eastAsia" w:asciiTheme="minorEastAsia" w:hAnsiTheme="minorEastAsia" w:eastAsiaTheme="minorEastAsia" w:cstheme="minorEastAsia"/>
                <w:color w:val="000000"/>
                <w:kern w:val="0"/>
                <w:sz w:val="24"/>
                <w:szCs w:val="24"/>
                <w:highlight w:val="none"/>
              </w:rPr>
              <w:t>的检测报告加盖投标人公章。</w:t>
            </w:r>
          </w:p>
          <w:p w14:paraId="61D2DA8D">
            <w:pPr>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21、为保障设备性能稳定性，产品使用的核心读写器需通过环境试验相关性能试验，符合《GB/T2423.10-2019环境试验第2部分：试验方法试验Fc：振动(正弦)》、《GB/T2423.56-2018环境试验第2部分:试验方法试验Fh:宽带随机振动和导则》、《GB/T2423.5-2019环境试验 第2部分：试验方法 试验Ea和导则：冲击 标准》等相关标准，提</w:t>
            </w:r>
            <w:r>
              <w:rPr>
                <w:rFonts w:hint="eastAsia" w:asciiTheme="minorEastAsia" w:hAnsiTheme="minorEastAsia" w:eastAsiaTheme="minorEastAsia" w:cstheme="minorEastAsia"/>
                <w:color w:val="000000"/>
                <w:kern w:val="0"/>
                <w:sz w:val="24"/>
                <w:szCs w:val="24"/>
                <w:highlight w:val="none"/>
              </w:rPr>
              <w:t>供具备检测资质的检测机构出</w:t>
            </w:r>
            <w:r>
              <w:rPr>
                <w:rFonts w:hint="eastAsia" w:asciiTheme="minorEastAsia" w:hAnsiTheme="minorEastAsia" w:eastAsiaTheme="minorEastAsia" w:cstheme="minorEastAsia"/>
                <w:color w:val="000000"/>
                <w:kern w:val="0"/>
                <w:sz w:val="24"/>
                <w:szCs w:val="24"/>
                <w:highlight w:val="none"/>
              </w:rPr>
              <w:t>具的检测报告（为保障所检测项目的严格性、有效性，测试报告须通过中国合格评定国家认可委员会CNAS及中国计量认证CMA认可，具备CNAS及CMA标识）。</w:t>
            </w:r>
          </w:p>
          <w:p w14:paraId="03C9B7B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22、为保证所投产品环境适应及使用性能，所投设备读写器通过低气压试验性能试验，试验后，样品外观结构和功能正常，样品能正常读取标签信息。符合低气压试验等国家和行业相关标准，提供</w:t>
            </w:r>
            <w:r>
              <w:rPr>
                <w:rFonts w:hint="eastAsia" w:asciiTheme="minorEastAsia" w:hAnsiTheme="minorEastAsia" w:eastAsiaTheme="minorEastAsia" w:cstheme="minorEastAsia"/>
                <w:color w:val="000000"/>
                <w:kern w:val="0"/>
                <w:sz w:val="24"/>
                <w:szCs w:val="24"/>
                <w:highlight w:val="none"/>
              </w:rPr>
              <w:t>具备检测资质的检测机构出具的检</w:t>
            </w:r>
            <w:r>
              <w:rPr>
                <w:rFonts w:hint="eastAsia" w:asciiTheme="minorEastAsia" w:hAnsiTheme="minorEastAsia" w:eastAsiaTheme="minorEastAsia" w:cstheme="minorEastAsia"/>
                <w:color w:val="000000"/>
                <w:kern w:val="0"/>
                <w:sz w:val="24"/>
                <w:szCs w:val="24"/>
                <w:highlight w:val="none"/>
              </w:rPr>
              <w:t>测报告（为保障所检测项目的严格性、有效性，测试报告须通过中国合格评定国家认可委员会CNAS认可，具备CNAS标识）。</w:t>
            </w:r>
          </w:p>
          <w:p w14:paraId="37DD4B0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服务要求</w:t>
            </w:r>
          </w:p>
          <w:p w14:paraId="308C7C5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1、投标人或生产厂商须具备持续创新的软硬件、服务升级能力，并保障招标人所采购设备符合国家知识产权规定，投标人或生产厂商须具有知识产权管理体系认证证书标准，须提供复印件加盖投标人公章。</w:t>
            </w:r>
          </w:p>
          <w:p w14:paraId="54D3CF17">
            <w:pPr>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2、为保证未来使用过程中问题反馈及解决的时效性，投标人或生产厂商具有客户投诉管理体系认证，提供证书扫描件并加盖投标人公章（认证范围需至少包括射频技术智能识别系统和图书馆公共管理系统开发，提供全国认证认可信息公共服务平台查询结果）。</w:t>
            </w:r>
          </w:p>
          <w:p w14:paraId="2CC0311A">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3、为保证系统安全稳定，投标人或生产厂商具有信息安全服务资质认证证书，提供证书扫描件并加盖投标人公章。（认证范围需至少包括软件安全开发服务、信息系统安全集成服务，提供认证证书复印件及全国认证认可信息公共服务平台查询结果）。</w:t>
            </w:r>
          </w:p>
        </w:tc>
      </w:tr>
      <w:tr w14:paraId="6338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4116E45">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w:t>
            </w:r>
          </w:p>
        </w:tc>
        <w:tc>
          <w:tcPr>
            <w:tcW w:w="1134" w:type="dxa"/>
            <w:noWrap w:val="0"/>
            <w:vAlign w:val="center"/>
          </w:tcPr>
          <w:p w14:paraId="05E4B604">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预约借还书书柜</w:t>
            </w:r>
          </w:p>
        </w:tc>
        <w:tc>
          <w:tcPr>
            <w:tcW w:w="7088" w:type="dxa"/>
            <w:noWrap w:val="0"/>
            <w:vAlign w:val="center"/>
          </w:tcPr>
          <w:p w14:paraId="32E1B2C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功能要求：</w:t>
            </w:r>
          </w:p>
          <w:p w14:paraId="251D297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1、RFID读写器电磁辐射必须遵守国家法律要求，须符合国际标准ISO18000-6C标准。</w:t>
            </w:r>
          </w:p>
          <w:p w14:paraId="319B2F8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2、可以非接触式地快速识别粘贴在流通资料上的RFID标签，可以借/还带RFID芯片的图书。</w:t>
            </w:r>
          </w:p>
          <w:p w14:paraId="11FEFDF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3、应用系统软件可与图书馆后台管理系统通过SIP2/NCIP实现无缝对接。</w:t>
            </w:r>
          </w:p>
          <w:p w14:paraId="69282BB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4、实现读者证、身份证、二维码等验证方式办理业务。</w:t>
            </w:r>
          </w:p>
          <w:p w14:paraId="36F0AA7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5、系统有读者可选择的借还、续借、借阅查询、查询密码和修改密码等功能，可以按照实际需要增添部分功能。</w:t>
            </w:r>
          </w:p>
          <w:p w14:paraId="48A5FC8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6、可根据图书管理系统需要设置为要求用户输入密码。</w:t>
            </w:r>
          </w:p>
          <w:p w14:paraId="008D890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7、具备安全设计，杜绝借还过程中出现漏读、误读现象。</w:t>
            </w:r>
          </w:p>
          <w:p w14:paraId="5AFCD5A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8、系统必须提供准确的工作统计，如交易数量、交易类型、成功与否的交易统计等。</w:t>
            </w:r>
          </w:p>
          <w:p w14:paraId="2D8D308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9、设备可通过标准串口、USB接口或网络接口连接至计算机设备，同时外观无读者可利用的任何接口。</w:t>
            </w:r>
          </w:p>
          <w:p w14:paraId="025F4F5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10、系统拥有远程监控和诊断功能。</w:t>
            </w:r>
          </w:p>
          <w:p w14:paraId="0162EB2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11、设备系统通过简单的硬件转换可以升级，紧跟最新技术发展。</w:t>
            </w:r>
          </w:p>
          <w:p w14:paraId="79359AC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12、系统必须提供自动续连功能，在网络短暂故障恢复后，自动连接流通系统服务器，并恢复自助服务,无需馆员协助连接或重新启动服务。</w:t>
            </w:r>
          </w:p>
          <w:p w14:paraId="25FD795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13、系统必须保证在设备指示区域范围内的图书能够读取，超过标识范围内的图书不被读取，保证读者操作时不会出错。</w:t>
            </w:r>
          </w:p>
          <w:p w14:paraId="1EE6913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14、系统具备自动关机功能，在非工作时间关闭电源，设定工作时间自动启动。</w:t>
            </w:r>
          </w:p>
          <w:p w14:paraId="2F35187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15、支持格口还书上架功能。</w:t>
            </w:r>
          </w:p>
          <w:p w14:paraId="07EFBB4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16、独立还书口可实现自动控制还书过程。</w:t>
            </w:r>
          </w:p>
          <w:p w14:paraId="5CB90A0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17、轻质还书箱底部有脚轮可以单独从书柜取出在地面轻松移动。</w:t>
            </w:r>
          </w:p>
          <w:p w14:paraId="6962AFF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▲18、还书箱满后系统可自动暂停还书口还书，具备箱满后台提醒功能，以便运维人员及时进行图书的上架，提供证明材料并加盖投标人公章。</w:t>
            </w:r>
          </w:p>
          <w:p w14:paraId="5222E592">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▲19、支持图书上架、图书下架、图书查询、书架预览、预约取书等功能(提</w:t>
            </w:r>
            <w:r>
              <w:rPr>
                <w:rFonts w:hint="eastAsia" w:asciiTheme="minorEastAsia" w:hAnsiTheme="minorEastAsia" w:eastAsiaTheme="minorEastAsia" w:cstheme="minorEastAsia"/>
                <w:kern w:val="0"/>
                <w:sz w:val="24"/>
                <w:szCs w:val="24"/>
                <w:highlight w:val="none"/>
              </w:rPr>
              <w:t>供具备检测资质的检测机构出具的对应</w:t>
            </w:r>
            <w:r>
              <w:rPr>
                <w:rFonts w:hint="eastAsia" w:asciiTheme="minorEastAsia" w:hAnsiTheme="minorEastAsia" w:eastAsiaTheme="minorEastAsia" w:cstheme="minorEastAsia"/>
                <w:kern w:val="0"/>
                <w:sz w:val="24"/>
                <w:szCs w:val="24"/>
                <w:highlight w:val="none"/>
              </w:rPr>
              <w:t xml:space="preserve">功能检测报告）。      </w:t>
            </w:r>
          </w:p>
          <w:p w14:paraId="4AA1B1F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技术要求：</w:t>
            </w:r>
          </w:p>
          <w:p w14:paraId="52BE0FC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1、可放置常用尺寸的图书，采用一书一格独立开关的布局，可放置常用尺寸的图书，双柜图书容量120册。</w:t>
            </w:r>
          </w:p>
          <w:p w14:paraId="6E77974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2、单元格密闭性设计良好，具备防尘、防蚊虫等优势。</w:t>
            </w:r>
          </w:p>
          <w:p w14:paraId="3F7F1ED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3、采用21.5寸以上触摸一体机，电容触摸屏，多个USB与RS232接口。</w:t>
            </w:r>
          </w:p>
          <w:p w14:paraId="74AD9A7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4、支持读者证、身份证、人脸、二维码等验证方式办理业务。</w:t>
            </w:r>
          </w:p>
          <w:p w14:paraId="47E5C8D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5、自动故障诊断：如果天线、控制器或者读写器发生故障，系统会自动报异常数据，提醒工作人员查看。</w:t>
            </w:r>
          </w:p>
          <w:p w14:paraId="53286F0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6、采用模块化设计，便于拆分吊装和应对需分体拆装组装设计。</w:t>
            </w:r>
          </w:p>
          <w:p w14:paraId="2CF0DD0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7、藏书单元、读写单元模块化独立设计，任一单元损坏或故障不影响设备的运行和操作。</w:t>
            </w:r>
          </w:p>
          <w:p w14:paraId="3E35310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还书口有防夹手传感器，极大限度保证读者安全，当闸门在静止状态时传感器检测到物体时闸门不运动，当闸门在关门运动时传感器检测到物体时闸门停止关门并退回开门状态直到物体排除再次执行关门动作，提供证明材料并加盖投标人公章。</w:t>
            </w:r>
          </w:p>
          <w:p w14:paraId="3D0CFBA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9、还书口闸门可自动打开和关闭。</w:t>
            </w:r>
          </w:p>
          <w:p w14:paraId="6164F75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10、铝质带脚轮还书箱可取出推行，当还书箱满时系统可暂停接收还书并在后台通常馆员。</w:t>
            </w:r>
          </w:p>
          <w:p w14:paraId="25D4393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11、设备采用前维护设计，可以从设备前方维护日常易损部件，如书盒门锁、打印机、工控机、显示器等常用功能模块。</w:t>
            </w:r>
          </w:p>
          <w:p w14:paraId="0079347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12、支持读者自助还书上架功能，提高图书流通性。</w:t>
            </w:r>
          </w:p>
          <w:p w14:paraId="0F36009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13、还书口内嵌RFID天线，可实现关门读取RFID标签，读取成功自动落书到还书箱，读取不成功开门返还给读者，从而最大程度保证读取标签信息与实物一致性。</w:t>
            </w:r>
          </w:p>
          <w:p w14:paraId="16A4BC4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14、书盒门由电脑控制开启，借一本书的时间不超过3秒。</w:t>
            </w:r>
          </w:p>
          <w:p w14:paraId="7EF2C97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15、书盒采用往右侧开门，方便读者操作，一只手就可以取书和还书，提供证明材料。</w:t>
            </w:r>
          </w:p>
          <w:p w14:paraId="1A25163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16、书盒门有大面积透明窗口，书盒内部有照明灯，并在书盒内设置紫外线消毒灯带，保证流通图书的安全，要求10大类微生物（大肠杆菌、金黄色葡萄球菌、铜绿假单胞菌、枯草杆菌黑色变种芽孢、白色念球菌、鼠伤寒沙门氏菌、表皮葡萄球菌、乙型溶血性链球菌、黑曲霉、白色葡萄球菌）灭菌率达99.9%，提供省级微生物分析检测中心出具的对应微生物检测报告（证明文件具有CMA及CNAS标识）。</w:t>
            </w:r>
          </w:p>
          <w:p w14:paraId="6576B38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17、书柜顶部有整条透光灯箱。</w:t>
            </w:r>
          </w:p>
          <w:p w14:paraId="75008FF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18、实现读者预约取书、委托取书、自助借阅。要求安全可靠，杜绝借还过程中出现漏读、误读现象。</w:t>
            </w:r>
          </w:p>
          <w:p w14:paraId="21356F1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▲19、设备具备省电模式功能：可根据客户需求设置具体时间常亮模式或者人体感应亮省电模式，提供实物截图证明材料并加盖投标人公章。</w:t>
            </w:r>
          </w:p>
          <w:p w14:paraId="05D42A6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服务要求</w:t>
            </w:r>
          </w:p>
          <w:p w14:paraId="13E8521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1、投标人或生产厂商须具备持续创新的软硬件、服务升级能力，并保障招标人所采购设备符合国家知识产权规定，投标人或生产厂商须具有知识产权管理体系认证证书标准，须提供复印件加盖投标人公章。</w:t>
            </w:r>
          </w:p>
          <w:p w14:paraId="691856CA">
            <w:pPr>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2、为保证未来使用过程中问题反馈及解决的时效性，投标人或生产厂商具有客户投诉管理体系认证，提供证书扫描件并加盖投标人公章（认证范围需至少包括射频技术智能识别系统和图书馆公共管理系统开发，提供全国认证认可信息公共服务平台查询结果）。</w:t>
            </w:r>
          </w:p>
          <w:p w14:paraId="1C769D0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3、为保证系统安全稳定，投标人或生产厂商具有信息安全服务资质认证证书，提供证书扫描件并加盖投标人公章。（认证范围需至少包括软件安全开发服务、信息系统安全集成服务，提供认证证书复印件及全国认证认可信息公共服务平台查询结果。）。</w:t>
            </w:r>
          </w:p>
        </w:tc>
      </w:tr>
      <w:tr w14:paraId="032B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F8746BB">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w:t>
            </w:r>
          </w:p>
        </w:tc>
        <w:tc>
          <w:tcPr>
            <w:tcW w:w="1134" w:type="dxa"/>
            <w:noWrap w:val="0"/>
            <w:vAlign w:val="center"/>
          </w:tcPr>
          <w:p w14:paraId="126AE771">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RFID三维定位管理系统</w:t>
            </w:r>
          </w:p>
        </w:tc>
        <w:tc>
          <w:tcPr>
            <w:tcW w:w="7088" w:type="dxa"/>
            <w:noWrap w:val="0"/>
            <w:vAlign w:val="center"/>
          </w:tcPr>
          <w:p w14:paraId="524A46E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1、后台软件需要覆盖已有RFID 数据区域的馆藏位置，在描绘三维图时需要完成指定区域的馆藏位置绘图。 </w:t>
            </w:r>
          </w:p>
          <w:p w14:paraId="58DDFC7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2、三维导航软件能够嵌入到图书馆现有的OPAC 查询系统，在读者检索图示信息时，提供导航指引连接。</w:t>
            </w:r>
          </w:p>
          <w:p w14:paraId="7482BE6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3、导航内容至少包括文献所载书架的区域位置、书架位置、具体所在书架的层标信息。</w:t>
            </w:r>
          </w:p>
          <w:p w14:paraId="0E5D4A0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4、系统提供接口，与图书馆移动盘点设备的数据上传软件对接。</w:t>
            </w:r>
          </w:p>
          <w:p w14:paraId="4823E3F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5、以3D 技术形式详细显示每个单册所在层架位，方便读者和工作人员在任何OPAC 查询终端，及时找到单册位置并显示导航线路图。</w:t>
            </w:r>
          </w:p>
          <w:p w14:paraId="49E8292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▲6、以3D技术形式详细显示每个单层所在层架位（</w:t>
            </w:r>
            <w:r>
              <w:rPr>
                <w:rFonts w:hint="eastAsia" w:asciiTheme="minorEastAsia" w:hAnsiTheme="minorEastAsia" w:eastAsiaTheme="minorEastAsia" w:cstheme="minorEastAsia"/>
                <w:kern w:val="0"/>
                <w:sz w:val="24"/>
                <w:szCs w:val="24"/>
                <w:highlight w:val="none"/>
              </w:rPr>
              <w:t>提供具备检测资质的检测机构出具的</w:t>
            </w:r>
            <w:r>
              <w:rPr>
                <w:rFonts w:hint="eastAsia" w:asciiTheme="minorEastAsia" w:hAnsiTheme="minorEastAsia" w:eastAsiaTheme="minorEastAsia" w:cstheme="minorEastAsia"/>
                <w:kern w:val="0"/>
                <w:sz w:val="24"/>
                <w:szCs w:val="24"/>
                <w:highlight w:val="none"/>
              </w:rPr>
              <w:t>检测报告）。</w:t>
            </w:r>
          </w:p>
          <w:p w14:paraId="2A54CB1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▲7、具备书架管理功能：</w:t>
            </w:r>
          </w:p>
          <w:p w14:paraId="5C0E649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①可以添加、编辑、书架基本信息，包括书架名称、书架总层数、书架位置信息；提供中国计量认证CMA及中国合格评定国家认可委员会CNAS认可的检测机构出具的以上对应功能检测报告（证明文件具有CMA及CNAS标识）</w:t>
            </w:r>
          </w:p>
          <w:p w14:paraId="4A884C4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②可以添加层架信息，包括层架标号、层架名称；提供中国计量认证CMA及中国合格评定国家认可委员会CNAS认可的检测机构出具的以上对应功能检测报告（证明文件具有CMA及CNAS标识）</w:t>
            </w:r>
          </w:p>
          <w:p w14:paraId="4E28B2C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③可以批量导入层架书架数据。提供中国计量认证CMA及中国合格评定国家认可委员会CNAS认可的检测机构出具的以上功能检测报告（证明文件具有CMA及CNAS标识）</w:t>
            </w:r>
          </w:p>
          <w:p w14:paraId="338D82B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▲8、图书馆藏数据导入功能：可以导入书本馆藏信息。提供中国计量认证CMA及中国合格评定国家认可委员会CNAS认可的检测机构出具的以上功能检测报告（证明文件具有CMA及CNAS标识）。</w:t>
            </w:r>
          </w:p>
        </w:tc>
      </w:tr>
      <w:tr w14:paraId="7761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77CE516">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w:t>
            </w:r>
          </w:p>
        </w:tc>
        <w:tc>
          <w:tcPr>
            <w:tcW w:w="1134" w:type="dxa"/>
            <w:noWrap w:val="0"/>
            <w:vAlign w:val="center"/>
          </w:tcPr>
          <w:p w14:paraId="148878E9">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图书加工</w:t>
            </w:r>
          </w:p>
        </w:tc>
        <w:tc>
          <w:tcPr>
            <w:tcW w:w="7088" w:type="dxa"/>
            <w:noWrap w:val="0"/>
            <w:vAlign w:val="center"/>
          </w:tcPr>
          <w:p w14:paraId="56544A3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1、负责将图书标签粘贴在图书书脊中（中间偏上部位，RFID图书标签粘贴在图书的倒数第20页），粘贴位置隐秘；图书标签粘贴的合格率≥99%。</w:t>
            </w:r>
          </w:p>
          <w:p w14:paraId="2387BD0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完成图书标签数据转换，要求准确无遗漏，图书标签数据转换的合格率≥99%；严格按照《中国图书馆分类法》完成图书上架，排架，图书上架的合格率≥99%；完成图书定位，要求图书无遗漏和错架，图书定位的合格率≥99%。</w:t>
            </w:r>
          </w:p>
          <w:p w14:paraId="640C8C6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中标方加工人员须按照采购方加工流程要求，完成采、编、典、上架全过程。在采购方派出专业人员指导、监督下进行图书系统著录、盖章、贴书标、条码号、交接、上架等工作并接受采购方的考核、检查。对考核不合格人员采购方有权要求中标方更换。</w:t>
            </w:r>
          </w:p>
          <w:p w14:paraId="14F61421">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4、中标方录入编目数据服务。所有图书录入标准 CNMARC 数据，并严格遵循《CALIS 联机合作编目手册》所规定的著录格式和著录标准，书目数据应达到详编级次。数据符合管理系统的要求，CNMARC正确率须100%。</w:t>
            </w:r>
          </w:p>
          <w:p w14:paraId="36E2BDA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6、盖馆藏章。每册书馆藏章盖2枚，使用蓝颜色。第一枚盖于书名页中下部，第二枚盖于图书的外切口中部。馆藏章要位置适当、清晰、勿歪斜。馆藏章由采购方提供。</w:t>
            </w:r>
          </w:p>
          <w:p w14:paraId="24E9328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7、贴条形码。中标方必须严格按采购方提供的规格要求制作条形码。条形码制作规格：50mm*20mm，纸质为热转印标签纸，39 码（使用识别器在Word 或 Excel 文档的识别显示号码与条形码的数字完全一致）。条形码粘贴从最小号码开始连续使用；同一种图书各复本的条码要连续，不能断开。每册图书贴相同条码 2 张，第一张贴于书名页上部距左边缘 2cm、距上边缘约 1cmm 处，勿歪斜，上覆薄膜；第二张贴于图书最后一页纸背面、距上边距 5cm、居中，勿歪斜，上覆薄膜。在书脊距离图书下切口 3cm 处划一横线，要求整齐、清楚。</w:t>
            </w:r>
          </w:p>
        </w:tc>
      </w:tr>
      <w:tr w14:paraId="5044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137A1C2">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w:t>
            </w:r>
          </w:p>
        </w:tc>
        <w:tc>
          <w:tcPr>
            <w:tcW w:w="1134" w:type="dxa"/>
            <w:noWrap w:val="0"/>
            <w:vAlign w:val="center"/>
          </w:tcPr>
          <w:p w14:paraId="574DF2A0">
            <w:pPr>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IC空间管理软件</w:t>
            </w:r>
          </w:p>
        </w:tc>
        <w:tc>
          <w:tcPr>
            <w:tcW w:w="7088" w:type="dxa"/>
            <w:noWrap w:val="0"/>
            <w:vAlign w:val="center"/>
          </w:tcPr>
          <w:p w14:paraId="2C83E89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1.系统至少需支持读者通过网上预约和微信预约两种预约方式，实现读者自助进行对图书馆学习座位预约及使用。</w:t>
            </w:r>
          </w:p>
          <w:p w14:paraId="0D2C1D8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支持IC空间的签到及签离：针对于空间大小不同的IC空间，系统应支持设定最少签到人数。读者在预约时需提交参与讨论的成员学号，在规定时间内预约者及参与者的刷卡签到人数必须大于该IC空间的最少签到人数，否则该IC空间将自动释放，未签到者记录违规。IC空间使用完毕后，预约者可以通过座位预约终端机进行签离。</w:t>
            </w:r>
          </w:p>
          <w:p w14:paraId="535BD46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支持IC空间审核管理：系统应支持设定IC空间预约时是否需要管理员审核、是否需要上传附件（电子文档系统备案），如需管理员进行审核，读者提交预约申请后，系统自动通知相关管理人员进行审核，审核通过后方可使用。</w:t>
            </w:r>
          </w:p>
          <w:p w14:paraId="2C157FA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4.特殊IC空间管理：管理员可后台根据读者特殊纸质申请，将特殊IC空间长期分配给读者，读者可以在预约平台查看特殊IC空间2个月内的预约使用情况。</w:t>
            </w:r>
          </w:p>
          <w:p w14:paraId="03FBE0E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5.系统架构：基于TCP/IP方式组网，每台终端设备均能够独立运行，不存在单点故障造成系统瘫痪。</w:t>
            </w:r>
          </w:p>
          <w:p w14:paraId="32E21D5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6.活动管理：系统应支持管理员根据读者申请在系统上发布活动内容信息，读者可以在预约平台上进行报名参加。系统后台应能够统计一个时间段内的活动场次、参加人数。</w:t>
            </w:r>
          </w:p>
          <w:p w14:paraId="1141035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7.通知公告：管理员可在预约平台上发布相关IC空间使用的规则以及其他有关通知等。</w:t>
            </w:r>
          </w:p>
          <w:p w14:paraId="1DC7099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8.▲提供图书馆信息共享空间智慧化平台软件的软件著作权证书，提供证书复印件加盖生产厂家公章。</w:t>
            </w:r>
          </w:p>
          <w:p w14:paraId="14ACDC9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系统支持黑名单管理功能，校方可通过制定相关的违约规则如未及时签到、未做签离等，对违约规则达到相应上限的读者进行列入黑名单处理，可使其在一定时间内禁止使用空间预约或禁止其进入图书馆，禁止天数可进行自定义设定，禁用时间到达后自动释放。</w:t>
            </w:r>
          </w:p>
          <w:p w14:paraId="7C55EA9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10.▲支持IC空间语音设置：后台增加使用前提醒、使用结束提醒参数开关选项；增加使用前多长时间（分钟）、开始后多长时间签到人数未满足最少人数等参数设置。</w:t>
            </w:r>
          </w:p>
          <w:p w14:paraId="2D7964C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11.▲为保证图书馆信息安全：需提供阅览研讨室管理系统的销售及运维服务所涉及的信息安全关系体系认证证书。</w:t>
            </w:r>
          </w:p>
          <w:p w14:paraId="05876A08">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13.▲为保证设备性能稳定性：需提供有效的ISO9001质量管理体系认证证书，ISO14001环境管理体系认证证书，以上证书认证范围需含阅览研讨室系统生产。</w:t>
            </w:r>
          </w:p>
        </w:tc>
      </w:tr>
      <w:tr w14:paraId="48CF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7" w:type="dxa"/>
            <w:noWrap w:val="0"/>
            <w:vAlign w:val="center"/>
          </w:tcPr>
          <w:p w14:paraId="7A9A251A">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w:t>
            </w:r>
          </w:p>
        </w:tc>
        <w:tc>
          <w:tcPr>
            <w:tcW w:w="1134" w:type="dxa"/>
            <w:noWrap w:val="0"/>
            <w:vAlign w:val="center"/>
          </w:tcPr>
          <w:p w14:paraId="4116E3F2">
            <w:pPr>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kern w:val="0"/>
                <w:sz w:val="24"/>
                <w:szCs w:val="24"/>
                <w:highlight w:val="none"/>
              </w:rPr>
              <w:t>IC空间配套设备</w:t>
            </w:r>
          </w:p>
        </w:tc>
        <w:tc>
          <w:tcPr>
            <w:tcW w:w="7088" w:type="dxa"/>
            <w:noWrap w:val="0"/>
            <w:vAlign w:val="center"/>
          </w:tcPr>
          <w:p w14:paraId="143843C5">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1.基本功能：支持通过研修间触摸屏显示当前研讨间正在进行的研讨活动主题、内容以及参与人员等信息，支持滑动屏幕查看研讨间的预约情况。</w:t>
            </w:r>
          </w:p>
          <w:p w14:paraId="1A5B8AF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2.主板配置：性能不低于ARM八核处理器同等配置；内存≥1G；存储≥8G。</w:t>
            </w:r>
          </w:p>
          <w:p w14:paraId="6EAEF6CD">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3.研修间触摸终端：采用全彩色LED电容触摸屏，≥10英寸，内置一体式读卡器。</w:t>
            </w:r>
          </w:p>
          <w:p w14:paraId="02A4AAE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4.操作系统：Andriod 4.4以上。</w:t>
            </w:r>
          </w:p>
          <w:p w14:paraId="1BA8F99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5.▲研讨间刷卡终端采用TCP/IP组网方式，每个研讨间刷卡终端独立与服务器进行数据交互，原生读卡头与Andriod集成，非读卡器+PAD方式。研讨间刷卡终端应支持wifi无线连网。</w:t>
            </w:r>
          </w:p>
          <w:p w14:paraId="10B23ADC">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6.系统支持通过滑动屏幕查看后面研讨间的预约情况，可实时显示本地天气情况。</w:t>
            </w:r>
          </w:p>
          <w:p w14:paraId="19F3F40E">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7.研修间触摸屏耐久性应良好，可承受不低于6000万次的单点触摸。</w:t>
            </w:r>
          </w:p>
          <w:p w14:paraId="1BF58E04">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8.需配套电磁锁、出门按钮及现场布线，电磁锁：DC12V/24V，抗200公斤拉力，带LED 指示灯。</w:t>
            </w:r>
          </w:p>
          <w:p w14:paraId="7F74F35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支持研讨间使用结束前可设定时间的声音提醒：声音提醒内容如“使用时间即将结束”，声音提示内容ICReader后台可配置。研讨间结束后1分钟内声音提醒，声音提醒内容“使用已结束，欢迎下次使用”，声音提示内容ICReader后台可配置。</w:t>
            </w:r>
          </w:p>
          <w:p w14:paraId="75D76AE7">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10.▲支持LED灯带提醒功能：采用高亮度LED显示灯，房间空闲是灯带为绿色状态，房间使用时为不亮状态，设备发生故障是灯带为红色状态，（提供以上设备功能图）</w:t>
            </w:r>
          </w:p>
          <w:p w14:paraId="06B4C990">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11.出门按钮：采用国内知名品牌、门内控制电磁锁开门，可使用次数1万次以上</w:t>
            </w:r>
          </w:p>
        </w:tc>
      </w:tr>
      <w:tr w14:paraId="5518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7" w:type="dxa"/>
            <w:noWrap w:val="0"/>
            <w:vAlign w:val="center"/>
          </w:tcPr>
          <w:p w14:paraId="7857DA08">
            <w:pPr>
              <w:jc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15</w:t>
            </w:r>
          </w:p>
        </w:tc>
        <w:tc>
          <w:tcPr>
            <w:tcW w:w="1134" w:type="dxa"/>
            <w:noWrap w:val="0"/>
            <w:vAlign w:val="center"/>
          </w:tcPr>
          <w:p w14:paraId="3D9DA7CD">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全自动装订机</w:t>
            </w:r>
          </w:p>
        </w:tc>
        <w:tc>
          <w:tcPr>
            <w:tcW w:w="7088" w:type="dxa"/>
            <w:noWrap w:val="0"/>
            <w:vAlign w:val="center"/>
          </w:tcPr>
          <w:p w14:paraId="2DBF6C69">
            <w:pPr>
              <w:numPr>
                <w:ilvl w:val="0"/>
                <w:numId w:val="7"/>
              </w:numPr>
              <w:jc w:val="left"/>
              <w:rPr>
                <w:rFonts w:hint="default"/>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装订厚度：&lt;=60mm</w:t>
            </w:r>
          </w:p>
          <w:p w14:paraId="1B6FEA78">
            <w:pPr>
              <w:pStyle w:val="2"/>
              <w:numPr>
                <w:ilvl w:val="0"/>
                <w:numId w:val="7"/>
              </w:numPr>
              <w:ind w:left="0" w:leftChars="0" w:firstLine="0" w:firstLineChars="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可调整边距0-23mm</w:t>
            </w:r>
          </w:p>
          <w:p w14:paraId="403D5F2C">
            <w:pPr>
              <w:pStyle w:val="2"/>
              <w:numPr>
                <w:ilvl w:val="0"/>
                <w:numId w:val="7"/>
              </w:numPr>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激光定位</w:t>
            </w:r>
          </w:p>
          <w:p w14:paraId="14AACB41">
            <w:pPr>
              <w:pStyle w:val="2"/>
              <w:numPr>
                <w:ilvl w:val="0"/>
                <w:numId w:val="7"/>
              </w:numPr>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自动清理钻刀</w:t>
            </w:r>
          </w:p>
          <w:p w14:paraId="52FDF57B">
            <w:pPr>
              <w:pStyle w:val="2"/>
              <w:numPr>
                <w:ilvl w:val="0"/>
                <w:numId w:val="7"/>
              </w:numPr>
              <w:ind w:left="0" w:leftChars="0" w:firstLine="0" w:firstLineChars="0"/>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操作方式：触摸操作（屏幕）</w:t>
            </w:r>
          </w:p>
        </w:tc>
      </w:tr>
      <w:tr w14:paraId="4604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14:paraId="76A6AB41">
            <w:pPr>
              <w:jc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16</w:t>
            </w:r>
          </w:p>
        </w:tc>
        <w:tc>
          <w:tcPr>
            <w:tcW w:w="1134" w:type="dxa"/>
            <w:noWrap w:val="0"/>
            <w:vAlign w:val="center"/>
          </w:tcPr>
          <w:p w14:paraId="044B1B3B">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会议音响设备</w:t>
            </w:r>
          </w:p>
        </w:tc>
        <w:tc>
          <w:tcPr>
            <w:tcW w:w="7088" w:type="dxa"/>
            <w:noWrap w:val="0"/>
            <w:vAlign w:val="center"/>
          </w:tcPr>
          <w:tbl>
            <w:tblPr>
              <w:tblStyle w:val="35"/>
              <w:tblW w:w="951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1"/>
              <w:gridCol w:w="4218"/>
              <w:gridCol w:w="560"/>
              <w:gridCol w:w="560"/>
            </w:tblGrid>
            <w:tr w14:paraId="749A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CA1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6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5B1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880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BC2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r>
            <w:tr w14:paraId="5DEE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E1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前置音箱</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ED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音箱类型:二分频无源音箱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驱动器 HF:1×44芯高音压缩驱动器，LF:1×12" 低频单元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 (±3dB):50Hz-20kHz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-10dB:45Hz-20kHz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额定功率RMS:450W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连续功率:900W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最大功率:1800W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指向性(H×V):110°×90°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灵敏度(1W/1m):97dB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最大声压级:130dB(峰值)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额定阻抗:8Ω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F9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B5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5E4E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072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辅助音箱</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F9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声学规范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频率响应(-3db):50Hz-19kHz频率响应(-10db):45Hz-20kHz最大声压级 @ 1m:115dB/121dB(峰值)覆盖角度 (H x V):90 ° x 60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喇叭单元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高音单元:1×1.7"高频驱动器低音单元:1×12"低频驱动器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输入/输出部分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输入连接器:2 × NL4输入灵敏度 (1W @ 1m):95dB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电源部分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额定功率(RMS):250W长期最大功率(MUSIC):500W短期最大功率(PEAK):1000W额定阻抗 (Ohm):8Ω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物理特性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箱体材料:聚丙烯精密注塑硬件:8×M8吊装点把手:1×塑胶把手表面处理:箱体表面聚亚胺酯喷涂 面网表面黑色喷粉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B7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96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7DB7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C99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2分频12英寸全频返听扬声器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DD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系统组成：HF:1×3"压缩驱动单元，LF:1×12"低频驱动单元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频率响应(±3dB) ：60Hz-16kHz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(-10dB)：50Hz-19kHz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指向性(H×V)：45 °× 45° 返听角50°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额定功率：400W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长期连续功率：800W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短期连续功率：1600W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灵敏度（1m/1W)： 98dB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最大声压级 ：130dB(峰值)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额定阻抗 :8 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9A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7B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0D57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5B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两通道音频功率放大器 </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52B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额定功率8Ω:CHA:400W</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CHB:400W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额定功率(4Ω)CHA:650W</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CHB:650W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最大增益:37.5dB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放大器种类:H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总谐波失真:&lt;0.025% @8Ω,20Hz-20kHz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互调失真:&lt;0.05% @8Ω,60Hz/7kHz 4:1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频率响应:&lt;±0.5dB 20Hz-20kHz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相移特性:&lt;±15°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阻尼系数:&gt;300:1 8Ω @20Hz-1kHz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分离度:&gt;80dB 1kHz @8Ω额定功率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信噪比:&gt;106dB 1kHz，A计权 @8Ω额定功率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通道增益差:&lt;0.15dB 20Hz-20kHz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输入灵敏度:0.775V @8Ω额 定功率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转换速率:18V/us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输入阻抗:非平衡输入&gt;10kΩ 平衡输入&gt;20kΩ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输入接口:2×XLR卡侬输入插座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输出接口:级联输出:1×TRS插座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功率输出:2×NL4插座 + 2×接线柱</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13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E4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6E9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44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两通道音频功率放大器 </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5F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额定功率8Ω:CHA:600W</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CHB:600W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额定功率(4Ω)CHA:1000W</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CHB:1000W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最大增益:39dB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放大器种类:H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总谐波失真:&lt;0.025% @8Ω,20Hz-20kHz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互调失真:&lt;0.05% @8Ω,60Hz/7kHz 4:1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频率响应:&lt;±0.5dB 20Hz-20kHz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相移特性:&lt;±15°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阻尼系数:&gt;300:1 8Ω @20Hz-1kHz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分离度:&gt;80dB 1kHz @8Ω额定功率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信噪比:&gt;106dB 1kHz，A计权 @8Ω额定功率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通道增益差:&lt;0.15dB 20Hz-20kHz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输入灵敏度:0.775V @8Ω额 定功率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转换速率:18V/us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输入阻抗:非平衡输入&gt;10kΩ 平衡输入&gt;20kΩ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输入接口:2×XLR卡侬输入插座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输出接口:级联输出:1×TRS插座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功率输出:2×NL4插座 + 2×接线柱</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FE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C9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71C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AEA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8路电源时序器 </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2B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最大输入电流:60A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单路最大输出电流:30A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各电源通路最大输出功率:3KW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延迟通断时间:1秒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中控接口RS232:有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联机支持:有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数字显示电压表:有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万用插座，后面板8个受控万用插座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可顺序开机，逆序关机，网口连接可支持255台设备级联</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B3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E0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C207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02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反馈抑制器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E3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系统设计灵活多变，具备4路万能输入接口，2路平衡输出接口，配有线路输入输出莲花接口，调试简单方便。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每通道具有48V幻象电源，本产品主要针对现代化教学、会议、庭审的录音和远程会议通话专门研究开发。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4路万能输入接口,每路有独立48V供电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有高、中、低电平可调。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面板配有电平显示，可显示当前工作状态与信号电平大小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面板一键专业数字反馈抑制模块,直通/反馈模式可转换，无需调式，增加话筒拾音距离 30-100CM以上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面板一键快速校准，大程度上还原声音的保真度，从而有效抑制更多的反射成分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标准1U机箱，高档拉丝铝合金面板。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1路线路输入莲花接口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1路线路输出莲花接口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面板有系统信号音量大小调节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面板有线路输入信号音量大小调节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1.7吋TFT彩屏显示屏,监控输出电平一目了然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供电方式：AC~220V，50Hz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消耗功率：30W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频率响应：20Hz~20KHz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采样率：32KHz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THD:&lt;0.1%@1KHz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信噪比：&gt;90dB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信号延时：11ms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CMRR：&gt;25dB（50Hz~20KHz）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输入阻抗： 话筒输入:47KΩ，线路输入:10KΩ，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音乐输入:10KΩ，远程输入:10KΩ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输出阻抗： 主输出:220Ω，线路输出:1KΩ，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录音输出:1KΩ，远程输出:1KΩ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99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90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EAC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BC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数字调音台</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BA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双核1.2G处理器+Linux系统  7寸电容触摸屏1024x600分辨率 中英文界面随时切换且无需重启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内置6~12个通道独立的反馈抑制器带2个DCAiPad触摸屏全功能控制，实时数据同步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可选配WIFI热点 支持8个终端同时控制 可通过网络或者USB电阻盘升级ARM固件、DSP固件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每个输入通道具有4段参数均衡、噪声门、反馈抑制器、高低通、压缩、反相  每个输出通道具有8段参数均衡、高低通、压缩、反相  输出通道、混音总线可选择推子前、推子后（PRE/POST）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支持2~100组场景预设功能，可导出、导入USB存储器，便于数据备份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32个PEQ模式存储 内置信号发生器：正弦波、粉红噪声、白噪声 通道参数拷贝功能，相同的通道快速复制数据 接线方式：平衡式输入、输出卡侬 推子编组、1个系统静音按键、3个自定义按键 通道名称可自定义显示屏尺寸 7寸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分辨率1024x600触 控电容分辨率1024x600主控CPU 双核1.2G操作系统 Linux</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DSPADSP-21488 400Mhz模拟输入 12MIC+4Line+USB 10CH ( 6MIC + 4Line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模拟输出 L/R+4BUS+ Headphone(L/R) L/R+4BUS+ Headphone(L/R)</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反馈抑制器 MIC 1~8通道 MIC 1~6通道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USB播放 播放格式APE、FLAC、MP3、WAV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USB录音 2轨录音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输出底噪 -90dBu 无记权（AES17-20Khz）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失真度 0.007% @4dBu 20～20Khz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最大性噪比105dB无记权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动态范围 105dB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 20Hz－20KHz ±0.5dB @0dBu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最大输入电平14dBu ( 3.88Vrms ) 平衡卡侬输入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最大输出电平18dBu（6.2Vrms）平衡卡侬输出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DCA 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中英文界面有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电动推子 9个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ipad控制 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效果器 1种效果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以太网 100M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RS-232协议 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TCP/IP协议 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USB鼠标 支持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27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5A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349A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53C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无线会议主机</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786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接收方式：真正分集接收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接收频道：四通道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频率范围：522MHz-938MHz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频率稳定性：0.005％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调制方式：FM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最大偏移度：±45KHz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调谐：32KHz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接收灵敏度：在偏移度等于25KHz，输入5dBuV时，S/N＞60dB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叠机套数：5套（同时使用）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频率响应：65Hz-16KHz，150Hz-16KHz（低切）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总谐波失真：≤0.7％@1KHz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动态范围：＞95dB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信噪比（A加权）：＞92dB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音频输出：XLR卡侬插座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数据连接：RJ11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通讯口：RS-232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供电：DC 12V/1A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IR]红外线自动对频功能，进入菜单后选择IR红外对频，就能立即使发射器自动精确锁定接收机的工作频点具有[AFS]自动搜索频道功能，进入菜单选中自动搜频功能后，就会自动搜索及锁定在一个不受干扰的工作频道上配置编码器和四联轻触开关灵活结合，操作各项功能及参数设定。128×64OLED显示屏可以同时显示出接收机与发射机的各项信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2F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16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FD8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30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无线会议话筒</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13A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载波频段：521.25MHz-936.85MHz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振荡方式： PLL频率合成技术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谐波辐射 低于主波45dBm以上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按键：发言/静音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频带宽度： 134MHz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最大偏移度： ±45KHz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RF输出功率： 30mW</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E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1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3FFB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34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手拉手会议主机</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F52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箱规格：EIA标准1U频率响应：60Hz-18KHz总谐波失真：＜0.1％（f＝1KHz）动态范围：＞100dB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信噪比：＞106dB（THD＜1％，f＝1KHz）连接线缆：防脱落9芯屏蔽线/超5类B型网线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连接方式：手拉手最大会议单元数量：110同时开启话筒：2/3/4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供电电压：90-264VAC或127-370VAC,47-63Hz静态功耗：6W额定功率：75W/24V最大功率：100W/24VXLR平衡卡侬最大输出电平：14.6dBu6.35mm平衡插座最大输出电平：14.6dBu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RCA莲花插座最大输出电平：9.8dBuRCA莲花插座最大输入电平：3.2dBu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会议单元扩展口：9芯航空公头×1，网口母头×1视频输入口：BNC母头×4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视频输出口：BNC母头×1视频接口阻抗：75欧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9针串口控制接口：DB9母头×1RS-232控制协议接口：5P凤凰端子×1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RS-422控制协议接口：5P凤凰端子×1Dante接口：RJ45×1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音频输出：XLR公头×1，6.35mm立体声插座×1，RCA莲花座×1音频输入：RCA莲花座×1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显示屏类型：OLED按键方式：触摸式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B0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F1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80A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C9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会议代表单元</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494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传声器类型：电容式心形指向频率响应：50Hz-18KHz灵敏度：-47dB+/-3dB(0dB=1V/Pa,f=1KHz)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最大输入声压级：105Db(THD＜5%, f=1KHz)信噪比（A加权）：＞52dBA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失真度：＜0.1%供电：24V DC(主机提供)扬声器最大功率：1.5W功耗：0.8W-2.5W耳机插口：3.5mm立体声插口显示屏类型：OLED单元接口：9芯航空公头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9A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0F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5FB8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F0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天线分配放大器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C2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频率范围：600-900MHz驻波比：≤2.0典型增益：7dBi垂直面波瓣宽度：60°水平面波瓣宽度：80°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输入阻抗：50Ω极化方式：垂直前后比：≥25dB最大功率：50w接头类型：BNC</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4E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22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2AD5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D7E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音响线</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ED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护套绞形扬声器线缆，采用优质高纯度（OFC）无氧铜丝绞合，特别配方聚氯乙烯绝缘，灰色聚氯乙烯护套；适用于工程暗线架设，外径：9.0mm；2芯绞合加护套，导体截面积：2.5mm2；导体直流电阻：0.7Ω/100m。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1C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D4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r>
            <w:tr w14:paraId="242B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506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音频线</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DC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优质高纯度（OFC）无氧铜丝绞合，聚乙烯绝缘；聚氯乙烯护套，护套为绞形，外径：4.6mm；2芯加铝箔反包屏蔽，导体截面积：0.37mm2；导体直流电阻：4.8Ω/100m，芯与芯之间的电容：70pF/m，芯与屏蔽之间的电容：120pF/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60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00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r>
            <w:tr w14:paraId="4D6E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666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音箱壁架</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03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冷扎钢板架身，多角度可调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00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38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30C85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EB7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高清线</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C47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HDMI2.0有源光缆采用光纤取代铜线作为高速信号传输介质，可以无损传输4K超高清图像100米。有源光缆数据线具有使用方便、兼容性好、无需外部供电、无需驱动程序、即插即用，更长、更细、更软、信号质量更好、无辐射、不受电磁干扰等优势。阻燃达到VW-1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支持HDMI2.0，向下兼容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带宽18Gbps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支持3D 4K@60 4:4:4，向下兼容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支持VESA分辨率，高达UXGA（1600*1200@60Hz）和WUXGA（1920*1200@60Hz）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支持HDCP2.2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标称线缆外径：4.5mm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B1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BE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14:paraId="423C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C8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麦克风线缆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5A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编织屏蔽麦克风线缆，采用优质高纯度（OFC）无氧铜丝绞合，特别配方聚氯乙烯绝缘，黑色弹性聚氯乙烯护套。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导体截面积：2×0.5mm2（20AWG）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屏蔽：无氧铜丝编织屏蔽，覆盖率90%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标称护套外径：6.8mm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标称导体直流电阻（20℃）：34.48Ω/km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标称芯-芯之间的电容：150pF/m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标称芯-屏蔽之间的电容：250pF/m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30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23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14:paraId="58A7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67A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操作台</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521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操作台整体部位按照人体工程学设计，人在工作时与平台呈舒适角度。提高工作效率粉末喷涂，外表美观丰满，附着力强，耐冲击，防锈抗酸碱腐蚀键盘托采用三节静音加厚滑轨，金属托盘稳固承重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9A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A7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66A2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25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5F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宽度600mm深度1000mm高度2055mm容量42U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ISO检测 通过ISO9001质量管理体系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配置8位10A PDU插排一个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固定板x3风扇部件X2组重型脚轮X4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M6螺丝螺母X40套内六角扳手X1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95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95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32EC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46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调焦面光灯</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6D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1.电源:AC90-240V,50/60Hz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2.额定功率:180W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3.光源:4颗双色温灯珠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4.显指：90±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5.调 光：0-100%调光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6.频 闪：1-20次/秒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7.透镜角度：25º（可定制）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8.控制模式：DMX512/主从/自走声控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9.防护等级：IP20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10.工作环境温度：-20ºC至40ºC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11.灯具尺寸：280*340*230mm，重量：3.1KG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12.包装尺寸：250*250*360mm，重量：3.6KG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13.获得证书：获得ISO9001质量管理体系认证；获得CE证书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E9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EE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D31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6C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 三基色会议灯</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4D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 额电压：AC110V-230V  50HZ-60HZ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2. 额定功率：≥150W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3. 光源：≥200颗贴片式进口灯珠，5730LED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4. 显色指数（CRI）：Ra≥90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5. 灯珠：寿命不少于5万小时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6. 通道数：2个DMX512通道（调光，频闪）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7. 调光：精准线性调光0-100%，16 bit调光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8. 色温：暖黄或正白 3200K/5600（可定制）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9. 光斑角度：不低于60度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10.灯体结构：遮飞板使用铝制型反光板，反光效率高。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11.散热：机箱出风口散热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12.适用环境：专业舞台／影像工作室／演艺场所/娱乐场所/演播厅/礼堂/剧院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13.尺寸：60*20*33cm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14.重量：6kg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15.获得证书：获得ISO9001质量管理体系认证；获得CE证书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AE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11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829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7F2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调光台</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AD6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控制通道：1024个DMX控制通道。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信号输出：两路光电隔离信号输出。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灯库：使用珍珠灯库（R20格式灯库），且控台上可自行编写灯库1。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显示屏：带背光的LCD显示屏，中英文显示可切换界面，面板中英文可选1。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图形轨迹发生器：内置图形轨迹发生器，有135个内置图形，方便用户对电脑灯进行图形轨迹控制，如画圆、螺旋、彩虹、追逐等多种效果。图形参数（如：振幅、速度、间隔、波浪、方向）均可独立设置，更方便快捷的做出想要的造型和场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5D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0F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687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F15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灯钩</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D6AE">
                  <w:pPr>
                    <w:jc w:val="left"/>
                    <w:rPr>
                      <w:rFonts w:hint="eastAsia" w:ascii="宋体" w:hAnsi="宋体" w:eastAsia="宋体" w:cs="宋体"/>
                      <w:i w:val="0"/>
                      <w:iCs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2F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45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7E5E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10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76F6">
                  <w:pPr>
                    <w:jc w:val="left"/>
                    <w:rPr>
                      <w:rFonts w:hint="eastAsia" w:ascii="宋体" w:hAnsi="宋体" w:eastAsia="宋体" w:cs="宋体"/>
                      <w:i w:val="0"/>
                      <w:iCs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B0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AE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道</w:t>
                  </w:r>
                </w:p>
              </w:tc>
            </w:tr>
            <w:tr w14:paraId="3D6D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03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3D64">
                  <w:pPr>
                    <w:jc w:val="left"/>
                    <w:rPr>
                      <w:rFonts w:hint="eastAsia" w:ascii="宋体" w:hAnsi="宋体" w:eastAsia="宋体" w:cs="宋体"/>
                      <w:i w:val="0"/>
                      <w:iCs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0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DF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114F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B7A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124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欧式头，音箱定制壁架，电源线、信号线、同轴电缆线、延长线</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81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FD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r>
            <w:tr w14:paraId="4DD8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EB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安装调试</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D0E1">
                  <w:pPr>
                    <w:jc w:val="left"/>
                    <w:rPr>
                      <w:rFonts w:hint="eastAsia" w:ascii="宋体" w:hAnsi="宋体" w:eastAsia="宋体" w:cs="宋体"/>
                      <w:i w:val="0"/>
                      <w:iCs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99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DF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r>
          </w:tbl>
          <w:p w14:paraId="7D2A9F19">
            <w:pPr>
              <w:pStyle w:val="2"/>
              <w:ind w:left="0" w:leftChars="0" w:firstLine="0" w:firstLineChars="0"/>
              <w:rPr>
                <w:rFonts w:hint="default"/>
                <w:highlight w:val="none"/>
                <w:lang w:val="en-US" w:eastAsia="zh-CN"/>
              </w:rPr>
            </w:pPr>
          </w:p>
        </w:tc>
      </w:tr>
    </w:tbl>
    <w:p w14:paraId="7CAB6B25">
      <w:pPr>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br w:type="page"/>
      </w:r>
    </w:p>
    <w:p w14:paraId="490E9952">
      <w:pPr>
        <w:bidi w:val="0"/>
        <w:spacing w:line="240" w:lineRule="auto"/>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第六章</w:t>
      </w:r>
      <w:r>
        <w:rPr>
          <w:rFonts w:hint="eastAsia" w:asciiTheme="minorEastAsia" w:hAnsiTheme="minorEastAsia" w:eastAsiaTheme="minorEastAsia" w:cstheme="minorEastAsia"/>
          <w:b/>
          <w:bCs/>
          <w:sz w:val="28"/>
          <w:szCs w:val="28"/>
          <w:highlight w:val="none"/>
          <w:lang w:val="en-US" w:eastAsia="zh-CN"/>
        </w:rPr>
        <w:t xml:space="preserve"> </w:t>
      </w:r>
      <w:r>
        <w:rPr>
          <w:rFonts w:hint="eastAsia" w:asciiTheme="minorEastAsia" w:hAnsiTheme="minorEastAsia" w:eastAsiaTheme="minorEastAsia" w:cstheme="minorEastAsia"/>
          <w:b/>
          <w:bCs/>
          <w:sz w:val="28"/>
          <w:szCs w:val="28"/>
          <w:highlight w:val="none"/>
        </w:rPr>
        <w:t>投标文件格式</w:t>
      </w:r>
    </w:p>
    <w:p w14:paraId="07B1C7F2">
      <w:pPr>
        <w:pStyle w:val="65"/>
        <w:spacing w:line="240" w:lineRule="auto"/>
        <w:ind w:firstLine="161" w:firstLineChars="50"/>
        <w:rPr>
          <w:rFonts w:hint="eastAsia" w:asciiTheme="minorEastAsia" w:hAnsiTheme="minorEastAsia" w:eastAsiaTheme="minorEastAsia" w:cstheme="minorEastAsia"/>
          <w:b/>
          <w:color w:val="auto"/>
          <w:sz w:val="32"/>
          <w:szCs w:val="32"/>
          <w:highlight w:val="none"/>
        </w:rPr>
      </w:pPr>
    </w:p>
    <w:p w14:paraId="56AE83CD">
      <w:pPr>
        <w:spacing w:line="240" w:lineRule="auto"/>
        <w:ind w:firstLine="454"/>
        <w:rPr>
          <w:rFonts w:hint="eastAsia" w:asciiTheme="minorEastAsia" w:hAnsiTheme="minorEastAsia" w:eastAsiaTheme="minorEastAsia" w:cstheme="minorEastAsia"/>
          <w:spacing w:val="-12"/>
          <w:sz w:val="30"/>
          <w:highlight w:val="none"/>
        </w:rPr>
      </w:pPr>
    </w:p>
    <w:p w14:paraId="369DD5F1">
      <w:pPr>
        <w:spacing w:line="240" w:lineRule="auto"/>
        <w:jc w:val="center"/>
        <w:rPr>
          <w:rFonts w:hint="eastAsia" w:asciiTheme="minorEastAsia" w:hAnsiTheme="minorEastAsia" w:eastAsiaTheme="minorEastAsia" w:cstheme="minorEastAsia"/>
          <w:sz w:val="24"/>
          <w:szCs w:val="32"/>
          <w:highlight w:val="none"/>
        </w:rPr>
      </w:pPr>
    </w:p>
    <w:p w14:paraId="4EE15F9F">
      <w:pPr>
        <w:pStyle w:val="17"/>
        <w:spacing w:line="240" w:lineRule="auto"/>
        <w:jc w:val="center"/>
        <w:rPr>
          <w:rFonts w:hint="eastAsia" w:asciiTheme="minorEastAsia" w:hAnsiTheme="minorEastAsia" w:eastAsiaTheme="minorEastAsia" w:cstheme="minorEastAsia"/>
          <w:b/>
          <w:bCs/>
          <w:spacing w:val="72"/>
          <w:sz w:val="40"/>
          <w:szCs w:val="40"/>
          <w:highlight w:val="none"/>
          <w:lang w:eastAsia="zh-CN"/>
        </w:rPr>
      </w:pPr>
      <w:r>
        <w:rPr>
          <w:rFonts w:hint="eastAsia" w:asciiTheme="minorEastAsia" w:hAnsiTheme="minorEastAsia" w:eastAsiaTheme="minorEastAsia" w:cstheme="minorEastAsia"/>
          <w:b/>
          <w:bCs/>
          <w:kern w:val="0"/>
          <w:sz w:val="40"/>
          <w:szCs w:val="40"/>
          <w:highlight w:val="none"/>
          <w:lang w:eastAsia="zh-CN"/>
        </w:rPr>
        <w:t>新疆应用职业技术学院新图书馆信息化服务项目</w:t>
      </w:r>
    </w:p>
    <w:p w14:paraId="3C3204B1">
      <w:pPr>
        <w:pStyle w:val="2"/>
        <w:spacing w:line="240" w:lineRule="auto"/>
        <w:rPr>
          <w:rFonts w:hint="eastAsia" w:asciiTheme="minorEastAsia" w:hAnsiTheme="minorEastAsia" w:eastAsiaTheme="minorEastAsia" w:cstheme="minorEastAsia"/>
          <w:highlight w:val="none"/>
        </w:rPr>
      </w:pPr>
    </w:p>
    <w:p w14:paraId="04C382DA">
      <w:pPr>
        <w:spacing w:line="240" w:lineRule="auto"/>
        <w:jc w:val="center"/>
        <w:rPr>
          <w:rFonts w:hint="eastAsia" w:asciiTheme="minorEastAsia" w:hAnsiTheme="minorEastAsia" w:eastAsiaTheme="minorEastAsia" w:cstheme="minorEastAsia"/>
          <w:spacing w:val="72"/>
          <w:sz w:val="72"/>
          <w:highlight w:val="none"/>
        </w:rPr>
      </w:pPr>
      <w:r>
        <w:rPr>
          <w:rFonts w:hint="eastAsia" w:asciiTheme="minorEastAsia" w:hAnsiTheme="minorEastAsia" w:eastAsiaTheme="minorEastAsia" w:cstheme="minorEastAsia"/>
          <w:b/>
          <w:bCs/>
          <w:spacing w:val="72"/>
          <w:sz w:val="72"/>
          <w:highlight w:val="none"/>
        </w:rPr>
        <w:t>投 标 文 件</w:t>
      </w:r>
    </w:p>
    <w:p w14:paraId="326FCE03">
      <w:pPr>
        <w:spacing w:line="240" w:lineRule="auto"/>
        <w:ind w:firstLine="454"/>
        <w:jc w:val="center"/>
        <w:rPr>
          <w:rFonts w:hint="eastAsia" w:asciiTheme="minorEastAsia" w:hAnsiTheme="minorEastAsia" w:eastAsiaTheme="minorEastAsia" w:cstheme="minorEastAsia"/>
          <w:b/>
          <w:spacing w:val="72"/>
          <w:sz w:val="28"/>
          <w:szCs w:val="28"/>
          <w:highlight w:val="none"/>
        </w:rPr>
      </w:pPr>
    </w:p>
    <w:p w14:paraId="63FFAA29">
      <w:pPr>
        <w:spacing w:line="240" w:lineRule="auto"/>
        <w:ind w:firstLine="454"/>
        <w:jc w:val="center"/>
        <w:rPr>
          <w:rFonts w:hint="eastAsia" w:asciiTheme="minorEastAsia" w:hAnsiTheme="minorEastAsia" w:eastAsiaTheme="minorEastAsia" w:cstheme="minorEastAsia"/>
          <w:b/>
          <w:spacing w:val="72"/>
          <w:sz w:val="28"/>
          <w:szCs w:val="28"/>
          <w:highlight w:val="none"/>
        </w:rPr>
      </w:pPr>
    </w:p>
    <w:p w14:paraId="2559B75D">
      <w:pPr>
        <w:spacing w:line="240" w:lineRule="auto"/>
        <w:ind w:firstLine="454"/>
        <w:jc w:val="center"/>
        <w:rPr>
          <w:rFonts w:hint="eastAsia" w:asciiTheme="minorEastAsia" w:hAnsiTheme="minorEastAsia" w:eastAsiaTheme="minorEastAsia" w:cstheme="minorEastAsia"/>
          <w:b/>
          <w:spacing w:val="72"/>
          <w:sz w:val="28"/>
          <w:szCs w:val="28"/>
          <w:highlight w:val="none"/>
        </w:rPr>
      </w:pPr>
    </w:p>
    <w:p w14:paraId="2EA2C962">
      <w:pPr>
        <w:spacing w:line="240" w:lineRule="auto"/>
        <w:ind w:firstLine="454"/>
        <w:jc w:val="center"/>
        <w:rPr>
          <w:rFonts w:hint="eastAsia" w:asciiTheme="minorEastAsia" w:hAnsiTheme="minorEastAsia" w:eastAsiaTheme="minorEastAsia" w:cstheme="minorEastAsia"/>
          <w:b/>
          <w:spacing w:val="72"/>
          <w:sz w:val="28"/>
          <w:szCs w:val="28"/>
          <w:highlight w:val="none"/>
        </w:rPr>
      </w:pPr>
    </w:p>
    <w:p w14:paraId="0224BCB7">
      <w:pPr>
        <w:spacing w:line="240" w:lineRule="auto"/>
        <w:rPr>
          <w:rFonts w:hint="eastAsia" w:asciiTheme="minorEastAsia" w:hAnsiTheme="minorEastAsia" w:eastAsiaTheme="minorEastAsia" w:cstheme="minorEastAsia"/>
          <w:b/>
          <w:spacing w:val="72"/>
          <w:sz w:val="28"/>
          <w:szCs w:val="28"/>
          <w:highlight w:val="none"/>
        </w:rPr>
      </w:pPr>
    </w:p>
    <w:p w14:paraId="143287B2">
      <w:pPr>
        <w:spacing w:line="240" w:lineRule="auto"/>
        <w:ind w:firstLine="454"/>
        <w:jc w:val="center"/>
        <w:rPr>
          <w:rFonts w:hint="eastAsia" w:asciiTheme="minorEastAsia" w:hAnsiTheme="minorEastAsia" w:eastAsiaTheme="minorEastAsia" w:cstheme="minorEastAsia"/>
          <w:b/>
          <w:spacing w:val="72"/>
          <w:sz w:val="28"/>
          <w:szCs w:val="28"/>
          <w:highlight w:val="none"/>
        </w:rPr>
      </w:pPr>
    </w:p>
    <w:p w14:paraId="623209D5">
      <w:pPr>
        <w:spacing w:line="240" w:lineRule="auto"/>
        <w:jc w:val="center"/>
        <w:rPr>
          <w:rFonts w:hint="eastAsia" w:asciiTheme="minorEastAsia" w:hAnsiTheme="minorEastAsia" w:eastAsiaTheme="minorEastAsia" w:cstheme="minorEastAsia"/>
          <w:b/>
          <w:spacing w:val="72"/>
          <w:sz w:val="28"/>
          <w:szCs w:val="28"/>
          <w:highlight w:val="none"/>
        </w:rPr>
      </w:pPr>
    </w:p>
    <w:p w14:paraId="42CC58F7">
      <w:pPr>
        <w:spacing w:line="240" w:lineRule="auto"/>
        <w:ind w:firstLine="2711" w:firstLineChars="900"/>
        <w:jc w:val="left"/>
        <w:rPr>
          <w:rFonts w:hint="eastAsia" w:asciiTheme="minorEastAsia" w:hAnsiTheme="minorEastAsia" w:eastAsiaTheme="minorEastAsia" w:cstheme="minorEastAsia"/>
          <w:b/>
          <w:color w:val="FF0000"/>
          <w:sz w:val="30"/>
          <w:highlight w:val="none"/>
          <w:u w:val="single"/>
        </w:rPr>
      </w:pPr>
      <w:r>
        <w:rPr>
          <w:rFonts w:hint="eastAsia" w:asciiTheme="minorEastAsia" w:hAnsiTheme="minorEastAsia" w:eastAsiaTheme="minorEastAsia" w:cstheme="minorEastAsia"/>
          <w:b/>
          <w:sz w:val="30"/>
          <w:highlight w:val="none"/>
        </w:rPr>
        <w:t>招标编号：</w:t>
      </w:r>
      <w:r>
        <w:rPr>
          <w:rFonts w:hint="eastAsia" w:asciiTheme="minorEastAsia" w:hAnsiTheme="minorEastAsia" w:eastAsiaTheme="minorEastAsia" w:cstheme="minorEastAsia"/>
          <w:b/>
          <w:sz w:val="30"/>
          <w:highlight w:val="none"/>
          <w:u w:val="single"/>
        </w:rPr>
        <w:t xml:space="preserve">                </w:t>
      </w:r>
    </w:p>
    <w:p w14:paraId="0C169AA0">
      <w:pPr>
        <w:spacing w:line="240" w:lineRule="auto"/>
        <w:ind w:firstLine="454"/>
        <w:jc w:val="center"/>
        <w:rPr>
          <w:rFonts w:hint="eastAsia" w:asciiTheme="minorEastAsia" w:hAnsiTheme="minorEastAsia" w:eastAsiaTheme="minorEastAsia" w:cstheme="minorEastAsia"/>
          <w:highlight w:val="none"/>
        </w:rPr>
      </w:pPr>
    </w:p>
    <w:p w14:paraId="1654C7A5">
      <w:pPr>
        <w:spacing w:line="240" w:lineRule="auto"/>
        <w:ind w:firstLine="454"/>
        <w:rPr>
          <w:rFonts w:hint="eastAsia" w:asciiTheme="minorEastAsia" w:hAnsiTheme="minorEastAsia" w:eastAsiaTheme="minorEastAsia" w:cstheme="minorEastAsia"/>
          <w:highlight w:val="none"/>
        </w:rPr>
      </w:pPr>
    </w:p>
    <w:p w14:paraId="3D19D5C9">
      <w:pPr>
        <w:spacing w:line="240" w:lineRule="auto"/>
        <w:ind w:firstLine="454"/>
        <w:rPr>
          <w:rFonts w:hint="eastAsia" w:asciiTheme="minorEastAsia" w:hAnsiTheme="minorEastAsia" w:eastAsiaTheme="minorEastAsia" w:cstheme="minorEastAsia"/>
          <w:highlight w:val="none"/>
        </w:rPr>
      </w:pPr>
    </w:p>
    <w:p w14:paraId="430ADC17">
      <w:pPr>
        <w:spacing w:line="240" w:lineRule="auto"/>
        <w:ind w:firstLine="454"/>
        <w:rPr>
          <w:rFonts w:hint="eastAsia" w:asciiTheme="minorEastAsia" w:hAnsiTheme="minorEastAsia" w:eastAsiaTheme="minorEastAsia" w:cstheme="minorEastAsia"/>
          <w:highlight w:val="none"/>
        </w:rPr>
      </w:pPr>
    </w:p>
    <w:p w14:paraId="6F872EE6">
      <w:pPr>
        <w:spacing w:line="240" w:lineRule="auto"/>
        <w:rPr>
          <w:rFonts w:hint="eastAsia" w:asciiTheme="minorEastAsia" w:hAnsiTheme="minorEastAsia" w:eastAsiaTheme="minorEastAsia" w:cstheme="minorEastAsia"/>
          <w:highlight w:val="none"/>
        </w:rPr>
      </w:pPr>
    </w:p>
    <w:p w14:paraId="387A75A8">
      <w:pPr>
        <w:spacing w:line="240" w:lineRule="auto"/>
        <w:ind w:firstLine="454"/>
        <w:rPr>
          <w:rFonts w:hint="eastAsia" w:asciiTheme="minorEastAsia" w:hAnsiTheme="minorEastAsia" w:eastAsiaTheme="minorEastAsia" w:cstheme="minorEastAsia"/>
          <w:highlight w:val="none"/>
        </w:rPr>
      </w:pPr>
    </w:p>
    <w:p w14:paraId="5A82FDFD">
      <w:pPr>
        <w:spacing w:line="240" w:lineRule="auto"/>
        <w:ind w:firstLine="454"/>
        <w:rPr>
          <w:rFonts w:hint="eastAsia" w:asciiTheme="minorEastAsia" w:hAnsiTheme="minorEastAsia" w:eastAsiaTheme="minorEastAsia" w:cstheme="minorEastAsia"/>
          <w:highlight w:val="none"/>
        </w:rPr>
      </w:pPr>
    </w:p>
    <w:p w14:paraId="5C542E86">
      <w:pPr>
        <w:spacing w:line="240" w:lineRule="auto"/>
        <w:ind w:firstLine="454"/>
        <w:rPr>
          <w:rFonts w:hint="eastAsia" w:asciiTheme="minorEastAsia" w:hAnsiTheme="minorEastAsia" w:eastAsiaTheme="minorEastAsia" w:cstheme="minorEastAsia"/>
          <w:highlight w:val="none"/>
        </w:rPr>
      </w:pPr>
    </w:p>
    <w:p w14:paraId="7B82C727">
      <w:pPr>
        <w:spacing w:line="240" w:lineRule="auto"/>
        <w:ind w:firstLine="454"/>
        <w:rPr>
          <w:rFonts w:hint="eastAsia" w:asciiTheme="minorEastAsia" w:hAnsiTheme="minorEastAsia" w:eastAsiaTheme="minorEastAsia" w:cstheme="minorEastAsia"/>
          <w:highlight w:val="none"/>
        </w:rPr>
      </w:pPr>
    </w:p>
    <w:p w14:paraId="3B083D33">
      <w:pPr>
        <w:spacing w:line="240" w:lineRule="auto"/>
        <w:rPr>
          <w:rFonts w:hint="eastAsia" w:asciiTheme="minorEastAsia" w:hAnsiTheme="minorEastAsia" w:eastAsiaTheme="minorEastAsia" w:cstheme="minorEastAsia"/>
          <w:highlight w:val="none"/>
        </w:rPr>
      </w:pPr>
    </w:p>
    <w:p w14:paraId="0AE8066E">
      <w:pPr>
        <w:spacing w:line="240" w:lineRule="auto"/>
        <w:ind w:firstLine="454"/>
        <w:rPr>
          <w:rFonts w:hint="eastAsia" w:asciiTheme="minorEastAsia" w:hAnsiTheme="minorEastAsia" w:eastAsiaTheme="minorEastAsia" w:cstheme="minorEastAsia"/>
          <w:highlight w:val="none"/>
        </w:rPr>
      </w:pPr>
    </w:p>
    <w:p w14:paraId="1A550DCD">
      <w:pPr>
        <w:spacing w:line="240" w:lineRule="auto"/>
        <w:ind w:firstLine="1532" w:firstLineChars="545"/>
        <w:jc w:val="left"/>
        <w:rPr>
          <w:rFonts w:hint="eastAsia" w:asciiTheme="minorEastAsia" w:hAnsiTheme="minorEastAsia" w:eastAsiaTheme="minorEastAsia" w:cstheme="minorEastAsia"/>
          <w:b/>
          <w:bCs/>
          <w:sz w:val="28"/>
          <w:highlight w:val="none"/>
        </w:rPr>
      </w:pPr>
    </w:p>
    <w:p w14:paraId="319A6464">
      <w:pPr>
        <w:spacing w:line="240" w:lineRule="auto"/>
        <w:ind w:firstLine="1532" w:firstLineChars="545"/>
        <w:jc w:val="left"/>
        <w:rPr>
          <w:rFonts w:hint="eastAsia" w:asciiTheme="minorEastAsia" w:hAnsiTheme="minorEastAsia" w:eastAsiaTheme="minorEastAsia" w:cstheme="minorEastAsia"/>
          <w:b/>
          <w:bCs/>
          <w:sz w:val="28"/>
          <w:highlight w:val="none"/>
        </w:rPr>
      </w:pPr>
    </w:p>
    <w:p w14:paraId="1B05EFA9">
      <w:pPr>
        <w:spacing w:line="240" w:lineRule="auto"/>
        <w:ind w:firstLine="1532" w:firstLineChars="545"/>
        <w:jc w:val="left"/>
        <w:rPr>
          <w:rFonts w:hint="eastAsia" w:asciiTheme="minorEastAsia" w:hAnsiTheme="minorEastAsia" w:eastAsiaTheme="minorEastAsia" w:cstheme="minorEastAsia"/>
          <w:b/>
          <w:bCs/>
          <w:sz w:val="28"/>
          <w:highlight w:val="none"/>
        </w:rPr>
      </w:pPr>
    </w:p>
    <w:p w14:paraId="0CC09199">
      <w:pPr>
        <w:spacing w:line="240" w:lineRule="auto"/>
        <w:ind w:firstLine="1532" w:firstLineChars="545"/>
        <w:jc w:val="left"/>
        <w:rPr>
          <w:rFonts w:hint="eastAsia" w:asciiTheme="minorEastAsia" w:hAnsiTheme="minorEastAsia" w:eastAsiaTheme="minorEastAsia" w:cstheme="minorEastAsia"/>
          <w:b/>
          <w:bCs/>
          <w:sz w:val="28"/>
          <w:highlight w:val="none"/>
          <w:u w:val="single"/>
        </w:rPr>
      </w:pPr>
      <w:r>
        <w:rPr>
          <w:rFonts w:hint="eastAsia" w:asciiTheme="minorEastAsia" w:hAnsiTheme="minorEastAsia" w:eastAsiaTheme="minorEastAsia" w:cstheme="minorEastAsia"/>
          <w:b/>
          <w:bCs/>
          <w:sz w:val="28"/>
          <w:highlight w:val="none"/>
        </w:rPr>
        <w:t>投标人：</w:t>
      </w:r>
      <w:r>
        <w:rPr>
          <w:rFonts w:hint="eastAsia" w:asciiTheme="minorEastAsia" w:hAnsiTheme="minorEastAsia" w:eastAsiaTheme="minorEastAsia" w:cstheme="minorEastAsia"/>
          <w:b/>
          <w:bCs/>
          <w:sz w:val="28"/>
          <w:highlight w:val="none"/>
          <w:u w:val="single"/>
        </w:rPr>
        <w:t xml:space="preserve">                              </w:t>
      </w:r>
      <w:r>
        <w:rPr>
          <w:rFonts w:hint="eastAsia" w:asciiTheme="minorEastAsia" w:hAnsiTheme="minorEastAsia" w:eastAsiaTheme="minorEastAsia" w:cstheme="minorEastAsia"/>
          <w:b/>
          <w:bCs/>
          <w:sz w:val="28"/>
          <w:highlight w:val="none"/>
        </w:rPr>
        <w:t>（名称及电子签章）</w:t>
      </w:r>
    </w:p>
    <w:p w14:paraId="1676E927">
      <w:pPr>
        <w:spacing w:line="240" w:lineRule="auto"/>
        <w:ind w:firstLine="1532" w:firstLineChars="545"/>
        <w:jc w:val="left"/>
        <w:rPr>
          <w:rFonts w:hint="eastAsia" w:asciiTheme="minorEastAsia" w:hAnsiTheme="minorEastAsia" w:eastAsiaTheme="minorEastAsia" w:cstheme="minorEastAsia"/>
          <w:b/>
          <w:bCs/>
          <w:sz w:val="28"/>
          <w:highlight w:val="none"/>
        </w:rPr>
      </w:pPr>
      <w:r>
        <w:rPr>
          <w:rFonts w:hint="eastAsia" w:asciiTheme="minorEastAsia" w:hAnsiTheme="minorEastAsia" w:eastAsiaTheme="minorEastAsia" w:cstheme="minorEastAsia"/>
          <w:b/>
          <w:bCs/>
          <w:sz w:val="28"/>
          <w:highlight w:val="none"/>
        </w:rPr>
        <w:t>法定代表人或委托代理人：</w:t>
      </w:r>
      <w:r>
        <w:rPr>
          <w:rFonts w:hint="eastAsia" w:asciiTheme="minorEastAsia" w:hAnsiTheme="minorEastAsia" w:eastAsiaTheme="minorEastAsia" w:cstheme="minorEastAsia"/>
          <w:b/>
          <w:bCs/>
          <w:sz w:val="28"/>
          <w:highlight w:val="none"/>
          <w:u w:val="single"/>
        </w:rPr>
        <w:t xml:space="preserve">              </w:t>
      </w:r>
      <w:r>
        <w:rPr>
          <w:rFonts w:hint="eastAsia" w:asciiTheme="minorEastAsia" w:hAnsiTheme="minorEastAsia" w:eastAsiaTheme="minorEastAsia" w:cstheme="minorEastAsia"/>
          <w:b/>
          <w:bCs/>
          <w:sz w:val="28"/>
          <w:highlight w:val="none"/>
        </w:rPr>
        <w:t>（</w:t>
      </w:r>
      <w:r>
        <w:rPr>
          <w:rFonts w:hint="eastAsia" w:asciiTheme="minorEastAsia" w:hAnsiTheme="minorEastAsia" w:eastAsiaTheme="minorEastAsia" w:cstheme="minorEastAsia"/>
          <w:b/>
          <w:bCs/>
          <w:sz w:val="28"/>
          <w:highlight w:val="none"/>
          <w:lang w:eastAsia="zh-CN"/>
        </w:rPr>
        <w:t>签字或盖章</w:t>
      </w:r>
      <w:r>
        <w:rPr>
          <w:rFonts w:hint="eastAsia" w:asciiTheme="minorEastAsia" w:hAnsiTheme="minorEastAsia" w:eastAsiaTheme="minorEastAsia" w:cstheme="minorEastAsia"/>
          <w:b/>
          <w:bCs/>
          <w:sz w:val="28"/>
          <w:highlight w:val="none"/>
        </w:rPr>
        <w:t xml:space="preserve">）         </w:t>
      </w:r>
    </w:p>
    <w:p w14:paraId="3E8AED3F">
      <w:pPr>
        <w:pStyle w:val="65"/>
        <w:spacing w:line="240" w:lineRule="auto"/>
        <w:ind w:firstLine="4216" w:firstLineChars="1500"/>
        <w:rPr>
          <w:rFonts w:hint="eastAsia" w:asciiTheme="minorEastAsia" w:hAnsiTheme="minorEastAsia" w:eastAsiaTheme="minorEastAsia" w:cstheme="minorEastAsia"/>
          <w:b/>
          <w:bCs/>
          <w:sz w:val="28"/>
          <w:highlight w:val="none"/>
        </w:rPr>
      </w:pPr>
      <w:r>
        <w:rPr>
          <w:rFonts w:hint="eastAsia" w:asciiTheme="minorEastAsia" w:hAnsiTheme="minorEastAsia" w:eastAsiaTheme="minorEastAsia" w:cstheme="minorEastAsia"/>
          <w:b/>
          <w:bCs/>
          <w:sz w:val="28"/>
          <w:highlight w:val="none"/>
        </w:rPr>
        <w:t xml:space="preserve">日  期： </w:t>
      </w:r>
    </w:p>
    <w:p w14:paraId="516414D4">
      <w:pPr>
        <w:pStyle w:val="65"/>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8"/>
          <w:szCs w:val="28"/>
          <w:highlight w:val="none"/>
        </w:rPr>
        <w:br w:type="page"/>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投标文件内容：</w:t>
      </w:r>
    </w:p>
    <w:p w14:paraId="7A76C628">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一、投标函、投标声明</w:t>
      </w:r>
    </w:p>
    <w:p w14:paraId="66D75E15">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附件1：法定代表人身份证明（法定代表人参加投标）    </w:t>
      </w:r>
    </w:p>
    <w:p w14:paraId="11291066">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附件2：法定代表人授权书（委托代理人参加投标）</w:t>
      </w:r>
    </w:p>
    <w:p w14:paraId="2FFA9EA7">
      <w:pPr>
        <w:pStyle w:val="65"/>
        <w:spacing w:line="360" w:lineRule="auto"/>
        <w:ind w:firstLine="482"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二、投标保证金</w:t>
      </w:r>
    </w:p>
    <w:p w14:paraId="1A02B9DA">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附件3：投标保证金打款凭证复印件</w:t>
      </w:r>
    </w:p>
    <w:p w14:paraId="2DC3375C">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三、开标一览表及投标报价明细表</w:t>
      </w:r>
    </w:p>
    <w:p w14:paraId="54974019">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附件4：开标一览表    </w:t>
      </w:r>
    </w:p>
    <w:p w14:paraId="20F7489E">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附件5：投标报价明细表    </w:t>
      </w:r>
    </w:p>
    <w:p w14:paraId="2866CCEC">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附件6：节能、环境标志产品加分明细表    </w:t>
      </w:r>
    </w:p>
    <w:p w14:paraId="286E2BAD">
      <w:pPr>
        <w:pStyle w:val="65"/>
        <w:spacing w:line="360" w:lineRule="auto"/>
        <w:ind w:firstLine="480"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附件7：中小微型企业产品明细表</w:t>
      </w:r>
    </w:p>
    <w:p w14:paraId="1C41E335">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四、供应商的资格证明材料</w:t>
      </w:r>
    </w:p>
    <w:p w14:paraId="26D87B67">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附件8：投标</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bCs/>
          <w:color w:val="auto"/>
          <w:sz w:val="24"/>
          <w:szCs w:val="24"/>
          <w:highlight w:val="none"/>
        </w:rPr>
        <w:t xml:space="preserve">基本情况表    </w:t>
      </w:r>
    </w:p>
    <w:p w14:paraId="5B5F4742">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附件9：中小企业声明函</w:t>
      </w:r>
      <w:r>
        <w:rPr>
          <w:rFonts w:hint="eastAsia" w:asciiTheme="minorEastAsia" w:hAnsiTheme="minorEastAsia" w:eastAsiaTheme="minorEastAsia" w:cstheme="minorEastAsia"/>
          <w:bCs/>
          <w:color w:val="auto"/>
          <w:sz w:val="24"/>
          <w:szCs w:val="24"/>
          <w:highlight w:val="none"/>
          <w:lang w:eastAsia="zh-CN"/>
        </w:rPr>
        <w:t>、分包意向协议</w:t>
      </w:r>
    </w:p>
    <w:p w14:paraId="32CCFC62">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附件10</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残疾人福利性单位声明函</w:t>
      </w:r>
    </w:p>
    <w:p w14:paraId="77F9EE11">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附件11</w:t>
      </w:r>
      <w:r>
        <w:rPr>
          <w:rFonts w:hint="eastAsia" w:asciiTheme="minorEastAsia" w:hAnsiTheme="minorEastAsia" w:eastAsiaTheme="minorEastAsia" w:cstheme="minorEastAsia"/>
          <w:bCs/>
          <w:color w:val="auto"/>
          <w:sz w:val="24"/>
          <w:szCs w:val="24"/>
          <w:highlight w:val="none"/>
          <w:lang w:eastAsia="zh-CN"/>
        </w:rPr>
        <w:t>：不存在与参加本项目的其它供应商单位负责人为同一人或者存在直接控股、管理关系承诺函</w:t>
      </w:r>
    </w:p>
    <w:p w14:paraId="674D52C7">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附件1</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：未提供本采购项目的整体设计、规范编制或者项目管理、监理、检测等服务的承诺函</w:t>
      </w:r>
    </w:p>
    <w:p w14:paraId="6221DDAA">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附件1</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投标供应商近三年类似项目一览表</w:t>
      </w:r>
    </w:p>
    <w:p w14:paraId="0C352E8C">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五、商务／技术偏离表</w:t>
      </w:r>
    </w:p>
    <w:p w14:paraId="1B080D0D">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六、项目整体实施方案</w:t>
      </w:r>
    </w:p>
    <w:p w14:paraId="07647E58">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附件1</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售后服务附表</w:t>
      </w:r>
    </w:p>
    <w:p w14:paraId="7680E8DA">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附件1</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拟投入本项目主要人员汇总表</w:t>
      </w:r>
    </w:p>
    <w:p w14:paraId="7656871F">
      <w:pPr>
        <w:pStyle w:val="65"/>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附件1</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拟投入本项目的主要人员简历表</w:t>
      </w:r>
    </w:p>
    <w:p w14:paraId="647B84F2">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七、信用查询记录</w:t>
      </w:r>
    </w:p>
    <w:p w14:paraId="096E1661">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八、供应商认为需提供的其它资料</w:t>
      </w:r>
    </w:p>
    <w:p w14:paraId="19DF7A70">
      <w:pPr>
        <w:pStyle w:val="65"/>
        <w:spacing w:line="360" w:lineRule="auto"/>
        <w:ind w:firstLine="482" w:firstLineChars="200"/>
        <w:jc w:val="both"/>
        <w:rPr>
          <w:rFonts w:hint="eastAsia" w:asciiTheme="minorEastAsia" w:hAnsiTheme="minorEastAsia" w:eastAsiaTheme="minorEastAsia" w:cstheme="minorEastAsia"/>
          <w:b/>
          <w:color w:val="auto"/>
          <w:sz w:val="24"/>
          <w:szCs w:val="24"/>
          <w:highlight w:val="none"/>
        </w:rPr>
      </w:pPr>
    </w:p>
    <w:p w14:paraId="45F684B6">
      <w:pPr>
        <w:pStyle w:val="65"/>
        <w:spacing w:line="240" w:lineRule="auto"/>
        <w:ind w:firstLine="482" w:firstLineChars="200"/>
        <w:jc w:val="both"/>
        <w:rPr>
          <w:rFonts w:hint="eastAsia" w:asciiTheme="minorEastAsia" w:hAnsiTheme="minorEastAsia" w:eastAsiaTheme="minorEastAsia" w:cstheme="minorEastAsia"/>
          <w:b/>
          <w:color w:val="auto"/>
          <w:sz w:val="24"/>
          <w:szCs w:val="24"/>
          <w:highlight w:val="none"/>
        </w:rPr>
      </w:pPr>
    </w:p>
    <w:p w14:paraId="0A5CEB82">
      <w:pPr>
        <w:pStyle w:val="65"/>
        <w:spacing w:line="240" w:lineRule="auto"/>
        <w:ind w:firstLine="482" w:firstLineChars="200"/>
        <w:jc w:val="both"/>
        <w:rPr>
          <w:rFonts w:hint="eastAsia" w:asciiTheme="minorEastAsia" w:hAnsiTheme="minorEastAsia" w:eastAsiaTheme="minorEastAsia" w:cstheme="minorEastAsia"/>
          <w:b/>
          <w:color w:val="auto"/>
          <w:sz w:val="24"/>
          <w:szCs w:val="24"/>
          <w:highlight w:val="none"/>
        </w:rPr>
      </w:pPr>
    </w:p>
    <w:p w14:paraId="52FBB9A0">
      <w:pPr>
        <w:pStyle w:val="65"/>
        <w:spacing w:line="240" w:lineRule="auto"/>
        <w:jc w:val="both"/>
        <w:rPr>
          <w:rFonts w:hint="eastAsia" w:asciiTheme="minorEastAsia" w:hAnsiTheme="minorEastAsia" w:eastAsiaTheme="minorEastAsia" w:cstheme="minorEastAsia"/>
          <w:b/>
          <w:color w:val="auto"/>
          <w:sz w:val="24"/>
          <w:szCs w:val="24"/>
          <w:highlight w:val="none"/>
        </w:rPr>
      </w:pPr>
    </w:p>
    <w:p w14:paraId="753BF721">
      <w:pPr>
        <w:pStyle w:val="65"/>
        <w:spacing w:line="240" w:lineRule="auto"/>
        <w:jc w:val="both"/>
        <w:rPr>
          <w:rFonts w:hint="eastAsia" w:asciiTheme="minorEastAsia" w:hAnsiTheme="minorEastAsia" w:eastAsiaTheme="minorEastAsia" w:cstheme="minorEastAsia"/>
          <w:b/>
          <w:bCs/>
          <w:color w:val="auto"/>
          <w:sz w:val="24"/>
          <w:szCs w:val="24"/>
          <w:highlight w:val="none"/>
        </w:rPr>
      </w:pPr>
    </w:p>
    <w:p w14:paraId="53ACC724">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8"/>
          <w:szCs w:val="28"/>
          <w:highlight w:val="none"/>
        </w:rPr>
        <w:t>一、投 标 函</w:t>
      </w:r>
    </w:p>
    <w:p w14:paraId="40E0162C">
      <w:pPr>
        <w:pStyle w:val="65"/>
        <w:spacing w:line="240" w:lineRule="auto"/>
        <w:jc w:val="center"/>
        <w:rPr>
          <w:rFonts w:hint="eastAsia" w:asciiTheme="minorEastAsia" w:hAnsiTheme="minorEastAsia" w:eastAsiaTheme="minorEastAsia" w:cstheme="minorEastAsia"/>
          <w:color w:val="auto"/>
          <w:sz w:val="24"/>
          <w:szCs w:val="24"/>
          <w:highlight w:val="none"/>
        </w:rPr>
      </w:pPr>
    </w:p>
    <w:p w14:paraId="72B68BD0">
      <w:pPr>
        <w:pStyle w:val="3"/>
        <w:keepNext w:val="0"/>
        <w:widowControl/>
        <w:spacing w:line="240" w:lineRule="auto"/>
        <w:ind w:left="0"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新疆元泓工程项目管理咨询有限公司：</w:t>
      </w:r>
    </w:p>
    <w:p w14:paraId="31F6EF29">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我们收到贵公司</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项目招标文件，知悉参加投标的风险，经认真研究，我方承诺接受招标文件的全部条款且无任何异议。</w:t>
      </w:r>
    </w:p>
    <w:p w14:paraId="1090D75E">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1、我方同意在招标文件中规定的提交投标文件截止时间起</w:t>
      </w:r>
      <w:r>
        <w:rPr>
          <w:rFonts w:hint="eastAsia" w:asciiTheme="minorEastAsia" w:hAnsiTheme="minorEastAsia" w:eastAsiaTheme="minorEastAsia" w:cstheme="minorEastAsia"/>
          <w:color w:val="auto"/>
          <w:sz w:val="24"/>
          <w:szCs w:val="24"/>
          <w:highlight w:val="none"/>
          <w:u w:val="single"/>
        </w:rPr>
        <w:t xml:space="preserve"> 90 </w:t>
      </w:r>
      <w:r>
        <w:rPr>
          <w:rFonts w:hint="eastAsia" w:asciiTheme="minorEastAsia" w:hAnsiTheme="minorEastAsia" w:eastAsiaTheme="minorEastAsia" w:cstheme="minorEastAsia"/>
          <w:color w:val="auto"/>
          <w:sz w:val="24"/>
          <w:szCs w:val="24"/>
          <w:highlight w:val="none"/>
        </w:rPr>
        <w:t>日内（投标有效期）遵守本投标文件中的承诺且在此期限期满之前均具有法律约束力，不作任何更改和变动。</w:t>
      </w:r>
    </w:p>
    <w:p w14:paraId="7CC25F02">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2、按照招标文件中的一切要求，提供招标货物完成设备的供货、安装、调试、培训等投标总价（大写）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元人民币。</w:t>
      </w:r>
    </w:p>
    <w:p w14:paraId="6C9F5217">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3、我方提交投标文件电子版与纸质版，保证投标文件提供的数据和材料是真实、准确、一致。否则，愿承担《政府采购法》第七十七条规定的法律责任。</w:t>
      </w:r>
    </w:p>
    <w:p w14:paraId="5D65A272">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4、我方愿意向贵方(采购人)提供任何与本项采购有关的数据、情况和技术资料。若贵方需要，我方愿意提供我方作出的一切承诺的证明材料。</w:t>
      </w:r>
    </w:p>
    <w:p w14:paraId="3DA59DA6">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5、我方承诺遵守《政府采购法》的有关规定，保证在获得中标资格后，按照招标文件确定的事项签订政府采购合同，履行双方所签订的合同，并承担合同规定的责任和义务。</w:t>
      </w:r>
    </w:p>
    <w:p w14:paraId="5A37B237">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6、我们认为采购人有选择或拒绝任何供应商中标的权力。我们理解，最低报价不是中标的唯一条件。</w:t>
      </w:r>
    </w:p>
    <w:p w14:paraId="54EB3741">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7、我们愿按合同法履行自己的全部责任。</w:t>
      </w:r>
    </w:p>
    <w:p w14:paraId="323D0114">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8、我方愿意遵守招标文件中规定的收费标准，承付采购代理服务费。</w:t>
      </w:r>
    </w:p>
    <w:p w14:paraId="523AD394">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9、我们同意按招标文件规定，交纳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万元的投标保证金。</w:t>
      </w:r>
    </w:p>
    <w:p w14:paraId="1A63BE17">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10、综合说明：</w:t>
      </w:r>
    </w:p>
    <w:p w14:paraId="7354D2EE">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1）货物的详细技术参数、技术条件、技术标准、拟达到的质量标准和保险期限。</w:t>
      </w:r>
    </w:p>
    <w:p w14:paraId="3512DE34">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2）易损件、备品备件、专用工具及供应方式。</w:t>
      </w:r>
    </w:p>
    <w:p w14:paraId="4596DF53">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3）技术服务。</w:t>
      </w:r>
    </w:p>
    <w:p w14:paraId="653C034E">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4）运输方式。</w:t>
      </w:r>
    </w:p>
    <w:p w14:paraId="06F1BEF4">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5）要求采购人提供的配合。</w:t>
      </w:r>
    </w:p>
    <w:p w14:paraId="5F1D63AE">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6）对招标文件内容有不同意见的偏离说明。</w:t>
      </w:r>
    </w:p>
    <w:p w14:paraId="0AE921D7">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7）其它。</w:t>
      </w:r>
    </w:p>
    <w:p w14:paraId="78850465">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11、所有有关本投标文件的函电，请按下列地址联系：</w:t>
      </w:r>
    </w:p>
    <w:p w14:paraId="5F1FA5DF">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       位：</w:t>
      </w:r>
    </w:p>
    <w:p w14:paraId="2464A6F4">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p>
    <w:p w14:paraId="0015AE0C">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p w14:paraId="4DEF7C8D">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子 邮 箱：</w:t>
      </w:r>
    </w:p>
    <w:p w14:paraId="165405F6">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14:paraId="4929CAE9">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   系  人：</w:t>
      </w:r>
    </w:p>
    <w:p w14:paraId="59AAD3E9">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p>
    <w:p w14:paraId="214B935F">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供应商名称（盖单位章）：</w:t>
      </w:r>
    </w:p>
    <w:p w14:paraId="317A3FEB">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法定代表人或其委托代理人（签字或盖章）：</w:t>
      </w:r>
    </w:p>
    <w:p w14:paraId="22C8C83C">
      <w:pPr>
        <w:pStyle w:val="65"/>
        <w:wordWrap w:val="0"/>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107404F8">
      <w:pPr>
        <w:pStyle w:val="65"/>
        <w:spacing w:line="240" w:lineRule="auto"/>
        <w:rPr>
          <w:rFonts w:hint="eastAsia" w:asciiTheme="minorEastAsia" w:hAnsiTheme="minorEastAsia" w:eastAsiaTheme="minorEastAsia" w:cstheme="minorEastAsia"/>
          <w:b/>
          <w:bCs/>
          <w:color w:val="auto"/>
          <w:sz w:val="24"/>
          <w:szCs w:val="24"/>
          <w:highlight w:val="none"/>
        </w:rPr>
      </w:pPr>
    </w:p>
    <w:p w14:paraId="0B7AD90B">
      <w:pPr>
        <w:pStyle w:val="65"/>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附件1：法定代表人身份证明（法定代表人参加投标）</w:t>
      </w:r>
    </w:p>
    <w:p w14:paraId="5CC506C5">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附件2：法定代表人授权书（委托代理人参加投标）</w:t>
      </w:r>
    </w:p>
    <w:p w14:paraId="26DE16E1">
      <w:pPr>
        <w:pStyle w:val="65"/>
        <w:spacing w:line="240" w:lineRule="auto"/>
        <w:jc w:val="center"/>
        <w:rPr>
          <w:rFonts w:hint="eastAsia" w:asciiTheme="minorEastAsia" w:hAnsiTheme="minorEastAsia" w:eastAsiaTheme="minorEastAsia" w:cstheme="minorEastAsia"/>
          <w:b/>
          <w:bCs/>
          <w:color w:val="auto"/>
          <w:sz w:val="24"/>
          <w:szCs w:val="24"/>
          <w:highlight w:val="none"/>
        </w:rPr>
      </w:pPr>
    </w:p>
    <w:p w14:paraId="11002BF3">
      <w:pPr>
        <w:pStyle w:val="65"/>
        <w:spacing w:line="240" w:lineRule="auto"/>
        <w:jc w:val="both"/>
        <w:rPr>
          <w:rFonts w:hint="eastAsia" w:asciiTheme="minorEastAsia" w:hAnsiTheme="minorEastAsia" w:eastAsiaTheme="minorEastAsia" w:cstheme="minorEastAsia"/>
          <w:b/>
          <w:bCs/>
          <w:color w:val="auto"/>
          <w:sz w:val="24"/>
          <w:szCs w:val="24"/>
          <w:highlight w:val="none"/>
        </w:rPr>
      </w:pPr>
    </w:p>
    <w:p w14:paraId="7BD85A8B">
      <w:pPr>
        <w:pStyle w:val="65"/>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8"/>
          <w:szCs w:val="28"/>
          <w:highlight w:val="none"/>
        </w:rPr>
        <w:t>投标声明</w:t>
      </w:r>
    </w:p>
    <w:p w14:paraId="1DC66B6C">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（供应商名称）己认真阅读《中华人民共和国政府采购法》、《中华人民共和国政府采购法实施条例》及</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项目(项目编号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招标文件相关内容，知悉供应商参加政府采购活动应当具备的条件。此次按招标文件要求提交的投标供应商资格证明材料，已经认真核对和检查，全部内容真实、合法、准确和完整，我们对此负责，并愿承担由此引起的法律责任。</w:t>
      </w:r>
    </w:p>
    <w:p w14:paraId="0992695A">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一、我方在此声明：    </w:t>
      </w:r>
    </w:p>
    <w:p w14:paraId="3C478F90">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（一）我方与采购人或招标代理机构不存在隶属关系或者其他利害关系。</w:t>
      </w:r>
    </w:p>
    <w:p w14:paraId="25BCCD52">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（二）我方与参加本项目的其他投标供应商不存在控股、关联关系，或者与其他投标供应商法定代表人（或者负责人）为同一人。    </w:t>
      </w:r>
    </w:p>
    <w:p w14:paraId="704D9F4C">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（三）我方未为本项目前期准备提供设计或咨询服务。  </w:t>
      </w:r>
    </w:p>
    <w:p w14:paraId="25D14DB3">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二、我方承诺：  </w:t>
      </w:r>
    </w:p>
    <w:p w14:paraId="15C546C7">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参加政府采购近3年内，    </w:t>
      </w:r>
    </w:p>
    <w:p w14:paraId="61781FB1">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（一）我方依法缴纳了各项税费及各项社会保障资金，没有偷税、漏税及欠缴行为。    </w:t>
      </w:r>
    </w:p>
    <w:p w14:paraId="20243FE1">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（二）我方在经营活动中没有存在下列重大违法记录：    </w:t>
      </w:r>
    </w:p>
    <w:p w14:paraId="4E9D2D59">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1、受到刑事处罚；    </w:t>
      </w:r>
    </w:p>
    <w:p w14:paraId="2E1175C2">
      <w:pPr>
        <w:pStyle w:val="65"/>
        <w:spacing w:line="240" w:lineRule="auto"/>
        <w:ind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2、受到3万元以上的罚款、责令停产停业、在1至3年内禁止参加政府采购活动、暂扣或者吊销许可证、暂扣或者吊销执照的行政处罚。</w:t>
      </w:r>
    </w:p>
    <w:p w14:paraId="746FB5D3">
      <w:pPr>
        <w:pStyle w:val="65"/>
        <w:spacing w:line="240" w:lineRule="auto"/>
        <w:rPr>
          <w:rFonts w:hint="eastAsia" w:asciiTheme="minorEastAsia" w:hAnsiTheme="minorEastAsia" w:eastAsiaTheme="minorEastAsia" w:cstheme="minorEastAsia"/>
          <w:b/>
          <w:bCs/>
          <w:color w:val="auto"/>
          <w:sz w:val="24"/>
          <w:szCs w:val="24"/>
          <w:highlight w:val="none"/>
        </w:rPr>
      </w:pPr>
    </w:p>
    <w:p w14:paraId="73D2FC10">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供应商名称（盖单位章）：</w:t>
      </w:r>
    </w:p>
    <w:p w14:paraId="3E247908">
      <w:pPr>
        <w:pStyle w:val="65"/>
        <w:wordWrap w:val="0"/>
        <w:spacing w:line="240" w:lineRule="auto"/>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法定代表人或其委托代理人（签字或盖章）：</w:t>
      </w:r>
    </w:p>
    <w:p w14:paraId="0D3F3AF7">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606B081D">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注：近3年：成立3年以上的，为提交首次投标文件截止时间前3年内；成立不足3年的，为实际时间。</w:t>
      </w:r>
    </w:p>
    <w:p w14:paraId="45A975A3">
      <w:pPr>
        <w:pStyle w:val="65"/>
        <w:spacing w:line="240" w:lineRule="auto"/>
        <w:rPr>
          <w:rFonts w:hint="eastAsia" w:asciiTheme="minorEastAsia" w:hAnsiTheme="minorEastAsia" w:eastAsiaTheme="minorEastAsia" w:cstheme="minorEastAsia"/>
          <w:b/>
          <w:bCs/>
          <w:color w:val="auto"/>
          <w:sz w:val="24"/>
          <w:szCs w:val="24"/>
          <w:highlight w:val="none"/>
        </w:rPr>
      </w:pPr>
    </w:p>
    <w:p w14:paraId="53E1B0BB">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rPr>
        <w:t>附件1</w:t>
      </w:r>
    </w:p>
    <w:p w14:paraId="5AFD2DCB">
      <w:pPr>
        <w:pStyle w:val="65"/>
        <w:spacing w:line="24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法定代表人身份证明（法定代表人参加投标）</w:t>
      </w:r>
    </w:p>
    <w:p w14:paraId="49CC24D4">
      <w:pPr>
        <w:pStyle w:val="65"/>
        <w:spacing w:line="240" w:lineRule="auto"/>
        <w:rPr>
          <w:rFonts w:hint="eastAsia" w:asciiTheme="minorEastAsia" w:hAnsiTheme="minorEastAsia" w:eastAsiaTheme="minorEastAsia" w:cstheme="minorEastAsia"/>
          <w:b/>
          <w:bCs/>
          <w:color w:val="auto"/>
          <w:sz w:val="24"/>
          <w:szCs w:val="24"/>
          <w:highlight w:val="none"/>
        </w:rPr>
      </w:pPr>
    </w:p>
    <w:p w14:paraId="525FEA3B">
      <w:pPr>
        <w:widowControl/>
        <w:shd w:val="clear" w:color="auto" w:fill="FFFFFF"/>
        <w:snapToGrid w:val="0"/>
        <w:spacing w:line="384" w:lineRule="auto"/>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投</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标</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人：</w:t>
      </w:r>
      <w:r>
        <w:rPr>
          <w:rFonts w:ascii="宋体" w:hAnsi="宋体" w:eastAsia="宋体" w:cs="Arial"/>
          <w:kern w:val="0"/>
          <w:sz w:val="24"/>
          <w:szCs w:val="24"/>
          <w:highlight w:val="none"/>
          <w:u w:val="single"/>
        </w:rPr>
        <w:t xml:space="preserve">                              </w:t>
      </w:r>
    </w:p>
    <w:p w14:paraId="1EEC61B4">
      <w:pPr>
        <w:widowControl/>
        <w:shd w:val="clear" w:color="auto" w:fill="FFFFFF"/>
        <w:snapToGrid w:val="0"/>
        <w:spacing w:line="384" w:lineRule="auto"/>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单位性质：</w:t>
      </w:r>
      <w:r>
        <w:rPr>
          <w:rFonts w:ascii="宋体" w:hAnsi="宋体" w:eastAsia="宋体" w:cs="Arial"/>
          <w:kern w:val="0"/>
          <w:sz w:val="24"/>
          <w:szCs w:val="24"/>
          <w:highlight w:val="none"/>
          <w:u w:val="single"/>
        </w:rPr>
        <w:t xml:space="preserve">                              </w:t>
      </w:r>
    </w:p>
    <w:p w14:paraId="0A8980E0">
      <w:pPr>
        <w:widowControl/>
        <w:shd w:val="clear" w:color="auto" w:fill="FFFFFF"/>
        <w:snapToGrid w:val="0"/>
        <w:spacing w:line="384" w:lineRule="auto"/>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地</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址：</w:t>
      </w:r>
      <w:r>
        <w:rPr>
          <w:rFonts w:ascii="宋体" w:hAnsi="宋体" w:eastAsia="宋体" w:cs="Arial"/>
          <w:kern w:val="0"/>
          <w:sz w:val="24"/>
          <w:szCs w:val="24"/>
          <w:highlight w:val="none"/>
          <w:u w:val="single"/>
        </w:rPr>
        <w:t xml:space="preserve">                              </w:t>
      </w:r>
    </w:p>
    <w:p w14:paraId="16F86A45">
      <w:pPr>
        <w:widowControl/>
        <w:shd w:val="clear" w:color="auto" w:fill="FFFFFF"/>
        <w:snapToGrid w:val="0"/>
        <w:spacing w:line="384" w:lineRule="auto"/>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成立时间：</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年</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月</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日</w:t>
      </w:r>
    </w:p>
    <w:p w14:paraId="7B252601">
      <w:pPr>
        <w:widowControl/>
        <w:shd w:val="clear" w:color="auto" w:fill="FFFFFF"/>
        <w:snapToGrid w:val="0"/>
        <w:spacing w:line="384" w:lineRule="auto"/>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经营期限：</w:t>
      </w:r>
      <w:r>
        <w:rPr>
          <w:rFonts w:ascii="宋体" w:hAnsi="宋体" w:eastAsia="宋体" w:cs="Arial"/>
          <w:kern w:val="0"/>
          <w:sz w:val="24"/>
          <w:szCs w:val="24"/>
          <w:highlight w:val="none"/>
          <w:u w:val="single"/>
        </w:rPr>
        <w:t xml:space="preserve">                              </w:t>
      </w:r>
    </w:p>
    <w:p w14:paraId="29C26C74">
      <w:pPr>
        <w:widowControl/>
        <w:shd w:val="clear" w:color="auto" w:fill="FFFFFF"/>
        <w:snapToGrid w:val="0"/>
        <w:spacing w:line="384" w:lineRule="auto"/>
        <w:jc w:val="left"/>
        <w:rPr>
          <w:rFonts w:ascii="宋体" w:hAnsi="Calibri" w:eastAsia="宋体" w:cs="Arial"/>
          <w:kern w:val="0"/>
          <w:sz w:val="24"/>
          <w:szCs w:val="24"/>
          <w:highlight w:val="none"/>
        </w:rPr>
      </w:pPr>
    </w:p>
    <w:p w14:paraId="24D9E7FE">
      <w:pPr>
        <w:widowControl/>
        <w:shd w:val="clear" w:color="auto" w:fill="FFFFFF"/>
        <w:snapToGrid w:val="0"/>
        <w:spacing w:line="384" w:lineRule="auto"/>
        <w:ind w:firstLine="480" w:firstLineChars="200"/>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姓名：</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性别：</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年龄：</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职务：</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系</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（投标人名称）的法定代表人。</w:t>
      </w:r>
    </w:p>
    <w:p w14:paraId="4020B9B4">
      <w:pPr>
        <w:widowControl/>
        <w:shd w:val="clear" w:color="auto" w:fill="FFFFFF"/>
        <w:snapToGrid w:val="0"/>
        <w:spacing w:line="384" w:lineRule="auto"/>
        <w:ind w:firstLine="480" w:firstLineChars="200"/>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特此证明。</w:t>
      </w:r>
    </w:p>
    <w:p w14:paraId="010865A1">
      <w:pPr>
        <w:widowControl/>
        <w:shd w:val="clear" w:color="auto" w:fill="FFFFFF"/>
        <w:snapToGrid w:val="0"/>
        <w:spacing w:line="384" w:lineRule="auto"/>
        <w:jc w:val="left"/>
        <w:rPr>
          <w:rFonts w:ascii="宋体" w:hAnsi="Calibri" w:eastAsia="宋体" w:cs="Arial"/>
          <w:kern w:val="0"/>
          <w:sz w:val="24"/>
          <w:szCs w:val="24"/>
          <w:highlight w:val="none"/>
        </w:rPr>
      </w:pPr>
    </w:p>
    <w:p w14:paraId="1E2CFC64">
      <w:pPr>
        <w:widowControl/>
        <w:shd w:val="clear" w:color="auto" w:fill="FFFFFF"/>
        <w:snapToGrid w:val="0"/>
        <w:spacing w:line="384" w:lineRule="auto"/>
        <w:ind w:firstLine="480" w:firstLineChars="200"/>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附：法定代表人身份证明</w:t>
      </w:r>
    </w:p>
    <w:p w14:paraId="7EFBFC75">
      <w:pPr>
        <w:widowControl/>
        <w:shd w:val="clear" w:color="auto" w:fill="FFFFFF"/>
        <w:snapToGrid w:val="0"/>
        <w:spacing w:line="384" w:lineRule="auto"/>
        <w:jc w:val="left"/>
        <w:rPr>
          <w:rFonts w:ascii="宋体" w:hAnsi="Calibri" w:eastAsia="宋体" w:cs="Arial"/>
          <w:kern w:val="0"/>
          <w:sz w:val="24"/>
          <w:szCs w:val="24"/>
          <w:highlight w:val="none"/>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0286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06A500F">
            <w:pPr>
              <w:jc w:val="center"/>
              <w:rPr>
                <w:rFonts w:ascii="宋体" w:hAnsi="Calibri" w:eastAsia="宋体" w:cs="Times New Roman"/>
                <w:kern w:val="0"/>
                <w:sz w:val="24"/>
                <w:szCs w:val="24"/>
                <w:highlight w:val="none"/>
              </w:rPr>
            </w:pPr>
            <w:r>
              <w:rPr>
                <w:rFonts w:hint="eastAsia" w:ascii="宋体" w:hAnsi="宋体" w:eastAsia="宋体" w:cs="Arial"/>
                <w:kern w:val="0"/>
                <w:sz w:val="24"/>
                <w:szCs w:val="24"/>
                <w:highlight w:val="none"/>
              </w:rPr>
              <w:t>法定代表人</w:t>
            </w:r>
            <w:r>
              <w:rPr>
                <w:rFonts w:hint="eastAsia" w:ascii="宋体" w:hAnsi="宋体" w:eastAsia="宋体" w:cs="Times New Roman"/>
                <w:kern w:val="0"/>
                <w:sz w:val="24"/>
                <w:szCs w:val="24"/>
                <w:highlight w:val="none"/>
              </w:rPr>
              <w:t>身份证复印件（正面）</w:t>
            </w:r>
          </w:p>
        </w:tc>
      </w:tr>
    </w:tbl>
    <w:tbl>
      <w:tblPr>
        <w:tblStyle w:val="35"/>
        <w:tblpPr w:leftFromText="180" w:rightFromText="180" w:vertAnchor="text" w:horzAnchor="page" w:tblpX="5711" w:tblpY="-24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6C26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7E255F6">
            <w:pPr>
              <w:jc w:val="center"/>
              <w:rPr>
                <w:rFonts w:ascii="宋体" w:hAnsi="Calibri" w:eastAsia="宋体" w:cs="Times New Roman"/>
                <w:kern w:val="0"/>
                <w:sz w:val="24"/>
                <w:szCs w:val="24"/>
                <w:highlight w:val="none"/>
              </w:rPr>
            </w:pPr>
            <w:r>
              <w:rPr>
                <w:rFonts w:hint="eastAsia" w:ascii="宋体" w:hAnsi="宋体" w:eastAsia="宋体" w:cs="Arial"/>
                <w:kern w:val="0"/>
                <w:sz w:val="24"/>
                <w:szCs w:val="24"/>
                <w:highlight w:val="none"/>
              </w:rPr>
              <w:t>法定代表人</w:t>
            </w:r>
            <w:r>
              <w:rPr>
                <w:rFonts w:hint="eastAsia" w:ascii="宋体" w:hAnsi="宋体" w:eastAsia="宋体" w:cs="Times New Roman"/>
                <w:kern w:val="0"/>
                <w:sz w:val="24"/>
                <w:szCs w:val="24"/>
                <w:highlight w:val="none"/>
              </w:rPr>
              <w:t>身份证复印件（反面）</w:t>
            </w:r>
          </w:p>
        </w:tc>
      </w:tr>
    </w:tbl>
    <w:p w14:paraId="36CB212F">
      <w:pPr>
        <w:widowControl/>
        <w:shd w:val="clear" w:color="auto" w:fill="FFFFFF"/>
        <w:snapToGrid w:val="0"/>
        <w:spacing w:line="384" w:lineRule="auto"/>
        <w:jc w:val="left"/>
        <w:rPr>
          <w:rFonts w:ascii="宋体" w:hAnsi="Calibri" w:eastAsia="宋体" w:cs="Arial"/>
          <w:kern w:val="0"/>
          <w:sz w:val="24"/>
          <w:szCs w:val="24"/>
          <w:highlight w:val="none"/>
        </w:rPr>
      </w:pPr>
    </w:p>
    <w:p w14:paraId="442DB348">
      <w:pPr>
        <w:widowControl/>
        <w:shd w:val="clear" w:color="auto" w:fill="FFFFFF"/>
        <w:snapToGrid w:val="0"/>
        <w:spacing w:line="384" w:lineRule="auto"/>
        <w:jc w:val="left"/>
        <w:rPr>
          <w:rFonts w:ascii="宋体" w:hAnsi="Calibri" w:eastAsia="宋体" w:cs="Arial"/>
          <w:kern w:val="0"/>
          <w:sz w:val="24"/>
          <w:szCs w:val="24"/>
          <w:highlight w:val="none"/>
        </w:rPr>
      </w:pPr>
    </w:p>
    <w:p w14:paraId="416B222C">
      <w:pPr>
        <w:widowControl/>
        <w:shd w:val="clear" w:color="auto" w:fill="FFFFFF"/>
        <w:snapToGrid w:val="0"/>
        <w:spacing w:line="384" w:lineRule="auto"/>
        <w:jc w:val="left"/>
        <w:rPr>
          <w:rFonts w:ascii="宋体" w:hAnsi="Calibri" w:eastAsia="宋体" w:cs="Arial"/>
          <w:kern w:val="0"/>
          <w:sz w:val="24"/>
          <w:szCs w:val="24"/>
          <w:highlight w:val="none"/>
        </w:rPr>
      </w:pPr>
    </w:p>
    <w:p w14:paraId="04B818B6">
      <w:pPr>
        <w:widowControl/>
        <w:shd w:val="clear" w:color="auto" w:fill="FFFFFF"/>
        <w:snapToGrid w:val="0"/>
        <w:spacing w:line="384" w:lineRule="auto"/>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投标人：</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（盖章）</w:t>
      </w:r>
    </w:p>
    <w:p w14:paraId="61B5FDD0">
      <w:pPr>
        <w:widowControl/>
        <w:shd w:val="clear" w:color="auto" w:fill="FFFFFF"/>
        <w:wordWrap w:val="0"/>
        <w:snapToGrid w:val="0"/>
        <w:jc w:val="right"/>
        <w:rPr>
          <w:rFonts w:ascii="宋体" w:hAnsi="Calibri" w:eastAsia="宋体" w:cs="Arial"/>
          <w:kern w:val="0"/>
          <w:sz w:val="24"/>
          <w:szCs w:val="24"/>
          <w:highlight w:val="none"/>
        </w:rPr>
      </w:pPr>
      <w:r>
        <w:rPr>
          <w:rFonts w:hint="eastAsia" w:ascii="宋体" w:hAnsi="宋体" w:eastAsia="宋体" w:cs="Arial"/>
          <w:kern w:val="0"/>
          <w:sz w:val="24"/>
          <w:szCs w:val="24"/>
          <w:highlight w:val="none"/>
        </w:rPr>
        <w:t>日期：</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年</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月</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日</w:t>
      </w:r>
      <w:r>
        <w:rPr>
          <w:rFonts w:ascii="宋体" w:hAnsi="宋体" w:eastAsia="宋体" w:cs="Arial"/>
          <w:kern w:val="0"/>
          <w:sz w:val="24"/>
          <w:szCs w:val="24"/>
          <w:highlight w:val="none"/>
        </w:rPr>
        <w:t xml:space="preserve"> </w:t>
      </w:r>
    </w:p>
    <w:p w14:paraId="0961B633">
      <w:pPr>
        <w:pStyle w:val="65"/>
        <w:spacing w:line="240" w:lineRule="auto"/>
        <w:rPr>
          <w:rFonts w:hint="eastAsia" w:asciiTheme="minorEastAsia" w:hAnsiTheme="minorEastAsia" w:eastAsiaTheme="minorEastAsia" w:cstheme="minorEastAsia"/>
          <w:color w:val="auto"/>
          <w:sz w:val="24"/>
          <w:szCs w:val="24"/>
          <w:highlight w:val="none"/>
        </w:rPr>
      </w:pPr>
    </w:p>
    <w:p w14:paraId="76D3CCA0">
      <w:pPr>
        <w:pStyle w:val="65"/>
        <w:spacing w:line="240" w:lineRule="auto"/>
        <w:rPr>
          <w:rFonts w:hint="eastAsia" w:asciiTheme="minorEastAsia" w:hAnsiTheme="minorEastAsia" w:eastAsiaTheme="minorEastAsia" w:cstheme="minorEastAsia"/>
          <w:color w:val="auto"/>
          <w:sz w:val="24"/>
          <w:szCs w:val="24"/>
          <w:highlight w:val="none"/>
        </w:rPr>
      </w:pPr>
    </w:p>
    <w:p w14:paraId="12EFF702">
      <w:pPr>
        <w:pStyle w:val="65"/>
        <w:spacing w:line="240" w:lineRule="auto"/>
        <w:rPr>
          <w:rFonts w:hint="eastAsia" w:asciiTheme="minorEastAsia" w:hAnsiTheme="minorEastAsia" w:eastAsiaTheme="minorEastAsia" w:cstheme="minorEastAsia"/>
          <w:color w:val="auto"/>
          <w:sz w:val="24"/>
          <w:szCs w:val="24"/>
          <w:highlight w:val="none"/>
        </w:rPr>
      </w:pPr>
    </w:p>
    <w:p w14:paraId="6AF93152">
      <w:pPr>
        <w:pStyle w:val="65"/>
        <w:spacing w:line="240" w:lineRule="auto"/>
        <w:rPr>
          <w:rFonts w:hint="eastAsia" w:asciiTheme="minorEastAsia" w:hAnsiTheme="minorEastAsia" w:eastAsiaTheme="minorEastAsia" w:cstheme="minorEastAsia"/>
          <w:color w:val="auto"/>
          <w:sz w:val="24"/>
          <w:szCs w:val="24"/>
          <w:highlight w:val="none"/>
        </w:rPr>
      </w:pPr>
    </w:p>
    <w:p w14:paraId="0E6B900B">
      <w:pPr>
        <w:pStyle w:val="65"/>
        <w:spacing w:line="240" w:lineRule="auto"/>
        <w:rPr>
          <w:rFonts w:hint="eastAsia" w:asciiTheme="minorEastAsia" w:hAnsiTheme="minorEastAsia" w:eastAsiaTheme="minorEastAsia" w:cstheme="minorEastAsia"/>
          <w:color w:val="auto"/>
          <w:sz w:val="24"/>
          <w:szCs w:val="24"/>
          <w:highlight w:val="none"/>
        </w:rPr>
      </w:pPr>
    </w:p>
    <w:p w14:paraId="332BA242">
      <w:pPr>
        <w:pStyle w:val="65"/>
        <w:spacing w:line="240" w:lineRule="auto"/>
        <w:rPr>
          <w:rFonts w:hint="eastAsia" w:asciiTheme="minorEastAsia" w:hAnsiTheme="minorEastAsia" w:eastAsiaTheme="minorEastAsia" w:cstheme="minorEastAsia"/>
          <w:color w:val="auto"/>
          <w:sz w:val="24"/>
          <w:szCs w:val="24"/>
          <w:highlight w:val="none"/>
        </w:rPr>
      </w:pPr>
    </w:p>
    <w:p w14:paraId="01EF94B2">
      <w:pPr>
        <w:pStyle w:val="65"/>
        <w:spacing w:line="240" w:lineRule="auto"/>
        <w:rPr>
          <w:rFonts w:hint="eastAsia" w:asciiTheme="minorEastAsia" w:hAnsiTheme="minorEastAsia" w:eastAsiaTheme="minorEastAsia" w:cstheme="minorEastAsia"/>
          <w:color w:val="auto"/>
          <w:sz w:val="24"/>
          <w:szCs w:val="24"/>
          <w:highlight w:val="none"/>
        </w:rPr>
      </w:pPr>
    </w:p>
    <w:p w14:paraId="384FC6E5">
      <w:pPr>
        <w:pStyle w:val="65"/>
        <w:spacing w:line="240" w:lineRule="auto"/>
        <w:rPr>
          <w:rFonts w:hint="eastAsia" w:asciiTheme="minorEastAsia" w:hAnsiTheme="minorEastAsia" w:eastAsiaTheme="minorEastAsia" w:cstheme="minorEastAsia"/>
          <w:color w:val="auto"/>
          <w:sz w:val="24"/>
          <w:szCs w:val="24"/>
          <w:highlight w:val="none"/>
        </w:rPr>
      </w:pPr>
    </w:p>
    <w:p w14:paraId="5BA91ECF">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rPr>
        <w:t>附件2.</w:t>
      </w:r>
    </w:p>
    <w:p w14:paraId="24DD2567">
      <w:pPr>
        <w:pStyle w:val="65"/>
        <w:spacing w:line="240" w:lineRule="auto"/>
        <w:rPr>
          <w:rFonts w:hint="eastAsia" w:asciiTheme="minorEastAsia" w:hAnsiTheme="minorEastAsia" w:eastAsiaTheme="minorEastAsia" w:cstheme="minorEastAsia"/>
          <w:b/>
          <w:bCs/>
          <w:color w:val="auto"/>
          <w:sz w:val="24"/>
          <w:szCs w:val="24"/>
          <w:highlight w:val="none"/>
        </w:rPr>
      </w:pPr>
    </w:p>
    <w:p w14:paraId="4FD3EAF0">
      <w:pPr>
        <w:pStyle w:val="161"/>
        <w:spacing w:line="24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法定代表人授权书(委托代理人参加投标)</w:t>
      </w:r>
    </w:p>
    <w:p w14:paraId="0160E929">
      <w:pPr>
        <w:pStyle w:val="65"/>
        <w:spacing w:line="240" w:lineRule="auto"/>
        <w:ind w:firstLine="567"/>
        <w:jc w:val="both"/>
        <w:rPr>
          <w:rFonts w:hint="eastAsia" w:asciiTheme="minorEastAsia" w:hAnsiTheme="minorEastAsia" w:eastAsiaTheme="minorEastAsia" w:cstheme="minorEastAsia"/>
          <w:color w:val="auto"/>
          <w:sz w:val="24"/>
          <w:szCs w:val="24"/>
          <w:highlight w:val="none"/>
        </w:rPr>
      </w:pPr>
    </w:p>
    <w:p w14:paraId="647B0509">
      <w:pPr>
        <w:widowControl/>
        <w:shd w:val="clear" w:color="auto" w:fill="FFFFFF"/>
        <w:snapToGrid w:val="0"/>
        <w:spacing w:line="384" w:lineRule="auto"/>
        <w:ind w:firstLine="480" w:firstLineChars="200"/>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本人</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（姓名）系</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u w:val="single"/>
        </w:rPr>
        <w:t xml:space="preserve">       </w:t>
      </w:r>
      <w:r>
        <w:rPr>
          <w:rFonts w:ascii="宋体" w:hAnsi="宋体" w:eastAsia="宋体" w:cs="Arial"/>
          <w:kern w:val="0"/>
          <w:sz w:val="24"/>
          <w:szCs w:val="24"/>
          <w:highlight w:val="none"/>
          <w:u w:val="single"/>
        </w:rPr>
        <w:t xml:space="preserve">       </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（投标人名称）的法定代表人，现拟派我单位</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（姓名）为我方委托代理人。委托代理人根据授权，就</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（招标项目名称）的投标，以本公司名义处理一切与之有关的事务，其法律后果由我方承担。</w:t>
      </w:r>
    </w:p>
    <w:p w14:paraId="4007FD76">
      <w:pPr>
        <w:widowControl/>
        <w:shd w:val="clear" w:color="auto" w:fill="FFFFFF"/>
        <w:snapToGrid w:val="0"/>
        <w:spacing w:line="384" w:lineRule="auto"/>
        <w:ind w:firstLine="480" w:firstLineChars="200"/>
        <w:jc w:val="left"/>
        <w:rPr>
          <w:rFonts w:ascii="宋体" w:hAnsi="Calibri" w:eastAsia="宋体" w:cs="Arial"/>
          <w:kern w:val="0"/>
          <w:sz w:val="24"/>
          <w:szCs w:val="24"/>
          <w:highlight w:val="none"/>
          <w:u w:val="single"/>
        </w:rPr>
      </w:pPr>
      <w:r>
        <w:rPr>
          <w:rFonts w:hint="eastAsia" w:ascii="宋体" w:hAnsi="宋体" w:eastAsia="宋体" w:cs="Arial"/>
          <w:kern w:val="0"/>
          <w:sz w:val="24"/>
          <w:szCs w:val="24"/>
          <w:highlight w:val="none"/>
        </w:rPr>
        <w:t>代理人：</w:t>
      </w:r>
      <w:r>
        <w:rPr>
          <w:rFonts w:ascii="宋体" w:hAnsi="宋体" w:eastAsia="宋体" w:cs="Arial"/>
          <w:i/>
          <w:kern w:val="0"/>
          <w:sz w:val="24"/>
          <w:szCs w:val="24"/>
          <w:highlight w:val="none"/>
          <w:u w:val="single"/>
        </w:rPr>
        <w:t xml:space="preserve">                 </w:t>
      </w:r>
      <w:r>
        <w:rPr>
          <w:rFonts w:hint="eastAsia" w:ascii="宋体" w:hAnsi="宋体" w:eastAsia="宋体" w:cs="Arial"/>
          <w:kern w:val="0"/>
          <w:sz w:val="24"/>
          <w:szCs w:val="24"/>
          <w:highlight w:val="none"/>
        </w:rPr>
        <w:t>性别：</w:t>
      </w:r>
      <w:r>
        <w:rPr>
          <w:rFonts w:ascii="宋体" w:hAnsi="宋体" w:eastAsia="宋体" w:cs="Arial"/>
          <w:kern w:val="0"/>
          <w:sz w:val="24"/>
          <w:szCs w:val="24"/>
          <w:highlight w:val="none"/>
          <w:u w:val="single"/>
        </w:rPr>
        <w:t xml:space="preserve">             </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年龄：</w:t>
      </w:r>
      <w:r>
        <w:rPr>
          <w:rFonts w:ascii="宋体" w:hAnsi="宋体" w:eastAsia="宋体" w:cs="Arial"/>
          <w:kern w:val="0"/>
          <w:sz w:val="24"/>
          <w:szCs w:val="24"/>
          <w:highlight w:val="none"/>
          <w:u w:val="single"/>
        </w:rPr>
        <w:t xml:space="preserve">                    </w:t>
      </w:r>
    </w:p>
    <w:p w14:paraId="72A45161">
      <w:pPr>
        <w:widowControl/>
        <w:shd w:val="clear" w:color="auto" w:fill="FFFFFF"/>
        <w:snapToGrid w:val="0"/>
        <w:spacing w:line="384" w:lineRule="auto"/>
        <w:ind w:firstLine="480" w:firstLineChars="200"/>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单</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位：</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部门：</w:t>
      </w:r>
      <w:r>
        <w:rPr>
          <w:rFonts w:ascii="宋体" w:hAnsi="宋体" w:eastAsia="宋体" w:cs="Arial"/>
          <w:kern w:val="0"/>
          <w:sz w:val="24"/>
          <w:szCs w:val="24"/>
          <w:highlight w:val="none"/>
          <w:u w:val="single"/>
        </w:rPr>
        <w:t xml:space="preserve">             </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职务：</w:t>
      </w:r>
      <w:r>
        <w:rPr>
          <w:rFonts w:ascii="宋体" w:hAnsi="宋体" w:eastAsia="宋体" w:cs="Arial"/>
          <w:kern w:val="0"/>
          <w:sz w:val="24"/>
          <w:szCs w:val="24"/>
          <w:highlight w:val="none"/>
          <w:u w:val="single"/>
        </w:rPr>
        <w:t xml:space="preserve">                    </w:t>
      </w:r>
    </w:p>
    <w:p w14:paraId="4B303A42">
      <w:pPr>
        <w:widowControl/>
        <w:shd w:val="clear" w:color="auto" w:fill="FFFFFF"/>
        <w:snapToGrid w:val="0"/>
        <w:spacing w:line="384" w:lineRule="auto"/>
        <w:ind w:firstLine="480" w:firstLineChars="200"/>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代理人无转委权，特此申明。</w:t>
      </w:r>
    </w:p>
    <w:p w14:paraId="65A94871">
      <w:pPr>
        <w:widowControl/>
        <w:shd w:val="clear" w:color="auto" w:fill="FFFFFF"/>
        <w:snapToGrid w:val="0"/>
        <w:spacing w:line="384" w:lineRule="auto"/>
        <w:ind w:firstLine="480" w:firstLineChars="200"/>
        <w:jc w:val="left"/>
        <w:rPr>
          <w:rFonts w:ascii="宋体" w:hAnsi="宋体" w:eastAsia="宋体" w:cs="Arial"/>
          <w:kern w:val="0"/>
          <w:sz w:val="24"/>
          <w:szCs w:val="24"/>
          <w:highlight w:val="none"/>
        </w:rPr>
      </w:pPr>
    </w:p>
    <w:p w14:paraId="2DC556C7">
      <w:pPr>
        <w:widowControl/>
        <w:shd w:val="clear" w:color="auto" w:fill="FFFFFF"/>
        <w:snapToGrid w:val="0"/>
        <w:spacing w:line="384" w:lineRule="auto"/>
        <w:rPr>
          <w:rFonts w:ascii="宋体" w:hAnsi="Calibri" w:eastAsia="宋体" w:cs="Arial"/>
          <w:kern w:val="0"/>
          <w:sz w:val="24"/>
          <w:szCs w:val="24"/>
          <w:highlight w:val="none"/>
        </w:rPr>
      </w:pPr>
      <w:r>
        <w:rPr>
          <w:rFonts w:hint="eastAsia" w:ascii="宋体" w:hAnsi="宋体" w:eastAsia="宋体" w:cs="Arial"/>
          <w:kern w:val="0"/>
          <w:sz w:val="24"/>
          <w:szCs w:val="24"/>
          <w:highlight w:val="none"/>
        </w:rPr>
        <w:t>附：授权委托人身份证明。</w:t>
      </w:r>
    </w:p>
    <w:tbl>
      <w:tblPr>
        <w:tblStyle w:val="35"/>
        <w:tblW w:w="0" w:type="auto"/>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94E4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B0A7619">
            <w:pPr>
              <w:jc w:val="center"/>
              <w:rPr>
                <w:rFonts w:ascii="宋体" w:hAnsi="Calibri" w:eastAsia="宋体" w:cs="Times New Roman"/>
                <w:kern w:val="0"/>
                <w:sz w:val="24"/>
                <w:szCs w:val="24"/>
                <w:highlight w:val="none"/>
              </w:rPr>
            </w:pPr>
            <w:r>
              <w:rPr>
                <w:rFonts w:hint="eastAsia" w:ascii="宋体" w:hAnsi="宋体" w:eastAsia="宋体" w:cs="Times New Roman"/>
                <w:kern w:val="0"/>
                <w:sz w:val="24"/>
                <w:szCs w:val="24"/>
                <w:highlight w:val="none"/>
              </w:rPr>
              <w:t>代理人身份证复印件（正面）</w:t>
            </w:r>
          </w:p>
        </w:tc>
      </w:tr>
    </w:tbl>
    <w:tbl>
      <w:tblPr>
        <w:tblStyle w:val="35"/>
        <w:tblpPr w:leftFromText="180" w:rightFromText="180" w:vertAnchor="text" w:horzAnchor="margin" w:tblpXSpec="right" w:tblpY="-24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425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B76C4DD">
            <w:pPr>
              <w:jc w:val="center"/>
              <w:rPr>
                <w:rFonts w:ascii="宋体" w:hAnsi="Calibri" w:eastAsia="宋体" w:cs="Times New Roman"/>
                <w:kern w:val="0"/>
                <w:sz w:val="24"/>
                <w:szCs w:val="24"/>
                <w:highlight w:val="none"/>
              </w:rPr>
            </w:pPr>
            <w:r>
              <w:rPr>
                <w:rFonts w:hint="eastAsia" w:ascii="宋体" w:hAnsi="宋体" w:eastAsia="宋体" w:cs="Times New Roman"/>
                <w:kern w:val="0"/>
                <w:sz w:val="24"/>
                <w:szCs w:val="24"/>
                <w:highlight w:val="none"/>
              </w:rPr>
              <w:t>代理人身份证复印件（反面）</w:t>
            </w:r>
          </w:p>
        </w:tc>
      </w:tr>
    </w:tbl>
    <w:p w14:paraId="2540E2A0">
      <w:pPr>
        <w:widowControl/>
        <w:shd w:val="clear" w:color="auto" w:fill="FFFFFF"/>
        <w:snapToGrid w:val="0"/>
        <w:spacing w:line="384" w:lineRule="auto"/>
        <w:jc w:val="left"/>
        <w:rPr>
          <w:rFonts w:ascii="宋体" w:hAnsi="Calibri" w:eastAsia="宋体" w:cs="Arial"/>
          <w:kern w:val="0"/>
          <w:sz w:val="24"/>
          <w:szCs w:val="24"/>
          <w:highlight w:val="none"/>
        </w:rPr>
      </w:pPr>
    </w:p>
    <w:p w14:paraId="1CFF03A8">
      <w:pPr>
        <w:widowControl/>
        <w:shd w:val="clear" w:color="auto" w:fill="FFFFFF"/>
        <w:snapToGrid w:val="0"/>
        <w:spacing w:line="384" w:lineRule="auto"/>
        <w:jc w:val="left"/>
        <w:rPr>
          <w:rFonts w:ascii="宋体" w:hAnsi="Calibri" w:eastAsia="宋体" w:cs="Arial"/>
          <w:kern w:val="0"/>
          <w:sz w:val="24"/>
          <w:szCs w:val="24"/>
          <w:highlight w:val="none"/>
        </w:rPr>
      </w:pPr>
    </w:p>
    <w:p w14:paraId="43D6E46C">
      <w:pPr>
        <w:widowControl/>
        <w:shd w:val="clear" w:color="auto" w:fill="FFFFFF"/>
        <w:snapToGrid w:val="0"/>
        <w:spacing w:line="384" w:lineRule="auto"/>
        <w:jc w:val="left"/>
        <w:rPr>
          <w:rFonts w:ascii="宋体" w:hAnsi="Calibri" w:eastAsia="宋体" w:cs="Arial"/>
          <w:kern w:val="0"/>
          <w:sz w:val="24"/>
          <w:szCs w:val="24"/>
          <w:highlight w:val="none"/>
        </w:rPr>
      </w:pPr>
    </w:p>
    <w:p w14:paraId="7C1BEC3C">
      <w:pPr>
        <w:widowControl/>
        <w:shd w:val="clear" w:color="auto" w:fill="FFFFFF"/>
        <w:snapToGrid w:val="0"/>
        <w:spacing w:line="384" w:lineRule="auto"/>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投标人：</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（盖章）</w:t>
      </w:r>
    </w:p>
    <w:p w14:paraId="02FE585A">
      <w:pPr>
        <w:widowControl/>
        <w:shd w:val="clear" w:color="auto" w:fill="FFFFFF"/>
        <w:snapToGrid w:val="0"/>
        <w:spacing w:line="384" w:lineRule="auto"/>
        <w:jc w:val="left"/>
        <w:rPr>
          <w:rFonts w:ascii="宋体" w:hAnsi="Calibri" w:eastAsia="宋体" w:cs="Arial"/>
          <w:kern w:val="0"/>
          <w:sz w:val="24"/>
          <w:szCs w:val="24"/>
          <w:highlight w:val="none"/>
        </w:rPr>
      </w:pPr>
    </w:p>
    <w:p w14:paraId="1AE94C78">
      <w:pPr>
        <w:widowControl/>
        <w:shd w:val="clear" w:color="auto" w:fill="FFFFFF"/>
        <w:snapToGrid w:val="0"/>
        <w:spacing w:line="384" w:lineRule="auto"/>
        <w:jc w:val="left"/>
        <w:rPr>
          <w:rFonts w:ascii="宋体" w:hAnsi="Calibri" w:eastAsia="宋体" w:cs="Arial"/>
          <w:kern w:val="0"/>
          <w:sz w:val="24"/>
          <w:szCs w:val="24"/>
          <w:highlight w:val="none"/>
        </w:rPr>
      </w:pPr>
      <w:r>
        <w:rPr>
          <w:rFonts w:hint="eastAsia" w:ascii="宋体" w:hAnsi="宋体" w:eastAsia="宋体" w:cs="Arial"/>
          <w:kern w:val="0"/>
          <w:sz w:val="24"/>
          <w:szCs w:val="24"/>
          <w:highlight w:val="none"/>
        </w:rPr>
        <w:t>法定代表人：</w:t>
      </w:r>
      <w:r>
        <w:rPr>
          <w:rFonts w:ascii="宋体" w:hAnsi="宋体" w:eastAsia="宋体" w:cs="Arial"/>
          <w:kern w:val="0"/>
          <w:sz w:val="24"/>
          <w:szCs w:val="24"/>
          <w:highlight w:val="none"/>
          <w:u w:val="single"/>
        </w:rPr>
        <w:t xml:space="preserve">                    </w:t>
      </w:r>
      <w:r>
        <w:rPr>
          <w:rFonts w:hint="eastAsia" w:ascii="宋体" w:hAnsi="宋体" w:eastAsia="宋体" w:cs="Arial"/>
          <w:kern w:val="0"/>
          <w:sz w:val="24"/>
          <w:szCs w:val="24"/>
          <w:highlight w:val="none"/>
        </w:rPr>
        <w:t>（盖章）</w:t>
      </w:r>
    </w:p>
    <w:p w14:paraId="4119C62E">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宋体" w:hAnsi="宋体" w:eastAsia="宋体" w:cs="Arial"/>
          <w:kern w:val="0"/>
          <w:sz w:val="24"/>
          <w:szCs w:val="24"/>
          <w:highlight w:val="none"/>
        </w:rPr>
        <w:t>日期：</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年</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月</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日</w:t>
      </w:r>
    </w:p>
    <w:p w14:paraId="65D78198">
      <w:pPr>
        <w:pStyle w:val="65"/>
        <w:spacing w:line="240" w:lineRule="auto"/>
        <w:rPr>
          <w:rFonts w:hint="eastAsia" w:asciiTheme="minorEastAsia" w:hAnsiTheme="minorEastAsia" w:eastAsiaTheme="minorEastAsia" w:cstheme="minorEastAsia"/>
          <w:b/>
          <w:bCs/>
          <w:color w:val="auto"/>
          <w:sz w:val="24"/>
          <w:szCs w:val="24"/>
          <w:highlight w:val="none"/>
        </w:rPr>
      </w:pPr>
    </w:p>
    <w:p w14:paraId="2DC545F6">
      <w:pPr>
        <w:pStyle w:val="65"/>
        <w:spacing w:line="24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rPr>
        <w:t>附件3.</w:t>
      </w:r>
    </w:p>
    <w:p w14:paraId="6290DCBB">
      <w:pPr>
        <w:pStyle w:val="65"/>
        <w:spacing w:line="240" w:lineRule="auto"/>
        <w:jc w:val="center"/>
        <w:rPr>
          <w:rFonts w:hint="eastAsia" w:asciiTheme="minorEastAsia" w:hAnsiTheme="minorEastAsia" w:eastAsiaTheme="minorEastAsia" w:cstheme="minorEastAsia"/>
          <w:b/>
          <w:bCs/>
          <w:color w:val="auto"/>
          <w:sz w:val="24"/>
          <w:szCs w:val="24"/>
          <w:highlight w:val="none"/>
        </w:rPr>
      </w:pPr>
    </w:p>
    <w:p w14:paraId="4027088B">
      <w:pPr>
        <w:pStyle w:val="65"/>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二、投标保证金</w:t>
      </w:r>
    </w:p>
    <w:p w14:paraId="2E147522">
      <w:pPr>
        <w:pStyle w:val="65"/>
        <w:spacing w:line="240" w:lineRule="auto"/>
        <w:jc w:val="center"/>
        <w:rPr>
          <w:rFonts w:hint="eastAsia" w:asciiTheme="minorEastAsia" w:hAnsiTheme="minorEastAsia" w:eastAsiaTheme="minorEastAsia" w:cstheme="minorEastAsia"/>
          <w:b/>
          <w:bCs/>
          <w:color w:val="auto"/>
          <w:sz w:val="24"/>
          <w:szCs w:val="24"/>
          <w:highlight w:val="none"/>
        </w:rPr>
      </w:pPr>
    </w:p>
    <w:p w14:paraId="45E5656C">
      <w:pPr>
        <w:spacing w:line="240" w:lineRule="auto"/>
        <w:rPr>
          <w:rFonts w:hint="eastAsia" w:asciiTheme="minorEastAsia" w:hAnsiTheme="minorEastAsia" w:eastAsiaTheme="minorEastAsia" w:cstheme="minorEastAsia"/>
          <w:b/>
          <w:sz w:val="24"/>
          <w:szCs w:val="24"/>
          <w:highlight w:val="none"/>
        </w:rPr>
      </w:pPr>
    </w:p>
    <w:p w14:paraId="30DA4326">
      <w:pPr>
        <w:spacing w:line="240" w:lineRule="auto"/>
        <w:rPr>
          <w:rFonts w:hint="eastAsia" w:asciiTheme="minorEastAsia" w:hAnsiTheme="minorEastAsia" w:eastAsiaTheme="minorEastAsia" w:cstheme="minorEastAsia"/>
          <w:b/>
          <w:sz w:val="24"/>
          <w:szCs w:val="24"/>
          <w:highlight w:val="none"/>
        </w:rPr>
      </w:pPr>
    </w:p>
    <w:p w14:paraId="49F84AB7">
      <w:pPr>
        <w:spacing w:line="24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591185</wp:posOffset>
                </wp:positionH>
                <wp:positionV relativeFrom="paragraph">
                  <wp:posOffset>139065</wp:posOffset>
                </wp:positionV>
                <wp:extent cx="4921250" cy="1857375"/>
                <wp:effectExtent l="4445" t="4445" r="8255" b="5080"/>
                <wp:wrapNone/>
                <wp:docPr id="2" name="文本框 2"/>
                <wp:cNvGraphicFramePr/>
                <a:graphic xmlns:a="http://schemas.openxmlformats.org/drawingml/2006/main">
                  <a:graphicData uri="http://schemas.microsoft.com/office/word/2010/wordprocessingShape">
                    <wps:wsp>
                      <wps:cNvSpPr txBox="1"/>
                      <wps:spPr>
                        <a:xfrm>
                          <a:off x="1416685" y="2613660"/>
                          <a:ext cx="4921250" cy="1857375"/>
                        </a:xfrm>
                        <a:prstGeom prst="rect">
                          <a:avLst/>
                        </a:prstGeom>
                        <a:solidFill>
                          <a:srgbClr val="FFFFFF"/>
                        </a:solidFill>
                        <a:ln w="6350">
                          <a:solidFill>
                            <a:srgbClr val="000000"/>
                          </a:solidFill>
                          <a:prstDash val="dash"/>
                        </a:ln>
                        <a:effectLst/>
                      </wps:spPr>
                      <wps:txbx>
                        <w:txbxContent>
                          <w:p w14:paraId="5E1AA0C5">
                            <w:pPr>
                              <w:spacing w:before="260" w:line="312" w:lineRule="auto"/>
                              <w:ind w:left="240" w:right="643"/>
                              <w:jc w:val="center"/>
                            </w:pPr>
                            <w:r>
                              <w:t>（投标人须将银行打款凭证</w:t>
                            </w:r>
                            <w:r>
                              <w:rPr>
                                <w:rFonts w:hint="eastAsia"/>
                              </w:rPr>
                              <w:t>扫描件</w:t>
                            </w:r>
                            <w:r>
                              <w:rPr>
                                <w:rFonts w:hint="eastAsia"/>
                                <w:lang w:eastAsia="zh-CN"/>
                              </w:rPr>
                              <w:t>或</w:t>
                            </w:r>
                            <w:r>
                              <w:rPr>
                                <w:rFonts w:hint="eastAsia"/>
                              </w:rPr>
                              <w:t>保函</w:t>
                            </w:r>
                            <w:r>
                              <w:rPr>
                                <w:rFonts w:hint="eastAsia"/>
                                <w:lang w:eastAsia="zh-CN"/>
                              </w:rPr>
                              <w:t>等</w:t>
                            </w:r>
                            <w:r>
                              <w:t>附在此处，</w:t>
                            </w:r>
                            <w:r>
                              <w:rPr>
                                <w:rFonts w:hint="eastAsia"/>
                              </w:rPr>
                              <w:t>并加盖电子公章</w:t>
                            </w:r>
                            <w:r>
                              <w:t>）</w:t>
                            </w:r>
                          </w:p>
                          <w:p w14:paraId="68404D0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5pt;margin-top:10.95pt;height:146.25pt;width:387.5pt;z-index:251661312;mso-width-relative:page;mso-height-relative:page;" fillcolor="#FFFFFF" filled="t" stroked="t" coordsize="21600,21600" o:gfxdata="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HmSm7YAAAACQEAAA8AAAAAAAAAAQAgAAAAIgAAAGRycy9kb3ducmV2&#10;LnhtbFBLAQIUABQAAAAIAIdO4kA5rs0FbgIAAOsEAAAOAAAAAAAAAAEAIAAAACcBAABkcnMvZTJv&#10;RG9jLnhtbFBLBQYAAAAABgAGAFkBAAAHBgAAAAA=&#10;">
                <v:fill on="t" focussize="0,0"/>
                <v:stroke weight="0.5pt" color="#000000" joinstyle="round" dashstyle="dash"/>
                <v:imagedata o:title=""/>
                <o:lock v:ext="edit" aspectratio="f"/>
                <v:textbox>
                  <w:txbxContent>
                    <w:p w14:paraId="5E1AA0C5">
                      <w:pPr>
                        <w:spacing w:before="260" w:line="312" w:lineRule="auto"/>
                        <w:ind w:left="240" w:right="643"/>
                        <w:jc w:val="center"/>
                      </w:pPr>
                      <w:r>
                        <w:t>（投标人须将银行打款凭证</w:t>
                      </w:r>
                      <w:r>
                        <w:rPr>
                          <w:rFonts w:hint="eastAsia"/>
                        </w:rPr>
                        <w:t>扫描件</w:t>
                      </w:r>
                      <w:r>
                        <w:rPr>
                          <w:rFonts w:hint="eastAsia"/>
                          <w:lang w:eastAsia="zh-CN"/>
                        </w:rPr>
                        <w:t>或</w:t>
                      </w:r>
                      <w:r>
                        <w:rPr>
                          <w:rFonts w:hint="eastAsia"/>
                        </w:rPr>
                        <w:t>保函</w:t>
                      </w:r>
                      <w:r>
                        <w:rPr>
                          <w:rFonts w:hint="eastAsia"/>
                          <w:lang w:eastAsia="zh-CN"/>
                        </w:rPr>
                        <w:t>等</w:t>
                      </w:r>
                      <w:r>
                        <w:t>附在此处，</w:t>
                      </w:r>
                      <w:r>
                        <w:rPr>
                          <w:rFonts w:hint="eastAsia"/>
                        </w:rPr>
                        <w:t>并加盖电子公章</w:t>
                      </w:r>
                      <w:r>
                        <w:t>）</w:t>
                      </w:r>
                    </w:p>
                    <w:p w14:paraId="68404D0C"/>
                  </w:txbxContent>
                </v:textbox>
              </v:shape>
            </w:pict>
          </mc:Fallback>
        </mc:AlternateContent>
      </w:r>
    </w:p>
    <w:p w14:paraId="62AA6EAA">
      <w:pPr>
        <w:spacing w:line="240" w:lineRule="auto"/>
        <w:rPr>
          <w:rFonts w:hint="eastAsia" w:asciiTheme="minorEastAsia" w:hAnsiTheme="minorEastAsia" w:eastAsiaTheme="minorEastAsia" w:cstheme="minorEastAsia"/>
          <w:b/>
          <w:sz w:val="24"/>
          <w:szCs w:val="24"/>
          <w:highlight w:val="none"/>
        </w:rPr>
      </w:pPr>
    </w:p>
    <w:p w14:paraId="2F92A605">
      <w:pPr>
        <w:spacing w:line="240" w:lineRule="auto"/>
        <w:rPr>
          <w:rFonts w:hint="eastAsia" w:asciiTheme="minorEastAsia" w:hAnsiTheme="minorEastAsia" w:eastAsiaTheme="minorEastAsia" w:cstheme="minorEastAsia"/>
          <w:b/>
          <w:sz w:val="24"/>
          <w:szCs w:val="24"/>
          <w:highlight w:val="none"/>
        </w:rPr>
      </w:pPr>
    </w:p>
    <w:p w14:paraId="2A52ABAE">
      <w:pPr>
        <w:spacing w:line="240" w:lineRule="auto"/>
        <w:rPr>
          <w:rFonts w:hint="eastAsia" w:asciiTheme="minorEastAsia" w:hAnsiTheme="minorEastAsia" w:eastAsiaTheme="minorEastAsia" w:cstheme="minorEastAsia"/>
          <w:b/>
          <w:sz w:val="24"/>
          <w:szCs w:val="24"/>
          <w:highlight w:val="none"/>
        </w:rPr>
      </w:pPr>
    </w:p>
    <w:p w14:paraId="6916F4AD">
      <w:pPr>
        <w:spacing w:line="240" w:lineRule="auto"/>
        <w:rPr>
          <w:rFonts w:hint="eastAsia" w:asciiTheme="minorEastAsia" w:hAnsiTheme="minorEastAsia" w:eastAsiaTheme="minorEastAsia" w:cstheme="minorEastAsia"/>
          <w:b/>
          <w:sz w:val="24"/>
          <w:szCs w:val="24"/>
          <w:highlight w:val="none"/>
        </w:rPr>
      </w:pPr>
    </w:p>
    <w:p w14:paraId="14696472">
      <w:pPr>
        <w:spacing w:line="240" w:lineRule="auto"/>
        <w:rPr>
          <w:rFonts w:hint="eastAsia" w:asciiTheme="minorEastAsia" w:hAnsiTheme="minorEastAsia" w:eastAsiaTheme="minorEastAsia" w:cstheme="minorEastAsia"/>
          <w:b/>
          <w:sz w:val="24"/>
          <w:szCs w:val="24"/>
          <w:highlight w:val="none"/>
        </w:rPr>
      </w:pPr>
    </w:p>
    <w:p w14:paraId="71FEF1AD">
      <w:pPr>
        <w:spacing w:line="240" w:lineRule="auto"/>
        <w:rPr>
          <w:rFonts w:hint="eastAsia" w:asciiTheme="minorEastAsia" w:hAnsiTheme="minorEastAsia" w:eastAsiaTheme="minorEastAsia" w:cstheme="minorEastAsia"/>
          <w:b/>
          <w:sz w:val="24"/>
          <w:szCs w:val="24"/>
          <w:highlight w:val="none"/>
        </w:rPr>
      </w:pPr>
    </w:p>
    <w:p w14:paraId="4A46EB73">
      <w:pPr>
        <w:spacing w:line="240" w:lineRule="auto"/>
        <w:rPr>
          <w:rFonts w:hint="eastAsia" w:asciiTheme="minorEastAsia" w:hAnsiTheme="minorEastAsia" w:eastAsiaTheme="minorEastAsia" w:cstheme="minorEastAsia"/>
          <w:b/>
          <w:sz w:val="24"/>
          <w:szCs w:val="24"/>
          <w:highlight w:val="none"/>
        </w:rPr>
      </w:pPr>
    </w:p>
    <w:p w14:paraId="0E63EAF0">
      <w:pPr>
        <w:spacing w:line="240" w:lineRule="auto"/>
        <w:rPr>
          <w:rFonts w:hint="eastAsia" w:asciiTheme="minorEastAsia" w:hAnsiTheme="minorEastAsia" w:eastAsiaTheme="minorEastAsia" w:cstheme="minorEastAsia"/>
          <w:b/>
          <w:sz w:val="24"/>
          <w:szCs w:val="24"/>
          <w:highlight w:val="none"/>
        </w:rPr>
      </w:pPr>
    </w:p>
    <w:p w14:paraId="6CC7125E">
      <w:pPr>
        <w:spacing w:line="240" w:lineRule="auto"/>
        <w:rPr>
          <w:rFonts w:hint="eastAsia" w:asciiTheme="minorEastAsia" w:hAnsiTheme="minorEastAsia" w:eastAsiaTheme="minorEastAsia" w:cstheme="minorEastAsia"/>
          <w:b/>
          <w:sz w:val="24"/>
          <w:szCs w:val="24"/>
          <w:highlight w:val="none"/>
        </w:rPr>
      </w:pPr>
    </w:p>
    <w:p w14:paraId="69B05088">
      <w:pPr>
        <w:spacing w:line="240" w:lineRule="auto"/>
        <w:rPr>
          <w:rFonts w:hint="eastAsia" w:asciiTheme="minorEastAsia" w:hAnsiTheme="minorEastAsia" w:eastAsiaTheme="minorEastAsia" w:cstheme="minorEastAsia"/>
          <w:b/>
          <w:sz w:val="24"/>
          <w:szCs w:val="24"/>
          <w:highlight w:val="none"/>
        </w:rPr>
      </w:pPr>
    </w:p>
    <w:p w14:paraId="3D71F866">
      <w:pPr>
        <w:spacing w:line="240" w:lineRule="auto"/>
        <w:rPr>
          <w:rFonts w:hint="eastAsia" w:asciiTheme="minorEastAsia" w:hAnsiTheme="minorEastAsia" w:eastAsiaTheme="minorEastAsia" w:cstheme="minorEastAsia"/>
          <w:b/>
          <w:sz w:val="24"/>
          <w:szCs w:val="24"/>
          <w:highlight w:val="none"/>
        </w:rPr>
      </w:pPr>
    </w:p>
    <w:p w14:paraId="3A83EB50">
      <w:pPr>
        <w:spacing w:line="240" w:lineRule="auto"/>
        <w:rPr>
          <w:rFonts w:hint="eastAsia" w:asciiTheme="minorEastAsia" w:hAnsiTheme="minorEastAsia" w:eastAsiaTheme="minorEastAsia" w:cstheme="minorEastAsia"/>
          <w:sz w:val="24"/>
          <w:szCs w:val="24"/>
          <w:highlight w:val="none"/>
        </w:rPr>
      </w:pPr>
    </w:p>
    <w:p w14:paraId="0959EC41">
      <w:pPr>
        <w:spacing w:line="240" w:lineRule="auto"/>
        <w:rPr>
          <w:rFonts w:hint="eastAsia" w:asciiTheme="minorEastAsia" w:hAnsiTheme="minorEastAsia" w:eastAsiaTheme="minorEastAsia" w:cstheme="minorEastAsia"/>
          <w:sz w:val="24"/>
          <w:szCs w:val="24"/>
          <w:highlight w:val="none"/>
        </w:rPr>
      </w:pPr>
    </w:p>
    <w:p w14:paraId="026B1039">
      <w:pPr>
        <w:spacing w:line="240" w:lineRule="auto"/>
        <w:rPr>
          <w:rFonts w:hint="eastAsia" w:asciiTheme="minorEastAsia" w:hAnsiTheme="minorEastAsia" w:eastAsiaTheme="minorEastAsia" w:cstheme="minorEastAsia"/>
          <w:sz w:val="24"/>
          <w:szCs w:val="24"/>
          <w:highlight w:val="none"/>
        </w:rPr>
      </w:pPr>
    </w:p>
    <w:p w14:paraId="7D11B670">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sz w:val="24"/>
          <w:szCs w:val="24"/>
          <w:highlight w:val="none"/>
        </w:rPr>
        <w:br w:type="page"/>
      </w:r>
      <w:r>
        <w:rPr>
          <w:rFonts w:hint="eastAsia" w:asciiTheme="minorEastAsia" w:hAnsiTheme="minorEastAsia" w:eastAsiaTheme="minorEastAsia" w:cstheme="minorEastAsia"/>
          <w:b/>
          <w:bCs/>
          <w:kern w:val="0"/>
          <w:sz w:val="24"/>
          <w:szCs w:val="24"/>
          <w:highlight w:val="none"/>
        </w:rPr>
        <w:t>附件4：</w:t>
      </w:r>
    </w:p>
    <w:p w14:paraId="4EED4AFC">
      <w:pPr>
        <w:spacing w:line="240" w:lineRule="auto"/>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三、开标一览表及投标报价明细表</w:t>
      </w:r>
    </w:p>
    <w:p w14:paraId="3A4F4313">
      <w:pPr>
        <w:pStyle w:val="21"/>
        <w:spacing w:line="240" w:lineRule="auto"/>
        <w:rPr>
          <w:rFonts w:hint="eastAsia" w:asciiTheme="minorEastAsia" w:hAnsiTheme="minorEastAsia" w:eastAsiaTheme="minorEastAsia" w:cstheme="minorEastAsia"/>
          <w:sz w:val="24"/>
          <w:szCs w:val="24"/>
          <w:highlight w:val="none"/>
        </w:rPr>
      </w:pPr>
    </w:p>
    <w:p w14:paraId="0EE0A12C">
      <w:pPr>
        <w:pStyle w:val="21"/>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采购项目编号：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6367"/>
      </w:tblGrid>
      <w:tr w14:paraId="35C9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1" w:type="dxa"/>
            <w:tcBorders>
              <w:bottom w:val="single" w:color="auto" w:sz="4" w:space="0"/>
            </w:tcBorders>
            <w:vAlign w:val="center"/>
          </w:tcPr>
          <w:p w14:paraId="5B892621">
            <w:pPr>
              <w:pStyle w:val="21"/>
              <w:spacing w:line="240" w:lineRule="auto"/>
              <w:ind w:left="0" w:leftChars="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6367" w:type="dxa"/>
            <w:tcBorders>
              <w:bottom w:val="single" w:color="auto" w:sz="4" w:space="0"/>
            </w:tcBorders>
            <w:vAlign w:val="center"/>
          </w:tcPr>
          <w:p w14:paraId="7C0A7130">
            <w:pPr>
              <w:pStyle w:val="21"/>
              <w:spacing w:line="240" w:lineRule="auto"/>
              <w:jc w:val="center"/>
              <w:rPr>
                <w:rFonts w:hint="eastAsia" w:asciiTheme="minorEastAsia" w:hAnsiTheme="minorEastAsia" w:eastAsiaTheme="minorEastAsia" w:cstheme="minorEastAsia"/>
                <w:sz w:val="24"/>
                <w:szCs w:val="24"/>
                <w:highlight w:val="none"/>
              </w:rPr>
            </w:pPr>
          </w:p>
        </w:tc>
      </w:tr>
      <w:tr w14:paraId="2366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3231" w:type="dxa"/>
            <w:vAlign w:val="center"/>
          </w:tcPr>
          <w:p w14:paraId="5E8867B5">
            <w:pPr>
              <w:pStyle w:val="21"/>
              <w:spacing w:line="240" w:lineRule="auto"/>
              <w:ind w:firstLine="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报价（元）</w:t>
            </w:r>
          </w:p>
        </w:tc>
        <w:tc>
          <w:tcPr>
            <w:tcW w:w="6367" w:type="dxa"/>
            <w:vAlign w:val="center"/>
          </w:tcPr>
          <w:p w14:paraId="7C57E879">
            <w:pPr>
              <w:pStyle w:val="21"/>
              <w:spacing w:line="240" w:lineRule="auto"/>
              <w:ind w:left="0" w:leftChars="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小写：</w:t>
            </w:r>
          </w:p>
          <w:p w14:paraId="56E3B9CF">
            <w:pPr>
              <w:pStyle w:val="21"/>
              <w:spacing w:line="240" w:lineRule="auto"/>
              <w:ind w:left="0" w:leftChars="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大写：</w:t>
            </w:r>
          </w:p>
        </w:tc>
      </w:tr>
      <w:tr w14:paraId="2F45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3231" w:type="dxa"/>
            <w:vAlign w:val="center"/>
          </w:tcPr>
          <w:p w14:paraId="71A2BA6B">
            <w:pPr>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rPr>
              <w:t>供货期</w:t>
            </w:r>
            <w:r>
              <w:rPr>
                <w:rFonts w:hint="eastAsia" w:asciiTheme="minorEastAsia" w:hAnsiTheme="minorEastAsia" w:eastAsiaTheme="minorEastAsia" w:cstheme="minorEastAsia"/>
                <w:kern w:val="0"/>
                <w:sz w:val="24"/>
                <w:szCs w:val="24"/>
                <w:highlight w:val="none"/>
                <w:lang w:eastAsia="zh-CN"/>
              </w:rPr>
              <w:t>限</w:t>
            </w:r>
          </w:p>
        </w:tc>
        <w:tc>
          <w:tcPr>
            <w:tcW w:w="6367" w:type="dxa"/>
            <w:vAlign w:val="center"/>
          </w:tcPr>
          <w:p w14:paraId="1A4C6242">
            <w:pPr>
              <w:pStyle w:val="21"/>
              <w:spacing w:line="240" w:lineRule="auto"/>
              <w:jc w:val="center"/>
              <w:rPr>
                <w:rFonts w:hint="eastAsia" w:asciiTheme="minorEastAsia" w:hAnsiTheme="minorEastAsia" w:eastAsiaTheme="minorEastAsia" w:cstheme="minorEastAsia"/>
                <w:sz w:val="24"/>
                <w:szCs w:val="24"/>
                <w:highlight w:val="none"/>
              </w:rPr>
            </w:pPr>
          </w:p>
        </w:tc>
      </w:tr>
      <w:tr w14:paraId="1D63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3231" w:type="dxa"/>
            <w:vAlign w:val="center"/>
          </w:tcPr>
          <w:p w14:paraId="359DE018">
            <w:pPr>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rPr>
              <w:t>质保期</w:t>
            </w:r>
            <w:r>
              <w:rPr>
                <w:rFonts w:hint="eastAsia" w:asciiTheme="minorEastAsia" w:hAnsiTheme="minorEastAsia" w:eastAsiaTheme="minorEastAsia" w:cstheme="minorEastAsia"/>
                <w:kern w:val="0"/>
                <w:sz w:val="24"/>
                <w:szCs w:val="24"/>
                <w:highlight w:val="none"/>
                <w:lang w:eastAsia="zh-CN"/>
              </w:rPr>
              <w:t>限</w:t>
            </w:r>
          </w:p>
        </w:tc>
        <w:tc>
          <w:tcPr>
            <w:tcW w:w="6367" w:type="dxa"/>
            <w:vAlign w:val="center"/>
          </w:tcPr>
          <w:p w14:paraId="602F47B7">
            <w:pPr>
              <w:pStyle w:val="21"/>
              <w:spacing w:line="240" w:lineRule="auto"/>
              <w:jc w:val="center"/>
              <w:rPr>
                <w:rFonts w:hint="eastAsia" w:asciiTheme="minorEastAsia" w:hAnsiTheme="minorEastAsia" w:eastAsiaTheme="minorEastAsia" w:cstheme="minorEastAsia"/>
                <w:sz w:val="24"/>
                <w:szCs w:val="24"/>
                <w:highlight w:val="none"/>
              </w:rPr>
            </w:pPr>
          </w:p>
        </w:tc>
      </w:tr>
      <w:tr w14:paraId="3D1F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3231" w:type="dxa"/>
            <w:vAlign w:val="center"/>
          </w:tcPr>
          <w:p w14:paraId="65F78E8C">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售后标准</w:t>
            </w:r>
          </w:p>
        </w:tc>
        <w:tc>
          <w:tcPr>
            <w:tcW w:w="6367" w:type="dxa"/>
            <w:vAlign w:val="center"/>
          </w:tcPr>
          <w:p w14:paraId="4357BC7A">
            <w:pPr>
              <w:pStyle w:val="21"/>
              <w:spacing w:line="240" w:lineRule="auto"/>
              <w:jc w:val="center"/>
              <w:rPr>
                <w:rFonts w:hint="eastAsia" w:asciiTheme="minorEastAsia" w:hAnsiTheme="minorEastAsia" w:eastAsiaTheme="minorEastAsia" w:cstheme="minorEastAsia"/>
                <w:sz w:val="24"/>
                <w:szCs w:val="24"/>
                <w:highlight w:val="none"/>
              </w:rPr>
            </w:pPr>
          </w:p>
        </w:tc>
      </w:tr>
      <w:tr w14:paraId="0104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598" w:type="dxa"/>
            <w:gridSpan w:val="2"/>
            <w:vAlign w:val="center"/>
          </w:tcPr>
          <w:p w14:paraId="6A5EFB84">
            <w:pPr>
              <w:pStyle w:val="21"/>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bl>
    <w:p w14:paraId="2EEA05AA">
      <w:pPr>
        <w:pStyle w:val="21"/>
        <w:spacing w:line="240" w:lineRule="auto"/>
        <w:rPr>
          <w:rFonts w:hint="eastAsia" w:asciiTheme="minorEastAsia" w:hAnsiTheme="minorEastAsia" w:eastAsiaTheme="minorEastAsia" w:cstheme="minorEastAsia"/>
          <w:sz w:val="24"/>
          <w:szCs w:val="24"/>
          <w:highlight w:val="none"/>
        </w:rPr>
      </w:pPr>
    </w:p>
    <w:p w14:paraId="0DCB7376">
      <w:pPr>
        <w:pStyle w:val="21"/>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说明：1.</w:t>
      </w:r>
      <w:r>
        <w:rPr>
          <w:rFonts w:hint="eastAsia" w:asciiTheme="minorEastAsia" w:hAnsiTheme="minorEastAsia" w:eastAsiaTheme="minorEastAsia" w:cstheme="minorEastAsia"/>
          <w:kern w:val="0"/>
          <w:sz w:val="24"/>
          <w:szCs w:val="24"/>
          <w:highlight w:val="none"/>
        </w:rPr>
        <w:t>报价</w:t>
      </w:r>
      <w:r>
        <w:rPr>
          <w:rFonts w:hint="eastAsia" w:asciiTheme="minorEastAsia" w:hAnsiTheme="minorEastAsia" w:eastAsiaTheme="minorEastAsia" w:cstheme="minorEastAsia"/>
          <w:kern w:val="0"/>
          <w:sz w:val="24"/>
          <w:szCs w:val="24"/>
          <w:highlight w:val="none"/>
          <w:lang w:eastAsia="zh-CN"/>
        </w:rPr>
        <w:t>应</w:t>
      </w:r>
      <w:r>
        <w:rPr>
          <w:rFonts w:hint="eastAsia" w:asciiTheme="minorEastAsia" w:hAnsiTheme="minorEastAsia" w:eastAsiaTheme="minorEastAsia" w:cstheme="minorEastAsia"/>
          <w:kern w:val="0"/>
          <w:sz w:val="24"/>
          <w:szCs w:val="24"/>
          <w:highlight w:val="none"/>
        </w:rPr>
        <w:t>包括</w:t>
      </w:r>
      <w:r>
        <w:rPr>
          <w:rFonts w:hint="eastAsia" w:asciiTheme="minorEastAsia" w:hAnsiTheme="minorEastAsia" w:eastAsiaTheme="minorEastAsia" w:cstheme="minorEastAsia"/>
          <w:kern w:val="0"/>
          <w:sz w:val="24"/>
          <w:szCs w:val="24"/>
          <w:highlight w:val="none"/>
          <w:lang w:eastAsia="zh-CN"/>
        </w:rPr>
        <w:t>但不限于</w:t>
      </w:r>
      <w:r>
        <w:rPr>
          <w:rFonts w:hint="eastAsia" w:asciiTheme="minorEastAsia" w:hAnsiTheme="minorEastAsia" w:eastAsiaTheme="minorEastAsia" w:cstheme="minorEastAsia"/>
          <w:kern w:val="0"/>
          <w:sz w:val="24"/>
          <w:szCs w:val="24"/>
          <w:highlight w:val="none"/>
        </w:rPr>
        <w:t>项目实施所需的货物费、材料费、包装运输费、装卸费、安装调试费、管理费、维保运维费、利润、税费及其他一切相关费用。</w:t>
      </w:r>
      <w:r>
        <w:rPr>
          <w:rFonts w:hint="eastAsia" w:asciiTheme="minorEastAsia" w:hAnsiTheme="minorEastAsia" w:eastAsiaTheme="minorEastAsia" w:cstheme="minorEastAsia"/>
          <w:sz w:val="24"/>
          <w:szCs w:val="24"/>
          <w:highlight w:val="none"/>
        </w:rPr>
        <w:t>供应商严格按照规定的格式填写。报价为优惠后报价，并作为评审及定标的依据。</w:t>
      </w:r>
    </w:p>
    <w:p w14:paraId="589B5FBE">
      <w:pPr>
        <w:pStyle w:val="21"/>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2.投标人严格按照规定的格式填写，任何有选择或有条件的投标报价或表中某一包填写多个报价，均将导致相应被拒绝。</w:t>
      </w:r>
    </w:p>
    <w:p w14:paraId="1E614D04">
      <w:pPr>
        <w:pStyle w:val="21"/>
        <w:spacing w:line="240" w:lineRule="auto"/>
        <w:rPr>
          <w:rFonts w:hint="eastAsia" w:asciiTheme="minorEastAsia" w:hAnsiTheme="minorEastAsia" w:eastAsiaTheme="minorEastAsia" w:cstheme="minorEastAsia"/>
          <w:sz w:val="24"/>
          <w:szCs w:val="24"/>
          <w:highlight w:val="none"/>
        </w:rPr>
      </w:pPr>
    </w:p>
    <w:p w14:paraId="5A082C2D">
      <w:pPr>
        <w:pStyle w:val="21"/>
        <w:spacing w:line="240" w:lineRule="auto"/>
        <w:rPr>
          <w:rFonts w:hint="eastAsia" w:asciiTheme="minorEastAsia" w:hAnsiTheme="minorEastAsia" w:eastAsiaTheme="minorEastAsia" w:cstheme="minorEastAsia"/>
          <w:sz w:val="24"/>
          <w:szCs w:val="24"/>
          <w:highlight w:val="none"/>
        </w:rPr>
      </w:pPr>
    </w:p>
    <w:p w14:paraId="2D0AD51E">
      <w:pPr>
        <w:pStyle w:val="21"/>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供应商名称(盖单位章)：</w:t>
      </w:r>
    </w:p>
    <w:p w14:paraId="61E35416">
      <w:pPr>
        <w:pStyle w:val="21"/>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法定代表人或其委托代理人</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签字</w:t>
      </w:r>
      <w:r>
        <w:rPr>
          <w:rFonts w:hint="eastAsia" w:asciiTheme="minorEastAsia" w:hAnsiTheme="minorEastAsia" w:eastAsiaTheme="minorEastAsia" w:cstheme="minorEastAsia"/>
          <w:kern w:val="0"/>
          <w:sz w:val="24"/>
          <w:szCs w:val="24"/>
          <w:highlight w:val="none"/>
          <w:lang w:eastAsia="zh-CN"/>
        </w:rPr>
        <w:t>或盖章）</w:t>
      </w:r>
      <w:r>
        <w:rPr>
          <w:rFonts w:hint="eastAsia" w:asciiTheme="minorEastAsia" w:hAnsiTheme="minorEastAsia" w:eastAsiaTheme="minorEastAsia" w:cstheme="minorEastAsia"/>
          <w:sz w:val="24"/>
          <w:szCs w:val="24"/>
          <w:highlight w:val="none"/>
        </w:rPr>
        <w:t>：</w:t>
      </w:r>
    </w:p>
    <w:p w14:paraId="361DC5CB">
      <w:pPr>
        <w:pStyle w:val="21"/>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338D6EDF">
      <w:pPr>
        <w:spacing w:line="24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附件5：</w:t>
      </w:r>
    </w:p>
    <w:p w14:paraId="23B07675">
      <w:pPr>
        <w:spacing w:line="240" w:lineRule="auto"/>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投标报价明细表</w:t>
      </w:r>
    </w:p>
    <w:p w14:paraId="4F398BB8">
      <w:pPr>
        <w:spacing w:line="24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采购项目编号：</w:t>
      </w:r>
    </w:p>
    <w:p w14:paraId="46DB6F0C">
      <w:pPr>
        <w:spacing w:line="24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采购项目名称：</w:t>
      </w:r>
    </w:p>
    <w:tbl>
      <w:tblPr>
        <w:tblStyle w:val="35"/>
        <w:tblpPr w:leftFromText="180" w:rightFromText="180" w:vertAnchor="text" w:horzAnchor="page" w:tblpX="1089" w:tblpY="59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00"/>
        <w:gridCol w:w="1400"/>
        <w:gridCol w:w="937"/>
        <w:gridCol w:w="1088"/>
        <w:gridCol w:w="1126"/>
        <w:gridCol w:w="1479"/>
        <w:gridCol w:w="1083"/>
        <w:gridCol w:w="803"/>
      </w:tblGrid>
      <w:tr w14:paraId="6EA4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37" w:type="dxa"/>
            <w:vAlign w:val="center"/>
          </w:tcPr>
          <w:p w14:paraId="6CA05FF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序号</w:t>
            </w:r>
          </w:p>
        </w:tc>
        <w:tc>
          <w:tcPr>
            <w:tcW w:w="1400" w:type="dxa"/>
            <w:vAlign w:val="center"/>
          </w:tcPr>
          <w:p w14:paraId="1915AF79">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设备名称</w:t>
            </w:r>
          </w:p>
        </w:tc>
        <w:tc>
          <w:tcPr>
            <w:tcW w:w="1400" w:type="dxa"/>
            <w:vAlign w:val="center"/>
          </w:tcPr>
          <w:p w14:paraId="19F4B83C">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所属行业</w:t>
            </w:r>
          </w:p>
        </w:tc>
        <w:tc>
          <w:tcPr>
            <w:tcW w:w="937" w:type="dxa"/>
            <w:vAlign w:val="center"/>
          </w:tcPr>
          <w:p w14:paraId="30A31A8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品牌</w:t>
            </w:r>
          </w:p>
        </w:tc>
        <w:tc>
          <w:tcPr>
            <w:tcW w:w="1088" w:type="dxa"/>
            <w:vAlign w:val="center"/>
          </w:tcPr>
          <w:p w14:paraId="7E935034">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单价</w:t>
            </w:r>
          </w:p>
        </w:tc>
        <w:tc>
          <w:tcPr>
            <w:tcW w:w="1126" w:type="dxa"/>
            <w:vAlign w:val="center"/>
          </w:tcPr>
          <w:p w14:paraId="5E794C0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数量</w:t>
            </w:r>
          </w:p>
        </w:tc>
        <w:tc>
          <w:tcPr>
            <w:tcW w:w="1479" w:type="dxa"/>
            <w:vAlign w:val="center"/>
          </w:tcPr>
          <w:p w14:paraId="1E61766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规格型号</w:t>
            </w:r>
          </w:p>
        </w:tc>
        <w:tc>
          <w:tcPr>
            <w:tcW w:w="1083" w:type="dxa"/>
            <w:vAlign w:val="center"/>
          </w:tcPr>
          <w:p w14:paraId="503D68E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合计</w:t>
            </w:r>
          </w:p>
        </w:tc>
        <w:tc>
          <w:tcPr>
            <w:tcW w:w="803" w:type="dxa"/>
            <w:vAlign w:val="center"/>
          </w:tcPr>
          <w:p w14:paraId="6AE6837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备注</w:t>
            </w:r>
          </w:p>
        </w:tc>
      </w:tr>
      <w:tr w14:paraId="2882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7" w:type="dxa"/>
            <w:vAlign w:val="center"/>
          </w:tcPr>
          <w:p w14:paraId="7E673A5B">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1400" w:type="dxa"/>
          </w:tcPr>
          <w:p w14:paraId="78C1A974">
            <w:pPr>
              <w:spacing w:line="240" w:lineRule="auto"/>
              <w:ind w:firstLine="480"/>
              <w:rPr>
                <w:rFonts w:hint="eastAsia" w:asciiTheme="minorEastAsia" w:hAnsiTheme="minorEastAsia" w:eastAsiaTheme="minorEastAsia" w:cstheme="minorEastAsia"/>
                <w:kern w:val="0"/>
                <w:sz w:val="24"/>
                <w:szCs w:val="24"/>
                <w:highlight w:val="none"/>
              </w:rPr>
            </w:pPr>
          </w:p>
        </w:tc>
        <w:tc>
          <w:tcPr>
            <w:tcW w:w="1400" w:type="dxa"/>
          </w:tcPr>
          <w:p w14:paraId="5646FEF3">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032A5828">
            <w:pPr>
              <w:spacing w:line="240" w:lineRule="auto"/>
              <w:ind w:firstLine="480"/>
              <w:rPr>
                <w:rFonts w:hint="eastAsia" w:asciiTheme="minorEastAsia" w:hAnsiTheme="minorEastAsia" w:eastAsiaTheme="minorEastAsia" w:cstheme="minorEastAsia"/>
                <w:kern w:val="0"/>
                <w:sz w:val="24"/>
                <w:szCs w:val="24"/>
                <w:highlight w:val="none"/>
              </w:rPr>
            </w:pPr>
          </w:p>
        </w:tc>
        <w:tc>
          <w:tcPr>
            <w:tcW w:w="1088" w:type="dxa"/>
          </w:tcPr>
          <w:p w14:paraId="4EF1EC44">
            <w:pPr>
              <w:spacing w:line="240" w:lineRule="auto"/>
              <w:ind w:firstLine="480"/>
              <w:rPr>
                <w:rFonts w:hint="eastAsia" w:asciiTheme="minorEastAsia" w:hAnsiTheme="minorEastAsia" w:eastAsiaTheme="minorEastAsia" w:cstheme="minorEastAsia"/>
                <w:kern w:val="0"/>
                <w:sz w:val="24"/>
                <w:szCs w:val="24"/>
                <w:highlight w:val="none"/>
              </w:rPr>
            </w:pPr>
          </w:p>
        </w:tc>
        <w:tc>
          <w:tcPr>
            <w:tcW w:w="1126" w:type="dxa"/>
          </w:tcPr>
          <w:p w14:paraId="4606A5FD">
            <w:pPr>
              <w:spacing w:line="240" w:lineRule="auto"/>
              <w:ind w:firstLine="480"/>
              <w:rPr>
                <w:rFonts w:hint="eastAsia" w:asciiTheme="minorEastAsia" w:hAnsiTheme="minorEastAsia" w:eastAsiaTheme="minorEastAsia" w:cstheme="minorEastAsia"/>
                <w:kern w:val="0"/>
                <w:sz w:val="24"/>
                <w:szCs w:val="24"/>
                <w:highlight w:val="none"/>
              </w:rPr>
            </w:pPr>
          </w:p>
        </w:tc>
        <w:tc>
          <w:tcPr>
            <w:tcW w:w="1479" w:type="dxa"/>
          </w:tcPr>
          <w:p w14:paraId="6D35924C">
            <w:pPr>
              <w:spacing w:line="240" w:lineRule="auto"/>
              <w:ind w:firstLine="480"/>
              <w:rPr>
                <w:rFonts w:hint="eastAsia" w:asciiTheme="minorEastAsia" w:hAnsiTheme="minorEastAsia" w:eastAsiaTheme="minorEastAsia" w:cstheme="minorEastAsia"/>
                <w:kern w:val="0"/>
                <w:sz w:val="24"/>
                <w:szCs w:val="24"/>
                <w:highlight w:val="none"/>
              </w:rPr>
            </w:pPr>
          </w:p>
        </w:tc>
        <w:tc>
          <w:tcPr>
            <w:tcW w:w="1083" w:type="dxa"/>
          </w:tcPr>
          <w:p w14:paraId="070114F4">
            <w:pPr>
              <w:spacing w:line="240" w:lineRule="auto"/>
              <w:ind w:firstLine="480"/>
              <w:rPr>
                <w:rFonts w:hint="eastAsia" w:asciiTheme="minorEastAsia" w:hAnsiTheme="minorEastAsia" w:eastAsiaTheme="minorEastAsia" w:cstheme="minorEastAsia"/>
                <w:kern w:val="0"/>
                <w:sz w:val="24"/>
                <w:szCs w:val="24"/>
                <w:highlight w:val="none"/>
              </w:rPr>
            </w:pPr>
          </w:p>
        </w:tc>
        <w:tc>
          <w:tcPr>
            <w:tcW w:w="803" w:type="dxa"/>
          </w:tcPr>
          <w:p w14:paraId="655CB966">
            <w:pPr>
              <w:spacing w:line="240" w:lineRule="auto"/>
              <w:ind w:firstLine="480"/>
              <w:rPr>
                <w:rFonts w:hint="eastAsia" w:asciiTheme="minorEastAsia" w:hAnsiTheme="minorEastAsia" w:eastAsiaTheme="minorEastAsia" w:cstheme="minorEastAsia"/>
                <w:kern w:val="0"/>
                <w:sz w:val="24"/>
                <w:szCs w:val="24"/>
                <w:highlight w:val="none"/>
              </w:rPr>
            </w:pPr>
          </w:p>
        </w:tc>
      </w:tr>
      <w:tr w14:paraId="2587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7" w:type="dxa"/>
            <w:vAlign w:val="center"/>
          </w:tcPr>
          <w:p w14:paraId="450C0BE1">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1400" w:type="dxa"/>
          </w:tcPr>
          <w:p w14:paraId="29F65749">
            <w:pPr>
              <w:spacing w:line="240" w:lineRule="auto"/>
              <w:ind w:firstLine="480"/>
              <w:rPr>
                <w:rFonts w:hint="eastAsia" w:asciiTheme="minorEastAsia" w:hAnsiTheme="minorEastAsia" w:eastAsiaTheme="minorEastAsia" w:cstheme="minorEastAsia"/>
                <w:kern w:val="0"/>
                <w:sz w:val="24"/>
                <w:szCs w:val="24"/>
                <w:highlight w:val="none"/>
              </w:rPr>
            </w:pPr>
          </w:p>
        </w:tc>
        <w:tc>
          <w:tcPr>
            <w:tcW w:w="1400" w:type="dxa"/>
          </w:tcPr>
          <w:p w14:paraId="46E55316">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55D5504C">
            <w:pPr>
              <w:spacing w:line="240" w:lineRule="auto"/>
              <w:ind w:firstLine="480"/>
              <w:rPr>
                <w:rFonts w:hint="eastAsia" w:asciiTheme="minorEastAsia" w:hAnsiTheme="minorEastAsia" w:eastAsiaTheme="minorEastAsia" w:cstheme="minorEastAsia"/>
                <w:kern w:val="0"/>
                <w:sz w:val="24"/>
                <w:szCs w:val="24"/>
                <w:highlight w:val="none"/>
              </w:rPr>
            </w:pPr>
          </w:p>
        </w:tc>
        <w:tc>
          <w:tcPr>
            <w:tcW w:w="1088" w:type="dxa"/>
          </w:tcPr>
          <w:p w14:paraId="64D273DC">
            <w:pPr>
              <w:spacing w:line="240" w:lineRule="auto"/>
              <w:ind w:firstLine="480"/>
              <w:rPr>
                <w:rFonts w:hint="eastAsia" w:asciiTheme="minorEastAsia" w:hAnsiTheme="minorEastAsia" w:eastAsiaTheme="minorEastAsia" w:cstheme="minorEastAsia"/>
                <w:kern w:val="0"/>
                <w:sz w:val="24"/>
                <w:szCs w:val="24"/>
                <w:highlight w:val="none"/>
              </w:rPr>
            </w:pPr>
          </w:p>
        </w:tc>
        <w:tc>
          <w:tcPr>
            <w:tcW w:w="1126" w:type="dxa"/>
          </w:tcPr>
          <w:p w14:paraId="62E82B76">
            <w:pPr>
              <w:spacing w:line="240" w:lineRule="auto"/>
              <w:ind w:firstLine="480"/>
              <w:rPr>
                <w:rFonts w:hint="eastAsia" w:asciiTheme="minorEastAsia" w:hAnsiTheme="minorEastAsia" w:eastAsiaTheme="minorEastAsia" w:cstheme="minorEastAsia"/>
                <w:kern w:val="0"/>
                <w:sz w:val="24"/>
                <w:szCs w:val="24"/>
                <w:highlight w:val="none"/>
              </w:rPr>
            </w:pPr>
          </w:p>
        </w:tc>
        <w:tc>
          <w:tcPr>
            <w:tcW w:w="1479" w:type="dxa"/>
          </w:tcPr>
          <w:p w14:paraId="3AF4AB55">
            <w:pPr>
              <w:spacing w:line="240" w:lineRule="auto"/>
              <w:ind w:firstLine="480"/>
              <w:rPr>
                <w:rFonts w:hint="eastAsia" w:asciiTheme="minorEastAsia" w:hAnsiTheme="minorEastAsia" w:eastAsiaTheme="minorEastAsia" w:cstheme="minorEastAsia"/>
                <w:kern w:val="0"/>
                <w:sz w:val="24"/>
                <w:szCs w:val="24"/>
                <w:highlight w:val="none"/>
              </w:rPr>
            </w:pPr>
          </w:p>
        </w:tc>
        <w:tc>
          <w:tcPr>
            <w:tcW w:w="1083" w:type="dxa"/>
          </w:tcPr>
          <w:p w14:paraId="3AF45401">
            <w:pPr>
              <w:spacing w:line="240" w:lineRule="auto"/>
              <w:ind w:firstLine="480"/>
              <w:rPr>
                <w:rFonts w:hint="eastAsia" w:asciiTheme="minorEastAsia" w:hAnsiTheme="minorEastAsia" w:eastAsiaTheme="minorEastAsia" w:cstheme="minorEastAsia"/>
                <w:kern w:val="0"/>
                <w:sz w:val="24"/>
                <w:szCs w:val="24"/>
                <w:highlight w:val="none"/>
              </w:rPr>
            </w:pPr>
          </w:p>
        </w:tc>
        <w:tc>
          <w:tcPr>
            <w:tcW w:w="803" w:type="dxa"/>
          </w:tcPr>
          <w:p w14:paraId="12B2C323">
            <w:pPr>
              <w:spacing w:line="240" w:lineRule="auto"/>
              <w:ind w:firstLine="480"/>
              <w:rPr>
                <w:rFonts w:hint="eastAsia" w:asciiTheme="minorEastAsia" w:hAnsiTheme="minorEastAsia" w:eastAsiaTheme="minorEastAsia" w:cstheme="minorEastAsia"/>
                <w:kern w:val="0"/>
                <w:sz w:val="24"/>
                <w:szCs w:val="24"/>
                <w:highlight w:val="none"/>
              </w:rPr>
            </w:pPr>
          </w:p>
        </w:tc>
      </w:tr>
      <w:tr w14:paraId="0417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37" w:type="dxa"/>
            <w:vAlign w:val="center"/>
          </w:tcPr>
          <w:p w14:paraId="2C86C73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1400" w:type="dxa"/>
          </w:tcPr>
          <w:p w14:paraId="299716C5">
            <w:pPr>
              <w:spacing w:line="240" w:lineRule="auto"/>
              <w:ind w:firstLine="480"/>
              <w:rPr>
                <w:rFonts w:hint="eastAsia" w:asciiTheme="minorEastAsia" w:hAnsiTheme="minorEastAsia" w:eastAsiaTheme="minorEastAsia" w:cstheme="minorEastAsia"/>
                <w:kern w:val="0"/>
                <w:sz w:val="24"/>
                <w:szCs w:val="24"/>
                <w:highlight w:val="none"/>
              </w:rPr>
            </w:pPr>
          </w:p>
        </w:tc>
        <w:tc>
          <w:tcPr>
            <w:tcW w:w="1400" w:type="dxa"/>
          </w:tcPr>
          <w:p w14:paraId="3E651BFE">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66B770EE">
            <w:pPr>
              <w:spacing w:line="240" w:lineRule="auto"/>
              <w:ind w:firstLine="480"/>
              <w:rPr>
                <w:rFonts w:hint="eastAsia" w:asciiTheme="minorEastAsia" w:hAnsiTheme="minorEastAsia" w:eastAsiaTheme="minorEastAsia" w:cstheme="minorEastAsia"/>
                <w:kern w:val="0"/>
                <w:sz w:val="24"/>
                <w:szCs w:val="24"/>
                <w:highlight w:val="none"/>
              </w:rPr>
            </w:pPr>
          </w:p>
        </w:tc>
        <w:tc>
          <w:tcPr>
            <w:tcW w:w="1088" w:type="dxa"/>
          </w:tcPr>
          <w:p w14:paraId="284A36BF">
            <w:pPr>
              <w:spacing w:line="240" w:lineRule="auto"/>
              <w:ind w:firstLine="480"/>
              <w:rPr>
                <w:rFonts w:hint="eastAsia" w:asciiTheme="minorEastAsia" w:hAnsiTheme="minorEastAsia" w:eastAsiaTheme="minorEastAsia" w:cstheme="minorEastAsia"/>
                <w:kern w:val="0"/>
                <w:sz w:val="24"/>
                <w:szCs w:val="24"/>
                <w:highlight w:val="none"/>
              </w:rPr>
            </w:pPr>
          </w:p>
        </w:tc>
        <w:tc>
          <w:tcPr>
            <w:tcW w:w="1126" w:type="dxa"/>
          </w:tcPr>
          <w:p w14:paraId="715B6F39">
            <w:pPr>
              <w:spacing w:line="240" w:lineRule="auto"/>
              <w:ind w:firstLine="480"/>
              <w:rPr>
                <w:rFonts w:hint="eastAsia" w:asciiTheme="minorEastAsia" w:hAnsiTheme="minorEastAsia" w:eastAsiaTheme="minorEastAsia" w:cstheme="minorEastAsia"/>
                <w:kern w:val="0"/>
                <w:sz w:val="24"/>
                <w:szCs w:val="24"/>
                <w:highlight w:val="none"/>
              </w:rPr>
            </w:pPr>
          </w:p>
        </w:tc>
        <w:tc>
          <w:tcPr>
            <w:tcW w:w="1479" w:type="dxa"/>
          </w:tcPr>
          <w:p w14:paraId="303C6F89">
            <w:pPr>
              <w:spacing w:line="240" w:lineRule="auto"/>
              <w:ind w:firstLine="480"/>
              <w:rPr>
                <w:rFonts w:hint="eastAsia" w:asciiTheme="minorEastAsia" w:hAnsiTheme="minorEastAsia" w:eastAsiaTheme="minorEastAsia" w:cstheme="minorEastAsia"/>
                <w:kern w:val="0"/>
                <w:sz w:val="24"/>
                <w:szCs w:val="24"/>
                <w:highlight w:val="none"/>
              </w:rPr>
            </w:pPr>
          </w:p>
        </w:tc>
        <w:tc>
          <w:tcPr>
            <w:tcW w:w="1083" w:type="dxa"/>
          </w:tcPr>
          <w:p w14:paraId="6B0A462F">
            <w:pPr>
              <w:spacing w:line="240" w:lineRule="auto"/>
              <w:ind w:firstLine="480"/>
              <w:rPr>
                <w:rFonts w:hint="eastAsia" w:asciiTheme="minorEastAsia" w:hAnsiTheme="minorEastAsia" w:eastAsiaTheme="minorEastAsia" w:cstheme="minorEastAsia"/>
                <w:kern w:val="0"/>
                <w:sz w:val="24"/>
                <w:szCs w:val="24"/>
                <w:highlight w:val="none"/>
              </w:rPr>
            </w:pPr>
          </w:p>
        </w:tc>
        <w:tc>
          <w:tcPr>
            <w:tcW w:w="803" w:type="dxa"/>
          </w:tcPr>
          <w:p w14:paraId="0377D4D6">
            <w:pPr>
              <w:spacing w:line="240" w:lineRule="auto"/>
              <w:ind w:firstLine="480"/>
              <w:rPr>
                <w:rFonts w:hint="eastAsia" w:asciiTheme="minorEastAsia" w:hAnsiTheme="minorEastAsia" w:eastAsiaTheme="minorEastAsia" w:cstheme="minorEastAsia"/>
                <w:kern w:val="0"/>
                <w:sz w:val="24"/>
                <w:szCs w:val="24"/>
                <w:highlight w:val="none"/>
              </w:rPr>
            </w:pPr>
          </w:p>
        </w:tc>
      </w:tr>
      <w:tr w14:paraId="689A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Pr>
          <w:p w14:paraId="76F89642">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p>
        </w:tc>
        <w:tc>
          <w:tcPr>
            <w:tcW w:w="1400" w:type="dxa"/>
          </w:tcPr>
          <w:p w14:paraId="451F209A">
            <w:pPr>
              <w:spacing w:line="240" w:lineRule="auto"/>
              <w:ind w:firstLine="480"/>
              <w:rPr>
                <w:rFonts w:hint="eastAsia" w:asciiTheme="minorEastAsia" w:hAnsiTheme="minorEastAsia" w:eastAsiaTheme="minorEastAsia" w:cstheme="minorEastAsia"/>
                <w:kern w:val="0"/>
                <w:sz w:val="24"/>
                <w:szCs w:val="24"/>
                <w:highlight w:val="none"/>
              </w:rPr>
            </w:pPr>
          </w:p>
        </w:tc>
        <w:tc>
          <w:tcPr>
            <w:tcW w:w="1400" w:type="dxa"/>
          </w:tcPr>
          <w:p w14:paraId="4E3C8306">
            <w:pPr>
              <w:spacing w:line="240" w:lineRule="auto"/>
              <w:ind w:firstLine="480"/>
              <w:rPr>
                <w:rFonts w:hint="eastAsia" w:asciiTheme="minorEastAsia" w:hAnsiTheme="minorEastAsia" w:eastAsiaTheme="minorEastAsia" w:cstheme="minorEastAsia"/>
                <w:kern w:val="0"/>
                <w:sz w:val="24"/>
                <w:szCs w:val="24"/>
                <w:highlight w:val="none"/>
              </w:rPr>
            </w:pPr>
          </w:p>
        </w:tc>
        <w:tc>
          <w:tcPr>
            <w:tcW w:w="937" w:type="dxa"/>
          </w:tcPr>
          <w:p w14:paraId="782FB8EF">
            <w:pPr>
              <w:spacing w:line="240" w:lineRule="auto"/>
              <w:ind w:firstLine="480"/>
              <w:rPr>
                <w:rFonts w:hint="eastAsia" w:asciiTheme="minorEastAsia" w:hAnsiTheme="minorEastAsia" w:eastAsiaTheme="minorEastAsia" w:cstheme="minorEastAsia"/>
                <w:kern w:val="0"/>
                <w:sz w:val="24"/>
                <w:szCs w:val="24"/>
                <w:highlight w:val="none"/>
              </w:rPr>
            </w:pPr>
          </w:p>
        </w:tc>
        <w:tc>
          <w:tcPr>
            <w:tcW w:w="1088" w:type="dxa"/>
          </w:tcPr>
          <w:p w14:paraId="2DFFC41B">
            <w:pPr>
              <w:spacing w:line="240" w:lineRule="auto"/>
              <w:ind w:firstLine="480"/>
              <w:rPr>
                <w:rFonts w:hint="eastAsia" w:asciiTheme="minorEastAsia" w:hAnsiTheme="minorEastAsia" w:eastAsiaTheme="minorEastAsia" w:cstheme="minorEastAsia"/>
                <w:kern w:val="0"/>
                <w:sz w:val="24"/>
                <w:szCs w:val="24"/>
                <w:highlight w:val="none"/>
              </w:rPr>
            </w:pPr>
          </w:p>
        </w:tc>
        <w:tc>
          <w:tcPr>
            <w:tcW w:w="1126" w:type="dxa"/>
          </w:tcPr>
          <w:p w14:paraId="63326294">
            <w:pPr>
              <w:spacing w:line="240" w:lineRule="auto"/>
              <w:ind w:firstLine="480"/>
              <w:rPr>
                <w:rFonts w:hint="eastAsia" w:asciiTheme="minorEastAsia" w:hAnsiTheme="minorEastAsia" w:eastAsiaTheme="minorEastAsia" w:cstheme="minorEastAsia"/>
                <w:kern w:val="0"/>
                <w:sz w:val="24"/>
                <w:szCs w:val="24"/>
                <w:highlight w:val="none"/>
              </w:rPr>
            </w:pPr>
          </w:p>
        </w:tc>
        <w:tc>
          <w:tcPr>
            <w:tcW w:w="1479" w:type="dxa"/>
          </w:tcPr>
          <w:p w14:paraId="09534A91">
            <w:pPr>
              <w:spacing w:line="240" w:lineRule="auto"/>
              <w:ind w:firstLine="480"/>
              <w:rPr>
                <w:rFonts w:hint="eastAsia" w:asciiTheme="minorEastAsia" w:hAnsiTheme="minorEastAsia" w:eastAsiaTheme="minorEastAsia" w:cstheme="minorEastAsia"/>
                <w:kern w:val="0"/>
                <w:sz w:val="24"/>
                <w:szCs w:val="24"/>
                <w:highlight w:val="none"/>
              </w:rPr>
            </w:pPr>
          </w:p>
        </w:tc>
        <w:tc>
          <w:tcPr>
            <w:tcW w:w="1083" w:type="dxa"/>
          </w:tcPr>
          <w:p w14:paraId="757B3040">
            <w:pPr>
              <w:spacing w:line="240" w:lineRule="auto"/>
              <w:ind w:firstLine="480"/>
              <w:rPr>
                <w:rFonts w:hint="eastAsia" w:asciiTheme="minorEastAsia" w:hAnsiTheme="minorEastAsia" w:eastAsiaTheme="minorEastAsia" w:cstheme="minorEastAsia"/>
                <w:kern w:val="0"/>
                <w:sz w:val="24"/>
                <w:szCs w:val="24"/>
                <w:highlight w:val="none"/>
              </w:rPr>
            </w:pPr>
          </w:p>
        </w:tc>
        <w:tc>
          <w:tcPr>
            <w:tcW w:w="803" w:type="dxa"/>
          </w:tcPr>
          <w:p w14:paraId="1698FB77">
            <w:pPr>
              <w:spacing w:line="240" w:lineRule="auto"/>
              <w:ind w:firstLine="480"/>
              <w:rPr>
                <w:rFonts w:hint="eastAsia" w:asciiTheme="minorEastAsia" w:hAnsiTheme="minorEastAsia" w:eastAsiaTheme="minorEastAsia" w:cstheme="minorEastAsia"/>
                <w:kern w:val="0"/>
                <w:sz w:val="24"/>
                <w:szCs w:val="24"/>
                <w:highlight w:val="none"/>
              </w:rPr>
            </w:pPr>
          </w:p>
        </w:tc>
      </w:tr>
      <w:tr w14:paraId="421C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3" w:type="dxa"/>
            <w:gridSpan w:val="9"/>
            <w:vAlign w:val="bottom"/>
          </w:tcPr>
          <w:p w14:paraId="16F6E764">
            <w:pPr>
              <w:spacing w:line="240" w:lineRule="auto"/>
              <w:jc w:val="left"/>
              <w:rPr>
                <w:rFonts w:hint="eastAsia" w:asciiTheme="minorEastAsia" w:hAnsiTheme="minorEastAsia" w:eastAsiaTheme="minorEastAsia" w:cstheme="minorEastAsia"/>
                <w:kern w:val="0"/>
                <w:sz w:val="24"/>
                <w:szCs w:val="24"/>
                <w:highlight w:val="none"/>
              </w:rPr>
            </w:pPr>
          </w:p>
          <w:p w14:paraId="6B2B3C65">
            <w:pPr>
              <w:spacing w:line="24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合计：     （元）</w:t>
            </w:r>
          </w:p>
        </w:tc>
      </w:tr>
    </w:tbl>
    <w:p w14:paraId="30FC9721">
      <w:pPr>
        <w:pStyle w:val="164"/>
        <w:widowControl/>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说明：</w:t>
      </w:r>
    </w:p>
    <w:p w14:paraId="13A29BBC">
      <w:pPr>
        <w:pStyle w:val="164"/>
        <w:widowControl/>
        <w:spacing w:line="240" w:lineRule="auto"/>
        <w:ind w:firstLine="720" w:firstLineChars="300"/>
        <w:rPr>
          <w:rFonts w:hint="eastAsia" w:asciiTheme="minorEastAsia" w:hAnsiTheme="minorEastAsia" w:eastAsiaTheme="minorEastAsia" w:cstheme="minorEastAsia"/>
          <w:kern w:val="0"/>
          <w:sz w:val="24"/>
          <w:szCs w:val="24"/>
          <w:highlight w:val="none"/>
          <w:lang w:val="en-US" w:eastAsia="zh-CN"/>
        </w:rPr>
      </w:pPr>
    </w:p>
    <w:p w14:paraId="3A0C8881">
      <w:pPr>
        <w:pStyle w:val="164"/>
        <w:widowControl/>
        <w:spacing w:line="360" w:lineRule="auto"/>
        <w:ind w:firstLine="720" w:firstLineChars="30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kern w:val="0"/>
          <w:sz w:val="24"/>
          <w:szCs w:val="24"/>
          <w:highlight w:val="none"/>
        </w:rPr>
        <w:t>1.中小企业合同金额达到总合同金额</w:t>
      </w:r>
      <w:r>
        <w:rPr>
          <w:rFonts w:hint="eastAsia" w:asciiTheme="minorEastAsia" w:hAnsiTheme="minorEastAsia" w:eastAsiaTheme="minorEastAsia" w:cstheme="minorEastAsia"/>
          <w:kern w:val="0"/>
          <w:sz w:val="24"/>
          <w:szCs w:val="24"/>
          <w:highlight w:val="none"/>
          <w:lang w:eastAsia="zh-CN"/>
        </w:rPr>
        <w:t>比例</w:t>
      </w:r>
      <w:r>
        <w:rPr>
          <w:rFonts w:hint="eastAsia" w:asciiTheme="minorEastAsia" w:hAnsiTheme="minorEastAsia" w:eastAsiaTheme="minorEastAsia" w:cstheme="minorEastAsia"/>
          <w:kern w:val="0"/>
          <w:sz w:val="24"/>
          <w:szCs w:val="24"/>
          <w:highlight w:val="none"/>
        </w:rPr>
        <w:t>的</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rPr>
        <w:t>%，小微企业合同金额达到中小企业合同金额</w:t>
      </w:r>
      <w:r>
        <w:rPr>
          <w:rFonts w:hint="eastAsia" w:asciiTheme="minorEastAsia" w:hAnsiTheme="minorEastAsia" w:eastAsiaTheme="minorEastAsia" w:cstheme="minorEastAsia"/>
          <w:kern w:val="0"/>
          <w:sz w:val="24"/>
          <w:szCs w:val="24"/>
          <w:highlight w:val="none"/>
          <w:lang w:eastAsia="zh-CN"/>
        </w:rPr>
        <w:t>比例</w:t>
      </w:r>
      <w:r>
        <w:rPr>
          <w:rFonts w:hint="eastAsia" w:asciiTheme="minorEastAsia" w:hAnsiTheme="minorEastAsia" w:eastAsiaTheme="minorEastAsia" w:cstheme="minorEastAsia"/>
          <w:kern w:val="0"/>
          <w:sz w:val="24"/>
          <w:szCs w:val="24"/>
          <w:highlight w:val="none"/>
        </w:rPr>
        <w:t>的</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b/>
          <w:bCs/>
          <w:kern w:val="0"/>
          <w:sz w:val="28"/>
          <w:szCs w:val="28"/>
          <w:highlight w:val="none"/>
          <w:lang w:val="zh-CN"/>
        </w:rPr>
        <w:t>（</w:t>
      </w:r>
      <w:r>
        <w:rPr>
          <w:rFonts w:hint="eastAsia" w:asciiTheme="minorEastAsia" w:hAnsiTheme="minorEastAsia" w:eastAsiaTheme="minorEastAsia" w:cstheme="minorEastAsia"/>
          <w:b/>
          <w:bCs/>
          <w:kern w:val="0"/>
          <w:sz w:val="28"/>
          <w:szCs w:val="28"/>
          <w:highlight w:val="none"/>
        </w:rPr>
        <w:t>此条必须填写）</w:t>
      </w:r>
    </w:p>
    <w:p w14:paraId="0F1086F1">
      <w:pPr>
        <w:pStyle w:val="164"/>
        <w:widowControl/>
        <w:spacing w:line="360" w:lineRule="auto"/>
        <w:ind w:firstLine="720" w:firstLineChars="3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.投标人必须填写报价明细表，否则将导致投标被拒绝。</w:t>
      </w:r>
    </w:p>
    <w:p w14:paraId="174847DC">
      <w:pPr>
        <w:spacing w:line="360" w:lineRule="auto"/>
        <w:ind w:firstLine="720" w:firstLineChars="3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.报价</w:t>
      </w:r>
      <w:r>
        <w:rPr>
          <w:rFonts w:hint="eastAsia" w:asciiTheme="minorEastAsia" w:hAnsiTheme="minorEastAsia" w:eastAsiaTheme="minorEastAsia" w:cstheme="minorEastAsia"/>
          <w:kern w:val="0"/>
          <w:sz w:val="24"/>
          <w:szCs w:val="24"/>
          <w:highlight w:val="none"/>
          <w:lang w:eastAsia="zh-CN"/>
        </w:rPr>
        <w:t>应</w:t>
      </w:r>
      <w:r>
        <w:rPr>
          <w:rFonts w:hint="eastAsia" w:asciiTheme="minorEastAsia" w:hAnsiTheme="minorEastAsia" w:eastAsiaTheme="minorEastAsia" w:cstheme="minorEastAsia"/>
          <w:kern w:val="0"/>
          <w:sz w:val="24"/>
          <w:szCs w:val="24"/>
          <w:highlight w:val="none"/>
        </w:rPr>
        <w:t>包括</w:t>
      </w:r>
      <w:r>
        <w:rPr>
          <w:rFonts w:hint="eastAsia" w:asciiTheme="minorEastAsia" w:hAnsiTheme="minorEastAsia" w:eastAsiaTheme="minorEastAsia" w:cstheme="minorEastAsia"/>
          <w:kern w:val="0"/>
          <w:sz w:val="24"/>
          <w:szCs w:val="24"/>
          <w:highlight w:val="none"/>
          <w:lang w:eastAsia="zh-CN"/>
        </w:rPr>
        <w:t>但不限于</w:t>
      </w:r>
      <w:r>
        <w:rPr>
          <w:rFonts w:hint="eastAsia" w:asciiTheme="minorEastAsia" w:hAnsiTheme="minorEastAsia" w:eastAsiaTheme="minorEastAsia" w:cstheme="minorEastAsia"/>
          <w:kern w:val="0"/>
          <w:sz w:val="24"/>
          <w:szCs w:val="24"/>
          <w:highlight w:val="none"/>
        </w:rPr>
        <w:t>项目实施所需的货物费、材料费、包装运输费、装卸费、安装调试费、管理费、维保运维费、利润、税费及其他一切相关费用。所有价格均用人民币表示，单位为元。供应商在填写此表时还可进行详细说明，详细说明后附，具体自行编制。</w:t>
      </w:r>
    </w:p>
    <w:p w14:paraId="7F7D49C6">
      <w:pPr>
        <w:spacing w:line="360" w:lineRule="auto"/>
        <w:ind w:firstLine="787" w:firstLineChars="328"/>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.供应商必须按此表格式中的对应栏目内容填写，若需增加栏目，请在栏目“其它”中填写，并作详细说明。</w:t>
      </w:r>
    </w:p>
    <w:p w14:paraId="34B47133">
      <w:pPr>
        <w:pStyle w:val="47"/>
        <w:spacing w:line="240" w:lineRule="auto"/>
        <w:rPr>
          <w:rFonts w:hint="eastAsia" w:asciiTheme="minorEastAsia" w:hAnsiTheme="minorEastAsia" w:eastAsiaTheme="minorEastAsia" w:cstheme="minorEastAsia"/>
          <w:sz w:val="24"/>
          <w:szCs w:val="24"/>
          <w:highlight w:val="none"/>
        </w:rPr>
      </w:pPr>
    </w:p>
    <w:p w14:paraId="3FFC4FB8">
      <w:pPr>
        <w:spacing w:line="24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供应商名称(盖单位章)：</w:t>
      </w:r>
    </w:p>
    <w:p w14:paraId="12A8B373">
      <w:pPr>
        <w:spacing w:line="24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法定代表人或其委托代理人</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签字</w:t>
      </w:r>
      <w:r>
        <w:rPr>
          <w:rFonts w:hint="eastAsia" w:asciiTheme="minorEastAsia" w:hAnsiTheme="minorEastAsia" w:eastAsiaTheme="minorEastAsia" w:cstheme="minorEastAsia"/>
          <w:kern w:val="0"/>
          <w:sz w:val="24"/>
          <w:szCs w:val="24"/>
          <w:highlight w:val="none"/>
          <w:lang w:eastAsia="zh-CN"/>
        </w:rPr>
        <w:t>或盖章）</w:t>
      </w:r>
      <w:r>
        <w:rPr>
          <w:rFonts w:hint="eastAsia" w:asciiTheme="minorEastAsia" w:hAnsiTheme="minorEastAsia" w:eastAsiaTheme="minorEastAsia" w:cstheme="minorEastAsia"/>
          <w:kern w:val="0"/>
          <w:sz w:val="24"/>
          <w:szCs w:val="24"/>
          <w:highlight w:val="none"/>
        </w:rPr>
        <w:t>：</w:t>
      </w:r>
    </w:p>
    <w:p w14:paraId="5C03C2F0">
      <w:pPr>
        <w:spacing w:line="24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403440ED">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附件6：</w:t>
      </w:r>
    </w:p>
    <w:p w14:paraId="7898C6FD">
      <w:pPr>
        <w:spacing w:line="240" w:lineRule="auto"/>
        <w:rPr>
          <w:rFonts w:hint="eastAsia" w:asciiTheme="minorEastAsia" w:hAnsiTheme="minorEastAsia" w:eastAsiaTheme="minorEastAsia" w:cstheme="minorEastAsia"/>
          <w:b/>
          <w:bCs/>
          <w:kern w:val="0"/>
          <w:sz w:val="24"/>
          <w:szCs w:val="24"/>
          <w:highlight w:val="none"/>
        </w:rPr>
      </w:pPr>
    </w:p>
    <w:p w14:paraId="78553BCA">
      <w:pPr>
        <w:spacing w:line="240" w:lineRule="auto"/>
        <w:jc w:val="center"/>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rPr>
        <w:t>节能、环境标志产品加分明细表</w:t>
      </w:r>
    </w:p>
    <w:p w14:paraId="04E7094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（若有，请如实填写）</w:t>
      </w:r>
    </w:p>
    <w:tbl>
      <w:tblPr>
        <w:tblStyle w:val="35"/>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821"/>
        <w:gridCol w:w="3120"/>
        <w:gridCol w:w="1788"/>
        <w:gridCol w:w="1380"/>
        <w:gridCol w:w="991"/>
      </w:tblGrid>
      <w:tr w14:paraId="0E29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14:paraId="24AE3216">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标段（包）</w:t>
            </w:r>
          </w:p>
        </w:tc>
        <w:tc>
          <w:tcPr>
            <w:tcW w:w="821" w:type="dxa"/>
            <w:vAlign w:val="center"/>
          </w:tcPr>
          <w:p w14:paraId="0655EB86">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行次</w:t>
            </w:r>
          </w:p>
        </w:tc>
        <w:tc>
          <w:tcPr>
            <w:tcW w:w="3120" w:type="dxa"/>
            <w:vAlign w:val="center"/>
          </w:tcPr>
          <w:p w14:paraId="6731D3EA">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清单产品名称</w:t>
            </w:r>
          </w:p>
        </w:tc>
        <w:tc>
          <w:tcPr>
            <w:tcW w:w="1788" w:type="dxa"/>
            <w:vAlign w:val="center"/>
          </w:tcPr>
          <w:p w14:paraId="210A6FC6">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金额</w:t>
            </w:r>
          </w:p>
        </w:tc>
        <w:tc>
          <w:tcPr>
            <w:tcW w:w="1380" w:type="dxa"/>
            <w:vAlign w:val="center"/>
          </w:tcPr>
          <w:p w14:paraId="3F8B8B62">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清单页数及序号</w:t>
            </w:r>
          </w:p>
        </w:tc>
        <w:tc>
          <w:tcPr>
            <w:tcW w:w="991" w:type="dxa"/>
            <w:vAlign w:val="center"/>
          </w:tcPr>
          <w:p w14:paraId="66CEF812">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备注</w:t>
            </w:r>
          </w:p>
        </w:tc>
      </w:tr>
      <w:tr w14:paraId="4ED7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restart"/>
            <w:vAlign w:val="center"/>
          </w:tcPr>
          <w:p w14:paraId="4C4D2320">
            <w:pPr>
              <w:spacing w:line="240" w:lineRule="auto"/>
              <w:jc w:val="center"/>
              <w:rPr>
                <w:rFonts w:hint="eastAsia" w:asciiTheme="minorEastAsia" w:hAnsiTheme="minorEastAsia" w:eastAsiaTheme="minorEastAsia" w:cstheme="minorEastAsia"/>
                <w:b/>
                <w:bCs/>
                <w:kern w:val="0"/>
                <w:sz w:val="24"/>
                <w:szCs w:val="24"/>
                <w:highlight w:val="none"/>
              </w:rPr>
            </w:pPr>
          </w:p>
        </w:tc>
        <w:tc>
          <w:tcPr>
            <w:tcW w:w="821" w:type="dxa"/>
            <w:vAlign w:val="center"/>
          </w:tcPr>
          <w:p w14:paraId="6A4751DD">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1</w:t>
            </w:r>
          </w:p>
        </w:tc>
        <w:tc>
          <w:tcPr>
            <w:tcW w:w="3120" w:type="dxa"/>
            <w:vAlign w:val="center"/>
          </w:tcPr>
          <w:p w14:paraId="04A9FA08">
            <w:pPr>
              <w:spacing w:line="240" w:lineRule="auto"/>
              <w:jc w:val="center"/>
              <w:rPr>
                <w:rFonts w:hint="eastAsia" w:asciiTheme="minorEastAsia" w:hAnsiTheme="minorEastAsia" w:eastAsiaTheme="minorEastAsia" w:cstheme="minorEastAsia"/>
                <w:b/>
                <w:bCs/>
                <w:kern w:val="0"/>
                <w:sz w:val="24"/>
                <w:szCs w:val="24"/>
                <w:highlight w:val="none"/>
              </w:rPr>
            </w:pPr>
          </w:p>
        </w:tc>
        <w:tc>
          <w:tcPr>
            <w:tcW w:w="1788" w:type="dxa"/>
            <w:vAlign w:val="center"/>
          </w:tcPr>
          <w:p w14:paraId="0924BC03">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37AD16E3">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0B8F2AEB">
            <w:pPr>
              <w:spacing w:line="240" w:lineRule="auto"/>
              <w:jc w:val="center"/>
              <w:rPr>
                <w:rFonts w:hint="eastAsia" w:asciiTheme="minorEastAsia" w:hAnsiTheme="minorEastAsia" w:eastAsiaTheme="minorEastAsia" w:cstheme="minorEastAsia"/>
                <w:b/>
                <w:bCs/>
                <w:kern w:val="0"/>
                <w:sz w:val="24"/>
                <w:szCs w:val="24"/>
                <w:highlight w:val="none"/>
              </w:rPr>
            </w:pPr>
          </w:p>
        </w:tc>
      </w:tr>
      <w:tr w14:paraId="0104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4D191869">
            <w:pPr>
              <w:spacing w:line="240" w:lineRule="auto"/>
              <w:jc w:val="center"/>
              <w:rPr>
                <w:rFonts w:hint="eastAsia" w:asciiTheme="minorEastAsia" w:hAnsiTheme="minorEastAsia" w:eastAsiaTheme="minorEastAsia" w:cstheme="minorEastAsia"/>
                <w:b/>
                <w:bCs/>
                <w:kern w:val="0"/>
                <w:sz w:val="24"/>
                <w:szCs w:val="24"/>
                <w:highlight w:val="none"/>
              </w:rPr>
            </w:pPr>
          </w:p>
        </w:tc>
        <w:tc>
          <w:tcPr>
            <w:tcW w:w="821" w:type="dxa"/>
            <w:vAlign w:val="center"/>
          </w:tcPr>
          <w:p w14:paraId="3D28CA7A">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2</w:t>
            </w:r>
          </w:p>
        </w:tc>
        <w:tc>
          <w:tcPr>
            <w:tcW w:w="3120" w:type="dxa"/>
            <w:vAlign w:val="center"/>
          </w:tcPr>
          <w:p w14:paraId="6A079305">
            <w:pPr>
              <w:spacing w:line="240" w:lineRule="auto"/>
              <w:jc w:val="center"/>
              <w:rPr>
                <w:rFonts w:hint="eastAsia" w:asciiTheme="minorEastAsia" w:hAnsiTheme="minorEastAsia" w:eastAsiaTheme="minorEastAsia" w:cstheme="minorEastAsia"/>
                <w:b/>
                <w:bCs/>
                <w:kern w:val="0"/>
                <w:sz w:val="24"/>
                <w:szCs w:val="24"/>
                <w:highlight w:val="none"/>
              </w:rPr>
            </w:pPr>
          </w:p>
        </w:tc>
        <w:tc>
          <w:tcPr>
            <w:tcW w:w="1788" w:type="dxa"/>
            <w:vAlign w:val="center"/>
          </w:tcPr>
          <w:p w14:paraId="3930688B">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43CAD0F2">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7BC7F863">
            <w:pPr>
              <w:spacing w:line="240" w:lineRule="auto"/>
              <w:jc w:val="center"/>
              <w:rPr>
                <w:rFonts w:hint="eastAsia" w:asciiTheme="minorEastAsia" w:hAnsiTheme="minorEastAsia" w:eastAsiaTheme="minorEastAsia" w:cstheme="minorEastAsia"/>
                <w:b/>
                <w:bCs/>
                <w:kern w:val="0"/>
                <w:sz w:val="24"/>
                <w:szCs w:val="24"/>
                <w:highlight w:val="none"/>
              </w:rPr>
            </w:pPr>
          </w:p>
        </w:tc>
      </w:tr>
      <w:tr w14:paraId="1C88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16092C41">
            <w:pPr>
              <w:spacing w:line="240" w:lineRule="auto"/>
              <w:jc w:val="center"/>
              <w:rPr>
                <w:rFonts w:hint="eastAsia" w:asciiTheme="minorEastAsia" w:hAnsiTheme="minorEastAsia" w:eastAsiaTheme="minorEastAsia" w:cstheme="minorEastAsia"/>
                <w:b/>
                <w:bCs/>
                <w:kern w:val="0"/>
                <w:sz w:val="24"/>
                <w:szCs w:val="24"/>
                <w:highlight w:val="none"/>
              </w:rPr>
            </w:pPr>
          </w:p>
        </w:tc>
        <w:tc>
          <w:tcPr>
            <w:tcW w:w="821" w:type="dxa"/>
            <w:vAlign w:val="center"/>
          </w:tcPr>
          <w:p w14:paraId="3740E87A">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3</w:t>
            </w:r>
          </w:p>
        </w:tc>
        <w:tc>
          <w:tcPr>
            <w:tcW w:w="3120" w:type="dxa"/>
            <w:vAlign w:val="center"/>
          </w:tcPr>
          <w:p w14:paraId="7208B6E4">
            <w:pPr>
              <w:spacing w:line="240" w:lineRule="auto"/>
              <w:jc w:val="center"/>
              <w:rPr>
                <w:rFonts w:hint="eastAsia" w:asciiTheme="minorEastAsia" w:hAnsiTheme="minorEastAsia" w:eastAsiaTheme="minorEastAsia" w:cstheme="minorEastAsia"/>
                <w:b/>
                <w:bCs/>
                <w:kern w:val="0"/>
                <w:sz w:val="24"/>
                <w:szCs w:val="24"/>
                <w:highlight w:val="none"/>
              </w:rPr>
            </w:pPr>
          </w:p>
        </w:tc>
        <w:tc>
          <w:tcPr>
            <w:tcW w:w="1788" w:type="dxa"/>
            <w:vAlign w:val="center"/>
          </w:tcPr>
          <w:p w14:paraId="086128E9">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1ABCADD7">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310DDC23">
            <w:pPr>
              <w:spacing w:line="240" w:lineRule="auto"/>
              <w:jc w:val="center"/>
              <w:rPr>
                <w:rFonts w:hint="eastAsia" w:asciiTheme="minorEastAsia" w:hAnsiTheme="minorEastAsia" w:eastAsiaTheme="minorEastAsia" w:cstheme="minorEastAsia"/>
                <w:b/>
                <w:bCs/>
                <w:kern w:val="0"/>
                <w:sz w:val="24"/>
                <w:szCs w:val="24"/>
                <w:highlight w:val="none"/>
              </w:rPr>
            </w:pPr>
          </w:p>
        </w:tc>
      </w:tr>
      <w:tr w14:paraId="5DC2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3BA5F097">
            <w:pPr>
              <w:spacing w:line="240" w:lineRule="auto"/>
              <w:jc w:val="center"/>
              <w:rPr>
                <w:rFonts w:hint="eastAsia" w:asciiTheme="minorEastAsia" w:hAnsiTheme="minorEastAsia" w:eastAsiaTheme="minorEastAsia" w:cstheme="minorEastAsia"/>
                <w:b/>
                <w:bCs/>
                <w:kern w:val="0"/>
                <w:sz w:val="24"/>
                <w:szCs w:val="24"/>
                <w:highlight w:val="none"/>
              </w:rPr>
            </w:pPr>
          </w:p>
        </w:tc>
        <w:tc>
          <w:tcPr>
            <w:tcW w:w="821" w:type="dxa"/>
            <w:vAlign w:val="center"/>
          </w:tcPr>
          <w:p w14:paraId="21E79D50">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4</w:t>
            </w:r>
          </w:p>
        </w:tc>
        <w:tc>
          <w:tcPr>
            <w:tcW w:w="3120" w:type="dxa"/>
            <w:vAlign w:val="center"/>
          </w:tcPr>
          <w:p w14:paraId="7F18F7A9">
            <w:pPr>
              <w:spacing w:line="240" w:lineRule="auto"/>
              <w:jc w:val="center"/>
              <w:rPr>
                <w:rFonts w:hint="eastAsia" w:asciiTheme="minorEastAsia" w:hAnsiTheme="minorEastAsia" w:eastAsiaTheme="minorEastAsia" w:cstheme="minorEastAsia"/>
                <w:b/>
                <w:bCs/>
                <w:kern w:val="0"/>
                <w:sz w:val="24"/>
                <w:szCs w:val="24"/>
                <w:highlight w:val="none"/>
              </w:rPr>
            </w:pPr>
          </w:p>
        </w:tc>
        <w:tc>
          <w:tcPr>
            <w:tcW w:w="1788" w:type="dxa"/>
            <w:vAlign w:val="center"/>
          </w:tcPr>
          <w:p w14:paraId="14C74087">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0F98204A">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3C393656">
            <w:pPr>
              <w:spacing w:line="240" w:lineRule="auto"/>
              <w:jc w:val="center"/>
              <w:rPr>
                <w:rFonts w:hint="eastAsia" w:asciiTheme="minorEastAsia" w:hAnsiTheme="minorEastAsia" w:eastAsiaTheme="minorEastAsia" w:cstheme="minorEastAsia"/>
                <w:b/>
                <w:bCs/>
                <w:kern w:val="0"/>
                <w:sz w:val="24"/>
                <w:szCs w:val="24"/>
                <w:highlight w:val="none"/>
              </w:rPr>
            </w:pPr>
          </w:p>
        </w:tc>
      </w:tr>
      <w:tr w14:paraId="544E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3ED5EF97">
            <w:pPr>
              <w:spacing w:line="240" w:lineRule="auto"/>
              <w:jc w:val="center"/>
              <w:rPr>
                <w:rFonts w:hint="eastAsia" w:asciiTheme="minorEastAsia" w:hAnsiTheme="minorEastAsia" w:eastAsiaTheme="minorEastAsia" w:cstheme="minorEastAsia"/>
                <w:b/>
                <w:bCs/>
                <w:kern w:val="0"/>
                <w:sz w:val="24"/>
                <w:szCs w:val="24"/>
                <w:highlight w:val="none"/>
              </w:rPr>
            </w:pPr>
          </w:p>
        </w:tc>
        <w:tc>
          <w:tcPr>
            <w:tcW w:w="821" w:type="dxa"/>
            <w:vAlign w:val="center"/>
          </w:tcPr>
          <w:p w14:paraId="473BA8B2">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5</w:t>
            </w:r>
          </w:p>
        </w:tc>
        <w:tc>
          <w:tcPr>
            <w:tcW w:w="3120" w:type="dxa"/>
            <w:vAlign w:val="center"/>
          </w:tcPr>
          <w:p w14:paraId="7479A876">
            <w:pPr>
              <w:spacing w:line="240" w:lineRule="auto"/>
              <w:jc w:val="center"/>
              <w:rPr>
                <w:rFonts w:hint="eastAsia" w:asciiTheme="minorEastAsia" w:hAnsiTheme="minorEastAsia" w:eastAsiaTheme="minorEastAsia" w:cstheme="minorEastAsia"/>
                <w:b/>
                <w:bCs/>
                <w:kern w:val="0"/>
                <w:sz w:val="24"/>
                <w:szCs w:val="24"/>
                <w:highlight w:val="none"/>
              </w:rPr>
            </w:pPr>
          </w:p>
        </w:tc>
        <w:tc>
          <w:tcPr>
            <w:tcW w:w="1788" w:type="dxa"/>
            <w:vAlign w:val="center"/>
          </w:tcPr>
          <w:p w14:paraId="77513861">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24F1861A">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6AB9FD51">
            <w:pPr>
              <w:spacing w:line="240" w:lineRule="auto"/>
              <w:jc w:val="center"/>
              <w:rPr>
                <w:rFonts w:hint="eastAsia" w:asciiTheme="minorEastAsia" w:hAnsiTheme="minorEastAsia" w:eastAsiaTheme="minorEastAsia" w:cstheme="minorEastAsia"/>
                <w:b/>
                <w:bCs/>
                <w:kern w:val="0"/>
                <w:sz w:val="24"/>
                <w:szCs w:val="24"/>
                <w:highlight w:val="none"/>
              </w:rPr>
            </w:pPr>
          </w:p>
        </w:tc>
      </w:tr>
      <w:tr w14:paraId="24E3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436" w:type="dxa"/>
            <w:gridSpan w:val="3"/>
            <w:vAlign w:val="center"/>
          </w:tcPr>
          <w:p w14:paraId="242B2136">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合计</w:t>
            </w:r>
          </w:p>
        </w:tc>
        <w:tc>
          <w:tcPr>
            <w:tcW w:w="1788" w:type="dxa"/>
            <w:vAlign w:val="center"/>
          </w:tcPr>
          <w:p w14:paraId="1F170141">
            <w:pPr>
              <w:spacing w:line="240" w:lineRule="auto"/>
              <w:jc w:val="center"/>
              <w:rPr>
                <w:rFonts w:hint="eastAsia" w:asciiTheme="minorEastAsia" w:hAnsiTheme="minorEastAsia" w:eastAsiaTheme="minorEastAsia" w:cstheme="minorEastAsia"/>
                <w:b/>
                <w:bCs/>
                <w:kern w:val="0"/>
                <w:sz w:val="24"/>
                <w:szCs w:val="24"/>
                <w:highlight w:val="none"/>
              </w:rPr>
            </w:pPr>
          </w:p>
        </w:tc>
        <w:tc>
          <w:tcPr>
            <w:tcW w:w="1380" w:type="dxa"/>
            <w:vAlign w:val="center"/>
          </w:tcPr>
          <w:p w14:paraId="0D446EF1">
            <w:pPr>
              <w:spacing w:line="240" w:lineRule="auto"/>
              <w:jc w:val="center"/>
              <w:rPr>
                <w:rFonts w:hint="eastAsia" w:asciiTheme="minorEastAsia" w:hAnsiTheme="minorEastAsia" w:eastAsiaTheme="minorEastAsia" w:cstheme="minorEastAsia"/>
                <w:b/>
                <w:bCs/>
                <w:kern w:val="0"/>
                <w:sz w:val="24"/>
                <w:szCs w:val="24"/>
                <w:highlight w:val="none"/>
              </w:rPr>
            </w:pPr>
          </w:p>
        </w:tc>
        <w:tc>
          <w:tcPr>
            <w:tcW w:w="991" w:type="dxa"/>
            <w:vAlign w:val="center"/>
          </w:tcPr>
          <w:p w14:paraId="1A036089">
            <w:pPr>
              <w:spacing w:line="240" w:lineRule="auto"/>
              <w:jc w:val="center"/>
              <w:rPr>
                <w:rFonts w:hint="eastAsia" w:asciiTheme="minorEastAsia" w:hAnsiTheme="minorEastAsia" w:eastAsiaTheme="minorEastAsia" w:cstheme="minorEastAsia"/>
                <w:b/>
                <w:bCs/>
                <w:kern w:val="0"/>
                <w:sz w:val="24"/>
                <w:szCs w:val="24"/>
                <w:highlight w:val="none"/>
              </w:rPr>
            </w:pPr>
          </w:p>
        </w:tc>
      </w:tr>
    </w:tbl>
    <w:p w14:paraId="4FD487E4">
      <w:pPr>
        <w:spacing w:line="240" w:lineRule="auto"/>
        <w:rPr>
          <w:rFonts w:hint="eastAsia" w:asciiTheme="minorEastAsia" w:hAnsiTheme="minorEastAsia" w:eastAsiaTheme="minorEastAsia" w:cstheme="minorEastAsia"/>
          <w:b/>
          <w:bCs/>
          <w:kern w:val="0"/>
          <w:sz w:val="24"/>
          <w:szCs w:val="24"/>
          <w:highlight w:val="none"/>
        </w:rPr>
      </w:pPr>
    </w:p>
    <w:p w14:paraId="3C39EF3A">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注：</w:t>
      </w:r>
    </w:p>
    <w:p w14:paraId="3DC90ECB">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1、以上属节能、环境标志产品须提供清单内产品的证明材料。</w:t>
      </w:r>
    </w:p>
    <w:p w14:paraId="34A96647">
      <w:pPr>
        <w:tabs>
          <w:tab w:val="left" w:pos="6971"/>
        </w:tabs>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2、计算分值保留两位小数。</w:t>
      </w:r>
    </w:p>
    <w:p w14:paraId="0E1E16D6">
      <w:pPr>
        <w:tabs>
          <w:tab w:val="left" w:pos="6971"/>
        </w:tabs>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3、此表的行次可根据实际情况变动或顺延。</w:t>
      </w:r>
    </w:p>
    <w:p w14:paraId="296CD254">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4、若无货物属于节能、环境标志产品的，则不填写此表。</w:t>
      </w:r>
    </w:p>
    <w:p w14:paraId="401EA7EB">
      <w:pPr>
        <w:spacing w:line="240" w:lineRule="auto"/>
        <w:rPr>
          <w:rFonts w:hint="eastAsia" w:asciiTheme="minorEastAsia" w:hAnsiTheme="minorEastAsia" w:eastAsiaTheme="minorEastAsia" w:cstheme="minorEastAsia"/>
          <w:kern w:val="0"/>
          <w:sz w:val="24"/>
          <w:szCs w:val="24"/>
          <w:highlight w:val="none"/>
        </w:rPr>
      </w:pPr>
    </w:p>
    <w:p w14:paraId="2A4C669B">
      <w:pPr>
        <w:pStyle w:val="65"/>
        <w:wordWrap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供应商名称（盖单位章）：</w:t>
      </w:r>
    </w:p>
    <w:p w14:paraId="1F2F7264">
      <w:pPr>
        <w:pStyle w:val="65"/>
        <w:wordWrap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法定代表人或其委托代理人（签字或盖章）：</w:t>
      </w:r>
    </w:p>
    <w:p w14:paraId="18AC678C">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7ED521C8">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附件7：</w:t>
      </w:r>
    </w:p>
    <w:p w14:paraId="2C183F41">
      <w:pPr>
        <w:spacing w:line="240" w:lineRule="auto"/>
        <w:jc w:val="center"/>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rPr>
        <w:t>中小微型企业产品明细表</w:t>
      </w:r>
    </w:p>
    <w:p w14:paraId="2C86CE68">
      <w:pPr>
        <w:spacing w:line="24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项目名称：                            价格单位：元</w:t>
      </w:r>
    </w:p>
    <w:tbl>
      <w:tblPr>
        <w:tblStyle w:val="35"/>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718"/>
        <w:gridCol w:w="1348"/>
        <w:gridCol w:w="1362"/>
        <w:gridCol w:w="1274"/>
        <w:gridCol w:w="1050"/>
        <w:gridCol w:w="1564"/>
      </w:tblGrid>
      <w:tr w14:paraId="652D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14:paraId="329CFAF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序号</w:t>
            </w:r>
          </w:p>
        </w:tc>
        <w:tc>
          <w:tcPr>
            <w:tcW w:w="1718" w:type="dxa"/>
            <w:tcBorders>
              <w:top w:val="single" w:color="auto" w:sz="4" w:space="0"/>
              <w:left w:val="single" w:color="auto" w:sz="4" w:space="0"/>
              <w:bottom w:val="single" w:color="auto" w:sz="4" w:space="0"/>
              <w:right w:val="single" w:color="auto" w:sz="4" w:space="0"/>
            </w:tcBorders>
            <w:vAlign w:val="center"/>
          </w:tcPr>
          <w:p w14:paraId="6F6BB32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产品名称</w:t>
            </w:r>
          </w:p>
        </w:tc>
        <w:tc>
          <w:tcPr>
            <w:tcW w:w="1348" w:type="dxa"/>
            <w:tcBorders>
              <w:top w:val="single" w:color="auto" w:sz="4" w:space="0"/>
              <w:left w:val="single" w:color="auto" w:sz="4" w:space="0"/>
              <w:bottom w:val="single" w:color="auto" w:sz="4" w:space="0"/>
              <w:right w:val="single" w:color="auto" w:sz="4" w:space="0"/>
            </w:tcBorders>
            <w:vAlign w:val="center"/>
          </w:tcPr>
          <w:p w14:paraId="730935F1">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制造商</w:t>
            </w:r>
          </w:p>
        </w:tc>
        <w:tc>
          <w:tcPr>
            <w:tcW w:w="1362" w:type="dxa"/>
            <w:tcBorders>
              <w:top w:val="single" w:color="auto" w:sz="4" w:space="0"/>
              <w:left w:val="single" w:color="auto" w:sz="4" w:space="0"/>
              <w:bottom w:val="single" w:color="auto" w:sz="4" w:space="0"/>
              <w:right w:val="single" w:color="auto" w:sz="4" w:space="0"/>
            </w:tcBorders>
            <w:vAlign w:val="center"/>
          </w:tcPr>
          <w:p w14:paraId="34E8CB74">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单价</w:t>
            </w:r>
          </w:p>
        </w:tc>
        <w:tc>
          <w:tcPr>
            <w:tcW w:w="1274" w:type="dxa"/>
            <w:tcBorders>
              <w:top w:val="single" w:color="auto" w:sz="4" w:space="0"/>
              <w:left w:val="single" w:color="auto" w:sz="4" w:space="0"/>
              <w:bottom w:val="single" w:color="auto" w:sz="4" w:space="0"/>
              <w:right w:val="single" w:color="auto" w:sz="4" w:space="0"/>
            </w:tcBorders>
            <w:vAlign w:val="center"/>
          </w:tcPr>
          <w:p w14:paraId="532E332C">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542566F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合价</w:t>
            </w:r>
          </w:p>
        </w:tc>
        <w:tc>
          <w:tcPr>
            <w:tcW w:w="1564" w:type="dxa"/>
            <w:tcBorders>
              <w:top w:val="single" w:color="auto" w:sz="4" w:space="0"/>
              <w:left w:val="single" w:color="auto" w:sz="4" w:space="0"/>
              <w:bottom w:val="single" w:color="auto" w:sz="4" w:space="0"/>
              <w:right w:val="single" w:color="auto" w:sz="4" w:space="0"/>
            </w:tcBorders>
            <w:vAlign w:val="center"/>
          </w:tcPr>
          <w:p w14:paraId="5E5FE1E9">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企业类型（如中型、小型、微型）</w:t>
            </w:r>
          </w:p>
        </w:tc>
      </w:tr>
      <w:tr w14:paraId="7A56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96" w:type="dxa"/>
            <w:tcBorders>
              <w:top w:val="single" w:color="auto" w:sz="4" w:space="0"/>
              <w:left w:val="single" w:color="auto" w:sz="4" w:space="0"/>
              <w:bottom w:val="single" w:color="auto" w:sz="4" w:space="0"/>
              <w:right w:val="single" w:color="auto" w:sz="4" w:space="0"/>
            </w:tcBorders>
          </w:tcPr>
          <w:p w14:paraId="4E475600">
            <w:pPr>
              <w:spacing w:line="240" w:lineRule="auto"/>
              <w:rPr>
                <w:rFonts w:hint="eastAsia" w:asciiTheme="minorEastAsia" w:hAnsiTheme="minorEastAsia" w:eastAsiaTheme="minorEastAsia" w:cstheme="minorEastAsia"/>
                <w:kern w:val="0"/>
                <w:sz w:val="24"/>
                <w:szCs w:val="24"/>
                <w:highlight w:val="none"/>
              </w:rPr>
            </w:pPr>
          </w:p>
          <w:p w14:paraId="7A7DE48C">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1718" w:type="dxa"/>
            <w:tcBorders>
              <w:top w:val="single" w:color="auto" w:sz="4" w:space="0"/>
              <w:left w:val="single" w:color="auto" w:sz="4" w:space="0"/>
              <w:bottom w:val="single" w:color="auto" w:sz="4" w:space="0"/>
              <w:right w:val="single" w:color="auto" w:sz="4" w:space="0"/>
            </w:tcBorders>
          </w:tcPr>
          <w:p w14:paraId="426FC8A0">
            <w:pPr>
              <w:spacing w:line="240" w:lineRule="auto"/>
              <w:rPr>
                <w:rFonts w:hint="eastAsia" w:asciiTheme="minorEastAsia" w:hAnsiTheme="minorEastAsia" w:eastAsiaTheme="minorEastAsia" w:cstheme="minorEastAsia"/>
                <w:kern w:val="0"/>
                <w:sz w:val="24"/>
                <w:szCs w:val="24"/>
                <w:highlight w:val="none"/>
              </w:rPr>
            </w:pPr>
          </w:p>
        </w:tc>
        <w:tc>
          <w:tcPr>
            <w:tcW w:w="1348" w:type="dxa"/>
            <w:tcBorders>
              <w:top w:val="single" w:color="auto" w:sz="4" w:space="0"/>
              <w:left w:val="single" w:color="auto" w:sz="4" w:space="0"/>
              <w:bottom w:val="single" w:color="auto" w:sz="4" w:space="0"/>
              <w:right w:val="single" w:color="auto" w:sz="4" w:space="0"/>
            </w:tcBorders>
          </w:tcPr>
          <w:p w14:paraId="519914B0">
            <w:pPr>
              <w:spacing w:line="240" w:lineRule="auto"/>
              <w:rPr>
                <w:rFonts w:hint="eastAsia" w:asciiTheme="minorEastAsia" w:hAnsiTheme="minorEastAsia" w:eastAsiaTheme="minorEastAsia" w:cstheme="minorEastAsia"/>
                <w:kern w:val="0"/>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tcPr>
          <w:p w14:paraId="50AD1568">
            <w:pPr>
              <w:spacing w:line="240" w:lineRule="auto"/>
              <w:rPr>
                <w:rFonts w:hint="eastAsia" w:asciiTheme="minorEastAsia" w:hAnsiTheme="minorEastAsia" w:eastAsiaTheme="minorEastAsia" w:cstheme="minorEastAsia"/>
                <w:kern w:val="0"/>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tcPr>
          <w:p w14:paraId="4DC912B8">
            <w:pPr>
              <w:spacing w:line="240" w:lineRule="auto"/>
              <w:rPr>
                <w:rFonts w:hint="eastAsia" w:asciiTheme="minorEastAsia" w:hAnsiTheme="minorEastAsia" w:eastAsiaTheme="minorEastAsia" w:cstheme="minorEastAsia"/>
                <w:kern w:val="0"/>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0D97450F">
            <w:pPr>
              <w:spacing w:line="240" w:lineRule="auto"/>
              <w:rPr>
                <w:rFonts w:hint="eastAsia" w:asciiTheme="minorEastAsia" w:hAnsiTheme="minorEastAsia" w:eastAsiaTheme="minorEastAsia" w:cstheme="minorEastAsia"/>
                <w:kern w:val="0"/>
                <w:sz w:val="24"/>
                <w:szCs w:val="24"/>
                <w:highlight w:val="none"/>
              </w:rPr>
            </w:pPr>
          </w:p>
        </w:tc>
        <w:tc>
          <w:tcPr>
            <w:tcW w:w="1564" w:type="dxa"/>
            <w:tcBorders>
              <w:top w:val="single" w:color="auto" w:sz="4" w:space="0"/>
              <w:left w:val="single" w:color="auto" w:sz="4" w:space="0"/>
              <w:bottom w:val="single" w:color="auto" w:sz="4" w:space="0"/>
              <w:right w:val="single" w:color="auto" w:sz="4" w:space="0"/>
            </w:tcBorders>
          </w:tcPr>
          <w:p w14:paraId="00DCD987">
            <w:pPr>
              <w:spacing w:line="240" w:lineRule="auto"/>
              <w:rPr>
                <w:rFonts w:hint="eastAsia" w:asciiTheme="minorEastAsia" w:hAnsiTheme="minorEastAsia" w:eastAsiaTheme="minorEastAsia" w:cstheme="minorEastAsia"/>
                <w:kern w:val="0"/>
                <w:sz w:val="24"/>
                <w:szCs w:val="24"/>
                <w:highlight w:val="none"/>
              </w:rPr>
            </w:pPr>
          </w:p>
        </w:tc>
      </w:tr>
      <w:tr w14:paraId="74DB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96" w:type="dxa"/>
            <w:tcBorders>
              <w:top w:val="single" w:color="auto" w:sz="4" w:space="0"/>
              <w:left w:val="single" w:color="auto" w:sz="4" w:space="0"/>
              <w:bottom w:val="single" w:color="auto" w:sz="4" w:space="0"/>
              <w:right w:val="single" w:color="auto" w:sz="4" w:space="0"/>
            </w:tcBorders>
          </w:tcPr>
          <w:p w14:paraId="63C799D4">
            <w:pPr>
              <w:spacing w:line="240" w:lineRule="auto"/>
              <w:rPr>
                <w:rFonts w:hint="eastAsia" w:asciiTheme="minorEastAsia" w:hAnsiTheme="minorEastAsia" w:eastAsiaTheme="minorEastAsia" w:cstheme="minorEastAsia"/>
                <w:kern w:val="0"/>
                <w:sz w:val="24"/>
                <w:szCs w:val="24"/>
                <w:highlight w:val="none"/>
              </w:rPr>
            </w:pPr>
          </w:p>
          <w:p w14:paraId="25334715">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1718" w:type="dxa"/>
            <w:tcBorders>
              <w:top w:val="single" w:color="auto" w:sz="4" w:space="0"/>
              <w:left w:val="single" w:color="auto" w:sz="4" w:space="0"/>
              <w:bottom w:val="single" w:color="auto" w:sz="4" w:space="0"/>
              <w:right w:val="single" w:color="auto" w:sz="4" w:space="0"/>
            </w:tcBorders>
          </w:tcPr>
          <w:p w14:paraId="470EA25B">
            <w:pPr>
              <w:spacing w:line="240" w:lineRule="auto"/>
              <w:rPr>
                <w:rFonts w:hint="eastAsia" w:asciiTheme="minorEastAsia" w:hAnsiTheme="minorEastAsia" w:eastAsiaTheme="minorEastAsia" w:cstheme="minorEastAsia"/>
                <w:kern w:val="0"/>
                <w:sz w:val="24"/>
                <w:szCs w:val="24"/>
                <w:highlight w:val="none"/>
              </w:rPr>
            </w:pPr>
          </w:p>
        </w:tc>
        <w:tc>
          <w:tcPr>
            <w:tcW w:w="1348" w:type="dxa"/>
            <w:tcBorders>
              <w:top w:val="single" w:color="auto" w:sz="4" w:space="0"/>
              <w:left w:val="single" w:color="auto" w:sz="4" w:space="0"/>
              <w:bottom w:val="single" w:color="auto" w:sz="4" w:space="0"/>
              <w:right w:val="single" w:color="auto" w:sz="4" w:space="0"/>
            </w:tcBorders>
          </w:tcPr>
          <w:p w14:paraId="59D3DF83">
            <w:pPr>
              <w:spacing w:line="240" w:lineRule="auto"/>
              <w:rPr>
                <w:rFonts w:hint="eastAsia" w:asciiTheme="minorEastAsia" w:hAnsiTheme="minorEastAsia" w:eastAsiaTheme="minorEastAsia" w:cstheme="minorEastAsia"/>
                <w:kern w:val="0"/>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tcPr>
          <w:p w14:paraId="4393CE72">
            <w:pPr>
              <w:spacing w:line="240" w:lineRule="auto"/>
              <w:rPr>
                <w:rFonts w:hint="eastAsia" w:asciiTheme="minorEastAsia" w:hAnsiTheme="minorEastAsia" w:eastAsiaTheme="minorEastAsia" w:cstheme="minorEastAsia"/>
                <w:kern w:val="0"/>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tcPr>
          <w:p w14:paraId="66CE1945">
            <w:pPr>
              <w:spacing w:line="240" w:lineRule="auto"/>
              <w:rPr>
                <w:rFonts w:hint="eastAsia" w:asciiTheme="minorEastAsia" w:hAnsiTheme="minorEastAsia" w:eastAsiaTheme="minorEastAsia" w:cstheme="minorEastAsia"/>
                <w:kern w:val="0"/>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18721DE8">
            <w:pPr>
              <w:spacing w:line="240" w:lineRule="auto"/>
              <w:rPr>
                <w:rFonts w:hint="eastAsia" w:asciiTheme="minorEastAsia" w:hAnsiTheme="minorEastAsia" w:eastAsiaTheme="minorEastAsia" w:cstheme="minorEastAsia"/>
                <w:kern w:val="0"/>
                <w:sz w:val="24"/>
                <w:szCs w:val="24"/>
                <w:highlight w:val="none"/>
              </w:rPr>
            </w:pPr>
          </w:p>
        </w:tc>
        <w:tc>
          <w:tcPr>
            <w:tcW w:w="1564" w:type="dxa"/>
            <w:tcBorders>
              <w:top w:val="single" w:color="auto" w:sz="4" w:space="0"/>
              <w:left w:val="single" w:color="auto" w:sz="4" w:space="0"/>
              <w:bottom w:val="single" w:color="auto" w:sz="4" w:space="0"/>
              <w:right w:val="single" w:color="auto" w:sz="4" w:space="0"/>
            </w:tcBorders>
          </w:tcPr>
          <w:p w14:paraId="28D9A34D">
            <w:pPr>
              <w:spacing w:line="240" w:lineRule="auto"/>
              <w:rPr>
                <w:rFonts w:hint="eastAsia" w:asciiTheme="minorEastAsia" w:hAnsiTheme="minorEastAsia" w:eastAsiaTheme="minorEastAsia" w:cstheme="minorEastAsia"/>
                <w:kern w:val="0"/>
                <w:sz w:val="24"/>
                <w:szCs w:val="24"/>
                <w:highlight w:val="none"/>
              </w:rPr>
            </w:pPr>
          </w:p>
        </w:tc>
      </w:tr>
      <w:tr w14:paraId="4472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96" w:type="dxa"/>
            <w:tcBorders>
              <w:top w:val="single" w:color="auto" w:sz="4" w:space="0"/>
              <w:left w:val="single" w:color="auto" w:sz="4" w:space="0"/>
              <w:bottom w:val="single" w:color="auto" w:sz="4" w:space="0"/>
              <w:right w:val="single" w:color="auto" w:sz="4" w:space="0"/>
            </w:tcBorders>
          </w:tcPr>
          <w:p w14:paraId="13C9A386">
            <w:pPr>
              <w:spacing w:line="240" w:lineRule="auto"/>
              <w:rPr>
                <w:rFonts w:hint="eastAsia" w:asciiTheme="minorEastAsia" w:hAnsiTheme="minorEastAsia" w:eastAsiaTheme="minorEastAsia" w:cstheme="minorEastAsia"/>
                <w:kern w:val="0"/>
                <w:sz w:val="24"/>
                <w:szCs w:val="24"/>
                <w:highlight w:val="none"/>
              </w:rPr>
            </w:pPr>
          </w:p>
          <w:p w14:paraId="2496D313">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1718" w:type="dxa"/>
            <w:tcBorders>
              <w:top w:val="single" w:color="auto" w:sz="4" w:space="0"/>
              <w:left w:val="single" w:color="auto" w:sz="4" w:space="0"/>
              <w:bottom w:val="single" w:color="auto" w:sz="4" w:space="0"/>
              <w:right w:val="single" w:color="auto" w:sz="4" w:space="0"/>
            </w:tcBorders>
          </w:tcPr>
          <w:p w14:paraId="62E0C8B7">
            <w:pPr>
              <w:spacing w:line="240" w:lineRule="auto"/>
              <w:rPr>
                <w:rFonts w:hint="eastAsia" w:asciiTheme="minorEastAsia" w:hAnsiTheme="minorEastAsia" w:eastAsiaTheme="minorEastAsia" w:cstheme="minorEastAsia"/>
                <w:kern w:val="0"/>
                <w:sz w:val="24"/>
                <w:szCs w:val="24"/>
                <w:highlight w:val="none"/>
              </w:rPr>
            </w:pPr>
          </w:p>
          <w:p w14:paraId="1945D936">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p>
        </w:tc>
        <w:tc>
          <w:tcPr>
            <w:tcW w:w="1348" w:type="dxa"/>
            <w:tcBorders>
              <w:top w:val="single" w:color="auto" w:sz="4" w:space="0"/>
              <w:left w:val="single" w:color="auto" w:sz="4" w:space="0"/>
              <w:bottom w:val="single" w:color="auto" w:sz="4" w:space="0"/>
              <w:right w:val="single" w:color="auto" w:sz="4" w:space="0"/>
            </w:tcBorders>
          </w:tcPr>
          <w:p w14:paraId="4E73877E">
            <w:pPr>
              <w:spacing w:line="240" w:lineRule="auto"/>
              <w:rPr>
                <w:rFonts w:hint="eastAsia" w:asciiTheme="minorEastAsia" w:hAnsiTheme="minorEastAsia" w:eastAsiaTheme="minorEastAsia" w:cstheme="minorEastAsia"/>
                <w:kern w:val="0"/>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tcPr>
          <w:p w14:paraId="048EAC64">
            <w:pPr>
              <w:spacing w:line="240" w:lineRule="auto"/>
              <w:rPr>
                <w:rFonts w:hint="eastAsia" w:asciiTheme="minorEastAsia" w:hAnsiTheme="minorEastAsia" w:eastAsiaTheme="minorEastAsia" w:cstheme="minorEastAsia"/>
                <w:kern w:val="0"/>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tcPr>
          <w:p w14:paraId="0B2CF2C7">
            <w:pPr>
              <w:spacing w:line="240" w:lineRule="auto"/>
              <w:rPr>
                <w:rFonts w:hint="eastAsia" w:asciiTheme="minorEastAsia" w:hAnsiTheme="minorEastAsia" w:eastAsiaTheme="minorEastAsia" w:cstheme="minorEastAsia"/>
                <w:kern w:val="0"/>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6844B8B0">
            <w:pPr>
              <w:spacing w:line="240" w:lineRule="auto"/>
              <w:rPr>
                <w:rFonts w:hint="eastAsia" w:asciiTheme="minorEastAsia" w:hAnsiTheme="minorEastAsia" w:eastAsiaTheme="minorEastAsia" w:cstheme="minorEastAsia"/>
                <w:kern w:val="0"/>
                <w:sz w:val="24"/>
                <w:szCs w:val="24"/>
                <w:highlight w:val="none"/>
              </w:rPr>
            </w:pPr>
          </w:p>
        </w:tc>
        <w:tc>
          <w:tcPr>
            <w:tcW w:w="1564" w:type="dxa"/>
            <w:tcBorders>
              <w:top w:val="single" w:color="auto" w:sz="4" w:space="0"/>
              <w:left w:val="single" w:color="auto" w:sz="4" w:space="0"/>
              <w:bottom w:val="single" w:color="auto" w:sz="4" w:space="0"/>
              <w:right w:val="single" w:color="auto" w:sz="4" w:space="0"/>
            </w:tcBorders>
          </w:tcPr>
          <w:p w14:paraId="28E7D5CC">
            <w:pPr>
              <w:spacing w:line="240" w:lineRule="auto"/>
              <w:rPr>
                <w:rFonts w:hint="eastAsia" w:asciiTheme="minorEastAsia" w:hAnsiTheme="minorEastAsia" w:eastAsiaTheme="minorEastAsia" w:cstheme="minorEastAsia"/>
                <w:kern w:val="0"/>
                <w:sz w:val="24"/>
                <w:szCs w:val="24"/>
                <w:highlight w:val="none"/>
              </w:rPr>
            </w:pPr>
          </w:p>
        </w:tc>
      </w:tr>
      <w:tr w14:paraId="0FA0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96" w:type="dxa"/>
            <w:tcBorders>
              <w:top w:val="single" w:color="auto" w:sz="4" w:space="0"/>
              <w:left w:val="single" w:color="auto" w:sz="4" w:space="0"/>
              <w:bottom w:val="single" w:color="auto" w:sz="4" w:space="0"/>
              <w:right w:val="single" w:color="auto" w:sz="4" w:space="0"/>
            </w:tcBorders>
          </w:tcPr>
          <w:p w14:paraId="453778CC">
            <w:pPr>
              <w:spacing w:line="240" w:lineRule="auto"/>
              <w:rPr>
                <w:rFonts w:hint="eastAsia" w:asciiTheme="minorEastAsia" w:hAnsiTheme="minorEastAsia" w:eastAsiaTheme="minorEastAsia" w:cstheme="minorEastAsia"/>
                <w:kern w:val="0"/>
                <w:sz w:val="24"/>
                <w:szCs w:val="24"/>
                <w:highlight w:val="none"/>
              </w:rPr>
            </w:pPr>
          </w:p>
          <w:p w14:paraId="4F754063">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w:t>
            </w:r>
          </w:p>
        </w:tc>
        <w:tc>
          <w:tcPr>
            <w:tcW w:w="6752" w:type="dxa"/>
            <w:gridSpan w:val="5"/>
            <w:tcBorders>
              <w:top w:val="single" w:color="auto" w:sz="4" w:space="0"/>
              <w:left w:val="single" w:color="auto" w:sz="4" w:space="0"/>
              <w:bottom w:val="single" w:color="auto" w:sz="4" w:space="0"/>
              <w:right w:val="single" w:color="auto" w:sz="4" w:space="0"/>
            </w:tcBorders>
            <w:vAlign w:val="center"/>
          </w:tcPr>
          <w:p w14:paraId="50AE55D6">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合计：</w:t>
            </w:r>
          </w:p>
        </w:tc>
        <w:tc>
          <w:tcPr>
            <w:tcW w:w="1564" w:type="dxa"/>
            <w:tcBorders>
              <w:top w:val="single" w:color="auto" w:sz="4" w:space="0"/>
              <w:left w:val="single" w:color="auto" w:sz="4" w:space="0"/>
              <w:bottom w:val="single" w:color="auto" w:sz="4" w:space="0"/>
              <w:right w:val="single" w:color="auto" w:sz="4" w:space="0"/>
            </w:tcBorders>
          </w:tcPr>
          <w:p w14:paraId="69E91669">
            <w:pPr>
              <w:spacing w:line="240" w:lineRule="auto"/>
              <w:rPr>
                <w:rFonts w:hint="eastAsia" w:asciiTheme="minorEastAsia" w:hAnsiTheme="minorEastAsia" w:eastAsiaTheme="minorEastAsia" w:cstheme="minorEastAsia"/>
                <w:kern w:val="0"/>
                <w:sz w:val="24"/>
                <w:szCs w:val="24"/>
                <w:highlight w:val="none"/>
              </w:rPr>
            </w:pPr>
          </w:p>
        </w:tc>
      </w:tr>
    </w:tbl>
    <w:p w14:paraId="24AE2204">
      <w:pPr>
        <w:spacing w:line="240" w:lineRule="auto"/>
        <w:rPr>
          <w:rFonts w:hint="eastAsia" w:asciiTheme="minorEastAsia" w:hAnsiTheme="minorEastAsia" w:eastAsiaTheme="minorEastAsia" w:cstheme="minorEastAsia"/>
          <w:kern w:val="0"/>
          <w:sz w:val="24"/>
          <w:szCs w:val="24"/>
          <w:highlight w:val="none"/>
        </w:rPr>
      </w:pPr>
    </w:p>
    <w:p w14:paraId="7A112862">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说明：如所投标的为中小微型企业产品，须按规定格式逐项填写，否则评分时不予认可。当一个标段（包）内有多个属于中型、小型和微型企业的产品时，供应商应按品目号详细填写。</w:t>
      </w:r>
    </w:p>
    <w:p w14:paraId="7A0D5996">
      <w:pPr>
        <w:spacing w:line="240" w:lineRule="auto"/>
        <w:rPr>
          <w:rFonts w:hint="eastAsia" w:asciiTheme="minorEastAsia" w:hAnsiTheme="minorEastAsia" w:eastAsiaTheme="minorEastAsia" w:cstheme="minorEastAsia"/>
          <w:kern w:val="0"/>
          <w:sz w:val="24"/>
          <w:szCs w:val="24"/>
          <w:highlight w:val="none"/>
        </w:rPr>
      </w:pPr>
    </w:p>
    <w:p w14:paraId="78FFC5F0">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14:paraId="0B800EA7">
      <w:pPr>
        <w:spacing w:line="240" w:lineRule="auto"/>
        <w:rPr>
          <w:rFonts w:hint="eastAsia" w:asciiTheme="minorEastAsia" w:hAnsiTheme="minorEastAsia" w:eastAsiaTheme="minorEastAsia" w:cstheme="minorEastAsia"/>
          <w:kern w:val="0"/>
          <w:sz w:val="24"/>
          <w:szCs w:val="24"/>
          <w:highlight w:val="none"/>
        </w:rPr>
      </w:pPr>
    </w:p>
    <w:p w14:paraId="3DD15CCF">
      <w:pPr>
        <w:pStyle w:val="65"/>
        <w:wordWrap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供应商名称（盖单位章）：</w:t>
      </w:r>
    </w:p>
    <w:p w14:paraId="11DAB0D7">
      <w:pPr>
        <w:pStyle w:val="65"/>
        <w:wordWrap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法定代表人或其委托代理人（签字或盖章）：</w:t>
      </w:r>
    </w:p>
    <w:p w14:paraId="78CBFC4F">
      <w:pPr>
        <w:spacing w:line="24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 xml:space="preserve"> 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066ED0BD">
      <w:pPr>
        <w:spacing w:line="24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8"/>
          <w:szCs w:val="28"/>
          <w:highlight w:val="none"/>
        </w:rPr>
        <w:t>四、供应商的资格证明材料</w:t>
      </w:r>
    </w:p>
    <w:p w14:paraId="4CD33D32">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(1)投标</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kern w:val="0"/>
          <w:sz w:val="24"/>
          <w:szCs w:val="24"/>
          <w:highlight w:val="none"/>
        </w:rPr>
        <w:t>基本情况表</w:t>
      </w:r>
    </w:p>
    <w:p w14:paraId="1B051C6D">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)符合《中华人民共和国政府采购法》第二十二条的规定：</w:t>
      </w:r>
    </w:p>
    <w:p w14:paraId="13D93303">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① 投标人提供有效的统一社会信用代码的营业执照，投标人必须是中华人民共和国境内注册的，具有独立承担民事责任的能力；</w:t>
      </w:r>
    </w:p>
    <w:p w14:paraId="126347CE">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② 具有良好的商业信誉和健全的财务会计制度</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(提供会计师事务所出具的近三年任意一年度财务审计报告，新成立不足一年的提供成立之日起至今的财务报表)；</w:t>
      </w:r>
    </w:p>
    <w:p w14:paraId="5A540B72">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③ 依法缴纳税收</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投标人提供自投标截止之日前一年内任意一个月依法缴纳税收的凭据，依法免税的投标人，应提供充足的证明材料</w:t>
      </w:r>
      <w:r>
        <w:rPr>
          <w:rFonts w:hint="eastAsia" w:asciiTheme="minorEastAsia" w:hAnsiTheme="minorEastAsia" w:eastAsiaTheme="minorEastAsia" w:cstheme="minorEastAsia"/>
          <w:kern w:val="0"/>
          <w:sz w:val="24"/>
          <w:szCs w:val="24"/>
          <w:highlight w:val="none"/>
          <w:lang w:eastAsia="zh-CN"/>
        </w:rPr>
        <w:t>；</w:t>
      </w:r>
    </w:p>
    <w:p w14:paraId="7B951EE6">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④ 依法缴纳社保</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投标人提供自投标截止之日一年内任意一个月依法缴纳社会保障资金的凭据；</w:t>
      </w:r>
    </w:p>
    <w:p w14:paraId="73A2257D">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⑤ 投标人具备履行合同所必需的设备和专业技术能力(根据项目需求提供履行合同所必需的设备和专业技术能力的证明材料或加盖公章的承诺函)；</w:t>
      </w:r>
    </w:p>
    <w:p w14:paraId="0CCC3700">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⑥ 投标人提供参加政府采购活动前3 年内在经营活动中没有重大违法记录的书面声明(截至开标日成立不满3 年的投标人，可提供自成立以来无重大违法记录的书面声明)。</w:t>
      </w:r>
    </w:p>
    <w:p w14:paraId="6ED5BEC7">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)供应商单位负责人为同一人或者存在直接控股、管理关系的不同供应商，不得参加同一合同项下的政府采购活动。(需提供承诺函)</w:t>
      </w:r>
    </w:p>
    <w:p w14:paraId="1A61EC28">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)凡为采购项目提供整体设计、规范编制或者项目管理、监理、检测等服务的供应商，不得再参加本项目的采购活动。(需提供承诺函)</w:t>
      </w:r>
    </w:p>
    <w:p w14:paraId="328697E0">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 xml:space="preserve">)节能、环境标志产品政策性优惠证明材料：  </w:t>
      </w:r>
    </w:p>
    <w:p w14:paraId="78B257F6">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（4.1)第22期《节能产品政府采购清单》关于供应产品当前页的打印件；</w:t>
      </w:r>
    </w:p>
    <w:p w14:paraId="1DFBD973">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（4.2)第20期《环境标志产品政府采购清单》关于供应产品当前页的打印件；</w:t>
      </w:r>
    </w:p>
    <w:p w14:paraId="125B21AA">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)中小微企业政策性优惠证明材料：《中小企业声明函》</w:t>
      </w:r>
      <w:r>
        <w:rPr>
          <w:rFonts w:hint="eastAsia" w:asciiTheme="minorEastAsia" w:hAnsiTheme="minorEastAsia" w:eastAsiaTheme="minorEastAsia" w:cstheme="minorEastAsia"/>
          <w:kern w:val="0"/>
          <w:sz w:val="24"/>
          <w:szCs w:val="24"/>
          <w:highlight w:val="none"/>
          <w:lang w:eastAsia="zh-CN"/>
        </w:rPr>
        <w:t>《分包意向协议》</w:t>
      </w:r>
      <w:r>
        <w:rPr>
          <w:rFonts w:hint="eastAsia" w:asciiTheme="minorEastAsia" w:hAnsiTheme="minorEastAsia" w:eastAsiaTheme="minorEastAsia" w:cstheme="minorEastAsia"/>
          <w:kern w:val="0"/>
          <w:sz w:val="24"/>
          <w:szCs w:val="24"/>
          <w:highlight w:val="none"/>
        </w:rPr>
        <w:t xml:space="preserve"> </w:t>
      </w:r>
    </w:p>
    <w:p w14:paraId="4AA46EF4">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rPr>
        <w:t>)残疾人福利性单位声明函</w:t>
      </w:r>
      <w:r>
        <w:rPr>
          <w:rFonts w:hint="eastAsia" w:asciiTheme="minorEastAsia" w:hAnsiTheme="minorEastAsia" w:eastAsiaTheme="minorEastAsia" w:cstheme="minorEastAsia"/>
          <w:kern w:val="0"/>
          <w:sz w:val="24"/>
          <w:szCs w:val="24"/>
          <w:highlight w:val="none"/>
          <w:lang w:eastAsia="zh-CN"/>
        </w:rPr>
        <w:t>（若有请如实填写）</w:t>
      </w:r>
    </w:p>
    <w:p w14:paraId="7B2767A4">
      <w:pPr>
        <w:spacing w:line="240" w:lineRule="auto"/>
        <w:rPr>
          <w:rFonts w:hint="eastAsia" w:asciiTheme="minorEastAsia" w:hAnsiTheme="minorEastAsia" w:eastAsiaTheme="minorEastAsia" w:cstheme="minorEastAsia"/>
          <w:b/>
          <w:bCs/>
          <w:kern w:val="0"/>
          <w:sz w:val="24"/>
          <w:szCs w:val="24"/>
          <w:highlight w:val="none"/>
        </w:rPr>
      </w:pPr>
    </w:p>
    <w:p w14:paraId="17759687">
      <w:pPr>
        <w:spacing w:line="240" w:lineRule="auto"/>
        <w:rPr>
          <w:rFonts w:hint="eastAsia" w:asciiTheme="minorEastAsia" w:hAnsiTheme="minorEastAsia" w:eastAsiaTheme="minorEastAsia" w:cstheme="minorEastAsia"/>
          <w:b/>
          <w:bCs/>
          <w:kern w:val="0"/>
          <w:sz w:val="24"/>
          <w:szCs w:val="24"/>
          <w:highlight w:val="none"/>
        </w:rPr>
      </w:pPr>
    </w:p>
    <w:p w14:paraId="416D2B2F">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注：以上扫描件均需要加盖投标供应商公章。</w:t>
      </w:r>
    </w:p>
    <w:p w14:paraId="75830BB3">
      <w:pPr>
        <w:spacing w:line="240" w:lineRule="auto"/>
        <w:rPr>
          <w:rFonts w:hint="eastAsia" w:asciiTheme="minorEastAsia" w:hAnsiTheme="minorEastAsia" w:eastAsiaTheme="minorEastAsia" w:cstheme="minorEastAsia"/>
          <w:b/>
          <w:bCs/>
          <w:kern w:val="0"/>
          <w:sz w:val="24"/>
          <w:szCs w:val="24"/>
          <w:highlight w:val="none"/>
        </w:rPr>
      </w:pPr>
    </w:p>
    <w:p w14:paraId="6D881E1A">
      <w:pPr>
        <w:pStyle w:val="13"/>
        <w:spacing w:line="240" w:lineRule="auto"/>
        <w:rPr>
          <w:rFonts w:hint="eastAsia" w:asciiTheme="minorEastAsia" w:hAnsiTheme="minorEastAsia" w:eastAsiaTheme="minorEastAsia" w:cstheme="minorEastAsia"/>
          <w:b/>
          <w:bCs/>
          <w:kern w:val="0"/>
          <w:sz w:val="24"/>
          <w:szCs w:val="24"/>
          <w:highlight w:val="none"/>
        </w:rPr>
      </w:pPr>
    </w:p>
    <w:p w14:paraId="7A32223B">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附件8：</w:t>
      </w:r>
    </w:p>
    <w:p w14:paraId="79C86DF7">
      <w:pPr>
        <w:spacing w:line="240" w:lineRule="auto"/>
        <w:jc w:val="center"/>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rPr>
        <w:t>投标供应商基本情况表</w:t>
      </w:r>
    </w:p>
    <w:p w14:paraId="4AD18268">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盖供应商单位公章</w:t>
      </w:r>
    </w:p>
    <w:tbl>
      <w:tblPr>
        <w:tblStyle w:val="35"/>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1044"/>
        <w:gridCol w:w="1454"/>
        <w:gridCol w:w="496"/>
        <w:gridCol w:w="444"/>
        <w:gridCol w:w="988"/>
        <w:gridCol w:w="670"/>
        <w:gridCol w:w="988"/>
        <w:gridCol w:w="1650"/>
      </w:tblGrid>
      <w:tr w14:paraId="79DB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95C1866">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w:t>
            </w:r>
          </w:p>
        </w:tc>
        <w:tc>
          <w:tcPr>
            <w:tcW w:w="4426" w:type="dxa"/>
            <w:gridSpan w:val="5"/>
            <w:vAlign w:val="center"/>
          </w:tcPr>
          <w:p w14:paraId="5372E7E2">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046D96A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法定代表人</w:t>
            </w:r>
          </w:p>
        </w:tc>
        <w:tc>
          <w:tcPr>
            <w:tcW w:w="1650" w:type="dxa"/>
            <w:vAlign w:val="center"/>
          </w:tcPr>
          <w:p w14:paraId="013DA4AB">
            <w:pPr>
              <w:spacing w:line="240" w:lineRule="auto"/>
              <w:jc w:val="center"/>
              <w:rPr>
                <w:rFonts w:hint="eastAsia" w:asciiTheme="minorEastAsia" w:hAnsiTheme="minorEastAsia" w:eastAsiaTheme="minorEastAsia" w:cstheme="minorEastAsia"/>
                <w:kern w:val="0"/>
                <w:sz w:val="24"/>
                <w:szCs w:val="24"/>
                <w:highlight w:val="none"/>
              </w:rPr>
            </w:pPr>
          </w:p>
        </w:tc>
      </w:tr>
      <w:tr w14:paraId="2D70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4848CBB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组织机构代码</w:t>
            </w:r>
          </w:p>
        </w:tc>
        <w:tc>
          <w:tcPr>
            <w:tcW w:w="4426" w:type="dxa"/>
            <w:gridSpan w:val="5"/>
            <w:vAlign w:val="center"/>
          </w:tcPr>
          <w:p w14:paraId="1D789A15">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54C946FE">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邮政编码</w:t>
            </w:r>
          </w:p>
        </w:tc>
        <w:tc>
          <w:tcPr>
            <w:tcW w:w="1650" w:type="dxa"/>
            <w:vAlign w:val="center"/>
          </w:tcPr>
          <w:p w14:paraId="0632691D">
            <w:pPr>
              <w:spacing w:line="240" w:lineRule="auto"/>
              <w:jc w:val="center"/>
              <w:rPr>
                <w:rFonts w:hint="eastAsia" w:asciiTheme="minorEastAsia" w:hAnsiTheme="minorEastAsia" w:eastAsiaTheme="minorEastAsia" w:cstheme="minorEastAsia"/>
                <w:kern w:val="0"/>
                <w:sz w:val="24"/>
                <w:szCs w:val="24"/>
                <w:highlight w:val="none"/>
              </w:rPr>
            </w:pPr>
          </w:p>
        </w:tc>
      </w:tr>
      <w:tr w14:paraId="5BAB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269549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委托代理人</w:t>
            </w:r>
          </w:p>
        </w:tc>
        <w:tc>
          <w:tcPr>
            <w:tcW w:w="4426" w:type="dxa"/>
            <w:gridSpan w:val="5"/>
            <w:vAlign w:val="center"/>
          </w:tcPr>
          <w:p w14:paraId="787922EB">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1495DDBE">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电子邮箱</w:t>
            </w:r>
          </w:p>
        </w:tc>
        <w:tc>
          <w:tcPr>
            <w:tcW w:w="1650" w:type="dxa"/>
            <w:vAlign w:val="center"/>
          </w:tcPr>
          <w:p w14:paraId="1461E34F">
            <w:pPr>
              <w:spacing w:line="240" w:lineRule="auto"/>
              <w:jc w:val="center"/>
              <w:rPr>
                <w:rFonts w:hint="eastAsia" w:asciiTheme="minorEastAsia" w:hAnsiTheme="minorEastAsia" w:eastAsiaTheme="minorEastAsia" w:cstheme="minorEastAsia"/>
                <w:kern w:val="0"/>
                <w:sz w:val="24"/>
                <w:szCs w:val="24"/>
                <w:highlight w:val="none"/>
              </w:rPr>
            </w:pPr>
          </w:p>
        </w:tc>
      </w:tr>
      <w:tr w14:paraId="4409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395D269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上年营业收入</w:t>
            </w:r>
          </w:p>
        </w:tc>
        <w:tc>
          <w:tcPr>
            <w:tcW w:w="4426" w:type="dxa"/>
            <w:gridSpan w:val="5"/>
            <w:vAlign w:val="center"/>
          </w:tcPr>
          <w:p w14:paraId="6FBF79B1">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6B75BA5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员工总人数</w:t>
            </w:r>
          </w:p>
        </w:tc>
        <w:tc>
          <w:tcPr>
            <w:tcW w:w="1650" w:type="dxa"/>
            <w:vAlign w:val="center"/>
          </w:tcPr>
          <w:p w14:paraId="5922E30F">
            <w:pPr>
              <w:spacing w:line="240" w:lineRule="auto"/>
              <w:jc w:val="center"/>
              <w:rPr>
                <w:rFonts w:hint="eastAsia" w:asciiTheme="minorEastAsia" w:hAnsiTheme="minorEastAsia" w:eastAsiaTheme="minorEastAsia" w:cstheme="minorEastAsia"/>
                <w:kern w:val="0"/>
                <w:sz w:val="24"/>
                <w:szCs w:val="24"/>
                <w:highlight w:val="none"/>
              </w:rPr>
            </w:pPr>
          </w:p>
        </w:tc>
      </w:tr>
      <w:tr w14:paraId="6AC9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2FCB3F6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固定电话</w:t>
            </w:r>
          </w:p>
        </w:tc>
        <w:tc>
          <w:tcPr>
            <w:tcW w:w="4426" w:type="dxa"/>
            <w:gridSpan w:val="5"/>
            <w:vAlign w:val="center"/>
          </w:tcPr>
          <w:p w14:paraId="6B484511">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4F51347C">
            <w:pPr>
              <w:spacing w:line="240" w:lineRule="auto"/>
              <w:jc w:val="center"/>
              <w:rPr>
                <w:rFonts w:hint="eastAsia" w:asciiTheme="minorEastAsia" w:hAnsiTheme="minorEastAsia" w:eastAsiaTheme="minorEastAsia" w:cstheme="minorEastAsia"/>
                <w:kern w:val="0"/>
                <w:sz w:val="24"/>
                <w:szCs w:val="24"/>
                <w:highlight w:val="none"/>
              </w:rPr>
            </w:pPr>
          </w:p>
        </w:tc>
        <w:tc>
          <w:tcPr>
            <w:tcW w:w="1650" w:type="dxa"/>
            <w:vAlign w:val="center"/>
          </w:tcPr>
          <w:p w14:paraId="01F778F3">
            <w:pPr>
              <w:spacing w:line="240" w:lineRule="auto"/>
              <w:jc w:val="center"/>
              <w:rPr>
                <w:rFonts w:hint="eastAsia" w:asciiTheme="minorEastAsia" w:hAnsiTheme="minorEastAsia" w:eastAsiaTheme="minorEastAsia" w:cstheme="minorEastAsia"/>
                <w:kern w:val="0"/>
                <w:sz w:val="24"/>
                <w:szCs w:val="24"/>
                <w:highlight w:val="none"/>
              </w:rPr>
            </w:pPr>
          </w:p>
        </w:tc>
      </w:tr>
      <w:tr w14:paraId="665D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14:paraId="5B1E6D4B">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营业执照</w:t>
            </w:r>
          </w:p>
        </w:tc>
        <w:tc>
          <w:tcPr>
            <w:tcW w:w="2258" w:type="dxa"/>
            <w:gridSpan w:val="3"/>
            <w:vAlign w:val="center"/>
          </w:tcPr>
          <w:p w14:paraId="231F44BB">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注册号码</w:t>
            </w:r>
          </w:p>
        </w:tc>
        <w:tc>
          <w:tcPr>
            <w:tcW w:w="1950" w:type="dxa"/>
            <w:gridSpan w:val="2"/>
            <w:vAlign w:val="center"/>
          </w:tcPr>
          <w:p w14:paraId="34D8E65C">
            <w:pPr>
              <w:spacing w:line="240" w:lineRule="auto"/>
              <w:jc w:val="center"/>
              <w:rPr>
                <w:rFonts w:hint="eastAsia" w:asciiTheme="minorEastAsia" w:hAnsiTheme="minorEastAsia" w:eastAsiaTheme="minorEastAsia" w:cstheme="minorEastAsia"/>
                <w:kern w:val="0"/>
                <w:sz w:val="24"/>
                <w:szCs w:val="24"/>
                <w:highlight w:val="none"/>
              </w:rPr>
            </w:pPr>
          </w:p>
        </w:tc>
        <w:tc>
          <w:tcPr>
            <w:tcW w:w="1432" w:type="dxa"/>
            <w:gridSpan w:val="2"/>
            <w:vAlign w:val="center"/>
          </w:tcPr>
          <w:p w14:paraId="529E590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注册地址</w:t>
            </w:r>
          </w:p>
        </w:tc>
        <w:tc>
          <w:tcPr>
            <w:tcW w:w="3308" w:type="dxa"/>
            <w:gridSpan w:val="3"/>
            <w:vAlign w:val="center"/>
          </w:tcPr>
          <w:p w14:paraId="3AAFFCCA">
            <w:pPr>
              <w:spacing w:line="240" w:lineRule="auto"/>
              <w:jc w:val="center"/>
              <w:rPr>
                <w:rFonts w:hint="eastAsia" w:asciiTheme="minorEastAsia" w:hAnsiTheme="minorEastAsia" w:eastAsiaTheme="minorEastAsia" w:cstheme="minorEastAsia"/>
                <w:kern w:val="0"/>
                <w:sz w:val="24"/>
                <w:szCs w:val="24"/>
                <w:highlight w:val="none"/>
              </w:rPr>
            </w:pPr>
          </w:p>
        </w:tc>
      </w:tr>
      <w:tr w14:paraId="4B11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76BFFE2C">
            <w:pPr>
              <w:spacing w:line="240" w:lineRule="auto"/>
              <w:jc w:val="center"/>
              <w:rPr>
                <w:rFonts w:hint="eastAsia" w:asciiTheme="minorEastAsia" w:hAnsiTheme="minorEastAsia" w:eastAsiaTheme="minorEastAsia" w:cstheme="minorEastAsia"/>
                <w:kern w:val="0"/>
                <w:sz w:val="24"/>
                <w:szCs w:val="24"/>
                <w:highlight w:val="none"/>
              </w:rPr>
            </w:pPr>
          </w:p>
        </w:tc>
        <w:tc>
          <w:tcPr>
            <w:tcW w:w="2258" w:type="dxa"/>
            <w:gridSpan w:val="3"/>
            <w:vAlign w:val="center"/>
          </w:tcPr>
          <w:p w14:paraId="097BD8B7">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发证机关</w:t>
            </w:r>
          </w:p>
        </w:tc>
        <w:tc>
          <w:tcPr>
            <w:tcW w:w="1950" w:type="dxa"/>
            <w:gridSpan w:val="2"/>
            <w:vAlign w:val="center"/>
          </w:tcPr>
          <w:p w14:paraId="4E6FA5AA">
            <w:pPr>
              <w:spacing w:line="240" w:lineRule="auto"/>
              <w:jc w:val="center"/>
              <w:rPr>
                <w:rFonts w:hint="eastAsia" w:asciiTheme="minorEastAsia" w:hAnsiTheme="minorEastAsia" w:eastAsiaTheme="minorEastAsia" w:cstheme="minorEastAsia"/>
                <w:kern w:val="0"/>
                <w:sz w:val="24"/>
                <w:szCs w:val="24"/>
                <w:highlight w:val="none"/>
              </w:rPr>
            </w:pPr>
          </w:p>
        </w:tc>
        <w:tc>
          <w:tcPr>
            <w:tcW w:w="1432" w:type="dxa"/>
            <w:gridSpan w:val="2"/>
            <w:vAlign w:val="center"/>
          </w:tcPr>
          <w:p w14:paraId="0C995FB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发证日期</w:t>
            </w:r>
          </w:p>
        </w:tc>
        <w:tc>
          <w:tcPr>
            <w:tcW w:w="3308" w:type="dxa"/>
            <w:gridSpan w:val="3"/>
            <w:vAlign w:val="center"/>
          </w:tcPr>
          <w:p w14:paraId="1045DF0E">
            <w:pPr>
              <w:spacing w:line="240" w:lineRule="auto"/>
              <w:jc w:val="center"/>
              <w:rPr>
                <w:rFonts w:hint="eastAsia" w:asciiTheme="minorEastAsia" w:hAnsiTheme="minorEastAsia" w:eastAsiaTheme="minorEastAsia" w:cstheme="minorEastAsia"/>
                <w:kern w:val="0"/>
                <w:sz w:val="24"/>
                <w:szCs w:val="24"/>
                <w:highlight w:val="none"/>
              </w:rPr>
            </w:pPr>
          </w:p>
        </w:tc>
      </w:tr>
      <w:tr w14:paraId="4EB4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3162ACBF">
            <w:pPr>
              <w:spacing w:line="240" w:lineRule="auto"/>
              <w:jc w:val="center"/>
              <w:rPr>
                <w:rFonts w:hint="eastAsia" w:asciiTheme="minorEastAsia" w:hAnsiTheme="minorEastAsia" w:eastAsiaTheme="minorEastAsia" w:cstheme="minorEastAsia"/>
                <w:kern w:val="0"/>
                <w:sz w:val="24"/>
                <w:szCs w:val="24"/>
                <w:highlight w:val="none"/>
              </w:rPr>
            </w:pPr>
          </w:p>
        </w:tc>
        <w:tc>
          <w:tcPr>
            <w:tcW w:w="2258" w:type="dxa"/>
            <w:gridSpan w:val="3"/>
            <w:vAlign w:val="center"/>
          </w:tcPr>
          <w:p w14:paraId="10E63464">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营业范围（主营）</w:t>
            </w:r>
          </w:p>
        </w:tc>
        <w:tc>
          <w:tcPr>
            <w:tcW w:w="6690" w:type="dxa"/>
            <w:gridSpan w:val="7"/>
            <w:vAlign w:val="center"/>
          </w:tcPr>
          <w:p w14:paraId="2941FBE3">
            <w:pPr>
              <w:spacing w:line="240" w:lineRule="auto"/>
              <w:jc w:val="center"/>
              <w:rPr>
                <w:rFonts w:hint="eastAsia" w:asciiTheme="minorEastAsia" w:hAnsiTheme="minorEastAsia" w:eastAsiaTheme="minorEastAsia" w:cstheme="minorEastAsia"/>
                <w:kern w:val="0"/>
                <w:sz w:val="24"/>
                <w:szCs w:val="24"/>
                <w:highlight w:val="none"/>
              </w:rPr>
            </w:pPr>
          </w:p>
        </w:tc>
      </w:tr>
      <w:tr w14:paraId="1EAF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3E388ACC">
            <w:pPr>
              <w:spacing w:line="240" w:lineRule="auto"/>
              <w:jc w:val="center"/>
              <w:rPr>
                <w:rFonts w:hint="eastAsia" w:asciiTheme="minorEastAsia" w:hAnsiTheme="minorEastAsia" w:eastAsiaTheme="minorEastAsia" w:cstheme="minorEastAsia"/>
                <w:kern w:val="0"/>
                <w:sz w:val="24"/>
                <w:szCs w:val="24"/>
                <w:highlight w:val="none"/>
              </w:rPr>
            </w:pPr>
          </w:p>
        </w:tc>
        <w:tc>
          <w:tcPr>
            <w:tcW w:w="2258" w:type="dxa"/>
            <w:gridSpan w:val="3"/>
            <w:vAlign w:val="center"/>
          </w:tcPr>
          <w:p w14:paraId="0F3EF2F7">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营业范围（兼营）</w:t>
            </w:r>
          </w:p>
        </w:tc>
        <w:tc>
          <w:tcPr>
            <w:tcW w:w="6690" w:type="dxa"/>
            <w:gridSpan w:val="7"/>
            <w:vAlign w:val="center"/>
          </w:tcPr>
          <w:p w14:paraId="24A7B2B1">
            <w:pPr>
              <w:spacing w:line="240" w:lineRule="auto"/>
              <w:jc w:val="center"/>
              <w:rPr>
                <w:rFonts w:hint="eastAsia" w:asciiTheme="minorEastAsia" w:hAnsiTheme="minorEastAsia" w:eastAsiaTheme="minorEastAsia" w:cstheme="minorEastAsia"/>
                <w:kern w:val="0"/>
                <w:sz w:val="24"/>
                <w:szCs w:val="24"/>
                <w:highlight w:val="none"/>
              </w:rPr>
            </w:pPr>
          </w:p>
        </w:tc>
      </w:tr>
      <w:tr w14:paraId="1CDD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78" w:type="dxa"/>
            <w:gridSpan w:val="4"/>
            <w:vAlign w:val="center"/>
          </w:tcPr>
          <w:p w14:paraId="6385F7F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基本账户开户行及帐号</w:t>
            </w:r>
          </w:p>
        </w:tc>
        <w:tc>
          <w:tcPr>
            <w:tcW w:w="6690" w:type="dxa"/>
            <w:gridSpan w:val="7"/>
            <w:vAlign w:val="center"/>
          </w:tcPr>
          <w:p w14:paraId="06A8E2C3">
            <w:pPr>
              <w:spacing w:line="240" w:lineRule="auto"/>
              <w:jc w:val="center"/>
              <w:rPr>
                <w:rFonts w:hint="eastAsia" w:asciiTheme="minorEastAsia" w:hAnsiTheme="minorEastAsia" w:eastAsiaTheme="minorEastAsia" w:cstheme="minorEastAsia"/>
                <w:kern w:val="0"/>
                <w:sz w:val="24"/>
                <w:szCs w:val="24"/>
                <w:highlight w:val="none"/>
              </w:rPr>
            </w:pPr>
          </w:p>
        </w:tc>
      </w:tr>
      <w:tr w14:paraId="0BC5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78" w:type="dxa"/>
            <w:gridSpan w:val="4"/>
            <w:vAlign w:val="center"/>
          </w:tcPr>
          <w:p w14:paraId="77A08A29">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税务登记机关</w:t>
            </w:r>
          </w:p>
        </w:tc>
        <w:tc>
          <w:tcPr>
            <w:tcW w:w="6690" w:type="dxa"/>
            <w:gridSpan w:val="7"/>
            <w:vAlign w:val="center"/>
          </w:tcPr>
          <w:p w14:paraId="27188918">
            <w:pPr>
              <w:spacing w:line="240" w:lineRule="auto"/>
              <w:jc w:val="center"/>
              <w:rPr>
                <w:rFonts w:hint="eastAsia" w:asciiTheme="minorEastAsia" w:hAnsiTheme="minorEastAsia" w:eastAsiaTheme="minorEastAsia" w:cstheme="minorEastAsia"/>
                <w:kern w:val="0"/>
                <w:sz w:val="24"/>
                <w:szCs w:val="24"/>
                <w:highlight w:val="none"/>
              </w:rPr>
            </w:pPr>
          </w:p>
        </w:tc>
      </w:tr>
      <w:tr w14:paraId="42D8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3172398E">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资质名称</w:t>
            </w:r>
          </w:p>
        </w:tc>
        <w:tc>
          <w:tcPr>
            <w:tcW w:w="940" w:type="dxa"/>
            <w:gridSpan w:val="2"/>
            <w:vAlign w:val="center"/>
          </w:tcPr>
          <w:p w14:paraId="6FC50F2C">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等级</w:t>
            </w:r>
          </w:p>
        </w:tc>
        <w:tc>
          <w:tcPr>
            <w:tcW w:w="1658" w:type="dxa"/>
            <w:gridSpan w:val="2"/>
            <w:vAlign w:val="center"/>
          </w:tcPr>
          <w:p w14:paraId="350F417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发证机关</w:t>
            </w:r>
          </w:p>
        </w:tc>
        <w:tc>
          <w:tcPr>
            <w:tcW w:w="2638" w:type="dxa"/>
            <w:gridSpan w:val="2"/>
            <w:vAlign w:val="center"/>
          </w:tcPr>
          <w:p w14:paraId="5500AD5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有效期</w:t>
            </w:r>
          </w:p>
        </w:tc>
      </w:tr>
      <w:tr w14:paraId="4D7F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374B0636">
            <w:pPr>
              <w:spacing w:line="240" w:lineRule="auto"/>
              <w:jc w:val="center"/>
              <w:rPr>
                <w:rFonts w:hint="eastAsia" w:asciiTheme="minorEastAsia" w:hAnsiTheme="minorEastAsia" w:eastAsiaTheme="minorEastAsia" w:cstheme="minorEastAsia"/>
                <w:kern w:val="0"/>
                <w:sz w:val="24"/>
                <w:szCs w:val="24"/>
                <w:highlight w:val="none"/>
              </w:rPr>
            </w:pPr>
          </w:p>
        </w:tc>
        <w:tc>
          <w:tcPr>
            <w:tcW w:w="940" w:type="dxa"/>
            <w:gridSpan w:val="2"/>
            <w:vAlign w:val="center"/>
          </w:tcPr>
          <w:p w14:paraId="7CF8E09C">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67D70AF8">
            <w:pPr>
              <w:spacing w:line="240" w:lineRule="auto"/>
              <w:jc w:val="center"/>
              <w:rPr>
                <w:rFonts w:hint="eastAsia" w:asciiTheme="minorEastAsia" w:hAnsiTheme="minorEastAsia" w:eastAsiaTheme="minorEastAsia" w:cstheme="minorEastAsia"/>
                <w:kern w:val="0"/>
                <w:sz w:val="24"/>
                <w:szCs w:val="24"/>
                <w:highlight w:val="none"/>
              </w:rPr>
            </w:pPr>
          </w:p>
        </w:tc>
        <w:tc>
          <w:tcPr>
            <w:tcW w:w="2638" w:type="dxa"/>
            <w:gridSpan w:val="2"/>
            <w:vAlign w:val="center"/>
          </w:tcPr>
          <w:p w14:paraId="6722832B">
            <w:pPr>
              <w:spacing w:line="240" w:lineRule="auto"/>
              <w:jc w:val="center"/>
              <w:rPr>
                <w:rFonts w:hint="eastAsia" w:asciiTheme="minorEastAsia" w:hAnsiTheme="minorEastAsia" w:eastAsiaTheme="minorEastAsia" w:cstheme="minorEastAsia"/>
                <w:kern w:val="0"/>
                <w:sz w:val="24"/>
                <w:szCs w:val="24"/>
                <w:highlight w:val="none"/>
              </w:rPr>
            </w:pPr>
          </w:p>
        </w:tc>
      </w:tr>
      <w:tr w14:paraId="0916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3CF37E41">
            <w:pPr>
              <w:spacing w:line="240" w:lineRule="auto"/>
              <w:jc w:val="center"/>
              <w:rPr>
                <w:rFonts w:hint="eastAsia" w:asciiTheme="minorEastAsia" w:hAnsiTheme="minorEastAsia" w:eastAsiaTheme="minorEastAsia" w:cstheme="minorEastAsia"/>
                <w:kern w:val="0"/>
                <w:sz w:val="24"/>
                <w:szCs w:val="24"/>
                <w:highlight w:val="none"/>
              </w:rPr>
            </w:pPr>
          </w:p>
        </w:tc>
        <w:tc>
          <w:tcPr>
            <w:tcW w:w="940" w:type="dxa"/>
            <w:gridSpan w:val="2"/>
            <w:vAlign w:val="center"/>
          </w:tcPr>
          <w:p w14:paraId="712385F7">
            <w:pPr>
              <w:spacing w:line="240" w:lineRule="auto"/>
              <w:jc w:val="center"/>
              <w:rPr>
                <w:rFonts w:hint="eastAsia" w:asciiTheme="minorEastAsia" w:hAnsiTheme="minorEastAsia" w:eastAsiaTheme="minorEastAsia" w:cstheme="minorEastAsia"/>
                <w:kern w:val="0"/>
                <w:sz w:val="24"/>
                <w:szCs w:val="24"/>
                <w:highlight w:val="none"/>
              </w:rPr>
            </w:pPr>
          </w:p>
        </w:tc>
        <w:tc>
          <w:tcPr>
            <w:tcW w:w="1658" w:type="dxa"/>
            <w:gridSpan w:val="2"/>
            <w:vAlign w:val="center"/>
          </w:tcPr>
          <w:p w14:paraId="1F14F402">
            <w:pPr>
              <w:spacing w:line="240" w:lineRule="auto"/>
              <w:jc w:val="center"/>
              <w:rPr>
                <w:rFonts w:hint="eastAsia" w:asciiTheme="minorEastAsia" w:hAnsiTheme="minorEastAsia" w:eastAsiaTheme="minorEastAsia" w:cstheme="minorEastAsia"/>
                <w:kern w:val="0"/>
                <w:sz w:val="24"/>
                <w:szCs w:val="24"/>
                <w:highlight w:val="none"/>
              </w:rPr>
            </w:pPr>
          </w:p>
        </w:tc>
        <w:tc>
          <w:tcPr>
            <w:tcW w:w="2638" w:type="dxa"/>
            <w:gridSpan w:val="2"/>
            <w:vAlign w:val="center"/>
          </w:tcPr>
          <w:p w14:paraId="0BE8B35D">
            <w:pPr>
              <w:spacing w:line="240" w:lineRule="auto"/>
              <w:jc w:val="center"/>
              <w:rPr>
                <w:rFonts w:hint="eastAsia" w:asciiTheme="minorEastAsia" w:hAnsiTheme="minorEastAsia" w:eastAsiaTheme="minorEastAsia" w:cstheme="minorEastAsia"/>
                <w:kern w:val="0"/>
                <w:sz w:val="24"/>
                <w:szCs w:val="24"/>
                <w:highlight w:val="none"/>
              </w:rPr>
            </w:pPr>
          </w:p>
        </w:tc>
      </w:tr>
      <w:tr w14:paraId="1A52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236" w:type="dxa"/>
            <w:gridSpan w:val="2"/>
            <w:vAlign w:val="center"/>
          </w:tcPr>
          <w:p w14:paraId="35A6740B">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备注</w:t>
            </w:r>
          </w:p>
        </w:tc>
        <w:tc>
          <w:tcPr>
            <w:tcW w:w="8532" w:type="dxa"/>
            <w:gridSpan w:val="9"/>
            <w:vAlign w:val="center"/>
          </w:tcPr>
          <w:p w14:paraId="1478718B">
            <w:pPr>
              <w:spacing w:line="240" w:lineRule="auto"/>
              <w:jc w:val="center"/>
              <w:rPr>
                <w:rFonts w:hint="eastAsia" w:asciiTheme="minorEastAsia" w:hAnsiTheme="minorEastAsia" w:eastAsiaTheme="minorEastAsia" w:cstheme="minorEastAsia"/>
                <w:kern w:val="0"/>
                <w:sz w:val="24"/>
                <w:szCs w:val="24"/>
                <w:highlight w:val="none"/>
              </w:rPr>
            </w:pPr>
          </w:p>
        </w:tc>
      </w:tr>
    </w:tbl>
    <w:p w14:paraId="46ECCED3">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附件9：</w:t>
      </w:r>
    </w:p>
    <w:p w14:paraId="4A1A16CC">
      <w:pPr>
        <w:spacing w:line="360" w:lineRule="auto"/>
        <w:jc w:val="center"/>
        <w:rPr>
          <w:rFonts w:hint="eastAsia" w:ascii="宋体" w:hAnsi="宋体" w:eastAsia="宋体" w:cs="宋体"/>
          <w:b/>
          <w:color w:val="auto"/>
          <w:spacing w:val="6"/>
          <w:sz w:val="24"/>
          <w:szCs w:val="24"/>
          <w:highlight w:val="none"/>
          <w:shd w:val="clear" w:color="auto" w:fill="FFFFFF"/>
        </w:rPr>
      </w:pPr>
      <w:r>
        <w:rPr>
          <w:rFonts w:hint="eastAsia" w:asciiTheme="minorEastAsia" w:hAnsiTheme="minorEastAsia" w:eastAsiaTheme="minorEastAsia" w:cstheme="minorEastAsia"/>
          <w:b/>
          <w:bCs/>
          <w:kern w:val="0"/>
          <w:sz w:val="24"/>
          <w:szCs w:val="24"/>
          <w:highlight w:val="none"/>
        </w:rPr>
        <w:t xml:space="preserve">9.1 </w:t>
      </w:r>
      <w:r>
        <w:rPr>
          <w:rFonts w:hint="eastAsia" w:ascii="宋体" w:hAnsi="宋体" w:eastAsia="宋体" w:cs="宋体"/>
          <w:b/>
          <w:color w:val="auto"/>
          <w:spacing w:val="6"/>
          <w:sz w:val="24"/>
          <w:szCs w:val="24"/>
          <w:highlight w:val="none"/>
          <w:shd w:val="clear" w:color="auto" w:fill="FFFFFF"/>
        </w:rPr>
        <w:t>中小企业声明函（工程、服务）</w:t>
      </w:r>
    </w:p>
    <w:p w14:paraId="00FD26CB">
      <w:pPr>
        <w:spacing w:line="360" w:lineRule="auto"/>
        <w:jc w:val="center"/>
        <w:rPr>
          <w:rFonts w:hint="eastAsia" w:ascii="宋体" w:hAnsi="宋体" w:eastAsia="宋体" w:cs="宋体"/>
          <w:b/>
          <w:color w:val="auto"/>
          <w:spacing w:val="6"/>
          <w:sz w:val="24"/>
          <w:szCs w:val="24"/>
          <w:highlight w:val="none"/>
          <w:shd w:val="clear" w:color="auto" w:fill="FFFFFF"/>
        </w:rPr>
      </w:pPr>
    </w:p>
    <w:p w14:paraId="3953CE09">
      <w:pPr>
        <w:spacing w:line="360" w:lineRule="auto"/>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本公司（联合体）郑重声明，根据《政府采购促进中小企业发展管理办法》（财库﹝2020﹞46 号）的规定，本公司</w:t>
      </w:r>
      <w:r>
        <w:rPr>
          <w:rFonts w:hint="eastAsia" w:ascii="宋体" w:hAnsi="宋体" w:eastAsia="宋体" w:cs="宋体"/>
          <w:color w:val="auto"/>
          <w:kern w:val="0"/>
          <w:sz w:val="24"/>
          <w:szCs w:val="24"/>
          <w:highlight w:val="none"/>
          <w:u w:val="single"/>
          <w:shd w:val="clear" w:color="auto" w:fill="FFFFFF"/>
        </w:rPr>
        <w:t>（联合体）</w:t>
      </w:r>
      <w:r>
        <w:rPr>
          <w:rFonts w:hint="eastAsia" w:ascii="宋体" w:hAnsi="宋体" w:eastAsia="宋体" w:cs="宋体"/>
          <w:color w:val="auto"/>
          <w:kern w:val="0"/>
          <w:sz w:val="24"/>
          <w:szCs w:val="24"/>
          <w:highlight w:val="none"/>
          <w:shd w:val="clear" w:color="auto" w:fill="FFFFFF"/>
        </w:rPr>
        <w:t>参加</w:t>
      </w:r>
      <w:r>
        <w:rPr>
          <w:rFonts w:hint="eastAsia" w:ascii="宋体" w:hAnsi="宋体" w:eastAsia="宋体" w:cs="宋体"/>
          <w:color w:val="auto"/>
          <w:kern w:val="0"/>
          <w:sz w:val="24"/>
          <w:szCs w:val="24"/>
          <w:highlight w:val="none"/>
          <w:u w:val="single"/>
          <w:shd w:val="clear" w:color="auto" w:fill="FFFFFF"/>
        </w:rPr>
        <w:t>（单位名称）</w:t>
      </w:r>
      <w:r>
        <w:rPr>
          <w:rFonts w:hint="eastAsia" w:ascii="宋体" w:hAnsi="宋体" w:eastAsia="宋体" w:cs="宋体"/>
          <w:color w:val="auto"/>
          <w:kern w:val="0"/>
          <w:sz w:val="24"/>
          <w:szCs w:val="24"/>
          <w:highlight w:val="none"/>
          <w:shd w:val="clear" w:color="auto" w:fill="FFFFFF"/>
        </w:rPr>
        <w:t>的</w:t>
      </w:r>
      <w:r>
        <w:rPr>
          <w:rFonts w:hint="eastAsia" w:ascii="宋体" w:hAnsi="宋体" w:eastAsia="宋体" w:cs="宋体"/>
          <w:color w:val="auto"/>
          <w:kern w:val="0"/>
          <w:sz w:val="24"/>
          <w:szCs w:val="24"/>
          <w:highlight w:val="none"/>
          <w:u w:val="single"/>
          <w:shd w:val="clear" w:color="auto" w:fill="FFFFFF"/>
        </w:rPr>
        <w:t>（项目名称）</w:t>
      </w:r>
      <w:r>
        <w:rPr>
          <w:rFonts w:hint="eastAsia" w:ascii="宋体" w:hAnsi="宋体" w:eastAsia="宋体" w:cs="宋体"/>
          <w:color w:val="auto"/>
          <w:kern w:val="0"/>
          <w:sz w:val="24"/>
          <w:szCs w:val="24"/>
          <w:highlight w:val="none"/>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0C28CDDA">
      <w:pPr>
        <w:spacing w:line="360" w:lineRule="auto"/>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1. </w:t>
      </w:r>
      <w:r>
        <w:rPr>
          <w:rFonts w:hint="eastAsia" w:ascii="宋体" w:hAnsi="宋体" w:eastAsia="宋体" w:cs="宋体"/>
          <w:color w:val="auto"/>
          <w:kern w:val="0"/>
          <w:sz w:val="24"/>
          <w:szCs w:val="24"/>
          <w:highlight w:val="none"/>
          <w:u w:val="single"/>
          <w:shd w:val="clear" w:color="auto" w:fill="FFFFFF"/>
        </w:rPr>
        <w:t>（标的名称）</w:t>
      </w:r>
      <w:r>
        <w:rPr>
          <w:rFonts w:hint="eastAsia" w:ascii="宋体" w:hAnsi="宋体" w:eastAsia="宋体" w:cs="宋体"/>
          <w:color w:val="auto"/>
          <w:kern w:val="0"/>
          <w:sz w:val="24"/>
          <w:szCs w:val="24"/>
          <w:highlight w:val="none"/>
          <w:shd w:val="clear" w:color="auto" w:fill="FFFFFF"/>
        </w:rPr>
        <w:t xml:space="preserve"> ，属于</w:t>
      </w:r>
      <w:r>
        <w:rPr>
          <w:rFonts w:hint="eastAsia" w:ascii="宋体" w:hAnsi="宋体" w:eastAsia="宋体" w:cs="宋体"/>
          <w:color w:val="auto"/>
          <w:kern w:val="0"/>
          <w:sz w:val="24"/>
          <w:szCs w:val="24"/>
          <w:highlight w:val="none"/>
          <w:u w:val="single"/>
          <w:shd w:val="clear" w:color="auto" w:fill="FFFFFF"/>
        </w:rPr>
        <w:t>（采购文件中明确的所属行业）</w:t>
      </w:r>
      <w:r>
        <w:rPr>
          <w:rFonts w:hint="eastAsia" w:ascii="宋体" w:hAnsi="宋体" w:eastAsia="宋体" w:cs="宋体"/>
          <w:color w:val="auto"/>
          <w:kern w:val="0"/>
          <w:sz w:val="24"/>
          <w:szCs w:val="24"/>
          <w:highlight w:val="none"/>
          <w:shd w:val="clear" w:color="auto" w:fill="FFFFFF"/>
        </w:rPr>
        <w:t>；承建（承接）企业为</w:t>
      </w:r>
      <w:r>
        <w:rPr>
          <w:rFonts w:hint="eastAsia" w:ascii="宋体" w:hAnsi="宋体" w:eastAsia="宋体" w:cs="宋体"/>
          <w:color w:val="auto"/>
          <w:kern w:val="0"/>
          <w:sz w:val="24"/>
          <w:szCs w:val="24"/>
          <w:highlight w:val="none"/>
          <w:u w:val="single"/>
          <w:shd w:val="clear" w:color="auto" w:fill="FFFFFF"/>
        </w:rPr>
        <w:t>（企业名称）</w:t>
      </w:r>
      <w:r>
        <w:rPr>
          <w:rFonts w:hint="eastAsia" w:ascii="宋体" w:hAnsi="宋体" w:eastAsia="宋体" w:cs="宋体"/>
          <w:color w:val="auto"/>
          <w:kern w:val="0"/>
          <w:sz w:val="24"/>
          <w:szCs w:val="24"/>
          <w:highlight w:val="none"/>
          <w:shd w:val="clear" w:color="auto" w:fill="FFFFFF"/>
        </w:rPr>
        <w:t>，从业人员</w:t>
      </w:r>
      <w:r>
        <w:rPr>
          <w:rFonts w:hint="eastAsia" w:ascii="宋体" w:hAnsi="宋体" w:eastAsia="宋体" w:cs="宋体"/>
          <w:color w:val="auto"/>
          <w:kern w:val="0"/>
          <w:sz w:val="24"/>
          <w:szCs w:val="24"/>
          <w:highlight w:val="none"/>
          <w:u w:val="single"/>
          <w:shd w:val="clear" w:color="auto" w:fill="FFFFFF"/>
        </w:rPr>
        <w:t xml:space="preserve"> /  </w:t>
      </w:r>
      <w:r>
        <w:rPr>
          <w:rFonts w:hint="eastAsia" w:ascii="宋体" w:hAnsi="宋体" w:eastAsia="宋体" w:cs="宋体"/>
          <w:color w:val="auto"/>
          <w:kern w:val="0"/>
          <w:sz w:val="24"/>
          <w:szCs w:val="24"/>
          <w:highlight w:val="none"/>
          <w:shd w:val="clear" w:color="auto" w:fill="FFFFFF"/>
        </w:rPr>
        <w:t>人，营业收入为</w:t>
      </w:r>
      <w:r>
        <w:rPr>
          <w:rFonts w:hint="eastAsia" w:ascii="宋体" w:hAnsi="宋体" w:eastAsia="宋体" w:cs="宋体"/>
          <w:color w:val="auto"/>
          <w:kern w:val="0"/>
          <w:sz w:val="24"/>
          <w:szCs w:val="24"/>
          <w:highlight w:val="none"/>
          <w:u w:val="single"/>
          <w:shd w:val="clear" w:color="auto" w:fill="FFFFFF"/>
        </w:rPr>
        <w:t xml:space="preserve">  / </w:t>
      </w:r>
      <w:r>
        <w:rPr>
          <w:rFonts w:hint="eastAsia" w:ascii="宋体" w:hAnsi="宋体" w:eastAsia="宋体" w:cs="宋体"/>
          <w:color w:val="auto"/>
          <w:kern w:val="0"/>
          <w:sz w:val="24"/>
          <w:szCs w:val="24"/>
          <w:highlight w:val="none"/>
          <w:shd w:val="clear" w:color="auto" w:fill="FFFFFF"/>
        </w:rPr>
        <w:t>万元，资产总额为</w:t>
      </w:r>
      <w:r>
        <w:rPr>
          <w:rFonts w:hint="eastAsia" w:ascii="宋体" w:hAnsi="宋体" w:eastAsia="宋体" w:cs="宋体"/>
          <w:color w:val="auto"/>
          <w:kern w:val="0"/>
          <w:sz w:val="24"/>
          <w:szCs w:val="24"/>
          <w:highlight w:val="none"/>
          <w:u w:val="single"/>
          <w:shd w:val="clear" w:color="auto" w:fill="FFFFFF"/>
        </w:rPr>
        <w:t xml:space="preserve">  / </w:t>
      </w:r>
      <w:r>
        <w:rPr>
          <w:rFonts w:hint="eastAsia" w:ascii="宋体" w:hAnsi="宋体" w:eastAsia="宋体" w:cs="宋体"/>
          <w:color w:val="auto"/>
          <w:kern w:val="0"/>
          <w:sz w:val="24"/>
          <w:szCs w:val="24"/>
          <w:highlight w:val="none"/>
          <w:shd w:val="clear" w:color="auto" w:fill="FFFFFF"/>
        </w:rPr>
        <w:t>万元，属于（</w:t>
      </w:r>
      <w:r>
        <w:rPr>
          <w:rFonts w:hint="eastAsia" w:ascii="宋体" w:hAnsi="宋体" w:eastAsia="宋体" w:cs="宋体"/>
          <w:color w:val="auto"/>
          <w:kern w:val="0"/>
          <w:sz w:val="24"/>
          <w:szCs w:val="24"/>
          <w:highlight w:val="none"/>
          <w:u w:val="single"/>
          <w:shd w:val="clear" w:color="auto" w:fill="FFFFFF"/>
        </w:rPr>
        <w:t>中型企业、小型企业、微型企业</w:t>
      </w:r>
      <w:r>
        <w:rPr>
          <w:rFonts w:hint="eastAsia" w:ascii="宋体" w:hAnsi="宋体" w:eastAsia="宋体" w:cs="宋体"/>
          <w:color w:val="auto"/>
          <w:kern w:val="0"/>
          <w:sz w:val="24"/>
          <w:szCs w:val="24"/>
          <w:highlight w:val="none"/>
          <w:shd w:val="clear" w:color="auto" w:fill="FFFFFF"/>
        </w:rPr>
        <w:t>）；</w:t>
      </w:r>
    </w:p>
    <w:p w14:paraId="259B284D">
      <w:pPr>
        <w:spacing w:line="360" w:lineRule="auto"/>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2. </w:t>
      </w:r>
      <w:r>
        <w:rPr>
          <w:rFonts w:hint="eastAsia" w:ascii="宋体" w:hAnsi="宋体" w:eastAsia="宋体" w:cs="宋体"/>
          <w:color w:val="auto"/>
          <w:kern w:val="0"/>
          <w:sz w:val="24"/>
          <w:szCs w:val="24"/>
          <w:highlight w:val="none"/>
          <w:u w:val="single"/>
          <w:shd w:val="clear" w:color="auto" w:fill="FFFFFF"/>
        </w:rPr>
        <w:t>（标的名称）</w:t>
      </w:r>
      <w:r>
        <w:rPr>
          <w:rFonts w:hint="eastAsia" w:ascii="宋体" w:hAnsi="宋体" w:eastAsia="宋体" w:cs="宋体"/>
          <w:color w:val="auto"/>
          <w:kern w:val="0"/>
          <w:sz w:val="24"/>
          <w:szCs w:val="24"/>
          <w:highlight w:val="none"/>
          <w:shd w:val="clear" w:color="auto" w:fill="FFFFFF"/>
        </w:rPr>
        <w:t xml:space="preserve"> ，属于</w:t>
      </w:r>
      <w:r>
        <w:rPr>
          <w:rFonts w:hint="eastAsia" w:ascii="宋体" w:hAnsi="宋体" w:eastAsia="宋体" w:cs="宋体"/>
          <w:color w:val="auto"/>
          <w:kern w:val="0"/>
          <w:sz w:val="24"/>
          <w:szCs w:val="24"/>
          <w:highlight w:val="none"/>
          <w:u w:val="single"/>
          <w:shd w:val="clear" w:color="auto" w:fill="FFFFFF"/>
        </w:rPr>
        <w:t>（采购文件中明确的所属行业）</w:t>
      </w:r>
      <w:r>
        <w:rPr>
          <w:rFonts w:hint="eastAsia" w:ascii="宋体" w:hAnsi="宋体" w:eastAsia="宋体" w:cs="宋体"/>
          <w:color w:val="auto"/>
          <w:kern w:val="0"/>
          <w:sz w:val="24"/>
          <w:szCs w:val="24"/>
          <w:highlight w:val="none"/>
          <w:shd w:val="clear" w:color="auto" w:fill="FFFFFF"/>
        </w:rPr>
        <w:t>；承建（承接）企业为</w:t>
      </w:r>
      <w:r>
        <w:rPr>
          <w:rFonts w:hint="eastAsia" w:ascii="宋体" w:hAnsi="宋体" w:eastAsia="宋体" w:cs="宋体"/>
          <w:color w:val="auto"/>
          <w:kern w:val="0"/>
          <w:sz w:val="24"/>
          <w:szCs w:val="24"/>
          <w:highlight w:val="none"/>
          <w:u w:val="single"/>
          <w:shd w:val="clear" w:color="auto" w:fill="FFFFFF"/>
        </w:rPr>
        <w:t>（企业名称）</w:t>
      </w:r>
      <w:r>
        <w:rPr>
          <w:rFonts w:hint="eastAsia" w:ascii="宋体" w:hAnsi="宋体" w:eastAsia="宋体" w:cs="宋体"/>
          <w:color w:val="auto"/>
          <w:kern w:val="0"/>
          <w:sz w:val="24"/>
          <w:szCs w:val="24"/>
          <w:highlight w:val="none"/>
          <w:shd w:val="clear" w:color="auto" w:fill="FFFFFF"/>
        </w:rPr>
        <w:t>，从业人员</w:t>
      </w:r>
      <w:r>
        <w:rPr>
          <w:rFonts w:hint="eastAsia" w:ascii="宋体" w:hAnsi="宋体" w:eastAsia="宋体" w:cs="宋体"/>
          <w:color w:val="auto"/>
          <w:kern w:val="0"/>
          <w:sz w:val="24"/>
          <w:szCs w:val="24"/>
          <w:highlight w:val="none"/>
          <w:u w:val="single"/>
          <w:shd w:val="clear" w:color="auto" w:fill="FFFFFF"/>
        </w:rPr>
        <w:t xml:space="preserve"> /  </w:t>
      </w:r>
      <w:r>
        <w:rPr>
          <w:rFonts w:hint="eastAsia" w:ascii="宋体" w:hAnsi="宋体" w:eastAsia="宋体" w:cs="宋体"/>
          <w:color w:val="auto"/>
          <w:kern w:val="0"/>
          <w:sz w:val="24"/>
          <w:szCs w:val="24"/>
          <w:highlight w:val="none"/>
          <w:shd w:val="clear" w:color="auto" w:fill="FFFFFF"/>
        </w:rPr>
        <w:t>人，营业收入为</w:t>
      </w:r>
      <w:r>
        <w:rPr>
          <w:rFonts w:hint="eastAsia" w:ascii="宋体" w:hAnsi="宋体" w:eastAsia="宋体" w:cs="宋体"/>
          <w:color w:val="auto"/>
          <w:kern w:val="0"/>
          <w:sz w:val="24"/>
          <w:szCs w:val="24"/>
          <w:highlight w:val="none"/>
          <w:u w:val="single"/>
          <w:shd w:val="clear" w:color="auto" w:fill="FFFFFF"/>
        </w:rPr>
        <w:t xml:space="preserve">  / </w:t>
      </w:r>
      <w:r>
        <w:rPr>
          <w:rFonts w:hint="eastAsia" w:ascii="宋体" w:hAnsi="宋体" w:eastAsia="宋体" w:cs="宋体"/>
          <w:color w:val="auto"/>
          <w:kern w:val="0"/>
          <w:sz w:val="24"/>
          <w:szCs w:val="24"/>
          <w:highlight w:val="none"/>
          <w:shd w:val="clear" w:color="auto" w:fill="FFFFFF"/>
        </w:rPr>
        <w:t>万元，资产总额为</w:t>
      </w:r>
      <w:r>
        <w:rPr>
          <w:rFonts w:hint="eastAsia" w:ascii="宋体" w:hAnsi="宋体" w:eastAsia="宋体" w:cs="宋体"/>
          <w:color w:val="auto"/>
          <w:kern w:val="0"/>
          <w:sz w:val="24"/>
          <w:szCs w:val="24"/>
          <w:highlight w:val="none"/>
          <w:u w:val="single"/>
          <w:shd w:val="clear" w:color="auto" w:fill="FFFFFF"/>
        </w:rPr>
        <w:t xml:space="preserve">  / </w:t>
      </w:r>
      <w:r>
        <w:rPr>
          <w:rFonts w:hint="eastAsia" w:ascii="宋体" w:hAnsi="宋体" w:eastAsia="宋体" w:cs="宋体"/>
          <w:color w:val="auto"/>
          <w:kern w:val="0"/>
          <w:sz w:val="24"/>
          <w:szCs w:val="24"/>
          <w:highlight w:val="none"/>
          <w:shd w:val="clear" w:color="auto" w:fill="FFFFFF"/>
        </w:rPr>
        <w:t>万元，属于（</w:t>
      </w:r>
      <w:r>
        <w:rPr>
          <w:rFonts w:hint="eastAsia" w:ascii="宋体" w:hAnsi="宋体" w:eastAsia="宋体" w:cs="宋体"/>
          <w:color w:val="auto"/>
          <w:kern w:val="0"/>
          <w:sz w:val="24"/>
          <w:szCs w:val="24"/>
          <w:highlight w:val="none"/>
          <w:u w:val="single"/>
          <w:shd w:val="clear" w:color="auto" w:fill="FFFFFF"/>
        </w:rPr>
        <w:t>中型企业、小型企业、微型企业</w:t>
      </w:r>
      <w:r>
        <w:rPr>
          <w:rFonts w:hint="eastAsia" w:ascii="宋体" w:hAnsi="宋体" w:eastAsia="宋体" w:cs="宋体"/>
          <w:color w:val="auto"/>
          <w:kern w:val="0"/>
          <w:sz w:val="24"/>
          <w:szCs w:val="24"/>
          <w:highlight w:val="none"/>
          <w:shd w:val="clear" w:color="auto" w:fill="FFFFFF"/>
        </w:rPr>
        <w:t>）；</w:t>
      </w:r>
    </w:p>
    <w:p w14:paraId="581F7338">
      <w:pPr>
        <w:spacing w:line="360" w:lineRule="auto"/>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p>
    <w:p w14:paraId="1D537FA4">
      <w:pPr>
        <w:spacing w:line="360" w:lineRule="auto"/>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以上企业，不属于大企业的分支机构，不存在控股股东为大企业的情形，也不存在与大企业的负责人为同一人的情形。</w:t>
      </w:r>
    </w:p>
    <w:p w14:paraId="29696EC8">
      <w:pPr>
        <w:spacing w:line="360" w:lineRule="auto"/>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本企业对上述声明内容的真实性负责。如有虚假，将依法承担相应责任。</w:t>
      </w:r>
    </w:p>
    <w:p w14:paraId="2741E916">
      <w:pPr>
        <w:spacing w:line="360" w:lineRule="auto"/>
        <w:ind w:firstLine="480" w:firstLineChars="200"/>
        <w:jc w:val="righ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企业名称（盖章）：</w:t>
      </w:r>
    </w:p>
    <w:p w14:paraId="7301105F">
      <w:pPr>
        <w:spacing w:line="360" w:lineRule="auto"/>
        <w:ind w:right="480" w:firstLine="480" w:firstLineChars="200"/>
        <w:jc w:val="right"/>
        <w:rPr>
          <w:rFonts w:hint="eastAsia" w:ascii="宋体" w:hAnsi="宋体" w:eastAsia="宋体" w:cs="宋体"/>
          <w:b/>
          <w:color w:val="auto"/>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日期：</w:t>
      </w:r>
    </w:p>
    <w:p w14:paraId="6A3AE578">
      <w:pPr>
        <w:widowControl/>
        <w:spacing w:line="400" w:lineRule="exact"/>
        <w:rPr>
          <w:rFonts w:hint="eastAsia" w:ascii="宋体" w:hAnsi="宋体" w:eastAsia="宋体" w:cs="宋体"/>
          <w:b/>
          <w:bCs/>
          <w:color w:val="auto"/>
          <w:sz w:val="18"/>
          <w:szCs w:val="21"/>
          <w:highlight w:val="none"/>
        </w:rPr>
      </w:pPr>
    </w:p>
    <w:p w14:paraId="19578ED3">
      <w:pPr>
        <w:widowControl/>
        <w:spacing w:line="400" w:lineRule="exact"/>
        <w:rPr>
          <w:rFonts w:hint="eastAsia" w:ascii="宋体" w:hAnsi="宋体" w:eastAsia="宋体" w:cs="宋体"/>
          <w:b/>
          <w:bCs/>
          <w:color w:val="auto"/>
          <w:sz w:val="18"/>
          <w:szCs w:val="21"/>
          <w:highlight w:val="none"/>
        </w:rPr>
      </w:pPr>
    </w:p>
    <w:p w14:paraId="3992A5FA">
      <w:pPr>
        <w:widowControl/>
        <w:spacing w:line="400" w:lineRule="exact"/>
        <w:rPr>
          <w:rFonts w:hint="eastAsia" w:ascii="宋体" w:hAnsi="宋体" w:eastAsia="宋体" w:cs="宋体"/>
          <w:b/>
          <w:bCs/>
          <w:color w:val="auto"/>
          <w:sz w:val="18"/>
          <w:szCs w:val="21"/>
          <w:highlight w:val="none"/>
        </w:rPr>
      </w:pPr>
      <w:r>
        <w:rPr>
          <w:rFonts w:hint="eastAsia" w:ascii="宋体" w:hAnsi="宋体" w:eastAsia="宋体" w:cs="宋体"/>
          <w:b/>
          <w:bCs/>
          <w:color w:val="auto"/>
          <w:sz w:val="18"/>
          <w:szCs w:val="21"/>
          <w:highlight w:val="none"/>
        </w:rPr>
        <w:t>备注：1、从业人员、营业收入、资产总额填报上一年度数据，无上一年度数据的新成立企业可不填报。</w:t>
      </w:r>
    </w:p>
    <w:p w14:paraId="2A5DDF1A">
      <w:pPr>
        <w:widowControl/>
        <w:spacing w:line="400" w:lineRule="exact"/>
        <w:ind w:firstLine="542" w:firstLineChars="3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2、</w:t>
      </w:r>
      <w:r>
        <w:rPr>
          <w:rFonts w:hint="eastAsia" w:ascii="宋体" w:hAnsi="宋体" w:eastAsia="宋体" w:cs="宋体"/>
          <w:b/>
          <w:color w:val="auto"/>
          <w:sz w:val="18"/>
          <w:highlight w:val="none"/>
          <w:lang w:eastAsia="zh-CN"/>
        </w:rPr>
        <w:t>供应商为中小企业</w:t>
      </w:r>
      <w:r>
        <w:rPr>
          <w:rFonts w:hint="eastAsia" w:ascii="宋体" w:hAnsi="宋体" w:eastAsia="宋体" w:cs="宋体"/>
          <w:b/>
          <w:bCs/>
          <w:color w:val="auto"/>
          <w:sz w:val="18"/>
          <w:highlight w:val="none"/>
        </w:rPr>
        <w:t>时需提供本声明函，并完整填写从业人员、营业收入、资产总额等内容，否则将不能通过资格审查。</w:t>
      </w:r>
    </w:p>
    <w:p w14:paraId="147A5010">
      <w:pPr>
        <w:spacing w:line="360" w:lineRule="auto"/>
        <w:ind w:firstLine="482" w:firstLineChars="200"/>
        <w:rPr>
          <w:rFonts w:hint="eastAsia" w:asciiTheme="minorEastAsia" w:hAnsiTheme="minorEastAsia" w:eastAsiaTheme="minorEastAsia" w:cstheme="minorEastAsia"/>
          <w:b/>
          <w:bCs/>
          <w:kern w:val="0"/>
          <w:sz w:val="24"/>
          <w:szCs w:val="24"/>
          <w:highlight w:val="none"/>
        </w:rPr>
        <w:sectPr>
          <w:footerReference r:id="rId3" w:type="default"/>
          <w:pgSz w:w="11910" w:h="16840"/>
          <w:pgMar w:top="1134" w:right="1134" w:bottom="1134" w:left="1134" w:header="0" w:footer="998" w:gutter="0"/>
          <w:pgNumType w:fmt="decimal" w:start="1"/>
          <w:cols w:space="720" w:num="1"/>
          <w:docGrid w:linePitch="1" w:charSpace="0"/>
        </w:sectPr>
      </w:pPr>
    </w:p>
    <w:p w14:paraId="53158D9C">
      <w:pPr>
        <w:snapToGrid w:val="0"/>
        <w:spacing w:line="360" w:lineRule="auto"/>
        <w:jc w:val="left"/>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附件9</w:t>
      </w:r>
      <w:r>
        <w:rPr>
          <w:rFonts w:hint="eastAsia" w:asciiTheme="minorEastAsia" w:hAnsiTheme="minorEastAsia" w:eastAsiaTheme="minorEastAsia" w:cstheme="minorEastAsia"/>
          <w:b/>
          <w:bCs/>
          <w:kern w:val="0"/>
          <w:sz w:val="24"/>
          <w:szCs w:val="24"/>
          <w:highlight w:val="none"/>
          <w:lang w:val="en-US" w:eastAsia="zh-CN"/>
        </w:rPr>
        <w:t>-2</w:t>
      </w:r>
      <w:r>
        <w:rPr>
          <w:rFonts w:hint="eastAsia" w:asciiTheme="minorEastAsia" w:hAnsiTheme="minorEastAsia" w:eastAsiaTheme="minorEastAsia" w:cstheme="minorEastAsia"/>
          <w:b/>
          <w:bCs/>
          <w:kern w:val="0"/>
          <w:sz w:val="24"/>
          <w:szCs w:val="24"/>
          <w:highlight w:val="none"/>
        </w:rPr>
        <w:t>：</w:t>
      </w:r>
    </w:p>
    <w:p w14:paraId="5DA78115">
      <w:pPr>
        <w:ind w:firstLine="482" w:firstLineChars="20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分包意向协议</w:t>
      </w:r>
    </w:p>
    <w:p w14:paraId="26B4F8F7">
      <w:pPr>
        <w:widowControl/>
        <w:spacing w:line="360" w:lineRule="auto"/>
        <w:ind w:firstLine="360" w:firstLineChars="150"/>
        <w:jc w:val="left"/>
        <w:rPr>
          <w:rFonts w:hint="eastAsia" w:asciiTheme="minorEastAsia" w:hAnsiTheme="minorEastAsia" w:eastAsiaTheme="minorEastAsia" w:cstheme="minorEastAsia"/>
          <w:sz w:val="24"/>
          <w:szCs w:val="24"/>
          <w:highlight w:val="none"/>
        </w:rPr>
      </w:pPr>
    </w:p>
    <w:p w14:paraId="20AA82BB">
      <w:pPr>
        <w:widowControl/>
        <w:spacing w:line="360" w:lineRule="auto"/>
        <w:ind w:firstLine="360" w:firstLineChars="15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sz w:val="24"/>
          <w:szCs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sz w:val="24"/>
          <w:szCs w:val="24"/>
          <w:highlight w:val="none"/>
        </w:rPr>
        <w:t>）</w:t>
      </w:r>
    </w:p>
    <w:p w14:paraId="2229B9D4">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u w:val="single"/>
        </w:rPr>
        <w:t>（投标人名称）</w:t>
      </w:r>
      <w:r>
        <w:rPr>
          <w:rFonts w:hint="eastAsia" w:asciiTheme="minorEastAsia" w:hAnsiTheme="minorEastAsia" w:eastAsiaTheme="minorEastAsia" w:cstheme="minorEastAsia"/>
          <w:kern w:val="0"/>
          <w:sz w:val="24"/>
          <w:szCs w:val="24"/>
          <w:highlight w:val="none"/>
          <w:lang w:val="zh-CN"/>
        </w:rPr>
        <w:t>若成为</w:t>
      </w:r>
      <w:r>
        <w:rPr>
          <w:rFonts w:hint="eastAsia" w:asciiTheme="minorEastAsia" w:hAnsiTheme="minorEastAsia" w:eastAsiaTheme="minorEastAsia" w:cstheme="minorEastAsia"/>
          <w:sz w:val="24"/>
          <w:szCs w:val="24"/>
          <w:highlight w:val="none"/>
        </w:rPr>
        <w:t>（项目名称）【招标编号：（采购编号）】</w:t>
      </w:r>
      <w:r>
        <w:rPr>
          <w:rFonts w:hint="eastAsia" w:asciiTheme="minorEastAsia" w:hAnsiTheme="minorEastAsia" w:eastAsiaTheme="minorEastAsia" w:cstheme="minorEastAsia"/>
          <w:kern w:val="0"/>
          <w:sz w:val="24"/>
          <w:szCs w:val="24"/>
          <w:highlight w:val="none"/>
          <w:lang w:val="zh-CN"/>
        </w:rPr>
        <w:t>的中标供应商，将依法采取分包方式履行合同。</w:t>
      </w:r>
      <w:r>
        <w:rPr>
          <w:rFonts w:hint="eastAsia" w:asciiTheme="minorEastAsia" w:hAnsiTheme="minorEastAsia" w:eastAsiaTheme="minorEastAsia" w:cstheme="minorEastAsia"/>
          <w:kern w:val="0"/>
          <w:sz w:val="24"/>
          <w:szCs w:val="24"/>
          <w:highlight w:val="none"/>
          <w:u w:val="single"/>
        </w:rPr>
        <w:t>（投标人名称）</w:t>
      </w:r>
      <w:r>
        <w:rPr>
          <w:rFonts w:hint="eastAsia" w:asciiTheme="minorEastAsia" w:hAnsiTheme="minorEastAsia" w:eastAsiaTheme="minorEastAsia" w:cstheme="minorEastAsia"/>
          <w:kern w:val="0"/>
          <w:sz w:val="24"/>
          <w:szCs w:val="24"/>
          <w:highlight w:val="none"/>
        </w:rPr>
        <w:t>与</w:t>
      </w:r>
      <w:r>
        <w:rPr>
          <w:rFonts w:hint="eastAsia" w:asciiTheme="minorEastAsia" w:hAnsiTheme="minorEastAsia" w:eastAsiaTheme="minorEastAsia" w:cstheme="minorEastAsia"/>
          <w:kern w:val="0"/>
          <w:sz w:val="24"/>
          <w:szCs w:val="24"/>
          <w:highlight w:val="none"/>
          <w:u w:val="single"/>
        </w:rPr>
        <w:t>（所有分包供应商名称）</w:t>
      </w:r>
      <w:r>
        <w:rPr>
          <w:rFonts w:hint="eastAsia" w:asciiTheme="minorEastAsia" w:hAnsiTheme="minorEastAsia" w:eastAsiaTheme="minorEastAsia" w:cstheme="minorEastAsia"/>
          <w:kern w:val="0"/>
          <w:sz w:val="24"/>
          <w:szCs w:val="24"/>
          <w:highlight w:val="none"/>
        </w:rPr>
        <w:t>达成分包意向协议</w:t>
      </w:r>
      <w:r>
        <w:rPr>
          <w:rFonts w:hint="eastAsia" w:asciiTheme="minorEastAsia" w:hAnsiTheme="minorEastAsia" w:eastAsiaTheme="minorEastAsia" w:cstheme="minorEastAsia"/>
          <w:kern w:val="0"/>
          <w:sz w:val="24"/>
          <w:szCs w:val="24"/>
          <w:highlight w:val="none"/>
          <w:lang w:val="zh-CN"/>
        </w:rPr>
        <w:t xml:space="preserve">。 </w:t>
      </w:r>
    </w:p>
    <w:p w14:paraId="63219A33">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一、分包标的及数量</w:t>
      </w:r>
    </w:p>
    <w:p w14:paraId="70A0C760">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u w:val="single"/>
        </w:rPr>
        <w:t>（投标人名称）</w:t>
      </w:r>
      <w:r>
        <w:rPr>
          <w:rFonts w:hint="eastAsia" w:asciiTheme="minorEastAsia" w:hAnsiTheme="minorEastAsia" w:eastAsiaTheme="minorEastAsia" w:cstheme="minorEastAsia"/>
          <w:kern w:val="0"/>
          <w:sz w:val="24"/>
          <w:szCs w:val="24"/>
          <w:highlight w:val="none"/>
          <w:lang w:val="zh-CN"/>
        </w:rPr>
        <w:t>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rPr>
        <w:t>工作内容</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分包给</w:t>
      </w:r>
      <w:r>
        <w:rPr>
          <w:rFonts w:hint="eastAsia" w:asciiTheme="minorEastAsia" w:hAnsiTheme="minorEastAsia" w:eastAsiaTheme="minorEastAsia" w:cstheme="minorEastAsia"/>
          <w:kern w:val="0"/>
          <w:sz w:val="24"/>
          <w:szCs w:val="24"/>
          <w:highlight w:val="none"/>
          <w:u w:val="single"/>
        </w:rPr>
        <w:t>（分包供应商名称）</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kern w:val="0"/>
          <w:sz w:val="24"/>
          <w:szCs w:val="24"/>
          <w:highlight w:val="none"/>
          <w:u w:val="single"/>
        </w:rPr>
        <w:t>（分包供应商名称），</w:t>
      </w:r>
      <w:r>
        <w:rPr>
          <w:rFonts w:hint="eastAsia" w:asciiTheme="minorEastAsia" w:hAnsiTheme="minorEastAsia" w:eastAsiaTheme="minorEastAsia" w:cstheme="minorEastAsia"/>
          <w:kern w:val="0"/>
          <w:sz w:val="24"/>
          <w:szCs w:val="24"/>
          <w:highlight w:val="none"/>
          <w:lang w:val="zh-CN"/>
        </w:rPr>
        <w:t>具备承</w:t>
      </w:r>
      <w:r>
        <w:rPr>
          <w:rFonts w:hint="eastAsia" w:asciiTheme="minorEastAsia" w:hAnsiTheme="minorEastAsia" w:eastAsiaTheme="minorEastAsia" w:cstheme="minorEastAsia"/>
          <w:kern w:val="0"/>
          <w:sz w:val="24"/>
          <w:szCs w:val="24"/>
          <w:highlight w:val="none"/>
        </w:rPr>
        <w:t>担</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u w:val="single"/>
          <w:lang w:val="zh-CN"/>
        </w:rPr>
        <w:t>工作内容）</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lang w:val="zh-CN"/>
        </w:rPr>
        <w:t>相应资质条件且不得再次分包；</w:t>
      </w:r>
    </w:p>
    <w:p w14:paraId="348C963D">
      <w:pPr>
        <w:pStyle w:val="4"/>
        <w:numPr>
          <w:ilvl w:val="1"/>
          <w:numId w:val="0"/>
        </w:numPr>
        <w:tabs>
          <w:tab w:val="left" w:pos="432"/>
          <w:tab w:val="clear" w:pos="420"/>
        </w:tabs>
        <w:ind w:leftChars="411"/>
        <w:jc w:val="center"/>
        <w:rPr>
          <w:rFonts w:hint="eastAsia" w:asciiTheme="minorEastAsia" w:hAnsiTheme="minorEastAsia" w:eastAsiaTheme="minorEastAsia" w:cstheme="minorEastAsia"/>
          <w:kern w:val="0"/>
          <w:sz w:val="24"/>
          <w:szCs w:val="24"/>
          <w:highlight w:val="none"/>
          <w:lang w:val="zh-CN"/>
        </w:rPr>
      </w:pPr>
      <w:bookmarkStart w:id="6" w:name="_Toc17715"/>
      <w:bookmarkStart w:id="7" w:name="_Toc8168"/>
      <w:bookmarkStart w:id="8" w:name="_Toc17331"/>
      <w:r>
        <w:rPr>
          <w:rFonts w:hint="eastAsia" w:asciiTheme="minorEastAsia" w:hAnsiTheme="minorEastAsia" w:eastAsiaTheme="minorEastAsia" w:cstheme="minorEastAsia"/>
          <w:sz w:val="24"/>
          <w:szCs w:val="24"/>
          <w:highlight w:val="none"/>
        </w:rPr>
        <w:t>……</w:t>
      </w:r>
      <w:bookmarkEnd w:id="6"/>
      <w:bookmarkEnd w:id="7"/>
      <w:bookmarkEnd w:id="8"/>
    </w:p>
    <w:p w14:paraId="411797A5">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二、分包工作履行期限、地点、方式</w:t>
      </w:r>
    </w:p>
    <w:p w14:paraId="197395D1">
      <w:pPr>
        <w:snapToGrid w:val="0"/>
        <w:spacing w:line="360" w:lineRule="auto"/>
        <w:ind w:firstLine="576"/>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 xml:space="preserve">                                                                                  </w:t>
      </w:r>
    </w:p>
    <w:p w14:paraId="1E609A3F">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三、质量</w:t>
      </w:r>
    </w:p>
    <w:p w14:paraId="5872F8D1">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sz w:val="24"/>
          <w:szCs w:val="24"/>
          <w:highlight w:val="none"/>
          <w:u w:val="single"/>
        </w:rPr>
        <w:t xml:space="preserve">                                                                                       </w:t>
      </w:r>
    </w:p>
    <w:p w14:paraId="63E7D8E4">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四、价款或者报酬</w:t>
      </w:r>
    </w:p>
    <w:p w14:paraId="46D6DC64">
      <w:pPr>
        <w:snapToGrid w:val="0"/>
        <w:spacing w:line="360" w:lineRule="auto"/>
        <w:ind w:left="573" w:leftChars="273"/>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sz w:val="24"/>
          <w:szCs w:val="24"/>
          <w:highlight w:val="none"/>
          <w:u w:val="single"/>
        </w:rPr>
        <w:t xml:space="preserve">                                                                                     </w:t>
      </w:r>
    </w:p>
    <w:p w14:paraId="7C08D013">
      <w:pPr>
        <w:snapToGrid w:val="0"/>
        <w:spacing w:line="360" w:lineRule="auto"/>
        <w:ind w:left="573" w:leftChars="273"/>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五、违约责任</w:t>
      </w:r>
    </w:p>
    <w:p w14:paraId="4940352D">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sz w:val="24"/>
          <w:szCs w:val="24"/>
          <w:highlight w:val="none"/>
          <w:u w:val="single"/>
        </w:rPr>
        <w:t xml:space="preserve">                                                                                     </w:t>
      </w:r>
    </w:p>
    <w:p w14:paraId="66450062">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六、争议解决的办法</w:t>
      </w:r>
    </w:p>
    <w:p w14:paraId="4A50B18F">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sz w:val="24"/>
          <w:szCs w:val="24"/>
          <w:highlight w:val="none"/>
          <w:u w:val="single"/>
        </w:rPr>
        <w:t xml:space="preserve">                                                                                  </w:t>
      </w:r>
    </w:p>
    <w:p w14:paraId="541244EA">
      <w:pPr>
        <w:snapToGrid w:val="0"/>
        <w:spacing w:line="360" w:lineRule="auto"/>
        <w:ind w:firstLine="576"/>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七、其他</w:t>
      </w:r>
    </w:p>
    <w:p w14:paraId="15288356">
      <w:pPr>
        <w:snapToGrid w:val="0"/>
        <w:spacing w:line="360" w:lineRule="auto"/>
        <w:ind w:left="5758" w:leftChars="342" w:hanging="5040" w:hangingChars="21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sz w:val="24"/>
          <w:szCs w:val="24"/>
          <w:highlight w:val="none"/>
        </w:rPr>
        <w:t>中小企业合同金额达到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%，小微企业合同金额达到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lang w:val="zh-CN"/>
        </w:rPr>
        <w:t xml:space="preserve">。                                           </w:t>
      </w:r>
    </w:p>
    <w:p w14:paraId="10E1ECDB">
      <w:pPr>
        <w:snapToGrid w:val="0"/>
        <w:spacing w:line="360" w:lineRule="auto"/>
        <w:ind w:left="5758" w:leftChars="342" w:hanging="5040" w:hangingChars="2100"/>
        <w:rPr>
          <w:rFonts w:hint="eastAsia" w:asciiTheme="minorEastAsia" w:hAnsiTheme="minorEastAsia" w:eastAsiaTheme="minorEastAsia" w:cstheme="minorEastAsia"/>
          <w:kern w:val="0"/>
          <w:sz w:val="24"/>
          <w:szCs w:val="24"/>
          <w:highlight w:val="none"/>
          <w:lang w:val="zh-CN"/>
        </w:rPr>
      </w:pPr>
    </w:p>
    <w:p w14:paraId="4430BA86">
      <w:pPr>
        <w:snapToGrid w:val="0"/>
        <w:spacing w:line="480" w:lineRule="auto"/>
        <w:ind w:left="5758" w:leftChars="342" w:hanging="5040" w:hangingChars="2100"/>
        <w:jc w:val="center"/>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 xml:space="preserve">                                     </w:t>
      </w:r>
      <w:r>
        <w:rPr>
          <w:rFonts w:hint="eastAsia" w:asciiTheme="minorEastAsia" w:hAnsiTheme="minorEastAsia" w:eastAsiaTheme="minorEastAsia" w:cstheme="minorEastAsia"/>
          <w:kern w:val="0"/>
          <w:sz w:val="24"/>
          <w:szCs w:val="24"/>
          <w:highlight w:val="none"/>
          <w:lang w:val="zh-CN"/>
        </w:rPr>
        <w:t>投标人名称(</w:t>
      </w:r>
      <w:r>
        <w:rPr>
          <w:rFonts w:hint="eastAsia" w:asciiTheme="minorEastAsia" w:hAnsiTheme="minorEastAsia" w:eastAsiaTheme="minorEastAsia" w:cstheme="minorEastAsia"/>
          <w:kern w:val="0"/>
          <w:sz w:val="24"/>
          <w:szCs w:val="24"/>
          <w:highlight w:val="none"/>
          <w:lang w:val="en-US" w:eastAsia="zh-CN"/>
        </w:rPr>
        <w:t>盖章</w:t>
      </w:r>
      <w:r>
        <w:rPr>
          <w:rFonts w:hint="eastAsia" w:asciiTheme="minorEastAsia" w:hAnsiTheme="minorEastAsia" w:eastAsiaTheme="minorEastAsia" w:cstheme="minorEastAsia"/>
          <w:kern w:val="0"/>
          <w:sz w:val="24"/>
          <w:szCs w:val="24"/>
          <w:highlight w:val="none"/>
          <w:lang w:val="zh-CN"/>
        </w:rPr>
        <w:t>)：</w:t>
      </w:r>
    </w:p>
    <w:p w14:paraId="02F64182">
      <w:pPr>
        <w:snapToGrid w:val="0"/>
        <w:spacing w:line="480" w:lineRule="auto"/>
        <w:ind w:firstLine="5760" w:firstLineChars="24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分包供应商名称：</w:t>
      </w:r>
    </w:p>
    <w:p w14:paraId="3054194D">
      <w:pPr>
        <w:spacing w:line="480" w:lineRule="auto"/>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lang w:val="zh-CN"/>
        </w:rPr>
        <w:t xml:space="preserve">       </w:t>
      </w:r>
      <w:r>
        <w:rPr>
          <w:rFonts w:hint="eastAsia" w:asciiTheme="minorEastAsia" w:hAnsiTheme="minorEastAsia" w:eastAsiaTheme="minorEastAsia" w:cstheme="minorEastAsia"/>
          <w:kern w:val="0"/>
          <w:sz w:val="24"/>
          <w:szCs w:val="24"/>
          <w:highlight w:val="none"/>
          <w:lang w:val="en-US" w:eastAsia="zh-CN"/>
        </w:rPr>
        <w:t xml:space="preserve">                                  </w:t>
      </w:r>
      <w:r>
        <w:rPr>
          <w:rFonts w:hint="eastAsia" w:asciiTheme="minorEastAsia" w:hAnsiTheme="minorEastAsia" w:eastAsiaTheme="minorEastAsia" w:cstheme="minorEastAsia"/>
          <w:kern w:val="0"/>
          <w:sz w:val="24"/>
          <w:szCs w:val="24"/>
          <w:highlight w:val="none"/>
          <w:lang w:val="zh-CN"/>
        </w:rPr>
        <w:t xml:space="preserve"> 日期：  年  </w:t>
      </w:r>
      <w:r>
        <w:rPr>
          <w:rFonts w:hint="eastAsia" w:asciiTheme="minorEastAsia" w:hAnsiTheme="minorEastAsia" w:eastAsiaTheme="minorEastAsia" w:cstheme="minorEastAsia"/>
          <w:kern w:val="0"/>
          <w:sz w:val="24"/>
          <w:szCs w:val="24"/>
          <w:highlight w:val="none"/>
          <w:lang w:val="en-US" w:eastAsia="zh-CN"/>
        </w:rPr>
        <w:t xml:space="preserve">  </w:t>
      </w:r>
      <w:r>
        <w:rPr>
          <w:rFonts w:hint="eastAsia" w:asciiTheme="minorEastAsia" w:hAnsiTheme="minorEastAsia" w:eastAsiaTheme="minorEastAsia" w:cstheme="minorEastAsia"/>
          <w:kern w:val="0"/>
          <w:sz w:val="24"/>
          <w:szCs w:val="24"/>
          <w:highlight w:val="none"/>
          <w:lang w:val="zh-CN"/>
        </w:rPr>
        <w:t>月   日</w:t>
      </w:r>
    </w:p>
    <w:p w14:paraId="7A555994">
      <w:pP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p>
    <w:p w14:paraId="3A487A1D">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附件10：</w:t>
      </w:r>
    </w:p>
    <w:p w14:paraId="3CD41A67">
      <w:pPr>
        <w:spacing w:line="240" w:lineRule="auto"/>
        <w:jc w:val="center"/>
        <w:rPr>
          <w:rFonts w:hint="eastAsia" w:asciiTheme="minorEastAsia" w:hAnsiTheme="minorEastAsia" w:eastAsiaTheme="minorEastAsia" w:cstheme="minorEastAsia"/>
          <w:b/>
          <w:spacing w:val="6"/>
          <w:sz w:val="28"/>
          <w:szCs w:val="28"/>
          <w:highlight w:val="none"/>
        </w:rPr>
      </w:pPr>
      <w:bookmarkStart w:id="9" w:name="OLE_LINK13"/>
      <w:bookmarkStart w:id="10" w:name="OLE_LINK14"/>
      <w:r>
        <w:rPr>
          <w:rFonts w:hint="eastAsia" w:asciiTheme="minorEastAsia" w:hAnsiTheme="minorEastAsia" w:eastAsiaTheme="minorEastAsia" w:cstheme="minorEastAsia"/>
          <w:b/>
          <w:spacing w:val="6"/>
          <w:sz w:val="28"/>
          <w:szCs w:val="28"/>
          <w:highlight w:val="none"/>
        </w:rPr>
        <w:t>残疾人福利性单位声明函</w:t>
      </w:r>
    </w:p>
    <w:bookmarkEnd w:id="9"/>
    <w:bookmarkEnd w:id="10"/>
    <w:p w14:paraId="3107BE90">
      <w:pPr>
        <w:spacing w:line="240" w:lineRule="auto"/>
        <w:rPr>
          <w:rFonts w:hint="eastAsia" w:asciiTheme="minorEastAsia" w:hAnsiTheme="minorEastAsia" w:eastAsiaTheme="minorEastAsia" w:cstheme="minorEastAsia"/>
          <w:b/>
          <w:spacing w:val="6"/>
          <w:sz w:val="24"/>
          <w:szCs w:val="24"/>
          <w:highlight w:val="none"/>
        </w:rPr>
      </w:pPr>
    </w:p>
    <w:p w14:paraId="034574F3">
      <w:pPr>
        <w:spacing w:line="36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sz w:val="24"/>
          <w:szCs w:val="24"/>
          <w:highlight w:val="none"/>
        </w:rPr>
        <w:t>〔2017〕 141</w:t>
      </w:r>
      <w:r>
        <w:rPr>
          <w:rFonts w:hint="eastAsia" w:asciiTheme="minorEastAsia" w:hAnsiTheme="minorEastAsia" w:eastAsiaTheme="minorEastAsia" w:cstheme="minorEastAsia"/>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spacing w:val="6"/>
          <w:sz w:val="24"/>
          <w:szCs w:val="24"/>
          <w:highlight w:val="none"/>
          <w:u w:val="single"/>
        </w:rPr>
        <w:t xml:space="preserve">          </w:t>
      </w:r>
      <w:r>
        <w:rPr>
          <w:rFonts w:hint="eastAsia" w:asciiTheme="minorEastAsia" w:hAnsiTheme="minorEastAsia" w:eastAsiaTheme="minorEastAsia" w:cstheme="minorEastAsia"/>
          <w:spacing w:val="6"/>
          <w:sz w:val="24"/>
          <w:szCs w:val="24"/>
          <w:highlight w:val="none"/>
        </w:rPr>
        <w:t>单位的</w:t>
      </w:r>
      <w:r>
        <w:rPr>
          <w:rFonts w:hint="eastAsia" w:asciiTheme="minorEastAsia" w:hAnsiTheme="minorEastAsia" w:eastAsiaTheme="minorEastAsia" w:cstheme="minorEastAsia"/>
          <w:spacing w:val="6"/>
          <w:sz w:val="24"/>
          <w:szCs w:val="24"/>
          <w:highlight w:val="none"/>
          <w:u w:val="single"/>
        </w:rPr>
        <w:t xml:space="preserve">             </w:t>
      </w:r>
      <w:r>
        <w:rPr>
          <w:rFonts w:hint="eastAsia" w:asciiTheme="minorEastAsia" w:hAnsiTheme="minorEastAsia" w:eastAsiaTheme="minorEastAsia" w:cstheme="minorEastAsia"/>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47AE0B9E">
      <w:pPr>
        <w:spacing w:line="360" w:lineRule="auto"/>
        <w:ind w:firstLine="504" w:firstLineChars="200"/>
        <w:jc w:val="left"/>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本单位对上述声明的真实性负责。如有虚假，将依法承担相应责任。</w:t>
      </w:r>
    </w:p>
    <w:p w14:paraId="2FF91247">
      <w:pPr>
        <w:spacing w:line="240" w:lineRule="auto"/>
        <w:rPr>
          <w:rFonts w:hint="eastAsia" w:asciiTheme="minorEastAsia" w:hAnsiTheme="minorEastAsia" w:eastAsiaTheme="minorEastAsia" w:cstheme="minorEastAsia"/>
          <w:spacing w:val="6"/>
          <w:sz w:val="24"/>
          <w:szCs w:val="24"/>
          <w:highlight w:val="none"/>
        </w:rPr>
      </w:pPr>
    </w:p>
    <w:p w14:paraId="77C61897">
      <w:pPr>
        <w:snapToGrid w:val="0"/>
        <w:spacing w:line="360" w:lineRule="auto"/>
        <w:ind w:firstLine="504"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 xml:space="preserve">                              </w:t>
      </w: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lang w:eastAsia="zh-CN"/>
        </w:rPr>
        <w:t>盖章</w:t>
      </w:r>
      <w:r>
        <w:rPr>
          <w:rFonts w:hint="eastAsia" w:asciiTheme="minorEastAsia" w:hAnsiTheme="minorEastAsia" w:eastAsiaTheme="minorEastAsia" w:cstheme="minorEastAsia"/>
          <w:sz w:val="24"/>
          <w:szCs w:val="24"/>
          <w:highlight w:val="none"/>
        </w:rPr>
        <w:t>）</w:t>
      </w:r>
    </w:p>
    <w:p w14:paraId="6B5EFEAA">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法定代表人或委托代理人：（签字或盖章）</w:t>
      </w:r>
    </w:p>
    <w:p w14:paraId="03E52396">
      <w:pPr>
        <w:tabs>
          <w:tab w:val="left" w:pos="4860"/>
        </w:tabs>
        <w:spacing w:line="360" w:lineRule="auto"/>
        <w:ind w:right="1560" w:firstLine="480" w:firstLineChars="200"/>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日期：    年    月    日</w:t>
      </w:r>
    </w:p>
    <w:p w14:paraId="377F1928">
      <w:pPr>
        <w:spacing w:line="240" w:lineRule="auto"/>
        <w:rPr>
          <w:rFonts w:hint="eastAsia" w:asciiTheme="minorEastAsia" w:hAnsiTheme="minorEastAsia" w:eastAsiaTheme="minorEastAsia" w:cstheme="minorEastAsia"/>
          <w:b/>
          <w:bCs/>
          <w:kern w:val="0"/>
          <w:sz w:val="24"/>
          <w:szCs w:val="24"/>
          <w:highlight w:val="none"/>
        </w:rPr>
      </w:pPr>
    </w:p>
    <w:p w14:paraId="4783CA3F">
      <w:pPr>
        <w:spacing w:line="240" w:lineRule="auto"/>
        <w:rPr>
          <w:rFonts w:hint="eastAsia" w:asciiTheme="minorEastAsia" w:hAnsiTheme="minorEastAsia" w:eastAsiaTheme="minorEastAsia" w:cstheme="minorEastAsia"/>
          <w:b/>
          <w:bCs/>
          <w:kern w:val="0"/>
          <w:sz w:val="24"/>
          <w:szCs w:val="24"/>
          <w:highlight w:val="none"/>
        </w:rPr>
      </w:pPr>
    </w:p>
    <w:p w14:paraId="2769CD74">
      <w:pPr>
        <w:spacing w:line="240" w:lineRule="auto"/>
        <w:rPr>
          <w:rFonts w:hint="eastAsia" w:asciiTheme="minorEastAsia" w:hAnsiTheme="minorEastAsia" w:eastAsiaTheme="minorEastAsia" w:cstheme="minorEastAsia"/>
          <w:b/>
          <w:bCs/>
          <w:kern w:val="0"/>
          <w:sz w:val="24"/>
          <w:szCs w:val="24"/>
          <w:highlight w:val="none"/>
        </w:rPr>
      </w:pPr>
    </w:p>
    <w:p w14:paraId="4A01798A">
      <w:pPr>
        <w:spacing w:line="240" w:lineRule="auto"/>
        <w:rPr>
          <w:rFonts w:hint="eastAsia" w:asciiTheme="minorEastAsia" w:hAnsiTheme="minorEastAsia" w:eastAsiaTheme="minorEastAsia" w:cstheme="minorEastAsia"/>
          <w:b/>
          <w:bCs/>
          <w:kern w:val="0"/>
          <w:sz w:val="24"/>
          <w:szCs w:val="24"/>
          <w:highlight w:val="none"/>
        </w:rPr>
      </w:pPr>
    </w:p>
    <w:p w14:paraId="4858D95E">
      <w:pPr>
        <w:spacing w:line="240" w:lineRule="auto"/>
        <w:rPr>
          <w:rFonts w:hint="eastAsia" w:asciiTheme="minorEastAsia" w:hAnsiTheme="minorEastAsia" w:eastAsiaTheme="minorEastAsia" w:cstheme="minorEastAsia"/>
          <w:b/>
          <w:bCs/>
          <w:kern w:val="0"/>
          <w:sz w:val="24"/>
          <w:szCs w:val="24"/>
          <w:highlight w:val="none"/>
        </w:rPr>
      </w:pPr>
    </w:p>
    <w:p w14:paraId="3AACEC7D">
      <w:pPr>
        <w:spacing w:line="240" w:lineRule="auto"/>
        <w:rPr>
          <w:rFonts w:hint="eastAsia" w:asciiTheme="minorEastAsia" w:hAnsiTheme="minorEastAsia" w:eastAsiaTheme="minorEastAsia" w:cstheme="minorEastAsia"/>
          <w:b/>
          <w:bCs/>
          <w:kern w:val="0"/>
          <w:sz w:val="24"/>
          <w:szCs w:val="24"/>
          <w:highlight w:val="none"/>
        </w:rPr>
      </w:pPr>
    </w:p>
    <w:p w14:paraId="1E28E7F2">
      <w:pPr>
        <w:spacing w:line="240" w:lineRule="auto"/>
        <w:rPr>
          <w:rFonts w:hint="eastAsia" w:asciiTheme="minorEastAsia" w:hAnsiTheme="minorEastAsia" w:eastAsiaTheme="minorEastAsia" w:cstheme="minorEastAsia"/>
          <w:b/>
          <w:bCs/>
          <w:kern w:val="0"/>
          <w:sz w:val="24"/>
          <w:szCs w:val="24"/>
          <w:highlight w:val="none"/>
        </w:rPr>
      </w:pPr>
    </w:p>
    <w:p w14:paraId="4A8EF445">
      <w:pPr>
        <w:spacing w:line="240" w:lineRule="auto"/>
        <w:rPr>
          <w:rFonts w:hint="eastAsia" w:asciiTheme="minorEastAsia" w:hAnsiTheme="minorEastAsia" w:eastAsiaTheme="minorEastAsia" w:cstheme="minorEastAsia"/>
          <w:b/>
          <w:bCs/>
          <w:kern w:val="0"/>
          <w:sz w:val="24"/>
          <w:szCs w:val="24"/>
          <w:highlight w:val="none"/>
        </w:rPr>
      </w:pPr>
    </w:p>
    <w:p w14:paraId="395503D6">
      <w:pPr>
        <w:pStyle w:val="13"/>
        <w:spacing w:line="240" w:lineRule="auto"/>
        <w:rPr>
          <w:rFonts w:hint="eastAsia" w:asciiTheme="minorEastAsia" w:hAnsiTheme="minorEastAsia" w:eastAsiaTheme="minorEastAsia" w:cstheme="minorEastAsia"/>
          <w:b/>
          <w:bCs/>
          <w:kern w:val="0"/>
          <w:sz w:val="24"/>
          <w:szCs w:val="24"/>
          <w:highlight w:val="none"/>
        </w:rPr>
      </w:pPr>
    </w:p>
    <w:p w14:paraId="1BE74736">
      <w:pPr>
        <w:spacing w:line="240" w:lineRule="auto"/>
        <w:rPr>
          <w:rFonts w:hint="eastAsia" w:asciiTheme="minorEastAsia" w:hAnsiTheme="minorEastAsia" w:eastAsiaTheme="minorEastAsia" w:cstheme="minorEastAsia"/>
          <w:sz w:val="24"/>
          <w:szCs w:val="24"/>
          <w:highlight w:val="none"/>
        </w:rPr>
      </w:pPr>
    </w:p>
    <w:p w14:paraId="3967DE27">
      <w:pPr>
        <w:widowControl/>
        <w:adjustRightInd w:val="0"/>
        <w:snapToGrid w:val="0"/>
        <w:spacing w:line="360" w:lineRule="auto"/>
        <w:jc w:val="left"/>
        <w:rPr>
          <w:rFonts w:hint="eastAsia" w:ascii="宋体" w:hAnsi="宋体" w:eastAsia="宋体" w:cs="宋体"/>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11</w:t>
      </w:r>
      <w:r>
        <w:rPr>
          <w:rFonts w:hint="eastAsia" w:ascii="宋体" w:hAnsi="宋体" w:eastAsia="宋体" w:cs="宋体"/>
          <w:b/>
          <w:bCs/>
          <w:sz w:val="24"/>
          <w:szCs w:val="24"/>
          <w:highlight w:val="none"/>
        </w:rPr>
        <w:t>：</w:t>
      </w:r>
    </w:p>
    <w:p w14:paraId="357BA498">
      <w:pPr>
        <w:widowControl/>
        <w:adjustRightInd w:val="0"/>
        <w:snapToGrid w:val="0"/>
        <w:spacing w:line="360" w:lineRule="auto"/>
        <w:jc w:val="center"/>
        <w:rPr>
          <w:rFonts w:ascii="宋体" w:hAnsi="宋体" w:eastAsia="宋体" w:cs="宋体"/>
          <w:b/>
          <w:color w:val="000000"/>
          <w:spacing w:val="6"/>
          <w:kern w:val="0"/>
          <w:sz w:val="24"/>
          <w:szCs w:val="24"/>
          <w:highlight w:val="none"/>
        </w:rPr>
      </w:pPr>
      <w:r>
        <w:rPr>
          <w:rFonts w:hint="eastAsia" w:ascii="宋体" w:hAnsi="宋体" w:eastAsia="宋体" w:cs="宋体"/>
          <w:b/>
          <w:color w:val="000000"/>
          <w:spacing w:val="6"/>
          <w:kern w:val="0"/>
          <w:sz w:val="24"/>
          <w:szCs w:val="24"/>
          <w:highlight w:val="none"/>
        </w:rPr>
        <w:t>不存在与参加本项目的其它供应商单位负责人为同一人或者存在直接控股、管理关系承诺函</w:t>
      </w:r>
    </w:p>
    <w:p w14:paraId="3AAC1C5D">
      <w:pPr>
        <w:widowControl/>
        <w:adjustRightInd w:val="0"/>
        <w:snapToGrid w:val="0"/>
        <w:spacing w:line="360" w:lineRule="auto"/>
        <w:jc w:val="left"/>
        <w:rPr>
          <w:rFonts w:ascii="宋体" w:hAnsi="宋体" w:eastAsia="宋体" w:cs="宋体"/>
          <w:color w:val="000000"/>
          <w:spacing w:val="6"/>
          <w:kern w:val="0"/>
          <w:sz w:val="24"/>
          <w:szCs w:val="24"/>
          <w:highlight w:val="none"/>
        </w:rPr>
      </w:pPr>
    </w:p>
    <w:p w14:paraId="3B552B8F">
      <w:pPr>
        <w:widowControl/>
        <w:adjustRightInd w:val="0"/>
        <w:snapToGrid w:val="0"/>
        <w:spacing w:line="360" w:lineRule="auto"/>
        <w:jc w:val="left"/>
        <w:rPr>
          <w:rFonts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u w:val="single"/>
        </w:rPr>
        <w:t xml:space="preserve">    采购人    </w:t>
      </w:r>
      <w:r>
        <w:rPr>
          <w:rFonts w:hint="eastAsia" w:ascii="宋体" w:hAnsi="宋体" w:eastAsia="宋体" w:cs="宋体"/>
          <w:color w:val="000000"/>
          <w:spacing w:val="6"/>
          <w:kern w:val="0"/>
          <w:sz w:val="24"/>
          <w:szCs w:val="24"/>
          <w:highlight w:val="none"/>
        </w:rPr>
        <w:t>：</w:t>
      </w:r>
    </w:p>
    <w:p w14:paraId="065713A5">
      <w:pPr>
        <w:spacing w:line="360" w:lineRule="auto"/>
        <w:ind w:firstLine="480" w:firstLineChars="200"/>
        <w:rPr>
          <w:rFonts w:ascii="宋体" w:hAnsi="宋体" w:eastAsia="宋体"/>
          <w:bCs/>
          <w:color w:val="000000"/>
          <w:sz w:val="24"/>
          <w:szCs w:val="24"/>
          <w:highlight w:val="none"/>
          <w:shd w:val="clear" w:color="auto" w:fill="FFFFFF"/>
        </w:rPr>
      </w:pPr>
      <w:r>
        <w:rPr>
          <w:rFonts w:hint="eastAsia" w:ascii="宋体" w:hAnsi="宋体" w:eastAsia="宋体"/>
          <w:bCs/>
          <w:color w:val="000000"/>
          <w:sz w:val="24"/>
          <w:szCs w:val="24"/>
          <w:highlight w:val="none"/>
          <w:shd w:val="clear" w:color="auto" w:fill="FFFFFF"/>
        </w:rPr>
        <w:t>我公司参加贵单位组织的</w:t>
      </w:r>
      <w:r>
        <w:rPr>
          <w:rFonts w:hint="eastAsia" w:ascii="宋体" w:hAnsi="宋体" w:eastAsia="宋体"/>
          <w:bCs/>
          <w:color w:val="000000"/>
          <w:sz w:val="24"/>
          <w:szCs w:val="24"/>
          <w:highlight w:val="none"/>
          <w:u w:val="single"/>
          <w:shd w:val="clear" w:color="auto" w:fill="FFFFFF"/>
        </w:rPr>
        <w:t xml:space="preserve">      </w:t>
      </w:r>
      <w:r>
        <w:rPr>
          <w:rFonts w:hint="eastAsia" w:ascii="宋体" w:hAnsi="宋体" w:eastAsia="宋体" w:cs="Arial"/>
          <w:b/>
          <w:color w:val="000000"/>
          <w:kern w:val="0"/>
          <w:sz w:val="24"/>
          <w:szCs w:val="24"/>
          <w:highlight w:val="none"/>
          <w:shd w:val="clear" w:color="auto" w:fill="FFFFFF"/>
        </w:rPr>
        <w:t>（项目名称）</w:t>
      </w:r>
      <w:r>
        <w:rPr>
          <w:rFonts w:hint="eastAsia" w:ascii="宋体" w:hAnsi="宋体" w:eastAsia="宋体"/>
          <w:bCs/>
          <w:color w:val="000000"/>
          <w:sz w:val="24"/>
          <w:szCs w:val="24"/>
          <w:highlight w:val="none"/>
          <w:shd w:val="clear" w:color="auto" w:fill="FFFFFF"/>
        </w:rPr>
        <w:t>招标活动，郑重承诺：在参加本项目里不存在与参加本项目的其它供应商负责人为同一人或者存在直接控股、管理关系。我公司对上述承诺的真实性负责。如有虚假，将依法承担相应责任。特此承诺！</w:t>
      </w:r>
    </w:p>
    <w:p w14:paraId="118B83E4">
      <w:pPr>
        <w:widowControl/>
        <w:adjustRightInd w:val="0"/>
        <w:snapToGrid w:val="0"/>
        <w:spacing w:line="360" w:lineRule="auto"/>
        <w:ind w:firstLine="504" w:firstLineChars="200"/>
        <w:rPr>
          <w:rFonts w:ascii="宋体" w:hAnsi="宋体" w:eastAsia="宋体" w:cs="宋体"/>
          <w:color w:val="000000"/>
          <w:spacing w:val="6"/>
          <w:kern w:val="0"/>
          <w:sz w:val="24"/>
          <w:szCs w:val="24"/>
          <w:highlight w:val="none"/>
        </w:rPr>
      </w:pPr>
    </w:p>
    <w:p w14:paraId="1DC6436A">
      <w:pPr>
        <w:widowControl/>
        <w:adjustRightInd w:val="0"/>
        <w:snapToGrid w:val="0"/>
        <w:spacing w:line="360" w:lineRule="auto"/>
        <w:ind w:firstLine="504" w:firstLineChars="200"/>
        <w:rPr>
          <w:rFonts w:ascii="宋体" w:hAnsi="宋体" w:eastAsia="宋体" w:cs="宋体"/>
          <w:color w:val="000000"/>
          <w:spacing w:val="6"/>
          <w:kern w:val="0"/>
          <w:sz w:val="24"/>
          <w:szCs w:val="24"/>
          <w:highlight w:val="none"/>
        </w:rPr>
      </w:pPr>
    </w:p>
    <w:p w14:paraId="3CD29909">
      <w:pPr>
        <w:widowControl/>
        <w:adjustRightInd w:val="0"/>
        <w:snapToGrid w:val="0"/>
        <w:spacing w:line="360" w:lineRule="auto"/>
        <w:ind w:firstLine="504" w:firstLineChars="200"/>
        <w:rPr>
          <w:rFonts w:ascii="宋体" w:hAnsi="宋体" w:eastAsia="宋体" w:cs="宋体"/>
          <w:color w:val="000000"/>
          <w:spacing w:val="6"/>
          <w:kern w:val="0"/>
          <w:sz w:val="24"/>
          <w:szCs w:val="24"/>
          <w:highlight w:val="none"/>
        </w:rPr>
      </w:pPr>
    </w:p>
    <w:p w14:paraId="796F6F99">
      <w:pPr>
        <w:widowControl/>
        <w:adjustRightInd w:val="0"/>
        <w:snapToGrid w:val="0"/>
        <w:spacing w:line="360" w:lineRule="auto"/>
        <w:ind w:firstLine="504" w:firstLineChars="200"/>
        <w:rPr>
          <w:rFonts w:ascii="宋体" w:hAnsi="宋体" w:eastAsia="宋体" w:cs="宋体"/>
          <w:color w:val="000000"/>
          <w:spacing w:val="6"/>
          <w:kern w:val="0"/>
          <w:sz w:val="24"/>
          <w:szCs w:val="24"/>
          <w:highlight w:val="none"/>
        </w:rPr>
      </w:pPr>
    </w:p>
    <w:p w14:paraId="58939467">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供应商：</w:t>
      </w:r>
      <w:r>
        <w:rPr>
          <w:rFonts w:hint="eastAsia" w:ascii="宋体" w:hAnsi="宋体" w:eastAsia="宋体" w:cs="Arial"/>
          <w:color w:val="000000"/>
          <w:kern w:val="0"/>
          <w:sz w:val="24"/>
          <w:szCs w:val="24"/>
          <w:highlight w:val="none"/>
          <w:u w:val="single"/>
          <w:shd w:val="clear" w:color="auto" w:fill="FFFFFF"/>
        </w:rPr>
        <w:t xml:space="preserve">               </w:t>
      </w:r>
      <w:r>
        <w:rPr>
          <w:rFonts w:hint="eastAsia" w:ascii="宋体" w:hAnsi="宋体" w:eastAsia="宋体" w:cs="Arial"/>
          <w:color w:val="000000"/>
          <w:kern w:val="0"/>
          <w:sz w:val="24"/>
          <w:szCs w:val="24"/>
          <w:highlight w:val="none"/>
          <w:shd w:val="clear" w:color="auto" w:fill="FFFFFF"/>
        </w:rPr>
        <w:t>（盖章）</w:t>
      </w:r>
    </w:p>
    <w:p w14:paraId="2610B8C4">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p>
    <w:p w14:paraId="30B27747">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法定代表人：</w:t>
      </w:r>
      <w:r>
        <w:rPr>
          <w:rFonts w:hint="eastAsia" w:ascii="宋体" w:hAnsi="宋体" w:eastAsia="宋体" w:cs="Arial"/>
          <w:color w:val="000000"/>
          <w:kern w:val="0"/>
          <w:sz w:val="24"/>
          <w:szCs w:val="24"/>
          <w:highlight w:val="none"/>
          <w:u w:val="single"/>
          <w:shd w:val="clear" w:color="auto" w:fill="FFFFFF"/>
        </w:rPr>
        <w:t xml:space="preserve">           </w:t>
      </w:r>
      <w:r>
        <w:rPr>
          <w:rFonts w:hint="eastAsia" w:ascii="宋体" w:hAnsi="宋体" w:eastAsia="宋体" w:cs="Arial"/>
          <w:color w:val="000000"/>
          <w:kern w:val="0"/>
          <w:sz w:val="24"/>
          <w:szCs w:val="24"/>
          <w:highlight w:val="none"/>
          <w:shd w:val="clear" w:color="auto" w:fill="FFFFFF"/>
        </w:rPr>
        <w:t>（盖章）</w:t>
      </w:r>
    </w:p>
    <w:p w14:paraId="74E320B8">
      <w:pPr>
        <w:widowControl/>
        <w:shd w:val="clear" w:color="auto" w:fill="FFFFFF"/>
        <w:snapToGrid w:val="0"/>
        <w:spacing w:line="360" w:lineRule="auto"/>
        <w:ind w:firstLine="420"/>
        <w:jc w:val="center"/>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 xml:space="preserve">                                               日期： 年  月  日</w:t>
      </w:r>
    </w:p>
    <w:p w14:paraId="5BE03152">
      <w:pPr>
        <w:widowControl/>
        <w:adjustRightInd w:val="0"/>
        <w:snapToGrid w:val="0"/>
        <w:spacing w:line="360" w:lineRule="auto"/>
        <w:ind w:firstLine="504" w:firstLineChars="200"/>
        <w:rPr>
          <w:rFonts w:ascii="宋体" w:hAnsi="宋体" w:eastAsia="宋体" w:cs="宋体"/>
          <w:color w:val="000000"/>
          <w:spacing w:val="6"/>
          <w:kern w:val="0"/>
          <w:sz w:val="24"/>
          <w:szCs w:val="24"/>
          <w:highlight w:val="none"/>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3CC22FA">
      <w:pPr>
        <w:widowControl/>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w:t>
      </w:r>
    </w:p>
    <w:p w14:paraId="540F9A85">
      <w:pPr>
        <w:widowControl/>
        <w:adjustRightInd w:val="0"/>
        <w:snapToGrid w:val="0"/>
        <w:spacing w:line="360" w:lineRule="auto"/>
        <w:jc w:val="center"/>
        <w:rPr>
          <w:rFonts w:ascii="宋体" w:hAnsi="宋体" w:eastAsia="宋体" w:cs="宋体"/>
          <w:b/>
          <w:color w:val="000000"/>
          <w:spacing w:val="6"/>
          <w:kern w:val="0"/>
          <w:sz w:val="24"/>
          <w:szCs w:val="24"/>
          <w:highlight w:val="none"/>
        </w:rPr>
      </w:pPr>
      <w:r>
        <w:rPr>
          <w:rFonts w:hint="eastAsia" w:ascii="宋体" w:hAnsi="宋体" w:eastAsia="宋体" w:cs="宋体"/>
          <w:b/>
          <w:color w:val="000000"/>
          <w:spacing w:val="6"/>
          <w:kern w:val="0"/>
          <w:sz w:val="24"/>
          <w:szCs w:val="24"/>
          <w:highlight w:val="none"/>
        </w:rPr>
        <w:t>未提供本采购项目的整体设计、规范编制或者项目管理、监理、检测等服务的承诺函</w:t>
      </w:r>
    </w:p>
    <w:p w14:paraId="73C5589F">
      <w:pPr>
        <w:spacing w:line="360" w:lineRule="auto"/>
        <w:ind w:firstLine="480" w:firstLineChars="200"/>
        <w:rPr>
          <w:rFonts w:ascii="宋体" w:hAnsi="宋体" w:eastAsia="宋体"/>
          <w:color w:val="000000"/>
          <w:sz w:val="24"/>
          <w:szCs w:val="24"/>
          <w:highlight w:val="none"/>
          <w:shd w:val="clear" w:color="auto" w:fill="FFFFFF"/>
        </w:rPr>
      </w:pPr>
    </w:p>
    <w:p w14:paraId="12FAD0AC">
      <w:pPr>
        <w:widowControl/>
        <w:adjustRightInd w:val="0"/>
        <w:snapToGrid w:val="0"/>
        <w:spacing w:line="360" w:lineRule="auto"/>
        <w:jc w:val="left"/>
        <w:rPr>
          <w:rFonts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u w:val="single"/>
        </w:rPr>
        <w:t xml:space="preserve">   采购人    </w:t>
      </w:r>
      <w:r>
        <w:rPr>
          <w:rFonts w:hint="eastAsia" w:ascii="宋体" w:hAnsi="宋体" w:eastAsia="宋体" w:cs="宋体"/>
          <w:color w:val="000000"/>
          <w:spacing w:val="6"/>
          <w:kern w:val="0"/>
          <w:sz w:val="24"/>
          <w:szCs w:val="24"/>
          <w:highlight w:val="none"/>
        </w:rPr>
        <w:t>：</w:t>
      </w:r>
    </w:p>
    <w:p w14:paraId="2FF72A8A">
      <w:pPr>
        <w:spacing w:line="360" w:lineRule="auto"/>
        <w:ind w:firstLine="480" w:firstLineChars="200"/>
        <w:rPr>
          <w:rFonts w:ascii="宋体" w:hAnsi="宋体" w:eastAsia="宋体"/>
          <w:bCs/>
          <w:color w:val="000000"/>
          <w:sz w:val="24"/>
          <w:szCs w:val="24"/>
          <w:highlight w:val="none"/>
          <w:shd w:val="clear" w:color="auto" w:fill="FFFFFF"/>
        </w:rPr>
      </w:pPr>
      <w:r>
        <w:rPr>
          <w:rFonts w:hint="eastAsia" w:ascii="宋体" w:hAnsi="宋体" w:eastAsia="宋体"/>
          <w:bCs/>
          <w:color w:val="000000"/>
          <w:sz w:val="24"/>
          <w:szCs w:val="24"/>
          <w:highlight w:val="none"/>
          <w:shd w:val="clear" w:color="auto" w:fill="FFFFFF"/>
        </w:rPr>
        <w:t xml:space="preserve">我公司承诺在 </w:t>
      </w:r>
      <w:r>
        <w:rPr>
          <w:rFonts w:hint="eastAsia" w:ascii="宋体" w:hAnsi="宋体" w:eastAsia="宋体"/>
          <w:bCs/>
          <w:color w:val="000000"/>
          <w:sz w:val="24"/>
          <w:szCs w:val="24"/>
          <w:highlight w:val="none"/>
          <w:u w:val="single"/>
          <w:shd w:val="clear" w:color="auto" w:fill="FFFFFF"/>
        </w:rPr>
        <w:t xml:space="preserve">    </w:t>
      </w:r>
      <w:r>
        <w:rPr>
          <w:rFonts w:hint="eastAsia" w:ascii="宋体" w:hAnsi="宋体" w:eastAsia="宋体" w:cs="Arial"/>
          <w:b/>
          <w:color w:val="000000"/>
          <w:kern w:val="0"/>
          <w:sz w:val="24"/>
          <w:szCs w:val="24"/>
          <w:highlight w:val="none"/>
          <w:shd w:val="clear" w:color="auto" w:fill="FFFFFF"/>
        </w:rPr>
        <w:t>（项目名称）</w:t>
      </w:r>
      <w:r>
        <w:rPr>
          <w:rFonts w:hint="eastAsia" w:ascii="宋体" w:hAnsi="宋体" w:eastAsia="宋体"/>
          <w:bCs/>
          <w:color w:val="000000"/>
          <w:sz w:val="24"/>
          <w:szCs w:val="24"/>
          <w:highlight w:val="none"/>
          <w:shd w:val="clear" w:color="auto" w:fill="FFFFFF"/>
        </w:rPr>
        <w:t>招标活动中，未提供本项目整体设计、规范编制或者项目管理、监理、检测等服务，与参与本次政府采购活动的其他供应商不存在法人(单位负责人)为同一人或者直接控股、管理关系。</w:t>
      </w:r>
    </w:p>
    <w:p w14:paraId="52F4552F">
      <w:pPr>
        <w:widowControl/>
        <w:adjustRightInd w:val="0"/>
        <w:snapToGrid w:val="0"/>
        <w:spacing w:line="360" w:lineRule="auto"/>
        <w:rPr>
          <w:rFonts w:ascii="宋体" w:hAnsi="宋体" w:eastAsia="宋体"/>
          <w:color w:val="000000"/>
          <w:sz w:val="24"/>
          <w:szCs w:val="24"/>
          <w:highlight w:val="none"/>
          <w:shd w:val="clear" w:color="auto" w:fill="FFFFFF"/>
        </w:rPr>
      </w:pPr>
    </w:p>
    <w:p w14:paraId="4C1E4756">
      <w:pPr>
        <w:widowControl/>
        <w:adjustRightInd w:val="0"/>
        <w:snapToGrid w:val="0"/>
        <w:spacing w:line="360" w:lineRule="auto"/>
        <w:rPr>
          <w:rFonts w:ascii="宋体" w:hAnsi="宋体" w:eastAsia="宋体" w:cs="宋体"/>
          <w:color w:val="000000"/>
          <w:spacing w:val="6"/>
          <w:kern w:val="0"/>
          <w:sz w:val="24"/>
          <w:szCs w:val="24"/>
          <w:highlight w:val="none"/>
        </w:rPr>
      </w:pPr>
    </w:p>
    <w:p w14:paraId="74078B37">
      <w:pPr>
        <w:widowControl/>
        <w:adjustRightInd w:val="0"/>
        <w:snapToGrid w:val="0"/>
        <w:spacing w:line="360" w:lineRule="auto"/>
        <w:rPr>
          <w:rFonts w:ascii="宋体" w:hAnsi="宋体" w:eastAsia="宋体" w:cs="宋体"/>
          <w:color w:val="000000"/>
          <w:spacing w:val="6"/>
          <w:kern w:val="0"/>
          <w:sz w:val="24"/>
          <w:szCs w:val="24"/>
          <w:highlight w:val="none"/>
        </w:rPr>
      </w:pPr>
    </w:p>
    <w:p w14:paraId="02D4532E">
      <w:pPr>
        <w:widowControl/>
        <w:adjustRightInd w:val="0"/>
        <w:snapToGrid w:val="0"/>
        <w:spacing w:line="360" w:lineRule="auto"/>
        <w:rPr>
          <w:rFonts w:ascii="宋体" w:hAnsi="宋体" w:eastAsia="宋体" w:cs="宋体"/>
          <w:color w:val="000000"/>
          <w:spacing w:val="6"/>
          <w:kern w:val="0"/>
          <w:sz w:val="24"/>
          <w:szCs w:val="24"/>
          <w:highlight w:val="none"/>
        </w:rPr>
      </w:pPr>
    </w:p>
    <w:p w14:paraId="5F3405C0">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供应商：</w:t>
      </w:r>
      <w:r>
        <w:rPr>
          <w:rFonts w:hint="eastAsia" w:ascii="宋体" w:hAnsi="宋体" w:eastAsia="宋体" w:cs="Arial"/>
          <w:color w:val="000000"/>
          <w:kern w:val="0"/>
          <w:sz w:val="24"/>
          <w:szCs w:val="24"/>
          <w:highlight w:val="none"/>
          <w:u w:val="single"/>
          <w:shd w:val="clear" w:color="auto" w:fill="FFFFFF"/>
        </w:rPr>
        <w:t xml:space="preserve">               </w:t>
      </w:r>
      <w:r>
        <w:rPr>
          <w:rFonts w:hint="eastAsia" w:ascii="宋体" w:hAnsi="宋体" w:eastAsia="宋体" w:cs="Arial"/>
          <w:color w:val="000000"/>
          <w:kern w:val="0"/>
          <w:sz w:val="24"/>
          <w:szCs w:val="24"/>
          <w:highlight w:val="none"/>
          <w:shd w:val="clear" w:color="auto" w:fill="FFFFFF"/>
        </w:rPr>
        <w:t>（盖章）</w:t>
      </w:r>
    </w:p>
    <w:p w14:paraId="7D34F532">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p>
    <w:p w14:paraId="769DF523">
      <w:pPr>
        <w:widowControl/>
        <w:shd w:val="clear" w:color="auto" w:fill="FFFFFF"/>
        <w:snapToGrid w:val="0"/>
        <w:spacing w:line="360" w:lineRule="auto"/>
        <w:jc w:val="left"/>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法定代表人：</w:t>
      </w:r>
      <w:r>
        <w:rPr>
          <w:rFonts w:hint="eastAsia" w:ascii="宋体" w:hAnsi="宋体" w:eastAsia="宋体" w:cs="Arial"/>
          <w:color w:val="000000"/>
          <w:kern w:val="0"/>
          <w:sz w:val="24"/>
          <w:szCs w:val="24"/>
          <w:highlight w:val="none"/>
          <w:u w:val="single"/>
          <w:shd w:val="clear" w:color="auto" w:fill="FFFFFF"/>
        </w:rPr>
        <w:t xml:space="preserve">           </w:t>
      </w:r>
      <w:r>
        <w:rPr>
          <w:rFonts w:hint="eastAsia" w:ascii="宋体" w:hAnsi="宋体" w:eastAsia="宋体" w:cs="Arial"/>
          <w:color w:val="000000"/>
          <w:kern w:val="0"/>
          <w:sz w:val="24"/>
          <w:szCs w:val="24"/>
          <w:highlight w:val="none"/>
          <w:shd w:val="clear" w:color="auto" w:fill="FFFFFF"/>
        </w:rPr>
        <w:t>（盖章）</w:t>
      </w:r>
    </w:p>
    <w:p w14:paraId="1EA2EC30">
      <w:pPr>
        <w:widowControl/>
        <w:shd w:val="clear" w:color="auto" w:fill="FFFFFF"/>
        <w:snapToGrid w:val="0"/>
        <w:spacing w:line="360" w:lineRule="auto"/>
        <w:ind w:firstLine="420"/>
        <w:jc w:val="center"/>
        <w:rPr>
          <w:rFonts w:ascii="宋体" w:hAnsi="宋体" w:eastAsia="宋体" w:cs="Arial"/>
          <w:color w:val="000000"/>
          <w:kern w:val="0"/>
          <w:sz w:val="24"/>
          <w:szCs w:val="24"/>
          <w:highlight w:val="none"/>
          <w:shd w:val="clear" w:color="auto" w:fill="FFFFFF"/>
        </w:rPr>
      </w:pPr>
      <w:r>
        <w:rPr>
          <w:rFonts w:hint="eastAsia" w:ascii="宋体" w:hAnsi="宋体" w:eastAsia="宋体" w:cs="Arial"/>
          <w:color w:val="000000"/>
          <w:kern w:val="0"/>
          <w:sz w:val="24"/>
          <w:szCs w:val="24"/>
          <w:highlight w:val="none"/>
          <w:shd w:val="clear" w:color="auto" w:fill="FFFFFF"/>
        </w:rPr>
        <w:t xml:space="preserve">                                               日期： 年  月  日</w:t>
      </w:r>
    </w:p>
    <w:p w14:paraId="63D6A1D1">
      <w:pP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p>
    <w:p w14:paraId="79A561AC">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附件1</w:t>
      </w:r>
      <w:r>
        <w:rPr>
          <w:rFonts w:hint="eastAsia" w:asciiTheme="minorEastAsia" w:hAnsiTheme="minorEastAsia" w:eastAsiaTheme="minorEastAsia" w:cstheme="minorEastAsia"/>
          <w:b/>
          <w:bCs/>
          <w:kern w:val="0"/>
          <w:sz w:val="24"/>
          <w:szCs w:val="24"/>
          <w:highlight w:val="none"/>
          <w:lang w:val="en-US" w:eastAsia="zh-CN"/>
        </w:rPr>
        <w:t>3</w:t>
      </w:r>
      <w:r>
        <w:rPr>
          <w:rFonts w:hint="eastAsia" w:asciiTheme="minorEastAsia" w:hAnsiTheme="minorEastAsia" w:eastAsiaTheme="minorEastAsia" w:cstheme="minorEastAsia"/>
          <w:b/>
          <w:bCs/>
          <w:kern w:val="0"/>
          <w:sz w:val="24"/>
          <w:szCs w:val="24"/>
          <w:highlight w:val="none"/>
        </w:rPr>
        <w:t>：</w:t>
      </w:r>
    </w:p>
    <w:p w14:paraId="086DA487">
      <w:pPr>
        <w:spacing w:line="240" w:lineRule="auto"/>
        <w:rPr>
          <w:rFonts w:hint="eastAsia" w:asciiTheme="minorEastAsia" w:hAnsiTheme="minorEastAsia" w:eastAsiaTheme="minorEastAsia" w:cstheme="minorEastAsia"/>
          <w:b/>
          <w:bCs/>
          <w:kern w:val="0"/>
          <w:sz w:val="24"/>
          <w:szCs w:val="24"/>
          <w:highlight w:val="none"/>
        </w:rPr>
      </w:pPr>
    </w:p>
    <w:p w14:paraId="04FBD43B">
      <w:pPr>
        <w:spacing w:line="240" w:lineRule="auto"/>
        <w:jc w:val="center"/>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rPr>
        <w:t>投标供应商近三年类似项目一览表</w:t>
      </w:r>
    </w:p>
    <w:p w14:paraId="1D12A48C">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pacing w:val="1"/>
          <w:kern w:val="0"/>
          <w:sz w:val="24"/>
          <w:szCs w:val="24"/>
          <w:highlight w:val="none"/>
        </w:rPr>
        <w:t>名称：</w:t>
      </w:r>
      <w:r>
        <w:rPr>
          <w:rFonts w:hint="eastAsia" w:asciiTheme="minorEastAsia" w:hAnsiTheme="minorEastAsia" w:eastAsiaTheme="minorEastAsia" w:cstheme="minorEastAsia"/>
          <w:spacing w:val="1"/>
          <w:kern w:val="0"/>
          <w:sz w:val="24"/>
          <w:szCs w:val="24"/>
          <w:highlight w:val="none"/>
          <w:u w:val="single"/>
        </w:rPr>
        <w:t xml:space="preserve">                       </w:t>
      </w:r>
    </w:p>
    <w:tbl>
      <w:tblPr>
        <w:tblStyle w:val="35"/>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210"/>
        <w:gridCol w:w="2013"/>
        <w:gridCol w:w="976"/>
        <w:gridCol w:w="1066"/>
        <w:gridCol w:w="1242"/>
        <w:gridCol w:w="1145"/>
        <w:gridCol w:w="1311"/>
      </w:tblGrid>
      <w:tr w14:paraId="3DDD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28" w:type="dxa"/>
            <w:vAlign w:val="center"/>
          </w:tcPr>
          <w:p w14:paraId="1C6AF914">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w:t>
            </w:r>
          </w:p>
          <w:p w14:paraId="19D6D805">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名称</w:t>
            </w:r>
          </w:p>
        </w:tc>
        <w:tc>
          <w:tcPr>
            <w:tcW w:w="1210" w:type="dxa"/>
            <w:vAlign w:val="center"/>
          </w:tcPr>
          <w:p w14:paraId="310214E9">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采购人</w:t>
            </w:r>
          </w:p>
        </w:tc>
        <w:tc>
          <w:tcPr>
            <w:tcW w:w="2013" w:type="dxa"/>
            <w:vAlign w:val="center"/>
          </w:tcPr>
          <w:p w14:paraId="389C3EBF">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采购人联系人及联系电话</w:t>
            </w:r>
          </w:p>
        </w:tc>
        <w:tc>
          <w:tcPr>
            <w:tcW w:w="976" w:type="dxa"/>
            <w:vAlign w:val="center"/>
          </w:tcPr>
          <w:p w14:paraId="270E0158">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交货</w:t>
            </w:r>
          </w:p>
          <w:p w14:paraId="45925179">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期限</w:t>
            </w:r>
          </w:p>
        </w:tc>
        <w:tc>
          <w:tcPr>
            <w:tcW w:w="1066" w:type="dxa"/>
            <w:vAlign w:val="center"/>
          </w:tcPr>
          <w:p w14:paraId="040AEB64">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w:t>
            </w:r>
          </w:p>
          <w:p w14:paraId="5749A245">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地点</w:t>
            </w:r>
          </w:p>
        </w:tc>
        <w:tc>
          <w:tcPr>
            <w:tcW w:w="1242" w:type="dxa"/>
            <w:vAlign w:val="center"/>
          </w:tcPr>
          <w:p w14:paraId="4057D86E">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规模</w:t>
            </w:r>
          </w:p>
        </w:tc>
        <w:tc>
          <w:tcPr>
            <w:tcW w:w="1145" w:type="dxa"/>
            <w:vAlign w:val="center"/>
          </w:tcPr>
          <w:p w14:paraId="44786DBB">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签约合同金额</w:t>
            </w:r>
          </w:p>
        </w:tc>
        <w:tc>
          <w:tcPr>
            <w:tcW w:w="1311" w:type="dxa"/>
            <w:vAlign w:val="center"/>
          </w:tcPr>
          <w:p w14:paraId="0CBE58E4">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合同供货内容</w:t>
            </w:r>
          </w:p>
        </w:tc>
      </w:tr>
      <w:tr w14:paraId="065E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434DF34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0D0348E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33A72BC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22D6786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70FEBDD0">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202A8EE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2CD2053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27EE46C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0F91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61BA57BA">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3F16470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0135791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3BEA775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068AB159">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62E1925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777696A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20C5D6A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3424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2EEF566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397D637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2432D12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29AB5AA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644F41E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154EE33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2836E593">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3CC2AE7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669E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183BBCE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73302CDB">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4A577A7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096C821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3BCDB57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1C861A8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431FF99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7517A68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4352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359EC03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1024805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1B2252D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21A0E205">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1128B00B">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435ED76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3DD95BF6">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3A0B5D45">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3A63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8" w:type="dxa"/>
            <w:vAlign w:val="center"/>
          </w:tcPr>
          <w:p w14:paraId="1B06B06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10" w:type="dxa"/>
            <w:vAlign w:val="center"/>
          </w:tcPr>
          <w:p w14:paraId="264B985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013" w:type="dxa"/>
            <w:vAlign w:val="center"/>
          </w:tcPr>
          <w:p w14:paraId="0D689EF3">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976" w:type="dxa"/>
            <w:vAlign w:val="center"/>
          </w:tcPr>
          <w:p w14:paraId="03554053">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066" w:type="dxa"/>
            <w:vAlign w:val="center"/>
          </w:tcPr>
          <w:p w14:paraId="1158AE5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242" w:type="dxa"/>
            <w:vAlign w:val="center"/>
          </w:tcPr>
          <w:p w14:paraId="216F0879">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45" w:type="dxa"/>
            <w:vAlign w:val="center"/>
          </w:tcPr>
          <w:p w14:paraId="157EFEC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311" w:type="dxa"/>
            <w:vAlign w:val="center"/>
          </w:tcPr>
          <w:p w14:paraId="06431BC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60D9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991" w:type="dxa"/>
            <w:gridSpan w:val="8"/>
            <w:vAlign w:val="center"/>
          </w:tcPr>
          <w:p w14:paraId="4C16505C">
            <w:pPr>
              <w:spacing w:line="240" w:lineRule="auto"/>
              <w:ind w:firstLine="504" w:firstLineChars="200"/>
              <w:rPr>
                <w:rFonts w:hint="eastAsia" w:asciiTheme="minorEastAsia" w:hAnsiTheme="minorEastAsia" w:eastAsiaTheme="minorEastAsia" w:cstheme="minorEastAsia"/>
                <w:spacing w:val="6"/>
                <w:sz w:val="24"/>
                <w:szCs w:val="24"/>
                <w:highlight w:val="none"/>
                <w:lang w:eastAsia="zh-CN"/>
              </w:rPr>
            </w:pPr>
            <w:r>
              <w:rPr>
                <w:rFonts w:hint="eastAsia" w:asciiTheme="minorEastAsia" w:hAnsiTheme="minorEastAsia" w:eastAsiaTheme="minorEastAsia" w:cstheme="minorEastAsia"/>
                <w:spacing w:val="6"/>
                <w:sz w:val="24"/>
                <w:szCs w:val="24"/>
                <w:highlight w:val="none"/>
              </w:rPr>
              <w:t>说明：</w:t>
            </w:r>
            <w:r>
              <w:rPr>
                <w:rFonts w:hint="eastAsia" w:asciiTheme="minorEastAsia" w:hAnsiTheme="minorEastAsia" w:eastAsiaTheme="minorEastAsia" w:cstheme="minorEastAsia"/>
                <w:spacing w:val="6"/>
                <w:sz w:val="24"/>
                <w:szCs w:val="24"/>
                <w:highlight w:val="none"/>
                <w:lang w:eastAsia="zh-CN"/>
              </w:rPr>
              <w:t>按评分标准提供证明材料。</w:t>
            </w:r>
          </w:p>
        </w:tc>
      </w:tr>
    </w:tbl>
    <w:p w14:paraId="13FA6E22">
      <w:pPr>
        <w:pStyle w:val="7"/>
        <w:spacing w:line="240" w:lineRule="auto"/>
        <w:ind w:left="2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kern w:val="0"/>
          <w:sz w:val="28"/>
          <w:szCs w:val="28"/>
          <w:highlight w:val="none"/>
        </w:rPr>
        <w:t>五、（1）商务条款偏离表</w:t>
      </w:r>
    </w:p>
    <w:p w14:paraId="6F351737">
      <w:pPr>
        <w:spacing w:before="6" w:line="240" w:lineRule="auto"/>
        <w:rPr>
          <w:rFonts w:hint="eastAsia" w:asciiTheme="minorEastAsia" w:hAnsiTheme="minorEastAsia" w:eastAsiaTheme="minorEastAsia" w:cstheme="minorEastAsia"/>
          <w:b/>
          <w:sz w:val="24"/>
          <w:szCs w:val="24"/>
          <w:highlight w:val="none"/>
        </w:rPr>
      </w:pPr>
    </w:p>
    <w:p w14:paraId="5C4B7ACE">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投标人名称（电子签章）：</w:t>
      </w:r>
    </w:p>
    <w:p w14:paraId="75C9910F">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项目编号：</w:t>
      </w:r>
    </w:p>
    <w:tbl>
      <w:tblPr>
        <w:tblStyle w:val="35"/>
        <w:tblW w:w="9717"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2107"/>
        <w:gridCol w:w="2693"/>
        <w:gridCol w:w="2748"/>
        <w:gridCol w:w="1188"/>
      </w:tblGrid>
      <w:tr w14:paraId="72705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981" w:type="dxa"/>
            <w:vAlign w:val="center"/>
          </w:tcPr>
          <w:p w14:paraId="12C36BBE">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序号</w:t>
            </w:r>
          </w:p>
        </w:tc>
        <w:tc>
          <w:tcPr>
            <w:tcW w:w="2107" w:type="dxa"/>
            <w:vAlign w:val="center"/>
          </w:tcPr>
          <w:p w14:paraId="01EB60C0">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招标文件条目号</w:t>
            </w:r>
          </w:p>
        </w:tc>
        <w:tc>
          <w:tcPr>
            <w:tcW w:w="2693" w:type="dxa"/>
            <w:vAlign w:val="center"/>
          </w:tcPr>
          <w:p w14:paraId="61EBB690">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招标文件的商务条款</w:t>
            </w:r>
          </w:p>
        </w:tc>
        <w:tc>
          <w:tcPr>
            <w:tcW w:w="2748" w:type="dxa"/>
            <w:vAlign w:val="center"/>
          </w:tcPr>
          <w:p w14:paraId="7A48C0F0">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投标文件的商务条款</w:t>
            </w:r>
          </w:p>
        </w:tc>
        <w:tc>
          <w:tcPr>
            <w:tcW w:w="1188" w:type="dxa"/>
            <w:vAlign w:val="center"/>
          </w:tcPr>
          <w:p w14:paraId="6DA0DB31">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说明</w:t>
            </w:r>
          </w:p>
        </w:tc>
      </w:tr>
      <w:tr w14:paraId="0CA6B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81" w:type="dxa"/>
          </w:tcPr>
          <w:p w14:paraId="25006F9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107" w:type="dxa"/>
          </w:tcPr>
          <w:p w14:paraId="1151197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693" w:type="dxa"/>
          </w:tcPr>
          <w:p w14:paraId="1EB220B5">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748" w:type="dxa"/>
          </w:tcPr>
          <w:p w14:paraId="0D088900">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88" w:type="dxa"/>
          </w:tcPr>
          <w:p w14:paraId="78ECA31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5A759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1" w:type="dxa"/>
          </w:tcPr>
          <w:p w14:paraId="0D875AC9">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107" w:type="dxa"/>
          </w:tcPr>
          <w:p w14:paraId="628F4FD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693" w:type="dxa"/>
          </w:tcPr>
          <w:p w14:paraId="10C2203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748" w:type="dxa"/>
          </w:tcPr>
          <w:p w14:paraId="1BB2A5C5">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88" w:type="dxa"/>
          </w:tcPr>
          <w:p w14:paraId="6ECD553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431EC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81" w:type="dxa"/>
          </w:tcPr>
          <w:p w14:paraId="478B034D">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107" w:type="dxa"/>
          </w:tcPr>
          <w:p w14:paraId="14B3D620">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693" w:type="dxa"/>
          </w:tcPr>
          <w:p w14:paraId="736595E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748" w:type="dxa"/>
          </w:tcPr>
          <w:p w14:paraId="22A4F870">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88" w:type="dxa"/>
          </w:tcPr>
          <w:p w14:paraId="5FCD2DB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04989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1" w:type="dxa"/>
          </w:tcPr>
          <w:p w14:paraId="2361AA8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107" w:type="dxa"/>
          </w:tcPr>
          <w:p w14:paraId="110F7AC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693" w:type="dxa"/>
          </w:tcPr>
          <w:p w14:paraId="634CBD4F">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748" w:type="dxa"/>
          </w:tcPr>
          <w:p w14:paraId="1DD19E21">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88" w:type="dxa"/>
          </w:tcPr>
          <w:p w14:paraId="4A1C378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68012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81" w:type="dxa"/>
          </w:tcPr>
          <w:p w14:paraId="42B1D94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107" w:type="dxa"/>
          </w:tcPr>
          <w:p w14:paraId="6DC1AD95">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693" w:type="dxa"/>
          </w:tcPr>
          <w:p w14:paraId="5AD5A862">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748" w:type="dxa"/>
          </w:tcPr>
          <w:p w14:paraId="1357302B">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188" w:type="dxa"/>
          </w:tcPr>
          <w:p w14:paraId="73176749">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bl>
    <w:p w14:paraId="532CCC8A">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注：投标人要将投标文件与招标文件在商务部分的差异之处汇集成此表。投标方必须详细填写偏离表，偏离表未声明事项视为认同招标文件标准。</w:t>
      </w:r>
    </w:p>
    <w:p w14:paraId="1FF046F6">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65036AD1">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68904216">
      <w:pPr>
        <w:pStyle w:val="65"/>
        <w:wordWrap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供应商名称（盖单位章）：</w:t>
      </w:r>
    </w:p>
    <w:p w14:paraId="0CAED125">
      <w:pPr>
        <w:pStyle w:val="65"/>
        <w:wordWrap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法定代表人或其委托代理人（签字或盖章）：</w:t>
      </w:r>
    </w:p>
    <w:p w14:paraId="3957689F">
      <w:pPr>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 xml:space="preserve"> 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3CC8B82C">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14:paraId="4428F343">
      <w:pPr>
        <w:pStyle w:val="7"/>
        <w:spacing w:line="24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（2）技术偏离表</w:t>
      </w:r>
    </w:p>
    <w:p w14:paraId="078916A9">
      <w:pPr>
        <w:spacing w:line="240" w:lineRule="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项目名称：</w:t>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ab/>
      </w:r>
      <w:r>
        <w:rPr>
          <w:rFonts w:hint="eastAsia" w:asciiTheme="minorEastAsia" w:hAnsiTheme="minorEastAsia" w:eastAsiaTheme="minorEastAsia" w:cstheme="minorEastAsia"/>
          <w:spacing w:val="6"/>
          <w:sz w:val="24"/>
          <w:szCs w:val="24"/>
          <w:highlight w:val="none"/>
        </w:rPr>
        <w:t>项目编号：</w:t>
      </w:r>
    </w:p>
    <w:tbl>
      <w:tblPr>
        <w:tblStyle w:val="35"/>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2357"/>
        <w:gridCol w:w="1992"/>
      </w:tblGrid>
      <w:tr w14:paraId="56BD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59" w:type="dxa"/>
            <w:vAlign w:val="center"/>
          </w:tcPr>
          <w:p w14:paraId="4B6184FC">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项目</w:t>
            </w:r>
          </w:p>
        </w:tc>
        <w:tc>
          <w:tcPr>
            <w:tcW w:w="1860" w:type="dxa"/>
            <w:vAlign w:val="center"/>
          </w:tcPr>
          <w:p w14:paraId="5DCA16D0">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招标参数</w:t>
            </w:r>
          </w:p>
        </w:tc>
        <w:tc>
          <w:tcPr>
            <w:tcW w:w="1860" w:type="dxa"/>
            <w:vAlign w:val="center"/>
          </w:tcPr>
          <w:p w14:paraId="4FC988CB">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应标参数</w:t>
            </w:r>
          </w:p>
        </w:tc>
        <w:tc>
          <w:tcPr>
            <w:tcW w:w="2357" w:type="dxa"/>
            <w:vAlign w:val="center"/>
          </w:tcPr>
          <w:p w14:paraId="0F1D75D2">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正/负偏离/响应</w:t>
            </w:r>
          </w:p>
        </w:tc>
        <w:tc>
          <w:tcPr>
            <w:tcW w:w="1992" w:type="dxa"/>
            <w:vAlign w:val="center"/>
          </w:tcPr>
          <w:p w14:paraId="6274D913">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备注（页码）</w:t>
            </w:r>
          </w:p>
        </w:tc>
      </w:tr>
      <w:tr w14:paraId="4F52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59" w:type="dxa"/>
            <w:vAlign w:val="center"/>
          </w:tcPr>
          <w:p w14:paraId="2EBFA213">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产品名称</w:t>
            </w:r>
          </w:p>
        </w:tc>
        <w:tc>
          <w:tcPr>
            <w:tcW w:w="1860" w:type="dxa"/>
            <w:vAlign w:val="center"/>
          </w:tcPr>
          <w:p w14:paraId="11E48C5C">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p w14:paraId="24A68B33">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p w14:paraId="79E2DE2A">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p w14:paraId="799942C1">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tc>
        <w:tc>
          <w:tcPr>
            <w:tcW w:w="1860" w:type="dxa"/>
            <w:vAlign w:val="center"/>
          </w:tcPr>
          <w:p w14:paraId="69BEE633">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p w14:paraId="301337AF">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p w14:paraId="02E20843">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p w14:paraId="48DD0B8B">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tc>
        <w:tc>
          <w:tcPr>
            <w:tcW w:w="2357" w:type="dxa"/>
            <w:vAlign w:val="center"/>
          </w:tcPr>
          <w:p w14:paraId="6031DBA6">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正/负/响应</w:t>
            </w:r>
          </w:p>
        </w:tc>
        <w:tc>
          <w:tcPr>
            <w:tcW w:w="1992" w:type="dxa"/>
            <w:vAlign w:val="center"/>
          </w:tcPr>
          <w:p w14:paraId="34809FE9">
            <w:pPr>
              <w:spacing w:line="240" w:lineRule="auto"/>
              <w:jc w:val="center"/>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需逐条对应</w:t>
            </w:r>
          </w:p>
        </w:tc>
      </w:tr>
      <w:tr w14:paraId="00FB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59" w:type="dxa"/>
          </w:tcPr>
          <w:p w14:paraId="13ADF7DC">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tc>
        <w:tc>
          <w:tcPr>
            <w:tcW w:w="1860" w:type="dxa"/>
          </w:tcPr>
          <w:p w14:paraId="555BB328">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860" w:type="dxa"/>
          </w:tcPr>
          <w:p w14:paraId="0056E669">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357" w:type="dxa"/>
          </w:tcPr>
          <w:p w14:paraId="040DF19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992" w:type="dxa"/>
          </w:tcPr>
          <w:p w14:paraId="7728B963">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1043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59" w:type="dxa"/>
          </w:tcPr>
          <w:p w14:paraId="20B48F55">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tc>
        <w:tc>
          <w:tcPr>
            <w:tcW w:w="1860" w:type="dxa"/>
          </w:tcPr>
          <w:p w14:paraId="3F3E1CD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860" w:type="dxa"/>
          </w:tcPr>
          <w:p w14:paraId="19BFD694">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357" w:type="dxa"/>
          </w:tcPr>
          <w:p w14:paraId="4A3A55AA">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992" w:type="dxa"/>
          </w:tcPr>
          <w:p w14:paraId="318E0269">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7ECC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859" w:type="dxa"/>
          </w:tcPr>
          <w:p w14:paraId="6BF71FBE">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tc>
        <w:tc>
          <w:tcPr>
            <w:tcW w:w="1860" w:type="dxa"/>
          </w:tcPr>
          <w:p w14:paraId="68036F0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860" w:type="dxa"/>
          </w:tcPr>
          <w:p w14:paraId="0B42B407">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357" w:type="dxa"/>
          </w:tcPr>
          <w:p w14:paraId="36537C20">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992" w:type="dxa"/>
          </w:tcPr>
          <w:p w14:paraId="09D38AD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r w14:paraId="40DD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59" w:type="dxa"/>
          </w:tcPr>
          <w:p w14:paraId="2A01BC55">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w:t>
            </w:r>
          </w:p>
        </w:tc>
        <w:tc>
          <w:tcPr>
            <w:tcW w:w="1860" w:type="dxa"/>
          </w:tcPr>
          <w:p w14:paraId="71C6C7C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860" w:type="dxa"/>
          </w:tcPr>
          <w:p w14:paraId="7329A8DC">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2357" w:type="dxa"/>
          </w:tcPr>
          <w:p w14:paraId="40378B6A">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c>
          <w:tcPr>
            <w:tcW w:w="1992" w:type="dxa"/>
          </w:tcPr>
          <w:p w14:paraId="5171DC1E">
            <w:pPr>
              <w:spacing w:line="240" w:lineRule="auto"/>
              <w:ind w:firstLine="504" w:firstLineChars="200"/>
              <w:rPr>
                <w:rFonts w:hint="eastAsia" w:asciiTheme="minorEastAsia" w:hAnsiTheme="minorEastAsia" w:eastAsiaTheme="minorEastAsia" w:cstheme="minorEastAsia"/>
                <w:spacing w:val="6"/>
                <w:sz w:val="24"/>
                <w:szCs w:val="24"/>
                <w:highlight w:val="none"/>
              </w:rPr>
            </w:pPr>
          </w:p>
        </w:tc>
      </w:tr>
    </w:tbl>
    <w:p w14:paraId="2FF98249">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37CDE2B4">
      <w:pPr>
        <w:spacing w:line="36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 xml:space="preserve"> 供应商名称（盖单位章）：</w:t>
      </w:r>
    </w:p>
    <w:p w14:paraId="3903BF48">
      <w:pPr>
        <w:spacing w:line="36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 xml:space="preserve"> 法定代表人或其委托代理人（签字或盖章）：</w:t>
      </w:r>
    </w:p>
    <w:p w14:paraId="513A5AF0">
      <w:pPr>
        <w:spacing w:line="36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 xml:space="preserve"> </w:t>
      </w: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7C86E33C">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092E80E0">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10625C70">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说明：标的的主要技术参数和技术指标可另页描述。</w:t>
      </w:r>
    </w:p>
    <w:p w14:paraId="1D189E0B">
      <w:pPr>
        <w:spacing w:line="240" w:lineRule="auto"/>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含：产品说明书</w:t>
      </w:r>
      <w:r>
        <w:rPr>
          <w:rFonts w:hint="eastAsia" w:asciiTheme="minorEastAsia" w:hAnsiTheme="minorEastAsia" w:eastAsiaTheme="minorEastAsia" w:cstheme="minorEastAsia"/>
          <w:spacing w:val="6"/>
          <w:sz w:val="24"/>
          <w:szCs w:val="24"/>
          <w:highlight w:val="none"/>
          <w:lang w:eastAsia="zh-CN"/>
        </w:rPr>
        <w:t>或</w:t>
      </w:r>
      <w:r>
        <w:rPr>
          <w:rFonts w:hint="eastAsia" w:asciiTheme="minorEastAsia" w:hAnsiTheme="minorEastAsia" w:eastAsiaTheme="minorEastAsia" w:cstheme="minorEastAsia"/>
          <w:spacing w:val="6"/>
          <w:sz w:val="24"/>
          <w:szCs w:val="24"/>
          <w:highlight w:val="none"/>
        </w:rPr>
        <w:t>技术规格彩页</w:t>
      </w:r>
      <w:r>
        <w:rPr>
          <w:rFonts w:hint="eastAsia" w:asciiTheme="minorEastAsia" w:hAnsiTheme="minorEastAsia" w:eastAsiaTheme="minorEastAsia" w:cstheme="minorEastAsia"/>
          <w:spacing w:val="6"/>
          <w:sz w:val="24"/>
          <w:szCs w:val="24"/>
          <w:highlight w:val="none"/>
          <w:lang w:eastAsia="zh-CN"/>
        </w:rPr>
        <w:t>或</w:t>
      </w:r>
      <w:r>
        <w:rPr>
          <w:rFonts w:hint="eastAsia" w:asciiTheme="minorEastAsia" w:hAnsiTheme="minorEastAsia" w:eastAsiaTheme="minorEastAsia" w:cstheme="minorEastAsia"/>
          <w:spacing w:val="6"/>
          <w:sz w:val="24"/>
          <w:szCs w:val="24"/>
          <w:highlight w:val="none"/>
        </w:rPr>
        <w:t>第三方检测报告作为支持条件，并在技术偏离表中点对点标明支持文件在标书中的页码。</w:t>
      </w:r>
    </w:p>
    <w:p w14:paraId="3693EC51">
      <w:pPr>
        <w:spacing w:line="240" w:lineRule="auto"/>
        <w:ind w:firstLine="504" w:firstLineChars="200"/>
        <w:rPr>
          <w:rFonts w:hint="eastAsia" w:asciiTheme="minorEastAsia" w:hAnsiTheme="minorEastAsia" w:eastAsiaTheme="minorEastAsia" w:cstheme="minorEastAsia"/>
          <w:spacing w:val="6"/>
          <w:sz w:val="24"/>
          <w:szCs w:val="24"/>
          <w:highlight w:val="none"/>
        </w:rPr>
      </w:pPr>
    </w:p>
    <w:p w14:paraId="36932B30">
      <w:pPr>
        <w:spacing w:line="240" w:lineRule="auto"/>
        <w:jc w:val="center"/>
        <w:rPr>
          <w:rFonts w:hint="eastAsia" w:asciiTheme="minorEastAsia" w:hAnsiTheme="minorEastAsia" w:eastAsiaTheme="minorEastAsia" w:cstheme="minorEastAsia"/>
          <w:b/>
          <w:bCs/>
          <w:kern w:val="0"/>
          <w:sz w:val="24"/>
          <w:szCs w:val="24"/>
          <w:highlight w:val="none"/>
        </w:rPr>
      </w:pPr>
    </w:p>
    <w:p w14:paraId="7601A048">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p>
    <w:p w14:paraId="2A97E3C3">
      <w:pPr>
        <w:spacing w:before="236" w:line="240" w:lineRule="auto"/>
        <w:ind w:left="299" w:right="698"/>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bCs/>
          <w:kern w:val="0"/>
          <w:sz w:val="28"/>
          <w:szCs w:val="28"/>
          <w:highlight w:val="none"/>
        </w:rPr>
        <w:t>六、</w:t>
      </w:r>
      <w:r>
        <w:rPr>
          <w:rFonts w:hint="eastAsia" w:asciiTheme="minorEastAsia" w:hAnsiTheme="minorEastAsia" w:eastAsiaTheme="minorEastAsia" w:cstheme="minorEastAsia"/>
          <w:b/>
          <w:sz w:val="28"/>
          <w:szCs w:val="28"/>
          <w:highlight w:val="none"/>
        </w:rPr>
        <w:t>项目整体实施方案</w:t>
      </w:r>
    </w:p>
    <w:p w14:paraId="510722AE">
      <w:pPr>
        <w:spacing w:before="9" w:line="240" w:lineRule="auto"/>
        <w:rPr>
          <w:rFonts w:hint="eastAsia" w:asciiTheme="minorEastAsia" w:hAnsiTheme="minorEastAsia" w:eastAsiaTheme="minorEastAsia" w:cstheme="minorEastAsia"/>
          <w:b/>
          <w:sz w:val="24"/>
          <w:szCs w:val="24"/>
          <w:highlight w:val="none"/>
        </w:rPr>
      </w:pPr>
    </w:p>
    <w:p w14:paraId="0E540CCE">
      <w:pPr>
        <w:pStyle w:val="5"/>
        <w:spacing w:line="240" w:lineRule="auto"/>
        <w:ind w:left="298" w:right="69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（根据需要编写，格式自制）</w:t>
      </w:r>
    </w:p>
    <w:p w14:paraId="32FED8CF">
      <w:pPr>
        <w:spacing w:line="240" w:lineRule="auto"/>
        <w:rPr>
          <w:rFonts w:hint="eastAsia" w:asciiTheme="minorEastAsia" w:hAnsiTheme="minorEastAsia" w:eastAsiaTheme="minorEastAsia" w:cstheme="minorEastAsia"/>
          <w:b/>
          <w:sz w:val="24"/>
          <w:szCs w:val="24"/>
          <w:highlight w:val="none"/>
        </w:rPr>
      </w:pPr>
    </w:p>
    <w:p w14:paraId="15195120">
      <w:pPr>
        <w:spacing w:line="240" w:lineRule="auto"/>
        <w:rPr>
          <w:rFonts w:hint="eastAsia" w:asciiTheme="minorEastAsia" w:hAnsiTheme="minorEastAsia" w:eastAsiaTheme="minorEastAsia" w:cstheme="minorEastAsia"/>
          <w:b/>
          <w:sz w:val="24"/>
          <w:szCs w:val="24"/>
          <w:highlight w:val="none"/>
        </w:rPr>
      </w:pPr>
    </w:p>
    <w:p w14:paraId="6272ECBB">
      <w:pPr>
        <w:spacing w:before="10" w:line="240" w:lineRule="auto"/>
        <w:rPr>
          <w:rFonts w:hint="eastAsia" w:asciiTheme="minorEastAsia" w:hAnsiTheme="minorEastAsia" w:eastAsiaTheme="minorEastAsia" w:cstheme="minorEastAsia"/>
          <w:b/>
          <w:sz w:val="24"/>
          <w:szCs w:val="24"/>
          <w:highlight w:val="none"/>
        </w:rPr>
      </w:pPr>
    </w:p>
    <w:p w14:paraId="053F5F30">
      <w:pPr>
        <w:spacing w:line="360" w:lineRule="auto"/>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1.</w:t>
      </w:r>
      <w:r>
        <w:rPr>
          <w:rFonts w:hint="eastAsia" w:asciiTheme="minorEastAsia" w:hAnsiTheme="minorEastAsia" w:eastAsiaTheme="minorEastAsia" w:cstheme="minorEastAsia"/>
          <w:sz w:val="24"/>
          <w:szCs w:val="24"/>
          <w:highlight w:val="none"/>
          <w:lang w:val="zh-CN" w:eastAsia="zh-CN" w:bidi="zh-CN"/>
        </w:rPr>
        <w:t>项目实施方案</w:t>
      </w:r>
      <w:r>
        <w:rPr>
          <w:rFonts w:hint="eastAsia" w:asciiTheme="minorEastAsia" w:hAnsiTheme="minorEastAsia" w:eastAsiaTheme="minorEastAsia" w:cstheme="minorEastAsia"/>
          <w:sz w:val="24"/>
          <w:szCs w:val="24"/>
          <w:highlight w:val="none"/>
          <w:lang w:val="zh-CN" w:bidi="zh-CN"/>
        </w:rPr>
        <w:t>；</w:t>
      </w:r>
    </w:p>
    <w:p w14:paraId="1BDD407F">
      <w:pPr>
        <w:spacing w:line="360" w:lineRule="auto"/>
        <w:ind w:left="240" w:hanging="240" w:hangingChars="100"/>
        <w:rPr>
          <w:rFonts w:hint="eastAsia" w:asciiTheme="minorEastAsia" w:hAnsiTheme="minorEastAsia" w:eastAsiaTheme="minorEastAsia" w:cstheme="minorEastAsia"/>
          <w:sz w:val="24"/>
          <w:szCs w:val="24"/>
          <w:highlight w:val="none"/>
          <w:lang w:val="en-US" w:eastAsia="zh-CN" w:bidi="zh-CN"/>
        </w:rPr>
      </w:pPr>
      <w:r>
        <w:rPr>
          <w:rFonts w:hint="eastAsia" w:asciiTheme="minorEastAsia" w:hAnsiTheme="minorEastAsia" w:eastAsiaTheme="minorEastAsia" w:cstheme="minorEastAsia"/>
          <w:sz w:val="24"/>
          <w:szCs w:val="24"/>
          <w:highlight w:val="none"/>
          <w:lang w:val="en-US" w:bidi="zh-CN"/>
        </w:rPr>
        <w:t>2.技术</w:t>
      </w:r>
      <w:r>
        <w:rPr>
          <w:rFonts w:hint="eastAsia" w:asciiTheme="minorEastAsia" w:hAnsiTheme="minorEastAsia" w:eastAsiaTheme="minorEastAsia" w:cstheme="minorEastAsia"/>
          <w:sz w:val="24"/>
          <w:szCs w:val="24"/>
          <w:highlight w:val="none"/>
          <w:lang w:val="en-US" w:eastAsia="zh-CN" w:bidi="zh-CN"/>
        </w:rPr>
        <w:t>培训方案；</w:t>
      </w:r>
    </w:p>
    <w:p w14:paraId="68D0E91D">
      <w:pPr>
        <w:spacing w:line="360" w:lineRule="auto"/>
        <w:ind w:left="240" w:hanging="240" w:hangingChars="100"/>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en-US" w:bidi="zh-CN"/>
        </w:rPr>
        <w:t>3</w:t>
      </w:r>
      <w:r>
        <w:rPr>
          <w:rFonts w:hint="eastAsia" w:asciiTheme="minorEastAsia" w:hAnsiTheme="minorEastAsia" w:eastAsiaTheme="minorEastAsia" w:cstheme="minorEastAsia"/>
          <w:sz w:val="24"/>
          <w:szCs w:val="24"/>
          <w:highlight w:val="none"/>
          <w:lang w:val="zh-CN" w:bidi="zh-CN"/>
        </w:rPr>
        <w:t>.售后服务方案；</w:t>
      </w:r>
    </w:p>
    <w:p w14:paraId="39B7FC1F">
      <w:pPr>
        <w:spacing w:line="360" w:lineRule="auto"/>
        <w:rPr>
          <w:rFonts w:hint="eastAsia" w:asciiTheme="minorEastAsia" w:hAnsiTheme="minorEastAsia" w:eastAsiaTheme="minorEastAsia" w:cstheme="minorEastAsia"/>
          <w:sz w:val="24"/>
          <w:szCs w:val="24"/>
          <w:highlight w:val="none"/>
          <w:lang w:val="zh-CN" w:eastAsia="zh-CN" w:bidi="zh-CN"/>
        </w:rPr>
      </w:pPr>
      <w:r>
        <w:rPr>
          <w:rFonts w:hint="eastAsia" w:asciiTheme="minorEastAsia" w:hAnsiTheme="minorEastAsia" w:eastAsiaTheme="minorEastAsia" w:cstheme="minorEastAsia"/>
          <w:sz w:val="24"/>
          <w:szCs w:val="24"/>
          <w:highlight w:val="none"/>
          <w:lang w:val="en-US" w:bidi="zh-CN"/>
        </w:rPr>
        <w:t>4</w:t>
      </w: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val="zh-CN" w:eastAsia="zh-CN" w:bidi="zh-CN"/>
        </w:rPr>
        <w:t xml:space="preserve">供货、安装、调试方案； </w:t>
      </w:r>
    </w:p>
    <w:p w14:paraId="3DE7D62D">
      <w:pPr>
        <w:spacing w:line="360" w:lineRule="auto"/>
        <w:rPr>
          <w:rFonts w:hint="eastAsia" w:asciiTheme="minorEastAsia" w:hAnsiTheme="minorEastAsia" w:eastAsiaTheme="minorEastAsia" w:cstheme="minorEastAsia"/>
          <w:sz w:val="24"/>
          <w:szCs w:val="24"/>
          <w:highlight w:val="none"/>
          <w:lang w:val="zh-CN" w:eastAsia="zh-CN" w:bidi="zh-CN"/>
        </w:rPr>
      </w:pPr>
      <w:r>
        <w:rPr>
          <w:rFonts w:hint="eastAsia" w:asciiTheme="minorEastAsia" w:hAnsiTheme="minorEastAsia" w:eastAsiaTheme="minorEastAsia" w:cstheme="minorEastAsia"/>
          <w:sz w:val="24"/>
          <w:szCs w:val="24"/>
          <w:highlight w:val="none"/>
          <w:lang w:val="en-US" w:bidi="zh-CN"/>
        </w:rPr>
        <w:t>5</w:t>
      </w:r>
      <w:r>
        <w:rPr>
          <w:rFonts w:hint="eastAsia" w:asciiTheme="minorEastAsia" w:hAnsiTheme="minorEastAsia" w:eastAsiaTheme="minorEastAsia" w:cstheme="minorEastAsia"/>
          <w:sz w:val="24"/>
          <w:szCs w:val="24"/>
          <w:highlight w:val="none"/>
          <w:lang w:val="zh-CN" w:bidi="zh-CN"/>
        </w:rPr>
        <w:t>.</w:t>
      </w:r>
      <w:r>
        <w:rPr>
          <w:rFonts w:hint="eastAsia" w:asciiTheme="minorEastAsia" w:hAnsiTheme="minorEastAsia" w:eastAsiaTheme="minorEastAsia" w:cstheme="minorEastAsia"/>
          <w:sz w:val="24"/>
          <w:szCs w:val="24"/>
          <w:highlight w:val="none"/>
          <w:lang w:val="zh-CN" w:eastAsia="zh-CN" w:bidi="zh-CN"/>
        </w:rPr>
        <w:t>优惠服务条件；</w:t>
      </w:r>
    </w:p>
    <w:p w14:paraId="468BA4D1">
      <w:pPr>
        <w:spacing w:line="360" w:lineRule="auto"/>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en-US" w:eastAsia="zh-CN" w:bidi="zh-CN"/>
        </w:rPr>
        <w:t>6.</w:t>
      </w:r>
      <w:r>
        <w:rPr>
          <w:rFonts w:hint="eastAsia" w:asciiTheme="minorEastAsia" w:hAnsiTheme="minorEastAsia" w:eastAsiaTheme="minorEastAsia" w:cstheme="minorEastAsia"/>
          <w:sz w:val="24"/>
          <w:szCs w:val="24"/>
          <w:highlight w:val="none"/>
          <w:lang w:val="zh-CN" w:bidi="zh-CN"/>
        </w:rPr>
        <w:t>其他建议（</w:t>
      </w:r>
      <w:r>
        <w:rPr>
          <w:rFonts w:hint="eastAsia" w:asciiTheme="minorEastAsia" w:hAnsiTheme="minorEastAsia" w:eastAsiaTheme="minorEastAsia" w:cstheme="minorEastAsia"/>
          <w:sz w:val="24"/>
          <w:szCs w:val="24"/>
          <w:highlight w:val="none"/>
          <w:lang w:bidi="zh-CN"/>
        </w:rPr>
        <w:t>若有</w:t>
      </w:r>
      <w:r>
        <w:rPr>
          <w:rFonts w:hint="eastAsia" w:asciiTheme="minorEastAsia" w:hAnsiTheme="minorEastAsia" w:eastAsiaTheme="minorEastAsia" w:cstheme="minorEastAsia"/>
          <w:sz w:val="24"/>
          <w:szCs w:val="24"/>
          <w:highlight w:val="none"/>
          <w:lang w:val="zh-CN" w:bidi="zh-CN"/>
        </w:rPr>
        <w:t>）。</w:t>
      </w:r>
    </w:p>
    <w:p w14:paraId="7A5393EE">
      <w:pPr>
        <w:spacing w:line="240" w:lineRule="auto"/>
        <w:rPr>
          <w:rFonts w:hint="eastAsia" w:asciiTheme="minorEastAsia" w:hAnsiTheme="minorEastAsia" w:eastAsiaTheme="minorEastAsia" w:cstheme="minorEastAsia"/>
          <w:sz w:val="24"/>
          <w:szCs w:val="24"/>
          <w:highlight w:val="none"/>
        </w:rPr>
      </w:pPr>
    </w:p>
    <w:p w14:paraId="1C546BA1">
      <w:pPr>
        <w:spacing w:before="10" w:line="240" w:lineRule="auto"/>
        <w:rPr>
          <w:rFonts w:hint="eastAsia" w:asciiTheme="minorEastAsia" w:hAnsiTheme="minorEastAsia" w:eastAsiaTheme="minorEastAsia" w:cstheme="minorEastAsia"/>
          <w:sz w:val="24"/>
          <w:szCs w:val="24"/>
          <w:highlight w:val="none"/>
        </w:rPr>
      </w:pPr>
    </w:p>
    <w:p w14:paraId="0709AFA0">
      <w:pPr>
        <w:spacing w:line="240" w:lineRule="auto"/>
        <w:jc w:val="center"/>
        <w:rPr>
          <w:rFonts w:hint="eastAsia" w:asciiTheme="minorEastAsia" w:hAnsiTheme="minorEastAsia" w:eastAsiaTheme="minorEastAsia" w:cstheme="minorEastAsia"/>
          <w:sz w:val="24"/>
          <w:szCs w:val="24"/>
          <w:highlight w:val="none"/>
          <w:lang w:val="zh-CN" w:bidi="zh-CN"/>
        </w:rPr>
      </w:pPr>
      <w:r>
        <w:rPr>
          <w:rFonts w:hint="eastAsia" w:asciiTheme="minorEastAsia" w:hAnsiTheme="minorEastAsia" w:eastAsiaTheme="minorEastAsia" w:cstheme="minorEastAsia"/>
          <w:sz w:val="24"/>
          <w:szCs w:val="24"/>
          <w:highlight w:val="none"/>
          <w:lang w:val="zh-CN" w:bidi="zh-CN"/>
        </w:rPr>
        <w:t>上述内容仅供参考，如有不足，请自行补充提供。</w:t>
      </w:r>
    </w:p>
    <w:p w14:paraId="6D9FEA71">
      <w:pPr>
        <w:spacing w:line="240" w:lineRule="auto"/>
        <w:ind w:firstLine="560"/>
        <w:jc w:val="left"/>
        <w:rPr>
          <w:rFonts w:hint="eastAsia" w:asciiTheme="minorEastAsia" w:hAnsiTheme="minorEastAsia" w:eastAsiaTheme="minorEastAsia" w:cstheme="minorEastAsia"/>
          <w:kern w:val="0"/>
          <w:sz w:val="24"/>
          <w:szCs w:val="24"/>
          <w:highlight w:val="none"/>
        </w:rPr>
      </w:pPr>
    </w:p>
    <w:p w14:paraId="4CE7D080">
      <w:pPr>
        <w:spacing w:line="240" w:lineRule="auto"/>
        <w:ind w:firstLine="560"/>
        <w:jc w:val="left"/>
        <w:rPr>
          <w:rFonts w:hint="eastAsia" w:asciiTheme="minorEastAsia" w:hAnsiTheme="minorEastAsia" w:eastAsiaTheme="minorEastAsia" w:cstheme="minorEastAsia"/>
          <w:kern w:val="0"/>
          <w:sz w:val="24"/>
          <w:szCs w:val="24"/>
          <w:highlight w:val="none"/>
        </w:rPr>
      </w:pPr>
    </w:p>
    <w:p w14:paraId="4E198DC4">
      <w:pPr>
        <w:spacing w:line="240" w:lineRule="auto"/>
        <w:ind w:firstLine="560"/>
        <w:jc w:val="left"/>
        <w:rPr>
          <w:rFonts w:hint="eastAsia" w:asciiTheme="minorEastAsia" w:hAnsiTheme="minorEastAsia" w:eastAsiaTheme="minorEastAsia" w:cstheme="minorEastAsia"/>
          <w:kern w:val="0"/>
          <w:sz w:val="24"/>
          <w:szCs w:val="24"/>
          <w:highlight w:val="none"/>
        </w:rPr>
      </w:pPr>
    </w:p>
    <w:p w14:paraId="65965DEE">
      <w:pPr>
        <w:spacing w:line="240" w:lineRule="auto"/>
        <w:ind w:firstLine="560"/>
        <w:jc w:val="left"/>
        <w:rPr>
          <w:rFonts w:hint="eastAsia" w:asciiTheme="minorEastAsia" w:hAnsiTheme="minorEastAsia" w:eastAsiaTheme="minorEastAsia" w:cstheme="minorEastAsia"/>
          <w:kern w:val="0"/>
          <w:sz w:val="24"/>
          <w:szCs w:val="24"/>
          <w:highlight w:val="none"/>
        </w:rPr>
      </w:pPr>
    </w:p>
    <w:p w14:paraId="4C57AACF">
      <w:pPr>
        <w:spacing w:line="240" w:lineRule="auto"/>
        <w:ind w:firstLine="560"/>
        <w:jc w:val="left"/>
        <w:rPr>
          <w:rFonts w:hint="eastAsia" w:asciiTheme="minorEastAsia" w:hAnsiTheme="minorEastAsia" w:eastAsiaTheme="minorEastAsia" w:cstheme="minorEastAsia"/>
          <w:kern w:val="0"/>
          <w:sz w:val="24"/>
          <w:szCs w:val="24"/>
          <w:highlight w:val="none"/>
        </w:rPr>
      </w:pPr>
    </w:p>
    <w:p w14:paraId="7A6504ED">
      <w:pPr>
        <w:spacing w:line="240" w:lineRule="auto"/>
        <w:ind w:firstLine="560"/>
        <w:jc w:val="left"/>
        <w:rPr>
          <w:rFonts w:hint="eastAsia" w:asciiTheme="minorEastAsia" w:hAnsiTheme="minorEastAsia" w:eastAsiaTheme="minorEastAsia" w:cstheme="minorEastAsia"/>
          <w:kern w:val="0"/>
          <w:sz w:val="24"/>
          <w:szCs w:val="24"/>
          <w:highlight w:val="none"/>
        </w:rPr>
      </w:pPr>
    </w:p>
    <w:p w14:paraId="0B902138">
      <w:pPr>
        <w:spacing w:line="240" w:lineRule="auto"/>
        <w:ind w:firstLine="560"/>
        <w:jc w:val="left"/>
        <w:rPr>
          <w:rFonts w:hint="eastAsia" w:asciiTheme="minorEastAsia" w:hAnsiTheme="minorEastAsia" w:eastAsiaTheme="minorEastAsia" w:cstheme="minorEastAsia"/>
          <w:kern w:val="0"/>
          <w:sz w:val="24"/>
          <w:szCs w:val="24"/>
          <w:highlight w:val="none"/>
        </w:rPr>
      </w:pPr>
    </w:p>
    <w:p w14:paraId="79F6DD97">
      <w:pPr>
        <w:spacing w:line="240" w:lineRule="auto"/>
        <w:ind w:firstLine="560"/>
        <w:jc w:val="left"/>
        <w:rPr>
          <w:rFonts w:hint="eastAsia" w:asciiTheme="minorEastAsia" w:hAnsiTheme="minorEastAsia" w:eastAsiaTheme="minorEastAsia" w:cstheme="minorEastAsia"/>
          <w:kern w:val="0"/>
          <w:sz w:val="24"/>
          <w:szCs w:val="24"/>
          <w:highlight w:val="none"/>
        </w:rPr>
      </w:pPr>
    </w:p>
    <w:p w14:paraId="79594788">
      <w:pPr>
        <w:spacing w:line="240" w:lineRule="auto"/>
        <w:ind w:firstLine="560"/>
        <w:jc w:val="left"/>
        <w:rPr>
          <w:rFonts w:hint="eastAsia" w:asciiTheme="minorEastAsia" w:hAnsiTheme="minorEastAsia" w:eastAsiaTheme="minorEastAsia" w:cstheme="minorEastAsia"/>
          <w:kern w:val="0"/>
          <w:sz w:val="24"/>
          <w:szCs w:val="24"/>
          <w:highlight w:val="none"/>
        </w:rPr>
      </w:pPr>
    </w:p>
    <w:p w14:paraId="4B10F30D">
      <w:pPr>
        <w:spacing w:line="240" w:lineRule="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br w:type="page"/>
      </w:r>
      <w:r>
        <w:rPr>
          <w:rFonts w:hint="eastAsia" w:asciiTheme="minorEastAsia" w:hAnsiTheme="minorEastAsia" w:eastAsiaTheme="minorEastAsia" w:cstheme="minorEastAsia"/>
          <w:b/>
          <w:bCs/>
          <w:kern w:val="0"/>
          <w:sz w:val="24"/>
          <w:szCs w:val="24"/>
          <w:highlight w:val="none"/>
        </w:rPr>
        <w:t>附件1</w:t>
      </w:r>
      <w:r>
        <w:rPr>
          <w:rFonts w:hint="eastAsia" w:asciiTheme="minorEastAsia" w:hAnsiTheme="minorEastAsia" w:eastAsiaTheme="minorEastAsia" w:cstheme="minorEastAsia"/>
          <w:b/>
          <w:bCs/>
          <w:kern w:val="0"/>
          <w:sz w:val="24"/>
          <w:szCs w:val="24"/>
          <w:highlight w:val="none"/>
          <w:lang w:val="en-US" w:eastAsia="zh-CN"/>
        </w:rPr>
        <w:t>4</w:t>
      </w:r>
      <w:r>
        <w:rPr>
          <w:rFonts w:hint="eastAsia" w:asciiTheme="minorEastAsia" w:hAnsiTheme="minorEastAsia" w:eastAsiaTheme="minorEastAsia" w:cstheme="minorEastAsia"/>
          <w:b/>
          <w:bCs/>
          <w:kern w:val="0"/>
          <w:sz w:val="24"/>
          <w:szCs w:val="24"/>
          <w:highlight w:val="none"/>
        </w:rPr>
        <w:t>：</w:t>
      </w:r>
    </w:p>
    <w:p w14:paraId="478B5C9C">
      <w:pPr>
        <w:spacing w:line="240" w:lineRule="auto"/>
        <w:jc w:val="center"/>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rPr>
        <w:t>售后服务附表</w:t>
      </w:r>
    </w:p>
    <w:p w14:paraId="7D30349E">
      <w:pPr>
        <w:spacing w:line="240" w:lineRule="auto"/>
        <w:jc w:val="left"/>
        <w:rPr>
          <w:rFonts w:hint="eastAsia" w:asciiTheme="minorEastAsia" w:hAnsiTheme="minorEastAsia" w:eastAsiaTheme="minorEastAsia" w:cstheme="minorEastAsia"/>
          <w:spacing w:val="1"/>
          <w:kern w:val="0"/>
          <w:sz w:val="24"/>
          <w:szCs w:val="24"/>
          <w:highlight w:val="none"/>
          <w:u w:val="single"/>
        </w:rPr>
      </w:pPr>
      <w:r>
        <w:rPr>
          <w:rFonts w:hint="eastAsia" w:asciiTheme="minorEastAsia" w:hAnsiTheme="minorEastAsia" w:eastAsiaTheme="minorEastAsia" w:cstheme="minorEastAsia"/>
          <w:spacing w:val="1"/>
          <w:kern w:val="0"/>
          <w:sz w:val="24"/>
          <w:szCs w:val="24"/>
          <w:highlight w:val="none"/>
        </w:rPr>
        <w:t>项目名称：</w:t>
      </w:r>
      <w:r>
        <w:rPr>
          <w:rFonts w:hint="eastAsia" w:asciiTheme="minorEastAsia" w:hAnsiTheme="minorEastAsia" w:eastAsiaTheme="minorEastAsia" w:cstheme="minorEastAsia"/>
          <w:spacing w:val="1"/>
          <w:kern w:val="0"/>
          <w:sz w:val="24"/>
          <w:szCs w:val="24"/>
          <w:highlight w:val="none"/>
          <w:u w:val="single"/>
        </w:rPr>
        <w:t xml:space="preserve">                              </w:t>
      </w:r>
    </w:p>
    <w:p w14:paraId="28AFA688">
      <w:pPr>
        <w:spacing w:line="240" w:lineRule="auto"/>
        <w:jc w:val="left"/>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rPr>
        <w:t>项目编号：</w:t>
      </w:r>
      <w:r>
        <w:rPr>
          <w:rFonts w:hint="eastAsia" w:asciiTheme="minorEastAsia" w:hAnsiTheme="minorEastAsia" w:eastAsiaTheme="minorEastAsia" w:cstheme="minorEastAsia"/>
          <w:spacing w:val="1"/>
          <w:kern w:val="0"/>
          <w:sz w:val="24"/>
          <w:szCs w:val="24"/>
          <w:highlight w:val="none"/>
          <w:u w:val="single"/>
        </w:rPr>
        <w:t xml:space="preserve">                              </w:t>
      </w:r>
    </w:p>
    <w:tbl>
      <w:tblPr>
        <w:tblStyle w:val="35"/>
        <w:tblW w:w="973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632"/>
        <w:gridCol w:w="438"/>
        <w:gridCol w:w="1362"/>
        <w:gridCol w:w="618"/>
        <w:gridCol w:w="1494"/>
        <w:gridCol w:w="2387"/>
      </w:tblGrid>
      <w:tr w14:paraId="706D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99" w:type="dxa"/>
            <w:vAlign w:val="center"/>
          </w:tcPr>
          <w:p w14:paraId="036F5F5B">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服务网点名称</w:t>
            </w:r>
          </w:p>
        </w:tc>
        <w:tc>
          <w:tcPr>
            <w:tcW w:w="5544" w:type="dxa"/>
            <w:gridSpan w:val="5"/>
            <w:vAlign w:val="center"/>
          </w:tcPr>
          <w:p w14:paraId="058D6A80">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Merge w:val="restart"/>
            <w:vAlign w:val="center"/>
          </w:tcPr>
          <w:p w14:paraId="2CF1BAB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备注</w:t>
            </w:r>
          </w:p>
        </w:tc>
      </w:tr>
      <w:tr w14:paraId="0688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99" w:type="dxa"/>
            <w:vAlign w:val="center"/>
          </w:tcPr>
          <w:p w14:paraId="70BC4127">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地址</w:t>
            </w:r>
          </w:p>
        </w:tc>
        <w:tc>
          <w:tcPr>
            <w:tcW w:w="5544" w:type="dxa"/>
            <w:gridSpan w:val="5"/>
            <w:vAlign w:val="center"/>
          </w:tcPr>
          <w:p w14:paraId="0D8B0E45">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Merge w:val="continue"/>
            <w:vAlign w:val="center"/>
          </w:tcPr>
          <w:p w14:paraId="1F79A2AD">
            <w:pPr>
              <w:spacing w:line="240" w:lineRule="auto"/>
              <w:jc w:val="center"/>
              <w:rPr>
                <w:rFonts w:hint="eastAsia" w:asciiTheme="minorEastAsia" w:hAnsiTheme="minorEastAsia" w:eastAsiaTheme="minorEastAsia" w:cstheme="minorEastAsia"/>
                <w:kern w:val="0"/>
                <w:sz w:val="24"/>
                <w:szCs w:val="24"/>
                <w:highlight w:val="none"/>
              </w:rPr>
            </w:pPr>
          </w:p>
        </w:tc>
      </w:tr>
      <w:tr w14:paraId="5F14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99" w:type="dxa"/>
            <w:vAlign w:val="center"/>
          </w:tcPr>
          <w:p w14:paraId="221C8174">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注册资本金</w:t>
            </w:r>
          </w:p>
        </w:tc>
        <w:tc>
          <w:tcPr>
            <w:tcW w:w="1632" w:type="dxa"/>
            <w:vAlign w:val="center"/>
          </w:tcPr>
          <w:p w14:paraId="1D90A6F9">
            <w:pPr>
              <w:spacing w:line="240" w:lineRule="auto"/>
              <w:jc w:val="center"/>
              <w:rPr>
                <w:rFonts w:hint="eastAsia" w:asciiTheme="minorEastAsia" w:hAnsiTheme="minorEastAsia" w:eastAsiaTheme="minorEastAsia" w:cstheme="minorEastAsia"/>
                <w:kern w:val="0"/>
                <w:sz w:val="24"/>
                <w:szCs w:val="24"/>
                <w:highlight w:val="none"/>
              </w:rPr>
            </w:pPr>
          </w:p>
        </w:tc>
        <w:tc>
          <w:tcPr>
            <w:tcW w:w="2418" w:type="dxa"/>
            <w:gridSpan w:val="3"/>
            <w:vAlign w:val="center"/>
          </w:tcPr>
          <w:p w14:paraId="17638E35">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其中：投标供应商出资比例</w:t>
            </w:r>
          </w:p>
        </w:tc>
        <w:tc>
          <w:tcPr>
            <w:tcW w:w="1494" w:type="dxa"/>
            <w:vAlign w:val="center"/>
          </w:tcPr>
          <w:p w14:paraId="3988E826">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Merge w:val="restart"/>
            <w:vAlign w:val="center"/>
          </w:tcPr>
          <w:p w14:paraId="5B3984AD">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提供相关证明材料（如：营业执照或租房合同等）</w:t>
            </w:r>
          </w:p>
        </w:tc>
      </w:tr>
      <w:tr w14:paraId="5FD9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99" w:type="dxa"/>
            <w:vAlign w:val="center"/>
          </w:tcPr>
          <w:p w14:paraId="7320DD0D">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员工总人数</w:t>
            </w:r>
          </w:p>
        </w:tc>
        <w:tc>
          <w:tcPr>
            <w:tcW w:w="1632" w:type="dxa"/>
            <w:vAlign w:val="center"/>
          </w:tcPr>
          <w:p w14:paraId="294D28F2">
            <w:pPr>
              <w:spacing w:line="240" w:lineRule="auto"/>
              <w:jc w:val="center"/>
              <w:rPr>
                <w:rFonts w:hint="eastAsia" w:asciiTheme="minorEastAsia" w:hAnsiTheme="minorEastAsia" w:eastAsiaTheme="minorEastAsia" w:cstheme="minorEastAsia"/>
                <w:kern w:val="0"/>
                <w:sz w:val="24"/>
                <w:szCs w:val="24"/>
                <w:highlight w:val="none"/>
              </w:rPr>
            </w:pPr>
          </w:p>
        </w:tc>
        <w:tc>
          <w:tcPr>
            <w:tcW w:w="2418" w:type="dxa"/>
            <w:gridSpan w:val="3"/>
            <w:vAlign w:val="center"/>
          </w:tcPr>
          <w:p w14:paraId="33DC5C97">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其中：技术人员数</w:t>
            </w:r>
          </w:p>
        </w:tc>
        <w:tc>
          <w:tcPr>
            <w:tcW w:w="1494" w:type="dxa"/>
            <w:vAlign w:val="center"/>
          </w:tcPr>
          <w:p w14:paraId="759498CE">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Merge w:val="continue"/>
            <w:vAlign w:val="center"/>
          </w:tcPr>
          <w:p w14:paraId="55D01817">
            <w:pPr>
              <w:spacing w:line="240" w:lineRule="auto"/>
              <w:jc w:val="center"/>
              <w:rPr>
                <w:rFonts w:hint="eastAsia" w:asciiTheme="minorEastAsia" w:hAnsiTheme="minorEastAsia" w:eastAsiaTheme="minorEastAsia" w:cstheme="minorEastAsia"/>
                <w:kern w:val="0"/>
                <w:sz w:val="24"/>
                <w:szCs w:val="24"/>
                <w:highlight w:val="none"/>
              </w:rPr>
            </w:pPr>
          </w:p>
        </w:tc>
      </w:tr>
      <w:tr w14:paraId="19DE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99" w:type="dxa"/>
            <w:vAlign w:val="center"/>
          </w:tcPr>
          <w:p w14:paraId="20C9F40F">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经营期限</w:t>
            </w:r>
          </w:p>
        </w:tc>
        <w:tc>
          <w:tcPr>
            <w:tcW w:w="5544" w:type="dxa"/>
            <w:gridSpan w:val="5"/>
            <w:vAlign w:val="center"/>
          </w:tcPr>
          <w:p w14:paraId="28B543B9">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Merge w:val="continue"/>
            <w:vAlign w:val="center"/>
          </w:tcPr>
          <w:p w14:paraId="499F8A8F">
            <w:pPr>
              <w:spacing w:line="240" w:lineRule="auto"/>
              <w:jc w:val="center"/>
              <w:rPr>
                <w:rFonts w:hint="eastAsia" w:asciiTheme="minorEastAsia" w:hAnsiTheme="minorEastAsia" w:eastAsiaTheme="minorEastAsia" w:cstheme="minorEastAsia"/>
                <w:kern w:val="0"/>
                <w:sz w:val="24"/>
                <w:szCs w:val="24"/>
                <w:highlight w:val="none"/>
              </w:rPr>
            </w:pPr>
          </w:p>
        </w:tc>
      </w:tr>
      <w:tr w14:paraId="7C1C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799" w:type="dxa"/>
            <w:vAlign w:val="center"/>
          </w:tcPr>
          <w:p w14:paraId="4FB0824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售后服务协议</w:t>
            </w:r>
          </w:p>
        </w:tc>
        <w:tc>
          <w:tcPr>
            <w:tcW w:w="5544" w:type="dxa"/>
            <w:gridSpan w:val="5"/>
            <w:vAlign w:val="center"/>
          </w:tcPr>
          <w:p w14:paraId="65195A44">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Align w:val="center"/>
          </w:tcPr>
          <w:p w14:paraId="7FF3256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提供相关</w:t>
            </w:r>
          </w:p>
          <w:p w14:paraId="27BC6EC6">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证明材料</w:t>
            </w:r>
          </w:p>
        </w:tc>
      </w:tr>
      <w:tr w14:paraId="3F80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99" w:type="dxa"/>
            <w:vAlign w:val="center"/>
          </w:tcPr>
          <w:p w14:paraId="61DD15CD">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售后服务内容</w:t>
            </w:r>
          </w:p>
        </w:tc>
        <w:tc>
          <w:tcPr>
            <w:tcW w:w="5544" w:type="dxa"/>
            <w:gridSpan w:val="5"/>
            <w:vAlign w:val="center"/>
          </w:tcPr>
          <w:p w14:paraId="22B27C14">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Merge w:val="restart"/>
            <w:vAlign w:val="center"/>
          </w:tcPr>
          <w:p w14:paraId="690330A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此部分内容做附件进行详细说明</w:t>
            </w:r>
          </w:p>
        </w:tc>
      </w:tr>
      <w:tr w14:paraId="0FF1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99" w:type="dxa"/>
            <w:vAlign w:val="center"/>
          </w:tcPr>
          <w:p w14:paraId="1F128FC2">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服务承诺</w:t>
            </w:r>
          </w:p>
        </w:tc>
        <w:tc>
          <w:tcPr>
            <w:tcW w:w="5544" w:type="dxa"/>
            <w:gridSpan w:val="5"/>
            <w:vAlign w:val="center"/>
          </w:tcPr>
          <w:p w14:paraId="285AEF6B">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Merge w:val="continue"/>
            <w:vAlign w:val="center"/>
          </w:tcPr>
          <w:p w14:paraId="19947EC8">
            <w:pPr>
              <w:spacing w:line="240" w:lineRule="auto"/>
              <w:jc w:val="center"/>
              <w:rPr>
                <w:rFonts w:hint="eastAsia" w:asciiTheme="minorEastAsia" w:hAnsiTheme="minorEastAsia" w:eastAsiaTheme="minorEastAsia" w:cstheme="minorEastAsia"/>
                <w:kern w:val="0"/>
                <w:sz w:val="24"/>
                <w:szCs w:val="24"/>
                <w:highlight w:val="none"/>
              </w:rPr>
            </w:pPr>
          </w:p>
        </w:tc>
      </w:tr>
      <w:tr w14:paraId="48DC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799" w:type="dxa"/>
            <w:vAlign w:val="center"/>
          </w:tcPr>
          <w:p w14:paraId="00055BA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工作业绩</w:t>
            </w:r>
          </w:p>
        </w:tc>
        <w:tc>
          <w:tcPr>
            <w:tcW w:w="5544" w:type="dxa"/>
            <w:gridSpan w:val="5"/>
            <w:vAlign w:val="center"/>
          </w:tcPr>
          <w:p w14:paraId="0F8951F2">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Align w:val="center"/>
          </w:tcPr>
          <w:p w14:paraId="66F47CE0">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提供相关</w:t>
            </w:r>
          </w:p>
          <w:p w14:paraId="4FB97638">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证明材料</w:t>
            </w:r>
          </w:p>
        </w:tc>
      </w:tr>
      <w:tr w14:paraId="0DF5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99" w:type="dxa"/>
            <w:vAlign w:val="center"/>
          </w:tcPr>
          <w:p w14:paraId="3E56D3B1">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业务咨询电话</w:t>
            </w:r>
          </w:p>
        </w:tc>
        <w:tc>
          <w:tcPr>
            <w:tcW w:w="2070" w:type="dxa"/>
            <w:gridSpan w:val="2"/>
            <w:vAlign w:val="center"/>
          </w:tcPr>
          <w:p w14:paraId="2AC99B2E">
            <w:pPr>
              <w:spacing w:line="240" w:lineRule="auto"/>
              <w:jc w:val="center"/>
              <w:rPr>
                <w:rFonts w:hint="eastAsia" w:asciiTheme="minorEastAsia" w:hAnsiTheme="minorEastAsia" w:eastAsiaTheme="minorEastAsia" w:cstheme="minorEastAsia"/>
                <w:kern w:val="0"/>
                <w:sz w:val="24"/>
                <w:szCs w:val="24"/>
                <w:highlight w:val="none"/>
              </w:rPr>
            </w:pPr>
          </w:p>
        </w:tc>
        <w:tc>
          <w:tcPr>
            <w:tcW w:w="1362" w:type="dxa"/>
            <w:vAlign w:val="center"/>
          </w:tcPr>
          <w:p w14:paraId="2125EDA3">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传真</w:t>
            </w:r>
          </w:p>
        </w:tc>
        <w:tc>
          <w:tcPr>
            <w:tcW w:w="2112" w:type="dxa"/>
            <w:gridSpan w:val="2"/>
            <w:vAlign w:val="center"/>
          </w:tcPr>
          <w:p w14:paraId="663CC68E">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Merge w:val="restart"/>
            <w:vAlign w:val="center"/>
          </w:tcPr>
          <w:p w14:paraId="42F285BE">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附人员身份证等相关证件</w:t>
            </w:r>
          </w:p>
        </w:tc>
      </w:tr>
      <w:tr w14:paraId="6FD2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799" w:type="dxa"/>
            <w:vAlign w:val="center"/>
          </w:tcPr>
          <w:p w14:paraId="28432CEA">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负责人</w:t>
            </w:r>
          </w:p>
        </w:tc>
        <w:tc>
          <w:tcPr>
            <w:tcW w:w="2070" w:type="dxa"/>
            <w:gridSpan w:val="2"/>
            <w:vAlign w:val="center"/>
          </w:tcPr>
          <w:p w14:paraId="45C4825D">
            <w:pPr>
              <w:spacing w:line="240" w:lineRule="auto"/>
              <w:jc w:val="center"/>
              <w:rPr>
                <w:rFonts w:hint="eastAsia" w:asciiTheme="minorEastAsia" w:hAnsiTheme="minorEastAsia" w:eastAsiaTheme="minorEastAsia" w:cstheme="minorEastAsia"/>
                <w:kern w:val="0"/>
                <w:sz w:val="24"/>
                <w:szCs w:val="24"/>
                <w:highlight w:val="none"/>
              </w:rPr>
            </w:pPr>
          </w:p>
        </w:tc>
        <w:tc>
          <w:tcPr>
            <w:tcW w:w="1362" w:type="dxa"/>
            <w:vAlign w:val="center"/>
          </w:tcPr>
          <w:p w14:paraId="38C142B9">
            <w:pPr>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联系电话</w:t>
            </w:r>
          </w:p>
        </w:tc>
        <w:tc>
          <w:tcPr>
            <w:tcW w:w="2112" w:type="dxa"/>
            <w:gridSpan w:val="2"/>
            <w:vAlign w:val="center"/>
          </w:tcPr>
          <w:p w14:paraId="1CD8D464">
            <w:pPr>
              <w:spacing w:line="240" w:lineRule="auto"/>
              <w:jc w:val="center"/>
              <w:rPr>
                <w:rFonts w:hint="eastAsia" w:asciiTheme="minorEastAsia" w:hAnsiTheme="minorEastAsia" w:eastAsiaTheme="minorEastAsia" w:cstheme="minorEastAsia"/>
                <w:kern w:val="0"/>
                <w:sz w:val="24"/>
                <w:szCs w:val="24"/>
                <w:highlight w:val="none"/>
              </w:rPr>
            </w:pPr>
          </w:p>
        </w:tc>
        <w:tc>
          <w:tcPr>
            <w:tcW w:w="2387" w:type="dxa"/>
            <w:vMerge w:val="continue"/>
            <w:vAlign w:val="center"/>
          </w:tcPr>
          <w:p w14:paraId="5C8805B4">
            <w:pPr>
              <w:spacing w:line="240" w:lineRule="auto"/>
              <w:jc w:val="center"/>
              <w:rPr>
                <w:rFonts w:hint="eastAsia" w:asciiTheme="minorEastAsia" w:hAnsiTheme="minorEastAsia" w:eastAsiaTheme="minorEastAsia" w:cstheme="minorEastAsia"/>
                <w:kern w:val="0"/>
                <w:sz w:val="24"/>
                <w:szCs w:val="24"/>
                <w:highlight w:val="none"/>
              </w:rPr>
            </w:pPr>
          </w:p>
        </w:tc>
      </w:tr>
    </w:tbl>
    <w:p w14:paraId="0810CFB3">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供应商名称（盖单位章）：</w:t>
      </w:r>
    </w:p>
    <w:p w14:paraId="39109BEB">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法定代表人或其委托代理人（签字或盖章）：</w:t>
      </w:r>
    </w:p>
    <w:p w14:paraId="2AD06DA5">
      <w:pPr>
        <w:spacing w:line="240" w:lineRule="auto"/>
        <w:jc w:val="left"/>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sz w:val="24"/>
          <w:szCs w:val="24"/>
          <w:highlight w:val="none"/>
        </w:rPr>
        <w:t xml:space="preserve">   日期：        年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月    日</w:t>
      </w:r>
    </w:p>
    <w:p w14:paraId="5B50F332">
      <w:pPr>
        <w:pStyle w:val="152"/>
        <w:spacing w:line="240" w:lineRule="auto"/>
        <w:rPr>
          <w:rFonts w:hint="eastAsia" w:asciiTheme="minorEastAsia" w:hAnsiTheme="minorEastAsia" w:eastAsiaTheme="minorEastAsia" w:cstheme="minorEastAsia"/>
          <w:b/>
          <w:bCs/>
          <w:sz w:val="24"/>
          <w:szCs w:val="24"/>
          <w:highlight w:val="none"/>
        </w:rPr>
      </w:pPr>
    </w:p>
    <w:p w14:paraId="01147A12">
      <w:pPr>
        <w:pStyle w:val="152"/>
        <w:spacing w:line="240" w:lineRule="auto"/>
        <w:rPr>
          <w:rFonts w:hint="eastAsia" w:asciiTheme="minorEastAsia" w:hAnsiTheme="minorEastAsia" w:eastAsiaTheme="minorEastAsia" w:cstheme="minorEastAsia"/>
          <w:b/>
          <w:bCs/>
          <w:sz w:val="24"/>
          <w:szCs w:val="24"/>
          <w:highlight w:val="none"/>
        </w:rPr>
      </w:pPr>
    </w:p>
    <w:p w14:paraId="08BEF333">
      <w:pPr>
        <w:pStyle w:val="152"/>
        <w:spacing w:line="240" w:lineRule="auto"/>
        <w:rPr>
          <w:rFonts w:hint="eastAsia" w:asciiTheme="minorEastAsia" w:hAnsiTheme="minorEastAsia" w:eastAsiaTheme="minorEastAsia" w:cstheme="minorEastAsia"/>
          <w:b/>
          <w:bCs/>
          <w:sz w:val="24"/>
          <w:szCs w:val="24"/>
          <w:highlight w:val="none"/>
        </w:rPr>
      </w:pPr>
    </w:p>
    <w:p w14:paraId="01CCC37B">
      <w:pPr>
        <w:tabs>
          <w:tab w:val="left" w:pos="1279"/>
        </w:tabs>
        <w:spacing w:before="39" w:line="240" w:lineRule="auto"/>
        <w:ind w:right="402"/>
        <w:jc w:val="left"/>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sz w:val="24"/>
          <w:szCs w:val="24"/>
          <w:highlight w:val="none"/>
        </w:rPr>
        <w:br w:type="page"/>
      </w:r>
      <w:r>
        <w:rPr>
          <w:rFonts w:hint="eastAsia" w:asciiTheme="minorEastAsia" w:hAnsiTheme="minorEastAsia" w:eastAsiaTheme="minorEastAsia" w:cstheme="minorEastAsia"/>
          <w:b/>
          <w:bCs/>
          <w:kern w:val="0"/>
          <w:sz w:val="24"/>
          <w:szCs w:val="24"/>
          <w:highlight w:val="none"/>
        </w:rPr>
        <w:t>附件1</w:t>
      </w:r>
      <w:r>
        <w:rPr>
          <w:rFonts w:hint="eastAsia" w:asciiTheme="minorEastAsia" w:hAnsiTheme="minorEastAsia" w:eastAsiaTheme="minorEastAsia" w:cstheme="minorEastAsia"/>
          <w:b/>
          <w:bCs/>
          <w:kern w:val="0"/>
          <w:sz w:val="24"/>
          <w:szCs w:val="24"/>
          <w:highlight w:val="none"/>
          <w:lang w:val="en-US" w:eastAsia="zh-CN"/>
        </w:rPr>
        <w:t>5</w:t>
      </w:r>
      <w:r>
        <w:rPr>
          <w:rFonts w:hint="eastAsia" w:asciiTheme="minorEastAsia" w:hAnsiTheme="minorEastAsia" w:eastAsiaTheme="minorEastAsia" w:cstheme="minorEastAsia"/>
          <w:b/>
          <w:bCs/>
          <w:kern w:val="0"/>
          <w:sz w:val="24"/>
          <w:szCs w:val="24"/>
          <w:highlight w:val="none"/>
        </w:rPr>
        <w:t>：</w:t>
      </w:r>
    </w:p>
    <w:p w14:paraId="4D5B81EB">
      <w:pPr>
        <w:tabs>
          <w:tab w:val="left" w:pos="1279"/>
        </w:tabs>
        <w:spacing w:before="39" w:line="240" w:lineRule="auto"/>
        <w:ind w:right="402"/>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拟投入本项目主要人员汇总表</w:t>
      </w:r>
    </w:p>
    <w:p w14:paraId="05AF07B3">
      <w:pPr>
        <w:spacing w:before="4" w:line="240" w:lineRule="auto"/>
        <w:rPr>
          <w:rFonts w:hint="eastAsia" w:asciiTheme="minorEastAsia" w:hAnsiTheme="minorEastAsia" w:eastAsiaTheme="minorEastAsia" w:cstheme="minorEastAsia"/>
          <w:b/>
          <w:sz w:val="24"/>
          <w:szCs w:val="24"/>
          <w:highlight w:val="none"/>
        </w:rPr>
      </w:pPr>
    </w:p>
    <w:p w14:paraId="074FC50B">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投标人名称（电子签章）：                         </w:t>
      </w:r>
    </w:p>
    <w:p w14:paraId="70394103">
      <w:pPr>
        <w:spacing w:line="240" w:lineRule="auto"/>
        <w:jc w:val="left"/>
        <w:rPr>
          <w:rFonts w:hint="eastAsia" w:asciiTheme="minorEastAsia" w:hAnsiTheme="minorEastAsia" w:eastAsiaTheme="minorEastAsia" w:cstheme="minorEastAsia"/>
          <w:sz w:val="24"/>
          <w:szCs w:val="24"/>
          <w:highlight w:val="none"/>
        </w:rPr>
      </w:pPr>
    </w:p>
    <w:tbl>
      <w:tblPr>
        <w:tblStyle w:val="35"/>
        <w:tblW w:w="9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9"/>
        <w:gridCol w:w="1440"/>
        <w:gridCol w:w="720"/>
        <w:gridCol w:w="816"/>
        <w:gridCol w:w="984"/>
        <w:gridCol w:w="816"/>
        <w:gridCol w:w="882"/>
        <w:gridCol w:w="2275"/>
      </w:tblGrid>
      <w:tr w14:paraId="7A925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599" w:type="dxa"/>
            <w:vAlign w:val="center"/>
          </w:tcPr>
          <w:p w14:paraId="23ED41D4">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440" w:type="dxa"/>
            <w:vAlign w:val="center"/>
          </w:tcPr>
          <w:p w14:paraId="6721483E">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名</w:t>
            </w:r>
          </w:p>
        </w:tc>
        <w:tc>
          <w:tcPr>
            <w:tcW w:w="720" w:type="dxa"/>
            <w:vAlign w:val="center"/>
          </w:tcPr>
          <w:p w14:paraId="395A0A63">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年龄</w:t>
            </w:r>
          </w:p>
        </w:tc>
        <w:tc>
          <w:tcPr>
            <w:tcW w:w="816" w:type="dxa"/>
            <w:vAlign w:val="center"/>
          </w:tcPr>
          <w:p w14:paraId="0E10FFB2">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984" w:type="dxa"/>
            <w:vAlign w:val="center"/>
          </w:tcPr>
          <w:p w14:paraId="0FA9F07F">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 历</w:t>
            </w:r>
          </w:p>
        </w:tc>
        <w:tc>
          <w:tcPr>
            <w:tcW w:w="816" w:type="dxa"/>
            <w:vAlign w:val="center"/>
          </w:tcPr>
          <w:p w14:paraId="19D4E837">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w:t>
            </w:r>
          </w:p>
        </w:tc>
        <w:tc>
          <w:tcPr>
            <w:tcW w:w="882" w:type="dxa"/>
            <w:vAlign w:val="center"/>
          </w:tcPr>
          <w:p w14:paraId="570C5626">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职称</w:t>
            </w:r>
          </w:p>
        </w:tc>
        <w:tc>
          <w:tcPr>
            <w:tcW w:w="2275" w:type="dxa"/>
            <w:vAlign w:val="center"/>
          </w:tcPr>
          <w:p w14:paraId="22FFF55F">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在本项目拟任职务</w:t>
            </w:r>
          </w:p>
        </w:tc>
      </w:tr>
      <w:tr w14:paraId="2CF2E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599" w:type="dxa"/>
          </w:tcPr>
          <w:p w14:paraId="0B637CDA">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0A11B472">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4FE04B36">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1B1331B7">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62FE89D8">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5B0C0E8C">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49425537">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7E06DC19">
            <w:pPr>
              <w:spacing w:line="240" w:lineRule="auto"/>
              <w:jc w:val="left"/>
              <w:rPr>
                <w:rFonts w:hint="eastAsia" w:asciiTheme="minorEastAsia" w:hAnsiTheme="minorEastAsia" w:eastAsiaTheme="minorEastAsia" w:cstheme="minorEastAsia"/>
                <w:sz w:val="24"/>
                <w:szCs w:val="24"/>
                <w:highlight w:val="none"/>
              </w:rPr>
            </w:pPr>
          </w:p>
        </w:tc>
      </w:tr>
      <w:tr w14:paraId="0F8A2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99" w:type="dxa"/>
          </w:tcPr>
          <w:p w14:paraId="64402B54">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7A24F14C">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6C10E615">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317CB833">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48ADA6A4">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7380D915">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7E93D668">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6D49C3B6">
            <w:pPr>
              <w:spacing w:line="240" w:lineRule="auto"/>
              <w:jc w:val="left"/>
              <w:rPr>
                <w:rFonts w:hint="eastAsia" w:asciiTheme="minorEastAsia" w:hAnsiTheme="minorEastAsia" w:eastAsiaTheme="minorEastAsia" w:cstheme="minorEastAsia"/>
                <w:sz w:val="24"/>
                <w:szCs w:val="24"/>
                <w:highlight w:val="none"/>
              </w:rPr>
            </w:pPr>
          </w:p>
        </w:tc>
      </w:tr>
      <w:tr w14:paraId="6B185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99" w:type="dxa"/>
          </w:tcPr>
          <w:p w14:paraId="2D3A0E39">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6DF66E9E">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49FA9551">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72E84DFC">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325E540C">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09BE8F3E">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0B1684BE">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48AC12F3">
            <w:pPr>
              <w:spacing w:line="240" w:lineRule="auto"/>
              <w:jc w:val="left"/>
              <w:rPr>
                <w:rFonts w:hint="eastAsia" w:asciiTheme="minorEastAsia" w:hAnsiTheme="minorEastAsia" w:eastAsiaTheme="minorEastAsia" w:cstheme="minorEastAsia"/>
                <w:sz w:val="24"/>
                <w:szCs w:val="24"/>
                <w:highlight w:val="none"/>
              </w:rPr>
            </w:pPr>
          </w:p>
        </w:tc>
      </w:tr>
      <w:tr w14:paraId="16BBF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599" w:type="dxa"/>
          </w:tcPr>
          <w:p w14:paraId="19A0B6EB">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3B44E7D4">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427651E7">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4F0BD20C">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6A270BA8">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619634B0">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0ED55A4E">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79BEE15F">
            <w:pPr>
              <w:spacing w:line="240" w:lineRule="auto"/>
              <w:jc w:val="left"/>
              <w:rPr>
                <w:rFonts w:hint="eastAsia" w:asciiTheme="minorEastAsia" w:hAnsiTheme="minorEastAsia" w:eastAsiaTheme="minorEastAsia" w:cstheme="minorEastAsia"/>
                <w:sz w:val="24"/>
                <w:szCs w:val="24"/>
                <w:highlight w:val="none"/>
              </w:rPr>
            </w:pPr>
          </w:p>
        </w:tc>
      </w:tr>
      <w:tr w14:paraId="665B6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99" w:type="dxa"/>
          </w:tcPr>
          <w:p w14:paraId="2023F09E">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0F3BC526">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1259996B">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7C035549">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1B42930E">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480AF39D">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50896823">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3AA7B811">
            <w:pPr>
              <w:spacing w:line="240" w:lineRule="auto"/>
              <w:jc w:val="left"/>
              <w:rPr>
                <w:rFonts w:hint="eastAsia" w:asciiTheme="minorEastAsia" w:hAnsiTheme="minorEastAsia" w:eastAsiaTheme="minorEastAsia" w:cstheme="minorEastAsia"/>
                <w:sz w:val="24"/>
                <w:szCs w:val="24"/>
                <w:highlight w:val="none"/>
              </w:rPr>
            </w:pPr>
          </w:p>
        </w:tc>
      </w:tr>
      <w:tr w14:paraId="18BC1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599" w:type="dxa"/>
          </w:tcPr>
          <w:p w14:paraId="64968BA4">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61487851">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267DFC1A">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56F714AE">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6828D25D">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07FC502C">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175AA64B">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73FE5DF5">
            <w:pPr>
              <w:spacing w:line="240" w:lineRule="auto"/>
              <w:jc w:val="left"/>
              <w:rPr>
                <w:rFonts w:hint="eastAsia" w:asciiTheme="minorEastAsia" w:hAnsiTheme="minorEastAsia" w:eastAsiaTheme="minorEastAsia" w:cstheme="minorEastAsia"/>
                <w:sz w:val="24"/>
                <w:szCs w:val="24"/>
                <w:highlight w:val="none"/>
              </w:rPr>
            </w:pPr>
          </w:p>
        </w:tc>
      </w:tr>
      <w:tr w14:paraId="78E30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99" w:type="dxa"/>
          </w:tcPr>
          <w:p w14:paraId="295DF9E6">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43EC0860">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439EB984">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1087D86A">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6187F614">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7C0402E3">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115C4F28">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46323B0D">
            <w:pPr>
              <w:spacing w:line="240" w:lineRule="auto"/>
              <w:jc w:val="left"/>
              <w:rPr>
                <w:rFonts w:hint="eastAsia" w:asciiTheme="minorEastAsia" w:hAnsiTheme="minorEastAsia" w:eastAsiaTheme="minorEastAsia" w:cstheme="minorEastAsia"/>
                <w:sz w:val="24"/>
                <w:szCs w:val="24"/>
                <w:highlight w:val="none"/>
              </w:rPr>
            </w:pPr>
          </w:p>
        </w:tc>
      </w:tr>
      <w:tr w14:paraId="013C7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599" w:type="dxa"/>
          </w:tcPr>
          <w:p w14:paraId="24F6FDF7">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147B0775">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1AC6C68A">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17DC74C8">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6DAC6752">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40971EFE">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7812846A">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19BCB062">
            <w:pPr>
              <w:spacing w:line="240" w:lineRule="auto"/>
              <w:jc w:val="left"/>
              <w:rPr>
                <w:rFonts w:hint="eastAsia" w:asciiTheme="minorEastAsia" w:hAnsiTheme="minorEastAsia" w:eastAsiaTheme="minorEastAsia" w:cstheme="minorEastAsia"/>
                <w:sz w:val="24"/>
                <w:szCs w:val="24"/>
                <w:highlight w:val="none"/>
              </w:rPr>
            </w:pPr>
          </w:p>
        </w:tc>
      </w:tr>
      <w:tr w14:paraId="1D10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99" w:type="dxa"/>
          </w:tcPr>
          <w:p w14:paraId="7CDB49CC">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32E4CC2C">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3D108401">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5994221D">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654D89E7">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5B1A4308">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60474018">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558F8E64">
            <w:pPr>
              <w:spacing w:line="240" w:lineRule="auto"/>
              <w:jc w:val="left"/>
              <w:rPr>
                <w:rFonts w:hint="eastAsia" w:asciiTheme="minorEastAsia" w:hAnsiTheme="minorEastAsia" w:eastAsiaTheme="minorEastAsia" w:cstheme="minorEastAsia"/>
                <w:sz w:val="24"/>
                <w:szCs w:val="24"/>
                <w:highlight w:val="none"/>
              </w:rPr>
            </w:pPr>
          </w:p>
        </w:tc>
      </w:tr>
      <w:tr w14:paraId="744FF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599" w:type="dxa"/>
          </w:tcPr>
          <w:p w14:paraId="7BF4CA1F">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061E4905">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0C2E876C">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6B5A90DB">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478E78C4">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6B8AF97D">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31730698">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79573E54">
            <w:pPr>
              <w:spacing w:line="240" w:lineRule="auto"/>
              <w:jc w:val="left"/>
              <w:rPr>
                <w:rFonts w:hint="eastAsia" w:asciiTheme="minorEastAsia" w:hAnsiTheme="minorEastAsia" w:eastAsiaTheme="minorEastAsia" w:cstheme="minorEastAsia"/>
                <w:sz w:val="24"/>
                <w:szCs w:val="24"/>
                <w:highlight w:val="none"/>
              </w:rPr>
            </w:pPr>
          </w:p>
        </w:tc>
      </w:tr>
      <w:tr w14:paraId="5BA2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599" w:type="dxa"/>
          </w:tcPr>
          <w:p w14:paraId="103A9603">
            <w:pPr>
              <w:spacing w:line="240" w:lineRule="auto"/>
              <w:jc w:val="left"/>
              <w:rPr>
                <w:rFonts w:hint="eastAsia" w:asciiTheme="minorEastAsia" w:hAnsiTheme="minorEastAsia" w:eastAsiaTheme="minorEastAsia" w:cstheme="minorEastAsia"/>
                <w:sz w:val="24"/>
                <w:szCs w:val="24"/>
                <w:highlight w:val="none"/>
              </w:rPr>
            </w:pPr>
          </w:p>
        </w:tc>
        <w:tc>
          <w:tcPr>
            <w:tcW w:w="1440" w:type="dxa"/>
          </w:tcPr>
          <w:p w14:paraId="68CA278F">
            <w:pPr>
              <w:spacing w:line="240" w:lineRule="auto"/>
              <w:jc w:val="left"/>
              <w:rPr>
                <w:rFonts w:hint="eastAsia" w:asciiTheme="minorEastAsia" w:hAnsiTheme="minorEastAsia" w:eastAsiaTheme="minorEastAsia" w:cstheme="minorEastAsia"/>
                <w:sz w:val="24"/>
                <w:szCs w:val="24"/>
                <w:highlight w:val="none"/>
              </w:rPr>
            </w:pPr>
          </w:p>
        </w:tc>
        <w:tc>
          <w:tcPr>
            <w:tcW w:w="720" w:type="dxa"/>
          </w:tcPr>
          <w:p w14:paraId="402257B0">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2AE3275A">
            <w:pPr>
              <w:spacing w:line="240" w:lineRule="auto"/>
              <w:jc w:val="left"/>
              <w:rPr>
                <w:rFonts w:hint="eastAsia" w:asciiTheme="minorEastAsia" w:hAnsiTheme="minorEastAsia" w:eastAsiaTheme="minorEastAsia" w:cstheme="minorEastAsia"/>
                <w:sz w:val="24"/>
                <w:szCs w:val="24"/>
                <w:highlight w:val="none"/>
              </w:rPr>
            </w:pPr>
          </w:p>
        </w:tc>
        <w:tc>
          <w:tcPr>
            <w:tcW w:w="984" w:type="dxa"/>
          </w:tcPr>
          <w:p w14:paraId="30530647">
            <w:pPr>
              <w:spacing w:line="240" w:lineRule="auto"/>
              <w:jc w:val="left"/>
              <w:rPr>
                <w:rFonts w:hint="eastAsia" w:asciiTheme="minorEastAsia" w:hAnsiTheme="minorEastAsia" w:eastAsiaTheme="minorEastAsia" w:cstheme="minorEastAsia"/>
                <w:sz w:val="24"/>
                <w:szCs w:val="24"/>
                <w:highlight w:val="none"/>
              </w:rPr>
            </w:pPr>
          </w:p>
        </w:tc>
        <w:tc>
          <w:tcPr>
            <w:tcW w:w="816" w:type="dxa"/>
          </w:tcPr>
          <w:p w14:paraId="4A4B02E8">
            <w:pPr>
              <w:spacing w:line="240" w:lineRule="auto"/>
              <w:jc w:val="left"/>
              <w:rPr>
                <w:rFonts w:hint="eastAsia" w:asciiTheme="minorEastAsia" w:hAnsiTheme="minorEastAsia" w:eastAsiaTheme="minorEastAsia" w:cstheme="minorEastAsia"/>
                <w:sz w:val="24"/>
                <w:szCs w:val="24"/>
                <w:highlight w:val="none"/>
              </w:rPr>
            </w:pPr>
          </w:p>
        </w:tc>
        <w:tc>
          <w:tcPr>
            <w:tcW w:w="882" w:type="dxa"/>
          </w:tcPr>
          <w:p w14:paraId="1EEA3978">
            <w:pPr>
              <w:spacing w:line="240" w:lineRule="auto"/>
              <w:jc w:val="left"/>
              <w:rPr>
                <w:rFonts w:hint="eastAsia" w:asciiTheme="minorEastAsia" w:hAnsiTheme="minorEastAsia" w:eastAsiaTheme="minorEastAsia" w:cstheme="minorEastAsia"/>
                <w:sz w:val="24"/>
                <w:szCs w:val="24"/>
                <w:highlight w:val="none"/>
              </w:rPr>
            </w:pPr>
          </w:p>
        </w:tc>
        <w:tc>
          <w:tcPr>
            <w:tcW w:w="2275" w:type="dxa"/>
          </w:tcPr>
          <w:p w14:paraId="78F71B17">
            <w:pPr>
              <w:spacing w:line="240" w:lineRule="auto"/>
              <w:jc w:val="left"/>
              <w:rPr>
                <w:rFonts w:hint="eastAsia" w:asciiTheme="minorEastAsia" w:hAnsiTheme="minorEastAsia" w:eastAsiaTheme="minorEastAsia" w:cstheme="minorEastAsia"/>
                <w:sz w:val="24"/>
                <w:szCs w:val="24"/>
                <w:highlight w:val="none"/>
              </w:rPr>
            </w:pPr>
          </w:p>
        </w:tc>
      </w:tr>
    </w:tbl>
    <w:p w14:paraId="15F92506">
      <w:pPr>
        <w:spacing w:line="240" w:lineRule="auto"/>
        <w:jc w:val="left"/>
        <w:rPr>
          <w:rFonts w:hint="eastAsia" w:asciiTheme="minorEastAsia" w:hAnsiTheme="minorEastAsia" w:eastAsiaTheme="minorEastAsia" w:cstheme="minorEastAsia"/>
          <w:sz w:val="24"/>
          <w:szCs w:val="24"/>
          <w:highlight w:val="none"/>
        </w:rPr>
      </w:pPr>
    </w:p>
    <w:p w14:paraId="6ECE9E1D">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注：我单位承诺以上填报内容真实。如不真实，将按照有关规定接受处理。</w:t>
      </w:r>
    </w:p>
    <w:p w14:paraId="3AA4AC17">
      <w:p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特别要求：拟投入本项目的工作人员须满足本项目的工作要求，在合同履行过程中，中标人须根据本项目的实际需求或采购人的进度要求，对人员进行合理的增加，费用均包含在内。</w:t>
      </w:r>
    </w:p>
    <w:p w14:paraId="57C19E3E">
      <w:pPr>
        <w:spacing w:line="240" w:lineRule="auto"/>
        <w:jc w:val="left"/>
        <w:rPr>
          <w:rFonts w:hint="eastAsia" w:asciiTheme="minorEastAsia" w:hAnsiTheme="minorEastAsia" w:eastAsiaTheme="minorEastAsia" w:cstheme="minorEastAsia"/>
          <w:sz w:val="24"/>
          <w:szCs w:val="24"/>
          <w:highlight w:val="none"/>
        </w:rPr>
        <w:sectPr>
          <w:pgSz w:w="11910" w:h="16840"/>
          <w:pgMar w:top="1134" w:right="1134" w:bottom="1134" w:left="1134" w:header="0" w:footer="998" w:gutter="0"/>
          <w:pgNumType w:fmt="decimal"/>
          <w:cols w:space="720" w:num="1"/>
          <w:docGrid w:linePitch="1" w:charSpace="0"/>
        </w:sectPr>
      </w:pPr>
    </w:p>
    <w:p w14:paraId="3D7B8484">
      <w:pPr>
        <w:tabs>
          <w:tab w:val="left" w:pos="1579"/>
        </w:tabs>
        <w:spacing w:before="58" w:line="240" w:lineRule="auto"/>
        <w:ind w:right="402"/>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附件1</w:t>
      </w:r>
      <w:r>
        <w:rPr>
          <w:rFonts w:hint="eastAsia" w:asciiTheme="minorEastAsia" w:hAnsiTheme="minorEastAsia" w:eastAsiaTheme="minorEastAsia" w:cstheme="minorEastAsia"/>
          <w:b/>
          <w:bCs/>
          <w:kern w:val="0"/>
          <w:sz w:val="24"/>
          <w:szCs w:val="24"/>
          <w:highlight w:val="none"/>
          <w:lang w:val="en-US" w:eastAsia="zh-CN"/>
        </w:rPr>
        <w:t>6</w:t>
      </w:r>
      <w:r>
        <w:rPr>
          <w:rFonts w:hint="eastAsia" w:asciiTheme="minorEastAsia" w:hAnsiTheme="minorEastAsia" w:eastAsiaTheme="minorEastAsia" w:cstheme="minorEastAsia"/>
          <w:b/>
          <w:bCs/>
          <w:kern w:val="0"/>
          <w:sz w:val="24"/>
          <w:szCs w:val="24"/>
          <w:highlight w:val="none"/>
        </w:rPr>
        <w:t>：</w:t>
      </w:r>
    </w:p>
    <w:p w14:paraId="3F58CF37">
      <w:pPr>
        <w:tabs>
          <w:tab w:val="left" w:pos="1579"/>
        </w:tabs>
        <w:spacing w:before="58" w:line="240" w:lineRule="auto"/>
        <w:ind w:right="402"/>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8"/>
          <w:szCs w:val="28"/>
          <w:highlight w:val="none"/>
        </w:rPr>
        <w:t>拟投入本项目的主要人员简历表</w:t>
      </w:r>
    </w:p>
    <w:p w14:paraId="6548ABF1">
      <w:pPr>
        <w:spacing w:before="8" w:after="1" w:line="240" w:lineRule="auto"/>
        <w:rPr>
          <w:rFonts w:hint="eastAsia" w:asciiTheme="minorEastAsia" w:hAnsiTheme="minorEastAsia" w:eastAsiaTheme="minorEastAsia" w:cstheme="minorEastAsia"/>
          <w:b/>
          <w:sz w:val="24"/>
          <w:szCs w:val="24"/>
          <w:highlight w:val="none"/>
        </w:rPr>
      </w:pPr>
    </w:p>
    <w:tbl>
      <w:tblPr>
        <w:tblStyle w:val="35"/>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7"/>
        <w:gridCol w:w="550"/>
        <w:gridCol w:w="1065"/>
        <w:gridCol w:w="615"/>
        <w:gridCol w:w="330"/>
        <w:gridCol w:w="945"/>
        <w:gridCol w:w="938"/>
        <w:gridCol w:w="258"/>
        <w:gridCol w:w="2360"/>
      </w:tblGrid>
      <w:tr w14:paraId="06D2E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2117" w:type="dxa"/>
            <w:vAlign w:val="center"/>
          </w:tcPr>
          <w:p w14:paraId="32D80A45">
            <w:pPr>
              <w:pStyle w:val="167"/>
              <w:tabs>
                <w:tab w:val="left" w:pos="794"/>
              </w:tabs>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p>
        </w:tc>
        <w:tc>
          <w:tcPr>
            <w:tcW w:w="1615" w:type="dxa"/>
            <w:gridSpan w:val="2"/>
            <w:vAlign w:val="center"/>
          </w:tcPr>
          <w:p w14:paraId="2F447639">
            <w:pPr>
              <w:pStyle w:val="167"/>
              <w:spacing w:line="240" w:lineRule="auto"/>
              <w:jc w:val="center"/>
              <w:rPr>
                <w:rFonts w:hint="eastAsia" w:asciiTheme="minorEastAsia" w:hAnsiTheme="minorEastAsia" w:eastAsiaTheme="minorEastAsia" w:cstheme="minorEastAsia"/>
                <w:sz w:val="24"/>
                <w:szCs w:val="24"/>
                <w:highlight w:val="none"/>
              </w:rPr>
            </w:pPr>
          </w:p>
        </w:tc>
        <w:tc>
          <w:tcPr>
            <w:tcW w:w="945" w:type="dxa"/>
            <w:gridSpan w:val="2"/>
            <w:vAlign w:val="center"/>
          </w:tcPr>
          <w:p w14:paraId="16FE245F">
            <w:pPr>
              <w:pStyle w:val="167"/>
              <w:spacing w:line="240" w:lineRule="auto"/>
              <w:ind w:left="10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 别</w:t>
            </w:r>
          </w:p>
        </w:tc>
        <w:tc>
          <w:tcPr>
            <w:tcW w:w="945" w:type="dxa"/>
            <w:vAlign w:val="center"/>
          </w:tcPr>
          <w:p w14:paraId="150970EA">
            <w:pPr>
              <w:pStyle w:val="167"/>
              <w:spacing w:line="240" w:lineRule="auto"/>
              <w:jc w:val="center"/>
              <w:rPr>
                <w:rFonts w:hint="eastAsia" w:asciiTheme="minorEastAsia" w:hAnsiTheme="minorEastAsia" w:eastAsiaTheme="minorEastAsia" w:cstheme="minorEastAsia"/>
                <w:sz w:val="24"/>
                <w:szCs w:val="24"/>
                <w:highlight w:val="none"/>
              </w:rPr>
            </w:pPr>
          </w:p>
        </w:tc>
        <w:tc>
          <w:tcPr>
            <w:tcW w:w="938" w:type="dxa"/>
            <w:vAlign w:val="center"/>
          </w:tcPr>
          <w:p w14:paraId="6FDDA58E">
            <w:pPr>
              <w:pStyle w:val="167"/>
              <w:tabs>
                <w:tab w:val="left" w:pos="626"/>
              </w:tabs>
              <w:spacing w:before="1"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出生</w:t>
            </w:r>
          </w:p>
          <w:p w14:paraId="634F586F">
            <w:pPr>
              <w:pStyle w:val="167"/>
              <w:tabs>
                <w:tab w:val="left" w:pos="626"/>
              </w:tabs>
              <w:spacing w:before="1"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tc>
        <w:tc>
          <w:tcPr>
            <w:tcW w:w="2618" w:type="dxa"/>
            <w:gridSpan w:val="2"/>
            <w:vAlign w:val="center"/>
          </w:tcPr>
          <w:p w14:paraId="660A8AD5">
            <w:pPr>
              <w:pStyle w:val="167"/>
              <w:spacing w:line="240" w:lineRule="auto"/>
              <w:jc w:val="center"/>
              <w:rPr>
                <w:rFonts w:hint="eastAsia" w:asciiTheme="minorEastAsia" w:hAnsiTheme="minorEastAsia" w:eastAsiaTheme="minorEastAsia" w:cstheme="minorEastAsia"/>
                <w:b/>
                <w:sz w:val="24"/>
                <w:szCs w:val="24"/>
                <w:highlight w:val="none"/>
              </w:rPr>
            </w:pPr>
          </w:p>
          <w:p w14:paraId="4E1E1C44">
            <w:pPr>
              <w:pStyle w:val="167"/>
              <w:tabs>
                <w:tab w:val="left" w:pos="1375"/>
                <w:tab w:val="left" w:pos="1898"/>
              </w:tabs>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日</w:t>
            </w:r>
          </w:p>
        </w:tc>
      </w:tr>
      <w:tr w14:paraId="26A26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667" w:type="dxa"/>
            <w:gridSpan w:val="2"/>
            <w:vAlign w:val="center"/>
          </w:tcPr>
          <w:p w14:paraId="5D2C286D">
            <w:pPr>
              <w:pStyle w:val="167"/>
              <w:spacing w:before="96"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毕业院校及专业</w:t>
            </w:r>
          </w:p>
        </w:tc>
        <w:tc>
          <w:tcPr>
            <w:tcW w:w="2955" w:type="dxa"/>
            <w:gridSpan w:val="4"/>
            <w:vAlign w:val="center"/>
          </w:tcPr>
          <w:p w14:paraId="7B4755FE">
            <w:pPr>
              <w:pStyle w:val="167"/>
              <w:spacing w:line="240" w:lineRule="auto"/>
              <w:jc w:val="center"/>
              <w:rPr>
                <w:rFonts w:hint="eastAsia" w:asciiTheme="minorEastAsia" w:hAnsiTheme="minorEastAsia" w:eastAsiaTheme="minorEastAsia" w:cstheme="minorEastAsia"/>
                <w:sz w:val="24"/>
                <w:szCs w:val="24"/>
                <w:highlight w:val="none"/>
              </w:rPr>
            </w:pPr>
          </w:p>
        </w:tc>
        <w:tc>
          <w:tcPr>
            <w:tcW w:w="938" w:type="dxa"/>
            <w:vAlign w:val="center"/>
          </w:tcPr>
          <w:p w14:paraId="37CAFC12">
            <w:pPr>
              <w:pStyle w:val="167"/>
              <w:spacing w:before="96" w:line="240" w:lineRule="auto"/>
              <w:ind w:left="8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毕业</w:t>
            </w:r>
          </w:p>
          <w:p w14:paraId="5745DADD">
            <w:pPr>
              <w:pStyle w:val="167"/>
              <w:spacing w:before="96" w:line="240" w:lineRule="auto"/>
              <w:ind w:left="8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时间</w:t>
            </w:r>
          </w:p>
        </w:tc>
        <w:tc>
          <w:tcPr>
            <w:tcW w:w="2618" w:type="dxa"/>
            <w:gridSpan w:val="2"/>
            <w:vAlign w:val="center"/>
          </w:tcPr>
          <w:p w14:paraId="7621ADA1">
            <w:pPr>
              <w:pStyle w:val="167"/>
              <w:tabs>
                <w:tab w:val="left" w:pos="1411"/>
                <w:tab w:val="left" w:pos="1936"/>
              </w:tabs>
              <w:spacing w:before="96"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日</w:t>
            </w:r>
          </w:p>
        </w:tc>
      </w:tr>
      <w:tr w14:paraId="11207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2667" w:type="dxa"/>
            <w:gridSpan w:val="2"/>
            <w:vAlign w:val="center"/>
          </w:tcPr>
          <w:p w14:paraId="732EFC06">
            <w:pPr>
              <w:pStyle w:val="167"/>
              <w:spacing w:before="126"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从事本专业时间</w:t>
            </w:r>
          </w:p>
        </w:tc>
        <w:tc>
          <w:tcPr>
            <w:tcW w:w="1680" w:type="dxa"/>
            <w:gridSpan w:val="2"/>
            <w:vAlign w:val="center"/>
          </w:tcPr>
          <w:p w14:paraId="784A2D6F">
            <w:pPr>
              <w:pStyle w:val="167"/>
              <w:spacing w:line="240" w:lineRule="auto"/>
              <w:jc w:val="center"/>
              <w:rPr>
                <w:rFonts w:hint="eastAsia" w:asciiTheme="minorEastAsia" w:hAnsiTheme="minorEastAsia" w:eastAsiaTheme="minorEastAsia" w:cstheme="minorEastAsia"/>
                <w:sz w:val="24"/>
                <w:szCs w:val="24"/>
                <w:highlight w:val="none"/>
              </w:rPr>
            </w:pPr>
          </w:p>
        </w:tc>
        <w:tc>
          <w:tcPr>
            <w:tcW w:w="2213" w:type="dxa"/>
            <w:gridSpan w:val="3"/>
            <w:vAlign w:val="center"/>
          </w:tcPr>
          <w:p w14:paraId="007E1E30">
            <w:pPr>
              <w:pStyle w:val="167"/>
              <w:spacing w:before="126"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为申请人服务时间</w:t>
            </w:r>
          </w:p>
        </w:tc>
        <w:tc>
          <w:tcPr>
            <w:tcW w:w="2618" w:type="dxa"/>
            <w:gridSpan w:val="2"/>
            <w:vAlign w:val="center"/>
          </w:tcPr>
          <w:p w14:paraId="11EDF83C">
            <w:pPr>
              <w:pStyle w:val="167"/>
              <w:spacing w:line="240" w:lineRule="auto"/>
              <w:jc w:val="center"/>
              <w:rPr>
                <w:rFonts w:hint="eastAsia" w:asciiTheme="minorEastAsia" w:hAnsiTheme="minorEastAsia" w:eastAsiaTheme="minorEastAsia" w:cstheme="minorEastAsia"/>
                <w:sz w:val="24"/>
                <w:szCs w:val="24"/>
                <w:highlight w:val="none"/>
              </w:rPr>
            </w:pPr>
          </w:p>
        </w:tc>
      </w:tr>
      <w:tr w14:paraId="7D61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667" w:type="dxa"/>
            <w:gridSpan w:val="2"/>
            <w:vAlign w:val="center"/>
          </w:tcPr>
          <w:p w14:paraId="410AAB70">
            <w:pPr>
              <w:pStyle w:val="167"/>
              <w:spacing w:before="95"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执业注册</w:t>
            </w:r>
          </w:p>
        </w:tc>
        <w:tc>
          <w:tcPr>
            <w:tcW w:w="1680" w:type="dxa"/>
            <w:gridSpan w:val="2"/>
            <w:vAlign w:val="center"/>
          </w:tcPr>
          <w:p w14:paraId="23AFB4CF">
            <w:pPr>
              <w:pStyle w:val="167"/>
              <w:spacing w:line="240" w:lineRule="auto"/>
              <w:jc w:val="center"/>
              <w:rPr>
                <w:rFonts w:hint="eastAsia" w:asciiTheme="minorEastAsia" w:hAnsiTheme="minorEastAsia" w:eastAsiaTheme="minorEastAsia" w:cstheme="minorEastAsia"/>
                <w:sz w:val="24"/>
                <w:szCs w:val="24"/>
                <w:highlight w:val="none"/>
              </w:rPr>
            </w:pPr>
          </w:p>
        </w:tc>
        <w:tc>
          <w:tcPr>
            <w:tcW w:w="2213" w:type="dxa"/>
            <w:gridSpan w:val="3"/>
            <w:vAlign w:val="center"/>
          </w:tcPr>
          <w:p w14:paraId="7FE65A9E">
            <w:pPr>
              <w:pStyle w:val="167"/>
              <w:tabs>
                <w:tab w:val="left" w:pos="1469"/>
              </w:tabs>
              <w:spacing w:before="95"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职称</w:t>
            </w:r>
          </w:p>
        </w:tc>
        <w:tc>
          <w:tcPr>
            <w:tcW w:w="2618" w:type="dxa"/>
            <w:gridSpan w:val="2"/>
            <w:vAlign w:val="center"/>
          </w:tcPr>
          <w:p w14:paraId="3FAD99B0">
            <w:pPr>
              <w:pStyle w:val="167"/>
              <w:spacing w:line="240" w:lineRule="auto"/>
              <w:jc w:val="center"/>
              <w:rPr>
                <w:rFonts w:hint="eastAsia" w:asciiTheme="minorEastAsia" w:hAnsiTheme="minorEastAsia" w:eastAsiaTheme="minorEastAsia" w:cstheme="minorEastAsia"/>
                <w:sz w:val="24"/>
                <w:szCs w:val="24"/>
                <w:highlight w:val="none"/>
              </w:rPr>
            </w:pPr>
          </w:p>
        </w:tc>
      </w:tr>
      <w:tr w14:paraId="1FB80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9178" w:type="dxa"/>
            <w:gridSpan w:val="9"/>
            <w:vAlign w:val="center"/>
          </w:tcPr>
          <w:p w14:paraId="6466C8D8">
            <w:pPr>
              <w:pStyle w:val="167"/>
              <w:tabs>
                <w:tab w:val="left" w:pos="428"/>
                <w:tab w:val="left" w:pos="848"/>
                <w:tab w:val="left" w:pos="1268"/>
              </w:tabs>
              <w:spacing w:before="97" w:line="240" w:lineRule="auto"/>
              <w:ind w:left="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主要经历</w:t>
            </w:r>
          </w:p>
        </w:tc>
      </w:tr>
      <w:tr w14:paraId="23407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2667" w:type="dxa"/>
            <w:gridSpan w:val="2"/>
            <w:vAlign w:val="center"/>
          </w:tcPr>
          <w:p w14:paraId="15C3ED92">
            <w:pPr>
              <w:pStyle w:val="167"/>
              <w:tabs>
                <w:tab w:val="left" w:pos="1219"/>
              </w:tabs>
              <w:spacing w:before="142"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时间</w:t>
            </w:r>
          </w:p>
        </w:tc>
        <w:tc>
          <w:tcPr>
            <w:tcW w:w="4151" w:type="dxa"/>
            <w:gridSpan w:val="6"/>
            <w:vAlign w:val="center"/>
          </w:tcPr>
          <w:p w14:paraId="6F3BBBE3">
            <w:pPr>
              <w:pStyle w:val="167"/>
              <w:spacing w:before="142"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参加过的类似项目名称及主要内容等</w:t>
            </w:r>
          </w:p>
        </w:tc>
        <w:tc>
          <w:tcPr>
            <w:tcW w:w="2360" w:type="dxa"/>
            <w:vAlign w:val="center"/>
          </w:tcPr>
          <w:p w14:paraId="59AD8E6E">
            <w:pPr>
              <w:pStyle w:val="167"/>
              <w:spacing w:before="142"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该项目中任职</w:t>
            </w:r>
          </w:p>
        </w:tc>
      </w:tr>
      <w:tr w14:paraId="2234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0" w:hRule="atLeast"/>
          <w:jc w:val="center"/>
        </w:trPr>
        <w:tc>
          <w:tcPr>
            <w:tcW w:w="2667" w:type="dxa"/>
            <w:gridSpan w:val="2"/>
            <w:vAlign w:val="center"/>
          </w:tcPr>
          <w:p w14:paraId="0C25F4A7">
            <w:pPr>
              <w:pStyle w:val="167"/>
              <w:spacing w:line="240" w:lineRule="auto"/>
              <w:jc w:val="center"/>
              <w:rPr>
                <w:rFonts w:hint="eastAsia" w:asciiTheme="minorEastAsia" w:hAnsiTheme="minorEastAsia" w:eastAsiaTheme="minorEastAsia" w:cstheme="minorEastAsia"/>
                <w:sz w:val="24"/>
                <w:szCs w:val="24"/>
                <w:highlight w:val="none"/>
              </w:rPr>
            </w:pPr>
          </w:p>
        </w:tc>
        <w:tc>
          <w:tcPr>
            <w:tcW w:w="4151" w:type="dxa"/>
            <w:gridSpan w:val="6"/>
            <w:vAlign w:val="center"/>
          </w:tcPr>
          <w:p w14:paraId="320014A2">
            <w:pPr>
              <w:pStyle w:val="167"/>
              <w:spacing w:line="240" w:lineRule="auto"/>
              <w:jc w:val="center"/>
              <w:rPr>
                <w:rFonts w:hint="eastAsia" w:asciiTheme="minorEastAsia" w:hAnsiTheme="minorEastAsia" w:eastAsiaTheme="minorEastAsia" w:cstheme="minorEastAsia"/>
                <w:sz w:val="24"/>
                <w:szCs w:val="24"/>
                <w:highlight w:val="none"/>
              </w:rPr>
            </w:pPr>
          </w:p>
        </w:tc>
        <w:tc>
          <w:tcPr>
            <w:tcW w:w="2360" w:type="dxa"/>
            <w:vAlign w:val="center"/>
          </w:tcPr>
          <w:p w14:paraId="3FB33E5F">
            <w:pPr>
              <w:pStyle w:val="167"/>
              <w:spacing w:line="240" w:lineRule="auto"/>
              <w:jc w:val="center"/>
              <w:rPr>
                <w:rFonts w:hint="eastAsia" w:asciiTheme="minorEastAsia" w:hAnsiTheme="minorEastAsia" w:eastAsiaTheme="minorEastAsia" w:cstheme="minorEastAsia"/>
                <w:sz w:val="24"/>
                <w:szCs w:val="24"/>
                <w:highlight w:val="none"/>
              </w:rPr>
            </w:pPr>
          </w:p>
        </w:tc>
      </w:tr>
    </w:tbl>
    <w:p w14:paraId="45B07C5B">
      <w:pPr>
        <w:spacing w:before="6" w:line="240" w:lineRule="auto"/>
        <w:rPr>
          <w:rFonts w:hint="eastAsia" w:asciiTheme="minorEastAsia" w:hAnsiTheme="minorEastAsia" w:eastAsiaTheme="minorEastAsia" w:cstheme="minorEastAsia"/>
          <w:b/>
          <w:sz w:val="24"/>
          <w:szCs w:val="24"/>
          <w:highlight w:val="none"/>
        </w:rPr>
      </w:pPr>
    </w:p>
    <w:p w14:paraId="57FCCC41">
      <w:pPr>
        <w:autoSpaceDE w:val="0"/>
        <w:autoSpaceDN w:val="0"/>
        <w:spacing w:line="360" w:lineRule="auto"/>
        <w:ind w:left="65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我单位承诺以上填报内容真实。如不真实，将按照有关规定接受处理。</w:t>
      </w:r>
    </w:p>
    <w:p w14:paraId="6020C69B">
      <w:pPr>
        <w:autoSpaceDE w:val="0"/>
        <w:autoSpaceDN w:val="0"/>
        <w:spacing w:line="360" w:lineRule="auto"/>
        <w:ind w:left="652" w:right="4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w:t>
      </w:r>
    </w:p>
    <w:p w14:paraId="250368F3">
      <w:pPr>
        <w:autoSpaceDE w:val="0"/>
        <w:autoSpaceDN w:val="0"/>
        <w:spacing w:line="360" w:lineRule="auto"/>
        <w:ind w:left="652" w:right="4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1、注册类证书（如有）、职称证书（如有）、身份证等相关证件的扫描件。</w:t>
      </w:r>
    </w:p>
    <w:p w14:paraId="73024DE3">
      <w:pPr>
        <w:autoSpaceDE w:val="0"/>
        <w:autoSpaceDN w:val="0"/>
        <w:spacing w:line="360" w:lineRule="auto"/>
        <w:ind w:left="652" w:right="4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2、社保缴纳情况。</w:t>
      </w:r>
    </w:p>
    <w:p w14:paraId="73281DEE">
      <w:pPr>
        <w:autoSpaceDE w:val="0"/>
        <w:autoSpaceDN w:val="0"/>
        <w:spacing w:line="360" w:lineRule="auto"/>
        <w:ind w:left="652" w:right="4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3、类似业绩等证明材料。</w:t>
      </w:r>
    </w:p>
    <w:p w14:paraId="0E4F1ACA">
      <w:pPr>
        <w:autoSpaceDE w:val="0"/>
        <w:autoSpaceDN w:val="0"/>
        <w:spacing w:line="240" w:lineRule="auto"/>
        <w:ind w:left="652" w:right="402"/>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b/>
          <w:sz w:val="28"/>
          <w:szCs w:val="28"/>
          <w:highlight w:val="none"/>
        </w:rPr>
        <w:t>七、信用查询记录</w:t>
      </w:r>
    </w:p>
    <w:p w14:paraId="7111A850">
      <w:pPr>
        <w:spacing w:before="2" w:line="240" w:lineRule="auto"/>
        <w:rPr>
          <w:rFonts w:hint="eastAsia" w:asciiTheme="minorEastAsia" w:hAnsiTheme="minorEastAsia" w:eastAsiaTheme="minorEastAsia" w:cstheme="minorEastAsia"/>
          <w:b/>
          <w:sz w:val="24"/>
          <w:szCs w:val="24"/>
          <w:highlight w:val="none"/>
        </w:rPr>
      </w:pPr>
    </w:p>
    <w:p w14:paraId="5D45547E">
      <w:pPr>
        <w:autoSpaceDE w:val="0"/>
        <w:autoSpaceDN w:val="0"/>
        <w:spacing w:line="360" w:lineRule="auto"/>
        <w:ind w:left="652" w:right="4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查询渠道为：</w:t>
      </w:r>
      <w:r>
        <w:rPr>
          <w:rFonts w:hint="eastAsia" w:asciiTheme="minorEastAsia" w:hAnsiTheme="minorEastAsia" w:eastAsiaTheme="minorEastAsia" w:cstheme="minorEastAsia"/>
          <w:kern w:val="0"/>
          <w:sz w:val="24"/>
          <w:szCs w:val="24"/>
          <w:highlight w:val="none"/>
        </w:rPr>
        <w:t>如在“信用中国”网站（WWW.creditchina.gov.cn）、中国政府采购网（www.ccgp.gov.cn）被列入失信被执行人、重大税收违法失信主体、政府采购严重违法失信行为记录名单的（尚在处罚期内的），将拒绝其参加本次政府采购活动；</w:t>
      </w:r>
    </w:p>
    <w:p w14:paraId="0E20AE23">
      <w:pPr>
        <w:pStyle w:val="152"/>
        <w:spacing w:line="240" w:lineRule="auto"/>
        <w:jc w:val="center"/>
        <w:rPr>
          <w:rFonts w:hint="eastAsia" w:asciiTheme="minorEastAsia" w:hAnsiTheme="minorEastAsia" w:eastAsiaTheme="minorEastAsia" w:cstheme="minorEastAsia"/>
          <w:b/>
          <w:bCs/>
          <w:sz w:val="24"/>
          <w:szCs w:val="24"/>
          <w:highlight w:val="none"/>
        </w:rPr>
      </w:pPr>
    </w:p>
    <w:p w14:paraId="5971A03B">
      <w:pPr>
        <w:pStyle w:val="152"/>
        <w:spacing w:line="240" w:lineRule="auto"/>
        <w:jc w:val="center"/>
        <w:rPr>
          <w:rFonts w:hint="eastAsia" w:asciiTheme="minorEastAsia" w:hAnsiTheme="minorEastAsia" w:eastAsiaTheme="minorEastAsia" w:cstheme="minorEastAsia"/>
          <w:b/>
          <w:bCs/>
          <w:sz w:val="24"/>
          <w:szCs w:val="24"/>
          <w:highlight w:val="none"/>
        </w:rPr>
      </w:pPr>
    </w:p>
    <w:p w14:paraId="2E5F7709">
      <w:pPr>
        <w:pStyle w:val="152"/>
        <w:spacing w:line="240" w:lineRule="auto"/>
        <w:jc w:val="center"/>
        <w:rPr>
          <w:rFonts w:hint="eastAsia" w:asciiTheme="minorEastAsia" w:hAnsiTheme="minorEastAsia" w:eastAsiaTheme="minorEastAsia" w:cstheme="minorEastAsia"/>
          <w:b/>
          <w:bCs/>
          <w:sz w:val="24"/>
          <w:szCs w:val="24"/>
          <w:highlight w:val="none"/>
        </w:rPr>
      </w:pPr>
    </w:p>
    <w:p w14:paraId="1BCE3356">
      <w:pPr>
        <w:pStyle w:val="152"/>
        <w:spacing w:line="240" w:lineRule="auto"/>
        <w:jc w:val="center"/>
        <w:rPr>
          <w:rFonts w:hint="eastAsia" w:asciiTheme="minorEastAsia" w:hAnsiTheme="minorEastAsia" w:eastAsiaTheme="minorEastAsia" w:cstheme="minorEastAsia"/>
          <w:b/>
          <w:bCs/>
          <w:sz w:val="24"/>
          <w:szCs w:val="24"/>
          <w:highlight w:val="none"/>
        </w:rPr>
      </w:pPr>
    </w:p>
    <w:p w14:paraId="25D79367">
      <w:pPr>
        <w:pStyle w:val="152"/>
        <w:spacing w:line="240" w:lineRule="auto"/>
        <w:jc w:val="center"/>
        <w:rPr>
          <w:rFonts w:hint="eastAsia" w:asciiTheme="minorEastAsia" w:hAnsiTheme="minorEastAsia" w:eastAsiaTheme="minorEastAsia" w:cstheme="minorEastAsia"/>
          <w:b/>
          <w:bCs/>
          <w:sz w:val="24"/>
          <w:szCs w:val="24"/>
          <w:highlight w:val="none"/>
        </w:rPr>
      </w:pPr>
    </w:p>
    <w:p w14:paraId="3714BB71">
      <w:pPr>
        <w:pStyle w:val="152"/>
        <w:spacing w:line="240" w:lineRule="auto"/>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八、供应商认为需要提供的其他资料</w:t>
      </w:r>
    </w:p>
    <w:p w14:paraId="40379AFC">
      <w:pP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br w:type="page"/>
      </w:r>
    </w:p>
    <w:p w14:paraId="3B348340">
      <w:pPr>
        <w:pStyle w:val="152"/>
        <w:spacing w:line="240" w:lineRule="auto"/>
        <w:jc w:val="center"/>
        <w:rPr>
          <w:rFonts w:hint="eastAsia" w:asciiTheme="minorEastAsia" w:hAnsiTheme="minorEastAsia" w:eastAsiaTheme="minorEastAsia" w:cstheme="minorEastAsia"/>
          <w:b/>
          <w:bCs/>
          <w:sz w:val="28"/>
          <w:szCs w:val="28"/>
          <w:highlight w:val="none"/>
        </w:rPr>
      </w:pPr>
      <w:bookmarkStart w:id="11" w:name="_Toc6868"/>
      <w:r>
        <w:rPr>
          <w:rFonts w:hint="eastAsia" w:asciiTheme="minorEastAsia" w:hAnsiTheme="minorEastAsia" w:eastAsiaTheme="minorEastAsia" w:cstheme="minorEastAsia"/>
          <w:b/>
          <w:bCs/>
          <w:sz w:val="28"/>
          <w:szCs w:val="28"/>
          <w:highlight w:val="none"/>
        </w:rPr>
        <w:t>第</w:t>
      </w:r>
      <w:r>
        <w:rPr>
          <w:rFonts w:hint="eastAsia" w:asciiTheme="minorEastAsia" w:hAnsiTheme="minorEastAsia" w:eastAsiaTheme="minorEastAsia" w:cstheme="minorEastAsia"/>
          <w:b/>
          <w:bCs/>
          <w:sz w:val="28"/>
          <w:szCs w:val="28"/>
          <w:highlight w:val="none"/>
          <w:lang w:eastAsia="zh-CN"/>
        </w:rPr>
        <w:t>七</w:t>
      </w:r>
      <w:r>
        <w:rPr>
          <w:rFonts w:hint="eastAsia" w:asciiTheme="minorEastAsia" w:hAnsiTheme="minorEastAsia" w:eastAsiaTheme="minorEastAsia" w:cstheme="minorEastAsia"/>
          <w:b/>
          <w:bCs/>
          <w:sz w:val="28"/>
          <w:szCs w:val="28"/>
          <w:highlight w:val="none"/>
        </w:rPr>
        <w:t>章</w:t>
      </w:r>
      <w:r>
        <w:rPr>
          <w:rFonts w:hint="eastAsia" w:asciiTheme="minorEastAsia" w:hAnsiTheme="minorEastAsia" w:eastAsiaTheme="minorEastAsia" w:cstheme="minorEastAsia"/>
          <w:b/>
          <w:bCs/>
          <w:sz w:val="28"/>
          <w:szCs w:val="28"/>
          <w:highlight w:val="none"/>
          <w:lang w:val="en-US" w:eastAsia="zh-CN"/>
        </w:rPr>
        <w:t xml:space="preserve">  </w:t>
      </w:r>
      <w:r>
        <w:rPr>
          <w:rFonts w:hint="eastAsia" w:asciiTheme="minorEastAsia" w:hAnsiTheme="minorEastAsia" w:eastAsiaTheme="minorEastAsia" w:cstheme="minorEastAsia"/>
          <w:b/>
          <w:bCs/>
          <w:sz w:val="28"/>
          <w:szCs w:val="28"/>
          <w:highlight w:val="none"/>
        </w:rPr>
        <w:t>补充条款</w:t>
      </w:r>
      <w:bookmarkEnd w:id="11"/>
    </w:p>
    <w:p w14:paraId="013E6B86">
      <w:pPr>
        <w:spacing w:line="360" w:lineRule="auto"/>
        <w:rPr>
          <w:rFonts w:hint="eastAsia" w:ascii="宋体" w:hAnsi="宋体" w:eastAsia="宋体" w:cs="宋体"/>
          <w:b/>
          <w:bCs/>
          <w:color w:val="auto"/>
          <w:spacing w:val="6"/>
          <w:sz w:val="24"/>
          <w:szCs w:val="24"/>
          <w:highlight w:val="none"/>
          <w:lang w:val="en-US" w:eastAsia="zh-CN"/>
        </w:rPr>
      </w:pPr>
      <w:r>
        <w:rPr>
          <w:rFonts w:hint="eastAsia" w:ascii="宋体" w:hAnsi="宋体" w:cs="宋体"/>
          <w:b/>
          <w:bCs/>
          <w:color w:val="auto"/>
          <w:spacing w:val="6"/>
          <w:sz w:val="24"/>
          <w:szCs w:val="24"/>
          <w:highlight w:val="none"/>
          <w:lang w:val="en-US" w:eastAsia="zh-CN"/>
        </w:rPr>
        <w:t>附表一</w:t>
      </w:r>
      <w:r>
        <w:rPr>
          <w:rFonts w:hint="eastAsia" w:ascii="宋体" w:hAnsi="宋体" w:eastAsia="宋体" w:cs="宋体"/>
          <w:b/>
          <w:bCs/>
          <w:color w:val="auto"/>
          <w:spacing w:val="6"/>
          <w:sz w:val="24"/>
          <w:szCs w:val="24"/>
          <w:highlight w:val="none"/>
          <w:lang w:val="en-US" w:eastAsia="zh-CN"/>
        </w:rPr>
        <w:t>、</w:t>
      </w:r>
    </w:p>
    <w:p w14:paraId="0DFF5BED">
      <w:pPr>
        <w:spacing w:line="36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关于“中小企业声明函”的填写要求</w:t>
      </w:r>
    </w:p>
    <w:p w14:paraId="5F86FB17">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1.“单位名称”应填写采购人名称。</w:t>
      </w:r>
    </w:p>
    <w:p w14:paraId="347BCA1F">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3DF99601">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47295E26">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4.“采购文件中明确的所属行业”应填写采购文件中明确的采购标的所属行业，并应确保与采购标的涉及的货物制造商/服务承接商/工程承建商（根据项目属性确定）本身的所属行业保持一致。</w:t>
      </w:r>
    </w:p>
    <w:p w14:paraId="2C5EDFA7">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44725DC6">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D81503D">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5.“企业名称”应填写投标（响应）的货物制造商/服务承接商/工程承建商（根据项目属性确定）。</w:t>
      </w:r>
    </w:p>
    <w:p w14:paraId="7A18A0CE">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对于分包方式面向中小企业采购的项目，“企业名称”应填写分包部分采购标的对应的货物制造商/服务承接商/工程承建商（根据项目属性确定）。</w:t>
      </w:r>
    </w:p>
    <w:p w14:paraId="32744CF2">
      <w:pPr>
        <w:spacing w:line="360" w:lineRule="auto"/>
        <w:ind w:firstLine="508" w:firstLineChars="200"/>
        <w:rPr>
          <w:rFonts w:hint="eastAsia" w:ascii="宋体" w:hAnsi="宋体" w:eastAsia="宋体" w:cs="宋体"/>
          <w:color w:val="auto"/>
          <w:spacing w:val="6"/>
          <w:sz w:val="24"/>
          <w:szCs w:val="24"/>
          <w:highlight w:val="none"/>
          <w:lang w:eastAsia="zh-CN"/>
        </w:rPr>
      </w:pPr>
      <w:bookmarkStart w:id="12" w:name="bookmark286"/>
      <w:bookmarkEnd w:id="12"/>
      <w:r>
        <w:rPr>
          <w:rFonts w:hint="eastAsia" w:ascii="宋体" w:hAnsi="宋体" w:eastAsia="宋体" w:cs="宋体"/>
          <w:color w:val="auto"/>
          <w:spacing w:val="6"/>
          <w:sz w:val="24"/>
          <w:szCs w:val="24"/>
          <w:highlight w:val="none"/>
          <w:lang w:eastAsia="zh-CN"/>
        </w:rPr>
        <w:t>对于以联合体方式面向中小企业采购的项目，“企业名称”应填写联合体中中小企业承担采购标的对应的货物制造商/服务承接商/工程承建商（根据项目属性确定）。</w:t>
      </w:r>
    </w:p>
    <w:p w14:paraId="0FB7CE37">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6.从业人员、资产总额指标以上年度末数据为依据，营业收入指标以上年度累计数据为依据。无上年度数据的新成立企业可不填报。</w:t>
      </w:r>
    </w:p>
    <w:p w14:paraId="3D08E541">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7.“中型企业/小型企业/微型企业”部分，供应商应依据企业上年度从业人员、营业收入、资产总额等指标，按照《中小企业划型标准规定》（工信部联企业〔2011〕300号），判断“中小企业声明函”载明的货物制造商/服务承接商/工程承建商（根据项目属性确定）是否属于采购文件所属行业的中型企业/小型企业/微型企业。</w:t>
      </w:r>
    </w:p>
    <w:p w14:paraId="324F7AC6">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8</w:t>
      </w:r>
      <w:r>
        <w:rPr>
          <w:rFonts w:hint="eastAsia" w:ascii="宋体" w:hAnsi="宋体" w:eastAsia="宋体" w:cs="宋体"/>
          <w:color w:val="auto"/>
          <w:spacing w:val="6"/>
          <w:sz w:val="24"/>
          <w:szCs w:val="24"/>
          <w:highlight w:val="none"/>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2235828F">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9</w:t>
      </w:r>
      <w:r>
        <w:rPr>
          <w:rFonts w:hint="eastAsia" w:ascii="宋体" w:hAnsi="宋体" w:eastAsia="宋体" w:cs="宋体"/>
          <w:color w:val="auto"/>
          <w:spacing w:val="6"/>
          <w:sz w:val="24"/>
          <w:szCs w:val="24"/>
          <w:highlight w:val="none"/>
          <w:lang w:eastAsia="zh-CN"/>
        </w:rPr>
        <w:t>.鼓励供应商在投标（响应）时一并提供对货物制造商、服务承接商、工程承建商相关信息的核实核验情况以及其他佐证材料。</w:t>
      </w:r>
    </w:p>
    <w:p w14:paraId="6DCC7231">
      <w:pPr>
        <w:spacing w:line="360" w:lineRule="auto"/>
        <w:ind w:firstLine="508" w:firstLineChars="200"/>
        <w:rPr>
          <w:rFonts w:hint="eastAsia" w:ascii="宋体" w:hAnsi="宋体" w:eastAsia="宋体" w:cs="宋体"/>
          <w:color w:val="auto"/>
          <w:spacing w:val="6"/>
          <w:sz w:val="24"/>
          <w:szCs w:val="24"/>
          <w:highlight w:val="none"/>
          <w:lang w:eastAsia="zh-CN"/>
        </w:rPr>
      </w:pPr>
    </w:p>
    <w:p w14:paraId="0D5ABDC2">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br w:type="page"/>
      </w:r>
    </w:p>
    <w:p w14:paraId="21DED5C0">
      <w:pPr>
        <w:spacing w:line="360" w:lineRule="auto"/>
        <w:rPr>
          <w:rFonts w:hint="eastAsia" w:ascii="宋体" w:hAnsi="宋体" w:cs="宋体"/>
          <w:b/>
          <w:bCs/>
          <w:color w:val="auto"/>
          <w:spacing w:val="6"/>
          <w:sz w:val="24"/>
          <w:szCs w:val="24"/>
          <w:highlight w:val="none"/>
          <w:lang w:val="en-US" w:eastAsia="zh-CN"/>
        </w:rPr>
      </w:pPr>
      <w:r>
        <w:rPr>
          <w:rFonts w:hint="eastAsia" w:ascii="宋体" w:hAnsi="宋体" w:cs="宋体"/>
          <w:b/>
          <w:bCs/>
          <w:color w:val="auto"/>
          <w:spacing w:val="6"/>
          <w:sz w:val="24"/>
          <w:szCs w:val="24"/>
          <w:highlight w:val="none"/>
          <w:lang w:val="en-US" w:eastAsia="zh-CN"/>
        </w:rPr>
        <w:t>附表二、</w:t>
      </w:r>
    </w:p>
    <w:p w14:paraId="40F13228">
      <w:pPr>
        <w:spacing w:line="36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关于印发中小企业划型标准规定的通知</w:t>
      </w:r>
    </w:p>
    <w:p w14:paraId="08C802F2">
      <w:pPr>
        <w:spacing w:line="36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工信部联企业〔2011〕300号</w:t>
      </w:r>
    </w:p>
    <w:p w14:paraId="10409275">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各省、自治区、直辖市人民政府，国务院各部委、各直属机构及有关单位：</w:t>
      </w:r>
    </w:p>
    <w:p w14:paraId="3D6B9BA1">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C308FCC">
      <w:pPr>
        <w:spacing w:line="360" w:lineRule="auto"/>
        <w:ind w:firstLine="508" w:firstLineChars="200"/>
        <w:jc w:val="righ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工业和信息化部</w:t>
      </w:r>
    </w:p>
    <w:p w14:paraId="764D8FD1">
      <w:pPr>
        <w:spacing w:line="360" w:lineRule="auto"/>
        <w:ind w:firstLine="508" w:firstLineChars="200"/>
        <w:jc w:val="righ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国家统计局</w:t>
      </w:r>
    </w:p>
    <w:p w14:paraId="313696C2">
      <w:pPr>
        <w:spacing w:line="360" w:lineRule="auto"/>
        <w:ind w:firstLine="508" w:firstLineChars="200"/>
        <w:jc w:val="righ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国家发展和改革委员会</w:t>
      </w:r>
    </w:p>
    <w:p w14:paraId="2D88A186">
      <w:pPr>
        <w:spacing w:line="360" w:lineRule="auto"/>
        <w:ind w:firstLine="508" w:firstLineChars="200"/>
        <w:jc w:val="righ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财政部</w:t>
      </w:r>
    </w:p>
    <w:p w14:paraId="27067724">
      <w:pPr>
        <w:spacing w:line="360" w:lineRule="auto"/>
        <w:ind w:firstLine="508" w:firstLineChars="200"/>
        <w:jc w:val="right"/>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二○一一年六月十八日</w:t>
      </w:r>
    </w:p>
    <w:p w14:paraId="69262D26">
      <w:pPr>
        <w:spacing w:line="360" w:lineRule="auto"/>
        <w:ind w:firstLine="508" w:firstLineChars="200"/>
        <w:rPr>
          <w:rFonts w:hint="eastAsia" w:ascii="宋体" w:hAnsi="宋体" w:eastAsia="宋体" w:cs="宋体"/>
          <w:color w:val="auto"/>
          <w:spacing w:val="6"/>
          <w:sz w:val="24"/>
          <w:szCs w:val="24"/>
          <w:highlight w:val="none"/>
          <w:lang w:eastAsia="zh-CN"/>
        </w:rPr>
      </w:pPr>
    </w:p>
    <w:p w14:paraId="457FEE7E">
      <w:pPr>
        <w:spacing w:line="36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中小企业划型标准规定</w:t>
      </w:r>
    </w:p>
    <w:p w14:paraId="469C6C6D">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一、根据《中华人民共和国中小企业促进法》和《国务院关于进一步促进中小企业发展的若干意见》(国发〔2009〕36号)，制定本规定。</w:t>
      </w:r>
    </w:p>
    <w:p w14:paraId="5E548AD4">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二、中小企业划分为中型、小型、微型三种类型，具体标准根据企业从业人员、营业收入、资产总额等指标，结合行业特点制定。</w:t>
      </w:r>
    </w:p>
    <w:p w14:paraId="19A73812">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837ADD">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四、各行业划型标准为：</w:t>
      </w:r>
    </w:p>
    <w:p w14:paraId="56EC9FB1">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0BC84721">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5F8DA5">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CA46B0">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796035">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DDF3721">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57D495E">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D5FDE6A">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74B748">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90A6A0">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6C97CC">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EA7C5F">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D3C9744">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9C43A1">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B38C8E">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C73770">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1DF1AE4A">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五、企业类型的划分以统计部门的统计数据为依据。</w:t>
      </w:r>
    </w:p>
    <w:p w14:paraId="3B298D54">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六、本规定适用于在中华人民共和国境内依法设立的各类所有制和各种组织形式的企业。个体工商户和本规定以外的行业，参照本规定进行划型。</w:t>
      </w:r>
    </w:p>
    <w:p w14:paraId="0A14576D">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3C7ABBE">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八、本规定由工业和信息化部、国家统计局会同有关部门根据《国民经济行业分类》修订情况和企业发展变化情况适时修订。</w:t>
      </w:r>
    </w:p>
    <w:p w14:paraId="72393FC8">
      <w:pPr>
        <w:spacing w:line="360" w:lineRule="auto"/>
        <w:ind w:firstLine="508"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九、本规定由工业和信息化部、国家统计局会同有关部门负责解释。</w:t>
      </w:r>
    </w:p>
    <w:p w14:paraId="32A62C99">
      <w:pPr>
        <w:spacing w:line="360" w:lineRule="auto"/>
        <w:ind w:firstLine="508"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十、本规定自发布之日起执行，原国家经贸委、原国家计委、财政部和国家统计局2003年颁布的《中小企业标准暂行规定》同时废止。</w:t>
      </w:r>
    </w:p>
    <w:p w14:paraId="10C05662">
      <w:pPr>
        <w:autoSpaceDE w:val="0"/>
        <w:autoSpaceDN w:val="0"/>
        <w:spacing w:line="360" w:lineRule="auto"/>
        <w:ind w:left="652" w:right="402"/>
        <w:jc w:val="both"/>
        <w:rPr>
          <w:rFonts w:hint="eastAsia" w:ascii="宋体" w:hAnsi="宋体" w:eastAsia="宋体" w:cs="宋体"/>
          <w:sz w:val="24"/>
          <w:szCs w:val="24"/>
          <w:highlight w:val="none"/>
        </w:rPr>
      </w:pPr>
    </w:p>
    <w:p w14:paraId="164E660C">
      <w:pPr>
        <w:pStyle w:val="152"/>
        <w:spacing w:line="520" w:lineRule="exact"/>
        <w:jc w:val="center"/>
        <w:rPr>
          <w:rFonts w:hint="eastAsia" w:ascii="宋体" w:hAnsi="宋体" w:eastAsia="宋体" w:cs="宋体"/>
          <w:b/>
          <w:bCs/>
          <w:sz w:val="24"/>
          <w:szCs w:val="24"/>
          <w:highlight w:val="none"/>
          <w:lang w:eastAsia="zh-CN"/>
        </w:rPr>
      </w:pPr>
    </w:p>
    <w:p w14:paraId="40EE72C8">
      <w:pPr>
        <w:pStyle w:val="152"/>
        <w:spacing w:line="520" w:lineRule="exact"/>
        <w:jc w:val="center"/>
        <w:rPr>
          <w:rFonts w:hint="eastAsia" w:ascii="宋体" w:hAnsi="宋体" w:eastAsia="宋体" w:cs="宋体"/>
          <w:b/>
          <w:bCs/>
          <w:sz w:val="24"/>
          <w:szCs w:val="24"/>
          <w:highlight w:val="none"/>
          <w:lang w:eastAsia="zh-CN"/>
        </w:rPr>
      </w:pPr>
    </w:p>
    <w:p w14:paraId="657A9CFE">
      <w:pPr>
        <w:pStyle w:val="152"/>
        <w:spacing w:line="520" w:lineRule="exact"/>
        <w:jc w:val="center"/>
        <w:rPr>
          <w:rFonts w:hint="eastAsia" w:ascii="宋体" w:hAnsi="宋体" w:eastAsia="宋体" w:cs="宋体"/>
          <w:b/>
          <w:bCs/>
          <w:sz w:val="24"/>
          <w:szCs w:val="24"/>
          <w:highlight w:val="none"/>
          <w:lang w:eastAsia="zh-CN"/>
        </w:rPr>
      </w:pPr>
    </w:p>
    <w:p w14:paraId="3DE58083">
      <w:pPr>
        <w:pStyle w:val="152"/>
        <w:spacing w:line="520" w:lineRule="exact"/>
        <w:jc w:val="center"/>
        <w:rPr>
          <w:rFonts w:hint="eastAsia" w:ascii="宋体" w:hAnsi="宋体" w:eastAsia="宋体" w:cs="宋体"/>
          <w:b/>
          <w:bCs/>
          <w:sz w:val="24"/>
          <w:szCs w:val="24"/>
          <w:highlight w:val="none"/>
          <w:lang w:eastAsia="zh-CN"/>
        </w:rPr>
      </w:pPr>
    </w:p>
    <w:p w14:paraId="3BA5A1CB">
      <w:pPr>
        <w:pStyle w:val="152"/>
        <w:spacing w:line="520" w:lineRule="exact"/>
        <w:jc w:val="center"/>
        <w:rPr>
          <w:rFonts w:hint="eastAsia" w:ascii="宋体" w:hAnsi="宋体" w:eastAsia="宋体" w:cs="宋体"/>
          <w:b/>
          <w:bCs/>
          <w:sz w:val="24"/>
          <w:szCs w:val="24"/>
          <w:highlight w:val="none"/>
          <w:lang w:eastAsia="zh-CN"/>
        </w:rPr>
      </w:pPr>
    </w:p>
    <w:p w14:paraId="0C73C7D9">
      <w:pPr>
        <w:pStyle w:val="152"/>
        <w:numPr>
          <w:ilvl w:val="0"/>
          <w:numId w:val="0"/>
        </w:numPr>
        <w:spacing w:line="520" w:lineRule="exact"/>
        <w:jc w:val="center"/>
        <w:rPr>
          <w:rFonts w:hint="eastAsia" w:ascii="宋体" w:hAnsi="宋体" w:eastAsia="宋体" w:cs="宋体"/>
          <w:b/>
          <w:bCs/>
          <w:sz w:val="24"/>
          <w:szCs w:val="24"/>
          <w:highlight w:val="none"/>
        </w:rPr>
      </w:pPr>
    </w:p>
    <w:p w14:paraId="6CA27DC0">
      <w:pPr>
        <w:pStyle w:val="152"/>
        <w:numPr>
          <w:ilvl w:val="0"/>
          <w:numId w:val="0"/>
        </w:numPr>
        <w:spacing w:line="520" w:lineRule="exact"/>
        <w:jc w:val="center"/>
        <w:rPr>
          <w:rFonts w:hint="eastAsia" w:ascii="宋体" w:hAnsi="宋体" w:eastAsia="宋体" w:cs="宋体"/>
          <w:b/>
          <w:bCs/>
          <w:sz w:val="28"/>
          <w:szCs w:val="28"/>
          <w:highlight w:val="none"/>
        </w:rPr>
      </w:pPr>
    </w:p>
    <w:p w14:paraId="1E8C6F09">
      <w:pPr>
        <w:pStyle w:val="152"/>
        <w:spacing w:line="240" w:lineRule="auto"/>
        <w:jc w:val="center"/>
        <w:rPr>
          <w:rFonts w:hint="eastAsia" w:asciiTheme="minorEastAsia" w:hAnsiTheme="minorEastAsia" w:eastAsiaTheme="minorEastAsia" w:cstheme="minorEastAsia"/>
          <w:b/>
          <w:bCs/>
          <w:sz w:val="28"/>
          <w:szCs w:val="28"/>
          <w:highlight w:val="none"/>
        </w:rPr>
      </w:pPr>
    </w:p>
    <w:p w14:paraId="2E3F92E8">
      <w:pPr>
        <w:pStyle w:val="152"/>
        <w:spacing w:line="240" w:lineRule="auto"/>
        <w:jc w:val="center"/>
        <w:rPr>
          <w:rFonts w:hint="eastAsia" w:asciiTheme="minorEastAsia" w:hAnsiTheme="minorEastAsia" w:eastAsiaTheme="minorEastAsia" w:cstheme="minorEastAsia"/>
          <w:b/>
          <w:bCs/>
          <w:sz w:val="24"/>
          <w:szCs w:val="24"/>
          <w:highlight w:val="none"/>
        </w:rPr>
      </w:pPr>
    </w:p>
    <w:p w14:paraId="32904251">
      <w:pPr>
        <w:pStyle w:val="152"/>
        <w:spacing w:line="240" w:lineRule="auto"/>
        <w:jc w:val="center"/>
        <w:rPr>
          <w:rFonts w:hint="eastAsia" w:asciiTheme="minorEastAsia" w:hAnsiTheme="minorEastAsia" w:eastAsiaTheme="minorEastAsia" w:cstheme="minorEastAsia"/>
          <w:b/>
          <w:bCs/>
          <w:sz w:val="24"/>
          <w:szCs w:val="24"/>
          <w:highlight w:val="none"/>
        </w:rPr>
      </w:pPr>
    </w:p>
    <w:p w14:paraId="1D262312">
      <w:pPr>
        <w:pStyle w:val="152"/>
        <w:spacing w:line="240" w:lineRule="auto"/>
        <w:jc w:val="center"/>
        <w:rPr>
          <w:rFonts w:hint="eastAsia" w:asciiTheme="minorEastAsia" w:hAnsiTheme="minorEastAsia" w:eastAsiaTheme="minorEastAsia" w:cstheme="minorEastAsia"/>
          <w:b/>
          <w:bCs/>
          <w:sz w:val="24"/>
          <w:szCs w:val="24"/>
          <w:highlight w:val="none"/>
        </w:rPr>
      </w:pPr>
    </w:p>
    <w:p w14:paraId="48F7A087">
      <w:pPr>
        <w:spacing w:line="240" w:lineRule="auto"/>
        <w:rPr>
          <w:rFonts w:hint="eastAsia" w:asciiTheme="minorEastAsia" w:hAnsiTheme="minorEastAsia" w:eastAsiaTheme="minorEastAsia" w:cstheme="minorEastAsia"/>
          <w:sz w:val="24"/>
          <w:szCs w:val="24"/>
          <w:highlight w:val="none"/>
        </w:rPr>
      </w:pPr>
    </w:p>
    <w:sectPr>
      <w:headerReference r:id="rId6" w:type="default"/>
      <w:footerReference r:id="rId7" w:type="default"/>
      <w:pgSz w:w="11906" w:h="16838"/>
      <w:pgMar w:top="1304" w:right="1304" w:bottom="1304" w:left="1304" w:header="851" w:footer="850" w:gutter="0"/>
      <w:pgNumType w:fmt="decimal"/>
      <w:cols w:space="720" w:num="1"/>
      <w:docGrid w:type="linesAndChars" w:linePitch="312"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9C8332A-82BD-4778-BE25-2A0138E8009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7226625-F364-4E2C-B4DF-A342571ADD92}"/>
  </w:font>
  <w:font w:name="仿宋_GB2312">
    <w:panose1 w:val="02010609030101010101"/>
    <w:charset w:val="86"/>
    <w:family w:val="modern"/>
    <w:pitch w:val="default"/>
    <w:sig w:usb0="00000001" w:usb1="080E0000" w:usb2="00000000" w:usb3="00000000" w:csb0="00040000" w:csb1="00000000"/>
    <w:embedRegular r:id="rId3" w:fontKey="{92A667B4-052D-43F1-8093-0980E28BDD5F}"/>
  </w:font>
  <w:font w:name="仿宋">
    <w:panose1 w:val="02010609060101010101"/>
    <w:charset w:val="86"/>
    <w:family w:val="modern"/>
    <w:pitch w:val="default"/>
    <w:sig w:usb0="800002BF" w:usb1="38CF7CFA" w:usb2="00000016" w:usb3="00000000" w:csb0="00040001" w:csb1="00000000"/>
    <w:embedRegular r:id="rId4" w:fontKey="{D28374B0-E9C2-4F3D-8BE4-0F09F9A63DF5}"/>
  </w:font>
  <w:font w:name="Calibri Light">
    <w:altName w:val="Calibri"/>
    <w:panose1 w:val="020F0302020204030204"/>
    <w:charset w:val="00"/>
    <w:family w:val="swiss"/>
    <w:pitch w:val="default"/>
    <w:sig w:usb0="00000000" w:usb1="00000000"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DFHeiW9-GB">
    <w:altName w:val="宋体"/>
    <w:panose1 w:val="00000000000000000000"/>
    <w:charset w:val="86"/>
    <w:family w:val="swiss"/>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PingFang SC Regular">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dobe 宋体 Std L">
    <w:altName w:val="宋体"/>
    <w:panose1 w:val="02020300000000000000"/>
    <w:charset w:val="86"/>
    <w:family w:val="roman"/>
    <w:pitch w:val="default"/>
    <w:sig w:usb0="00000000" w:usb1="00000000" w:usb2="00000016" w:usb3="00000000" w:csb0="00060007"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embedRegular r:id="rId5" w:fontKey="{360A08B4-40AF-45C6-B56A-7E5C4FDF3E34}"/>
  </w:font>
  <w:font w:name="方正仿宋_GB2312">
    <w:panose1 w:val="02000000000000000000"/>
    <w:charset w:val="86"/>
    <w:family w:val="auto"/>
    <w:pitch w:val="default"/>
    <w:sig w:usb0="A00002BF" w:usb1="184F6CFA" w:usb2="00000012" w:usb3="00000000" w:csb0="00040001" w:csb1="00000000"/>
    <w:embedRegular r:id="rId6" w:fontKey="{4D9EFCDD-C823-4E72-B77A-BFA1E70E27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3E579">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235B4">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7E235B4">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DCAA">
    <w:pPr>
      <w:pStyle w:val="23"/>
      <w:rPr>
        <w:rFonts w:ascii="宋体" w:hAnsi="宋体" w:eastAsia="宋体"/>
        <w:sz w:val="21"/>
        <w:szCs w:val="21"/>
        <w:lang w:val="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25235">
                          <w:pPr>
                            <w:pStyle w:val="2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625235">
                    <w:pPr>
                      <w:pStyle w:val="2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5C2D">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B59EC">
                          <w:pPr>
                            <w:pStyle w:val="2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CB59EC">
                    <w:pPr>
                      <w:pStyle w:val="2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36D94">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1C5D">
    <w:pPr>
      <w:pBdr>
        <w:bottom w:val="none" w:color="auto" w:sz="0" w:space="1"/>
      </w:pBdr>
      <w:spacing w:line="440" w:lineRule="exact"/>
      <w:jc w:val="left"/>
      <w:rPr>
        <w:rFonts w:ascii="仿宋_GB2312" w:eastAsia="仿宋_GB2312"/>
        <w:b/>
        <w:i/>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86F73"/>
    <w:multiLevelType w:val="singleLevel"/>
    <w:tmpl w:val="FF886F73"/>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decimal"/>
      <w:pStyle w:val="126"/>
      <w:lvlText w:val="表%1："/>
      <w:lvlJc w:val="left"/>
      <w:pPr>
        <w:ind w:left="480" w:firstLine="0"/>
      </w:pPr>
    </w:lvl>
    <w:lvl w:ilvl="1" w:tentative="0">
      <w:start w:val="1"/>
      <w:numFmt w:val="lowerLetter"/>
      <w:lvlText w:val="%2)"/>
      <w:lvlJc w:val="left"/>
      <w:pPr>
        <w:ind w:left="900" w:firstLine="0"/>
      </w:pPr>
    </w:lvl>
    <w:lvl w:ilvl="2" w:tentative="0">
      <w:start w:val="1"/>
      <w:numFmt w:val="lowerRoman"/>
      <w:lvlText w:val="%3."/>
      <w:lvlJc w:val="left"/>
      <w:pPr>
        <w:ind w:left="1320" w:firstLine="0"/>
      </w:pPr>
    </w:lvl>
    <w:lvl w:ilvl="3" w:tentative="0">
      <w:start w:val="1"/>
      <w:numFmt w:val="decimal"/>
      <w:lvlText w:val="%4."/>
      <w:lvlJc w:val="left"/>
      <w:pPr>
        <w:ind w:left="1740" w:firstLine="0"/>
      </w:pPr>
    </w:lvl>
    <w:lvl w:ilvl="4" w:tentative="0">
      <w:start w:val="1"/>
      <w:numFmt w:val="lowerLetter"/>
      <w:lvlText w:val="%5)"/>
      <w:lvlJc w:val="left"/>
      <w:pPr>
        <w:ind w:left="2160" w:firstLine="0"/>
      </w:pPr>
    </w:lvl>
    <w:lvl w:ilvl="5" w:tentative="0">
      <w:start w:val="1"/>
      <w:numFmt w:val="lowerRoman"/>
      <w:lvlText w:val="%6."/>
      <w:lvlJc w:val="left"/>
      <w:pPr>
        <w:ind w:left="2580" w:firstLine="0"/>
      </w:pPr>
    </w:lvl>
    <w:lvl w:ilvl="6" w:tentative="0">
      <w:start w:val="1"/>
      <w:numFmt w:val="decimal"/>
      <w:lvlText w:val="%7."/>
      <w:lvlJc w:val="left"/>
      <w:pPr>
        <w:ind w:left="3000" w:firstLine="0"/>
      </w:pPr>
    </w:lvl>
    <w:lvl w:ilvl="7" w:tentative="0">
      <w:start w:val="1"/>
      <w:numFmt w:val="lowerLetter"/>
      <w:lvlText w:val="%8)"/>
      <w:lvlJc w:val="left"/>
      <w:pPr>
        <w:ind w:left="3420" w:firstLine="0"/>
      </w:pPr>
    </w:lvl>
    <w:lvl w:ilvl="8" w:tentative="0">
      <w:start w:val="1"/>
      <w:numFmt w:val="lowerRoman"/>
      <w:lvlText w:val="%9."/>
      <w:lvlJc w:val="left"/>
      <w:pPr>
        <w:ind w:left="3840" w:firstLine="0"/>
      </w:pPr>
    </w:lvl>
  </w:abstractNum>
  <w:abstractNum w:abstractNumId="2">
    <w:nsid w:val="46137EDD"/>
    <w:multiLevelType w:val="multilevel"/>
    <w:tmpl w:val="46137EDD"/>
    <w:lvl w:ilvl="0" w:tentative="0">
      <w:start w:val="1"/>
      <w:numFmt w:val="decimal"/>
      <w:lvlText w:val="%1"/>
      <w:lvlJc w:val="left"/>
      <w:pPr>
        <w:tabs>
          <w:tab w:val="left" w:pos="432"/>
        </w:tabs>
        <w:ind w:left="432" w:hanging="432"/>
      </w:pPr>
    </w:lvl>
    <w:lvl w:ilvl="1" w:tentative="0">
      <w:start w:val="1"/>
      <w:numFmt w:val="decimal"/>
      <w:pStyle w:val="95"/>
      <w:lvlText w:val="%1.%2"/>
      <w:lvlJc w:val="left"/>
      <w:pPr>
        <w:tabs>
          <w:tab w:val="left" w:pos="1002"/>
        </w:tabs>
        <w:ind w:left="1002"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AC22875"/>
    <w:multiLevelType w:val="singleLevel"/>
    <w:tmpl w:val="4AC22875"/>
    <w:lvl w:ilvl="0" w:tentative="0">
      <w:start w:val="1"/>
      <w:numFmt w:val="decimal"/>
      <w:lvlText w:val="%1."/>
      <w:lvlJc w:val="left"/>
      <w:pPr>
        <w:tabs>
          <w:tab w:val="left" w:pos="312"/>
        </w:tabs>
      </w:pPr>
    </w:lvl>
  </w:abstractNum>
  <w:abstractNum w:abstractNumId="4">
    <w:nsid w:val="59A4EE26"/>
    <w:multiLevelType w:val="singleLevel"/>
    <w:tmpl w:val="59A4EE26"/>
    <w:lvl w:ilvl="0" w:tentative="0">
      <w:start w:val="32"/>
      <w:numFmt w:val="decimal"/>
      <w:suff w:val="space"/>
      <w:lvlText w:val="%1."/>
      <w:lvlJc w:val="left"/>
    </w:lvl>
  </w:abstractNum>
  <w:abstractNum w:abstractNumId="5">
    <w:nsid w:val="59A4F581"/>
    <w:multiLevelType w:val="singleLevel"/>
    <w:tmpl w:val="59A4F581"/>
    <w:lvl w:ilvl="0" w:tentative="0">
      <w:start w:val="2"/>
      <w:numFmt w:val="decimal"/>
      <w:suff w:val="nothing"/>
      <w:lvlText w:val="%1．"/>
      <w:lvlJc w:val="left"/>
    </w:lvl>
  </w:abstractNum>
  <w:abstractNum w:abstractNumId="6">
    <w:nsid w:val="70085C8F"/>
    <w:multiLevelType w:val="singleLevel"/>
    <w:tmpl w:val="70085C8F"/>
    <w:lvl w:ilvl="0" w:tentative="0">
      <w:start w:val="6"/>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6"/>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TkxYWU2N2EzMDNmMjg1OTk3MzA0ZWQwYmMxYTgifQ=="/>
    <w:docVar w:name="KSO_WPS_MARK_KEY" w:val="ab6a8e88-de55-4ea3-9284-df5b9f21a851"/>
  </w:docVars>
  <w:rsids>
    <w:rsidRoot w:val="00172A27"/>
    <w:rsid w:val="0000190B"/>
    <w:rsid w:val="000047F6"/>
    <w:rsid w:val="00005D2C"/>
    <w:rsid w:val="00007B28"/>
    <w:rsid w:val="000108F7"/>
    <w:rsid w:val="00010A48"/>
    <w:rsid w:val="000121B4"/>
    <w:rsid w:val="00013E93"/>
    <w:rsid w:val="00014F83"/>
    <w:rsid w:val="00027DA6"/>
    <w:rsid w:val="00030BF5"/>
    <w:rsid w:val="00033640"/>
    <w:rsid w:val="0003470E"/>
    <w:rsid w:val="00035051"/>
    <w:rsid w:val="000350EC"/>
    <w:rsid w:val="00035C6A"/>
    <w:rsid w:val="00035DE7"/>
    <w:rsid w:val="00040779"/>
    <w:rsid w:val="000425E3"/>
    <w:rsid w:val="0004353D"/>
    <w:rsid w:val="00043628"/>
    <w:rsid w:val="00043734"/>
    <w:rsid w:val="000523B2"/>
    <w:rsid w:val="00054662"/>
    <w:rsid w:val="000547A8"/>
    <w:rsid w:val="0005671D"/>
    <w:rsid w:val="00057F8E"/>
    <w:rsid w:val="00064D7C"/>
    <w:rsid w:val="0006508D"/>
    <w:rsid w:val="00066E26"/>
    <w:rsid w:val="00070F67"/>
    <w:rsid w:val="000727DA"/>
    <w:rsid w:val="000735B5"/>
    <w:rsid w:val="0007395A"/>
    <w:rsid w:val="00076215"/>
    <w:rsid w:val="00076B9D"/>
    <w:rsid w:val="00077358"/>
    <w:rsid w:val="000776BF"/>
    <w:rsid w:val="00080EF6"/>
    <w:rsid w:val="000822E5"/>
    <w:rsid w:val="00083A0E"/>
    <w:rsid w:val="00083E1C"/>
    <w:rsid w:val="000847E4"/>
    <w:rsid w:val="00085F57"/>
    <w:rsid w:val="00090D31"/>
    <w:rsid w:val="000A2B11"/>
    <w:rsid w:val="000A6EC3"/>
    <w:rsid w:val="000B1D9D"/>
    <w:rsid w:val="000B240B"/>
    <w:rsid w:val="000B329F"/>
    <w:rsid w:val="000B4A3C"/>
    <w:rsid w:val="000B53C3"/>
    <w:rsid w:val="000B5D4E"/>
    <w:rsid w:val="000B5D6E"/>
    <w:rsid w:val="000B7BA0"/>
    <w:rsid w:val="000C0379"/>
    <w:rsid w:val="000C0DD6"/>
    <w:rsid w:val="000C1E53"/>
    <w:rsid w:val="000C354B"/>
    <w:rsid w:val="000C4E31"/>
    <w:rsid w:val="000C7CF6"/>
    <w:rsid w:val="000D1BD1"/>
    <w:rsid w:val="000D3BD3"/>
    <w:rsid w:val="000D3F55"/>
    <w:rsid w:val="000D663B"/>
    <w:rsid w:val="000E0E99"/>
    <w:rsid w:val="000E1366"/>
    <w:rsid w:val="000E249A"/>
    <w:rsid w:val="000E3792"/>
    <w:rsid w:val="000F340B"/>
    <w:rsid w:val="000F47D8"/>
    <w:rsid w:val="000F5251"/>
    <w:rsid w:val="000F78E2"/>
    <w:rsid w:val="001009DC"/>
    <w:rsid w:val="00103566"/>
    <w:rsid w:val="00104222"/>
    <w:rsid w:val="00106283"/>
    <w:rsid w:val="00106DD1"/>
    <w:rsid w:val="0010774C"/>
    <w:rsid w:val="00107BB9"/>
    <w:rsid w:val="00111555"/>
    <w:rsid w:val="001122AA"/>
    <w:rsid w:val="0011296E"/>
    <w:rsid w:val="00112E39"/>
    <w:rsid w:val="001153D0"/>
    <w:rsid w:val="001168EE"/>
    <w:rsid w:val="0011742E"/>
    <w:rsid w:val="00117FE9"/>
    <w:rsid w:val="00121A25"/>
    <w:rsid w:val="001220C5"/>
    <w:rsid w:val="00125E4F"/>
    <w:rsid w:val="001315A9"/>
    <w:rsid w:val="0013592A"/>
    <w:rsid w:val="001371BE"/>
    <w:rsid w:val="001378FB"/>
    <w:rsid w:val="001423C1"/>
    <w:rsid w:val="0014380F"/>
    <w:rsid w:val="00147E99"/>
    <w:rsid w:val="001511FA"/>
    <w:rsid w:val="00151552"/>
    <w:rsid w:val="001520B7"/>
    <w:rsid w:val="00152D25"/>
    <w:rsid w:val="0015608F"/>
    <w:rsid w:val="0015652D"/>
    <w:rsid w:val="00160680"/>
    <w:rsid w:val="00161F7D"/>
    <w:rsid w:val="00162B68"/>
    <w:rsid w:val="001637A7"/>
    <w:rsid w:val="00165271"/>
    <w:rsid w:val="00170882"/>
    <w:rsid w:val="0017133C"/>
    <w:rsid w:val="001721B4"/>
    <w:rsid w:val="00172A27"/>
    <w:rsid w:val="001808C1"/>
    <w:rsid w:val="00182454"/>
    <w:rsid w:val="001846C5"/>
    <w:rsid w:val="00186EFD"/>
    <w:rsid w:val="001870C1"/>
    <w:rsid w:val="001907BE"/>
    <w:rsid w:val="00190A2D"/>
    <w:rsid w:val="001919A3"/>
    <w:rsid w:val="001937AF"/>
    <w:rsid w:val="00194567"/>
    <w:rsid w:val="001A0C37"/>
    <w:rsid w:val="001A1B17"/>
    <w:rsid w:val="001A21EF"/>
    <w:rsid w:val="001A43A9"/>
    <w:rsid w:val="001A6048"/>
    <w:rsid w:val="001B0384"/>
    <w:rsid w:val="001B6367"/>
    <w:rsid w:val="001B7D46"/>
    <w:rsid w:val="001C07EC"/>
    <w:rsid w:val="001C1A30"/>
    <w:rsid w:val="001C1C65"/>
    <w:rsid w:val="001C467C"/>
    <w:rsid w:val="001C541A"/>
    <w:rsid w:val="001C7FA5"/>
    <w:rsid w:val="001C7FF0"/>
    <w:rsid w:val="001D08F7"/>
    <w:rsid w:val="001D2E75"/>
    <w:rsid w:val="001D578D"/>
    <w:rsid w:val="001D5FB4"/>
    <w:rsid w:val="001D6C9D"/>
    <w:rsid w:val="001E1937"/>
    <w:rsid w:val="001E3ECE"/>
    <w:rsid w:val="001E4177"/>
    <w:rsid w:val="001E4B09"/>
    <w:rsid w:val="001E712A"/>
    <w:rsid w:val="001F0AF8"/>
    <w:rsid w:val="001F2649"/>
    <w:rsid w:val="001F272D"/>
    <w:rsid w:val="001F2872"/>
    <w:rsid w:val="001F36E4"/>
    <w:rsid w:val="001F37D5"/>
    <w:rsid w:val="001F529F"/>
    <w:rsid w:val="001F59ED"/>
    <w:rsid w:val="001F6C01"/>
    <w:rsid w:val="001F75C6"/>
    <w:rsid w:val="001F7915"/>
    <w:rsid w:val="002001A9"/>
    <w:rsid w:val="0020139A"/>
    <w:rsid w:val="002017E9"/>
    <w:rsid w:val="00201968"/>
    <w:rsid w:val="00202695"/>
    <w:rsid w:val="00207F35"/>
    <w:rsid w:val="002127EC"/>
    <w:rsid w:val="002156B8"/>
    <w:rsid w:val="00220680"/>
    <w:rsid w:val="00221F33"/>
    <w:rsid w:val="00222B03"/>
    <w:rsid w:val="00222D3A"/>
    <w:rsid w:val="002232F2"/>
    <w:rsid w:val="00224605"/>
    <w:rsid w:val="00226758"/>
    <w:rsid w:val="00226862"/>
    <w:rsid w:val="00226FDD"/>
    <w:rsid w:val="00227437"/>
    <w:rsid w:val="002338E0"/>
    <w:rsid w:val="002365F3"/>
    <w:rsid w:val="00240461"/>
    <w:rsid w:val="00247548"/>
    <w:rsid w:val="00251005"/>
    <w:rsid w:val="002562F5"/>
    <w:rsid w:val="00260FFE"/>
    <w:rsid w:val="00263581"/>
    <w:rsid w:val="002640A6"/>
    <w:rsid w:val="00265AA7"/>
    <w:rsid w:val="00277AAB"/>
    <w:rsid w:val="00280042"/>
    <w:rsid w:val="0028226B"/>
    <w:rsid w:val="00282A8A"/>
    <w:rsid w:val="00283E11"/>
    <w:rsid w:val="00284E2B"/>
    <w:rsid w:val="00284F50"/>
    <w:rsid w:val="00293676"/>
    <w:rsid w:val="002946B2"/>
    <w:rsid w:val="0029729B"/>
    <w:rsid w:val="0029730E"/>
    <w:rsid w:val="002A0798"/>
    <w:rsid w:val="002A3B20"/>
    <w:rsid w:val="002A7B55"/>
    <w:rsid w:val="002B3689"/>
    <w:rsid w:val="002B4D36"/>
    <w:rsid w:val="002B5635"/>
    <w:rsid w:val="002B7C19"/>
    <w:rsid w:val="002C2B36"/>
    <w:rsid w:val="002C4089"/>
    <w:rsid w:val="002C7263"/>
    <w:rsid w:val="002D00FE"/>
    <w:rsid w:val="002D044E"/>
    <w:rsid w:val="002D05D0"/>
    <w:rsid w:val="002D0857"/>
    <w:rsid w:val="002D13FE"/>
    <w:rsid w:val="002D22D6"/>
    <w:rsid w:val="002D3F19"/>
    <w:rsid w:val="002D798B"/>
    <w:rsid w:val="002E00CE"/>
    <w:rsid w:val="002E0903"/>
    <w:rsid w:val="002E0E08"/>
    <w:rsid w:val="002E137A"/>
    <w:rsid w:val="002E2A8B"/>
    <w:rsid w:val="002E31B9"/>
    <w:rsid w:val="002E474A"/>
    <w:rsid w:val="002E5F7B"/>
    <w:rsid w:val="002E61DA"/>
    <w:rsid w:val="002E7D56"/>
    <w:rsid w:val="002F40F5"/>
    <w:rsid w:val="002F4919"/>
    <w:rsid w:val="002F69ED"/>
    <w:rsid w:val="002F7F04"/>
    <w:rsid w:val="003017F6"/>
    <w:rsid w:val="0030393F"/>
    <w:rsid w:val="00307508"/>
    <w:rsid w:val="00311A5F"/>
    <w:rsid w:val="00311ECC"/>
    <w:rsid w:val="00313FE2"/>
    <w:rsid w:val="00314091"/>
    <w:rsid w:val="00316269"/>
    <w:rsid w:val="00330AA5"/>
    <w:rsid w:val="00331E7C"/>
    <w:rsid w:val="003327EB"/>
    <w:rsid w:val="00336729"/>
    <w:rsid w:val="0033710F"/>
    <w:rsid w:val="00337D8E"/>
    <w:rsid w:val="00340A6E"/>
    <w:rsid w:val="00342A55"/>
    <w:rsid w:val="0034302A"/>
    <w:rsid w:val="0034707D"/>
    <w:rsid w:val="003515C5"/>
    <w:rsid w:val="003525FD"/>
    <w:rsid w:val="00353049"/>
    <w:rsid w:val="00357D7F"/>
    <w:rsid w:val="003614AF"/>
    <w:rsid w:val="003617C6"/>
    <w:rsid w:val="003626F3"/>
    <w:rsid w:val="00366C0A"/>
    <w:rsid w:val="0037667F"/>
    <w:rsid w:val="00377268"/>
    <w:rsid w:val="00380D91"/>
    <w:rsid w:val="003814C3"/>
    <w:rsid w:val="00382C5C"/>
    <w:rsid w:val="00383C6C"/>
    <w:rsid w:val="00383F1A"/>
    <w:rsid w:val="0038478D"/>
    <w:rsid w:val="003854B3"/>
    <w:rsid w:val="00387202"/>
    <w:rsid w:val="003918D5"/>
    <w:rsid w:val="0039276B"/>
    <w:rsid w:val="00395929"/>
    <w:rsid w:val="003A02A1"/>
    <w:rsid w:val="003A5078"/>
    <w:rsid w:val="003A772C"/>
    <w:rsid w:val="003B0190"/>
    <w:rsid w:val="003B01BB"/>
    <w:rsid w:val="003B4424"/>
    <w:rsid w:val="003B48A4"/>
    <w:rsid w:val="003B76CA"/>
    <w:rsid w:val="003C1009"/>
    <w:rsid w:val="003C5F4F"/>
    <w:rsid w:val="003C6958"/>
    <w:rsid w:val="003D2EBB"/>
    <w:rsid w:val="003D3C26"/>
    <w:rsid w:val="003D730B"/>
    <w:rsid w:val="003E274B"/>
    <w:rsid w:val="003F3B31"/>
    <w:rsid w:val="004014FB"/>
    <w:rsid w:val="00404765"/>
    <w:rsid w:val="0040766D"/>
    <w:rsid w:val="00407A41"/>
    <w:rsid w:val="00407B55"/>
    <w:rsid w:val="00410C23"/>
    <w:rsid w:val="004121B6"/>
    <w:rsid w:val="00412680"/>
    <w:rsid w:val="00420115"/>
    <w:rsid w:val="0042297A"/>
    <w:rsid w:val="004233C8"/>
    <w:rsid w:val="004251CC"/>
    <w:rsid w:val="00426543"/>
    <w:rsid w:val="00431C0C"/>
    <w:rsid w:val="00432F23"/>
    <w:rsid w:val="004410E0"/>
    <w:rsid w:val="0044363F"/>
    <w:rsid w:val="00445135"/>
    <w:rsid w:val="00445E87"/>
    <w:rsid w:val="00446112"/>
    <w:rsid w:val="0044691E"/>
    <w:rsid w:val="00451934"/>
    <w:rsid w:val="00451D51"/>
    <w:rsid w:val="0046425C"/>
    <w:rsid w:val="00464C01"/>
    <w:rsid w:val="00467554"/>
    <w:rsid w:val="0047029D"/>
    <w:rsid w:val="00472A5B"/>
    <w:rsid w:val="00473A78"/>
    <w:rsid w:val="00474584"/>
    <w:rsid w:val="00475A9D"/>
    <w:rsid w:val="00480805"/>
    <w:rsid w:val="004814A6"/>
    <w:rsid w:val="00482E8A"/>
    <w:rsid w:val="00483922"/>
    <w:rsid w:val="00485A21"/>
    <w:rsid w:val="00485B0B"/>
    <w:rsid w:val="00487AC7"/>
    <w:rsid w:val="00493F45"/>
    <w:rsid w:val="004967EE"/>
    <w:rsid w:val="0049698C"/>
    <w:rsid w:val="004A4F91"/>
    <w:rsid w:val="004A50C5"/>
    <w:rsid w:val="004A52BF"/>
    <w:rsid w:val="004B30EC"/>
    <w:rsid w:val="004B3501"/>
    <w:rsid w:val="004B5B7C"/>
    <w:rsid w:val="004C0919"/>
    <w:rsid w:val="004C1CA9"/>
    <w:rsid w:val="004C2F2E"/>
    <w:rsid w:val="004C58BD"/>
    <w:rsid w:val="004D310A"/>
    <w:rsid w:val="004D3333"/>
    <w:rsid w:val="004D39DC"/>
    <w:rsid w:val="004D3CD0"/>
    <w:rsid w:val="004D6823"/>
    <w:rsid w:val="004E0556"/>
    <w:rsid w:val="004E1400"/>
    <w:rsid w:val="004E2611"/>
    <w:rsid w:val="004E33B5"/>
    <w:rsid w:val="004E4527"/>
    <w:rsid w:val="004E4DF5"/>
    <w:rsid w:val="004E7D4D"/>
    <w:rsid w:val="004E7EEC"/>
    <w:rsid w:val="004F344D"/>
    <w:rsid w:val="004F572E"/>
    <w:rsid w:val="00502390"/>
    <w:rsid w:val="005044E5"/>
    <w:rsid w:val="00506577"/>
    <w:rsid w:val="005107B1"/>
    <w:rsid w:val="00511BFB"/>
    <w:rsid w:val="00511CF0"/>
    <w:rsid w:val="00514A3C"/>
    <w:rsid w:val="00515327"/>
    <w:rsid w:val="005153C5"/>
    <w:rsid w:val="00517661"/>
    <w:rsid w:val="0051768C"/>
    <w:rsid w:val="005176B9"/>
    <w:rsid w:val="00517907"/>
    <w:rsid w:val="0052177B"/>
    <w:rsid w:val="00521959"/>
    <w:rsid w:val="00521E96"/>
    <w:rsid w:val="00524917"/>
    <w:rsid w:val="00525CA4"/>
    <w:rsid w:val="00530F98"/>
    <w:rsid w:val="005311E6"/>
    <w:rsid w:val="005317FC"/>
    <w:rsid w:val="00532F05"/>
    <w:rsid w:val="00533465"/>
    <w:rsid w:val="0053386F"/>
    <w:rsid w:val="00536FAB"/>
    <w:rsid w:val="00537203"/>
    <w:rsid w:val="00537B51"/>
    <w:rsid w:val="00537E50"/>
    <w:rsid w:val="0054010E"/>
    <w:rsid w:val="005440E3"/>
    <w:rsid w:val="005442ED"/>
    <w:rsid w:val="0054468B"/>
    <w:rsid w:val="00550D40"/>
    <w:rsid w:val="00551241"/>
    <w:rsid w:val="00551558"/>
    <w:rsid w:val="0055190A"/>
    <w:rsid w:val="00552008"/>
    <w:rsid w:val="00553F65"/>
    <w:rsid w:val="005544EC"/>
    <w:rsid w:val="00554509"/>
    <w:rsid w:val="00555171"/>
    <w:rsid w:val="005566AB"/>
    <w:rsid w:val="00557080"/>
    <w:rsid w:val="00557109"/>
    <w:rsid w:val="005603DA"/>
    <w:rsid w:val="00561581"/>
    <w:rsid w:val="005616A7"/>
    <w:rsid w:val="00563A47"/>
    <w:rsid w:val="00566B62"/>
    <w:rsid w:val="00574D09"/>
    <w:rsid w:val="0057579E"/>
    <w:rsid w:val="00576BE5"/>
    <w:rsid w:val="005770B5"/>
    <w:rsid w:val="0058289F"/>
    <w:rsid w:val="00583FC7"/>
    <w:rsid w:val="00586098"/>
    <w:rsid w:val="00591024"/>
    <w:rsid w:val="0059391E"/>
    <w:rsid w:val="00594836"/>
    <w:rsid w:val="00595C31"/>
    <w:rsid w:val="005A4F27"/>
    <w:rsid w:val="005A5A1C"/>
    <w:rsid w:val="005A5BA1"/>
    <w:rsid w:val="005A645A"/>
    <w:rsid w:val="005A7A64"/>
    <w:rsid w:val="005B0366"/>
    <w:rsid w:val="005B0825"/>
    <w:rsid w:val="005B0DF8"/>
    <w:rsid w:val="005B2AE2"/>
    <w:rsid w:val="005C25EE"/>
    <w:rsid w:val="005D18E7"/>
    <w:rsid w:val="005D2CE8"/>
    <w:rsid w:val="005D3036"/>
    <w:rsid w:val="005D3314"/>
    <w:rsid w:val="005D419C"/>
    <w:rsid w:val="005D4E72"/>
    <w:rsid w:val="005D6384"/>
    <w:rsid w:val="005D75A1"/>
    <w:rsid w:val="005D7A8B"/>
    <w:rsid w:val="005E02EA"/>
    <w:rsid w:val="005E09C2"/>
    <w:rsid w:val="005F0F15"/>
    <w:rsid w:val="005F11BB"/>
    <w:rsid w:val="005F1D2C"/>
    <w:rsid w:val="005F4ADC"/>
    <w:rsid w:val="005F6E26"/>
    <w:rsid w:val="005F7CBC"/>
    <w:rsid w:val="00600870"/>
    <w:rsid w:val="00600F1B"/>
    <w:rsid w:val="00603ECE"/>
    <w:rsid w:val="006100AC"/>
    <w:rsid w:val="00610C2B"/>
    <w:rsid w:val="0061296B"/>
    <w:rsid w:val="00614A77"/>
    <w:rsid w:val="006160BD"/>
    <w:rsid w:val="0061678C"/>
    <w:rsid w:val="00623408"/>
    <w:rsid w:val="006253D1"/>
    <w:rsid w:val="00627E6B"/>
    <w:rsid w:val="00635564"/>
    <w:rsid w:val="0064082B"/>
    <w:rsid w:val="00640D4F"/>
    <w:rsid w:val="0064283E"/>
    <w:rsid w:val="00644C72"/>
    <w:rsid w:val="00647578"/>
    <w:rsid w:val="0065070E"/>
    <w:rsid w:val="00650C23"/>
    <w:rsid w:val="00654FB2"/>
    <w:rsid w:val="00661F4E"/>
    <w:rsid w:val="00664A52"/>
    <w:rsid w:val="00664CEA"/>
    <w:rsid w:val="006663E5"/>
    <w:rsid w:val="0066693D"/>
    <w:rsid w:val="00672307"/>
    <w:rsid w:val="00672B31"/>
    <w:rsid w:val="0067626B"/>
    <w:rsid w:val="00684B84"/>
    <w:rsid w:val="0068693C"/>
    <w:rsid w:val="00686A53"/>
    <w:rsid w:val="00687CC9"/>
    <w:rsid w:val="00695594"/>
    <w:rsid w:val="00697CB8"/>
    <w:rsid w:val="006A0459"/>
    <w:rsid w:val="006A22ED"/>
    <w:rsid w:val="006A3359"/>
    <w:rsid w:val="006A6A89"/>
    <w:rsid w:val="006B260D"/>
    <w:rsid w:val="006B436A"/>
    <w:rsid w:val="006B6ECD"/>
    <w:rsid w:val="006B793B"/>
    <w:rsid w:val="006B7EB6"/>
    <w:rsid w:val="006C3F72"/>
    <w:rsid w:val="006C43E2"/>
    <w:rsid w:val="006C685F"/>
    <w:rsid w:val="006C6B5F"/>
    <w:rsid w:val="006C7508"/>
    <w:rsid w:val="006D6E57"/>
    <w:rsid w:val="006D7963"/>
    <w:rsid w:val="006E15BA"/>
    <w:rsid w:val="006E2D29"/>
    <w:rsid w:val="006E474A"/>
    <w:rsid w:val="006E4DB0"/>
    <w:rsid w:val="006E739C"/>
    <w:rsid w:val="006F0442"/>
    <w:rsid w:val="006F5767"/>
    <w:rsid w:val="006F6891"/>
    <w:rsid w:val="006F71B3"/>
    <w:rsid w:val="00702B49"/>
    <w:rsid w:val="00703122"/>
    <w:rsid w:val="00703B84"/>
    <w:rsid w:val="0070763D"/>
    <w:rsid w:val="00711855"/>
    <w:rsid w:val="00712A1E"/>
    <w:rsid w:val="00712C2A"/>
    <w:rsid w:val="00713692"/>
    <w:rsid w:val="00713B5C"/>
    <w:rsid w:val="00715B65"/>
    <w:rsid w:val="007176EC"/>
    <w:rsid w:val="0072304E"/>
    <w:rsid w:val="00724267"/>
    <w:rsid w:val="00724C96"/>
    <w:rsid w:val="007252BB"/>
    <w:rsid w:val="00726D05"/>
    <w:rsid w:val="00730438"/>
    <w:rsid w:val="007356A4"/>
    <w:rsid w:val="00735BB5"/>
    <w:rsid w:val="00735D43"/>
    <w:rsid w:val="0073624C"/>
    <w:rsid w:val="00736EC4"/>
    <w:rsid w:val="00736FCF"/>
    <w:rsid w:val="0073701B"/>
    <w:rsid w:val="007376AE"/>
    <w:rsid w:val="00743C8C"/>
    <w:rsid w:val="007474C5"/>
    <w:rsid w:val="0075677E"/>
    <w:rsid w:val="007572F2"/>
    <w:rsid w:val="00761373"/>
    <w:rsid w:val="007659B4"/>
    <w:rsid w:val="0077001E"/>
    <w:rsid w:val="007709F0"/>
    <w:rsid w:val="0077220A"/>
    <w:rsid w:val="0077467F"/>
    <w:rsid w:val="00775D4B"/>
    <w:rsid w:val="0077741A"/>
    <w:rsid w:val="0077746C"/>
    <w:rsid w:val="00780AC0"/>
    <w:rsid w:val="007815BA"/>
    <w:rsid w:val="00781F2A"/>
    <w:rsid w:val="007828BB"/>
    <w:rsid w:val="00783FEB"/>
    <w:rsid w:val="00787338"/>
    <w:rsid w:val="0078768E"/>
    <w:rsid w:val="00787B76"/>
    <w:rsid w:val="00787E55"/>
    <w:rsid w:val="00793065"/>
    <w:rsid w:val="00794154"/>
    <w:rsid w:val="00795E48"/>
    <w:rsid w:val="00796F56"/>
    <w:rsid w:val="007A0EF5"/>
    <w:rsid w:val="007A2F09"/>
    <w:rsid w:val="007A7958"/>
    <w:rsid w:val="007B0722"/>
    <w:rsid w:val="007B0E2C"/>
    <w:rsid w:val="007B10FE"/>
    <w:rsid w:val="007B171E"/>
    <w:rsid w:val="007B1B58"/>
    <w:rsid w:val="007B1B89"/>
    <w:rsid w:val="007B40FF"/>
    <w:rsid w:val="007B4F06"/>
    <w:rsid w:val="007B5264"/>
    <w:rsid w:val="007B68C4"/>
    <w:rsid w:val="007C02D8"/>
    <w:rsid w:val="007C0879"/>
    <w:rsid w:val="007C49BE"/>
    <w:rsid w:val="007C61C2"/>
    <w:rsid w:val="007C69B1"/>
    <w:rsid w:val="007C717F"/>
    <w:rsid w:val="007D10A7"/>
    <w:rsid w:val="007D1F5A"/>
    <w:rsid w:val="007D5980"/>
    <w:rsid w:val="007E102F"/>
    <w:rsid w:val="007E26DE"/>
    <w:rsid w:val="007E6784"/>
    <w:rsid w:val="007E74A4"/>
    <w:rsid w:val="007F451A"/>
    <w:rsid w:val="007F59D6"/>
    <w:rsid w:val="00801151"/>
    <w:rsid w:val="0080290E"/>
    <w:rsid w:val="008058E0"/>
    <w:rsid w:val="00805F95"/>
    <w:rsid w:val="00806F70"/>
    <w:rsid w:val="00814185"/>
    <w:rsid w:val="0081746D"/>
    <w:rsid w:val="0082737B"/>
    <w:rsid w:val="008277B1"/>
    <w:rsid w:val="00827D36"/>
    <w:rsid w:val="00831202"/>
    <w:rsid w:val="00834433"/>
    <w:rsid w:val="008370E6"/>
    <w:rsid w:val="0083711F"/>
    <w:rsid w:val="008404DE"/>
    <w:rsid w:val="00840BBF"/>
    <w:rsid w:val="00842D8F"/>
    <w:rsid w:val="008506D6"/>
    <w:rsid w:val="00855DE8"/>
    <w:rsid w:val="008578F5"/>
    <w:rsid w:val="008634A5"/>
    <w:rsid w:val="00865822"/>
    <w:rsid w:val="00871C40"/>
    <w:rsid w:val="00872556"/>
    <w:rsid w:val="0087272C"/>
    <w:rsid w:val="00873330"/>
    <w:rsid w:val="00874826"/>
    <w:rsid w:val="008769C1"/>
    <w:rsid w:val="00876F06"/>
    <w:rsid w:val="00877A10"/>
    <w:rsid w:val="00883CA4"/>
    <w:rsid w:val="00883D2F"/>
    <w:rsid w:val="008878DC"/>
    <w:rsid w:val="00890EB6"/>
    <w:rsid w:val="008917E1"/>
    <w:rsid w:val="00891839"/>
    <w:rsid w:val="008956F4"/>
    <w:rsid w:val="00895B76"/>
    <w:rsid w:val="008A455D"/>
    <w:rsid w:val="008A6551"/>
    <w:rsid w:val="008B22FC"/>
    <w:rsid w:val="008B7A78"/>
    <w:rsid w:val="008C0764"/>
    <w:rsid w:val="008C0A48"/>
    <w:rsid w:val="008C5292"/>
    <w:rsid w:val="008C6DB5"/>
    <w:rsid w:val="008C7775"/>
    <w:rsid w:val="008D1B25"/>
    <w:rsid w:val="008D1F2A"/>
    <w:rsid w:val="008D4052"/>
    <w:rsid w:val="008D6103"/>
    <w:rsid w:val="008D6359"/>
    <w:rsid w:val="008D67E8"/>
    <w:rsid w:val="008E1F3F"/>
    <w:rsid w:val="008E6BA9"/>
    <w:rsid w:val="008F16BC"/>
    <w:rsid w:val="008F41D3"/>
    <w:rsid w:val="008F7A1F"/>
    <w:rsid w:val="00900270"/>
    <w:rsid w:val="009004C7"/>
    <w:rsid w:val="0090181E"/>
    <w:rsid w:val="0090219D"/>
    <w:rsid w:val="00902455"/>
    <w:rsid w:val="009041C9"/>
    <w:rsid w:val="009041D3"/>
    <w:rsid w:val="009045C5"/>
    <w:rsid w:val="009062D2"/>
    <w:rsid w:val="009110EE"/>
    <w:rsid w:val="00912DF6"/>
    <w:rsid w:val="00913D3D"/>
    <w:rsid w:val="00914B49"/>
    <w:rsid w:val="0091738F"/>
    <w:rsid w:val="009205E2"/>
    <w:rsid w:val="00922DA4"/>
    <w:rsid w:val="00925995"/>
    <w:rsid w:val="00925E14"/>
    <w:rsid w:val="0092664D"/>
    <w:rsid w:val="009270E8"/>
    <w:rsid w:val="00927693"/>
    <w:rsid w:val="0093423C"/>
    <w:rsid w:val="00934BE8"/>
    <w:rsid w:val="00935984"/>
    <w:rsid w:val="00941243"/>
    <w:rsid w:val="00943DAD"/>
    <w:rsid w:val="00944829"/>
    <w:rsid w:val="00944FA5"/>
    <w:rsid w:val="00951C6D"/>
    <w:rsid w:val="00954461"/>
    <w:rsid w:val="00964702"/>
    <w:rsid w:val="00967233"/>
    <w:rsid w:val="009679EF"/>
    <w:rsid w:val="00970FCF"/>
    <w:rsid w:val="00971162"/>
    <w:rsid w:val="0097274A"/>
    <w:rsid w:val="00975FB1"/>
    <w:rsid w:val="0098280D"/>
    <w:rsid w:val="009941D4"/>
    <w:rsid w:val="00997E3C"/>
    <w:rsid w:val="009A4E67"/>
    <w:rsid w:val="009A667A"/>
    <w:rsid w:val="009A7AAE"/>
    <w:rsid w:val="009B2F78"/>
    <w:rsid w:val="009C0D1D"/>
    <w:rsid w:val="009C111C"/>
    <w:rsid w:val="009C18A3"/>
    <w:rsid w:val="009C2DFA"/>
    <w:rsid w:val="009C32E3"/>
    <w:rsid w:val="009C337D"/>
    <w:rsid w:val="009C4DEE"/>
    <w:rsid w:val="009C5FC7"/>
    <w:rsid w:val="009C7800"/>
    <w:rsid w:val="009D1810"/>
    <w:rsid w:val="009D271A"/>
    <w:rsid w:val="009D69CB"/>
    <w:rsid w:val="009D6D02"/>
    <w:rsid w:val="009D7FA6"/>
    <w:rsid w:val="009E2992"/>
    <w:rsid w:val="009E3EC8"/>
    <w:rsid w:val="009E5CF1"/>
    <w:rsid w:val="009F6514"/>
    <w:rsid w:val="009F6AD3"/>
    <w:rsid w:val="009F6CF8"/>
    <w:rsid w:val="00A0129F"/>
    <w:rsid w:val="00A038AB"/>
    <w:rsid w:val="00A060D5"/>
    <w:rsid w:val="00A065A5"/>
    <w:rsid w:val="00A117DD"/>
    <w:rsid w:val="00A1358F"/>
    <w:rsid w:val="00A16289"/>
    <w:rsid w:val="00A16816"/>
    <w:rsid w:val="00A20D67"/>
    <w:rsid w:val="00A218D6"/>
    <w:rsid w:val="00A228C6"/>
    <w:rsid w:val="00A252F6"/>
    <w:rsid w:val="00A25E64"/>
    <w:rsid w:val="00A26B4E"/>
    <w:rsid w:val="00A26D9E"/>
    <w:rsid w:val="00A27826"/>
    <w:rsid w:val="00A32E1A"/>
    <w:rsid w:val="00A371AC"/>
    <w:rsid w:val="00A41915"/>
    <w:rsid w:val="00A430FD"/>
    <w:rsid w:val="00A43C8E"/>
    <w:rsid w:val="00A47E43"/>
    <w:rsid w:val="00A501A4"/>
    <w:rsid w:val="00A52528"/>
    <w:rsid w:val="00A52825"/>
    <w:rsid w:val="00A55A46"/>
    <w:rsid w:val="00A55B5C"/>
    <w:rsid w:val="00A60CB5"/>
    <w:rsid w:val="00A61DD2"/>
    <w:rsid w:val="00A63849"/>
    <w:rsid w:val="00A641FB"/>
    <w:rsid w:val="00A65944"/>
    <w:rsid w:val="00A67F48"/>
    <w:rsid w:val="00A71E14"/>
    <w:rsid w:val="00A7272F"/>
    <w:rsid w:val="00A7380E"/>
    <w:rsid w:val="00A75C74"/>
    <w:rsid w:val="00A825E7"/>
    <w:rsid w:val="00A86907"/>
    <w:rsid w:val="00A87071"/>
    <w:rsid w:val="00A87C9B"/>
    <w:rsid w:val="00A911CA"/>
    <w:rsid w:val="00A9326E"/>
    <w:rsid w:val="00A9504C"/>
    <w:rsid w:val="00A95749"/>
    <w:rsid w:val="00A9673E"/>
    <w:rsid w:val="00A96BF1"/>
    <w:rsid w:val="00AA0A11"/>
    <w:rsid w:val="00AA0E61"/>
    <w:rsid w:val="00AA51FC"/>
    <w:rsid w:val="00AA7C55"/>
    <w:rsid w:val="00AA7E55"/>
    <w:rsid w:val="00AC18A1"/>
    <w:rsid w:val="00AC2FB3"/>
    <w:rsid w:val="00AC5A49"/>
    <w:rsid w:val="00AC5DE4"/>
    <w:rsid w:val="00AC714C"/>
    <w:rsid w:val="00AD17C9"/>
    <w:rsid w:val="00AD1B34"/>
    <w:rsid w:val="00AD3820"/>
    <w:rsid w:val="00AD4A64"/>
    <w:rsid w:val="00AD558A"/>
    <w:rsid w:val="00AD6CFF"/>
    <w:rsid w:val="00AE0BDB"/>
    <w:rsid w:val="00AE5F79"/>
    <w:rsid w:val="00AE788B"/>
    <w:rsid w:val="00AE7EC9"/>
    <w:rsid w:val="00AF031E"/>
    <w:rsid w:val="00AF03BD"/>
    <w:rsid w:val="00AF186B"/>
    <w:rsid w:val="00AF4138"/>
    <w:rsid w:val="00AF485A"/>
    <w:rsid w:val="00AF5236"/>
    <w:rsid w:val="00AF5550"/>
    <w:rsid w:val="00AF5DE8"/>
    <w:rsid w:val="00AF6DBE"/>
    <w:rsid w:val="00B013BA"/>
    <w:rsid w:val="00B02823"/>
    <w:rsid w:val="00B02AE8"/>
    <w:rsid w:val="00B0403B"/>
    <w:rsid w:val="00B055DE"/>
    <w:rsid w:val="00B11C2F"/>
    <w:rsid w:val="00B11DC9"/>
    <w:rsid w:val="00B13299"/>
    <w:rsid w:val="00B1340F"/>
    <w:rsid w:val="00B14B18"/>
    <w:rsid w:val="00B21236"/>
    <w:rsid w:val="00B214B1"/>
    <w:rsid w:val="00B215C2"/>
    <w:rsid w:val="00B23F7D"/>
    <w:rsid w:val="00B31F16"/>
    <w:rsid w:val="00B34633"/>
    <w:rsid w:val="00B34C7C"/>
    <w:rsid w:val="00B3567E"/>
    <w:rsid w:val="00B36D58"/>
    <w:rsid w:val="00B4174A"/>
    <w:rsid w:val="00B42079"/>
    <w:rsid w:val="00B522CE"/>
    <w:rsid w:val="00B52BDB"/>
    <w:rsid w:val="00B53BF0"/>
    <w:rsid w:val="00B5443F"/>
    <w:rsid w:val="00B57B06"/>
    <w:rsid w:val="00B6281A"/>
    <w:rsid w:val="00B62A5E"/>
    <w:rsid w:val="00B6325F"/>
    <w:rsid w:val="00B642A4"/>
    <w:rsid w:val="00B66353"/>
    <w:rsid w:val="00B675AC"/>
    <w:rsid w:val="00B70156"/>
    <w:rsid w:val="00B727CA"/>
    <w:rsid w:val="00B7281C"/>
    <w:rsid w:val="00B73845"/>
    <w:rsid w:val="00B75741"/>
    <w:rsid w:val="00B926D1"/>
    <w:rsid w:val="00B92D9B"/>
    <w:rsid w:val="00B953AB"/>
    <w:rsid w:val="00B958DC"/>
    <w:rsid w:val="00B9733B"/>
    <w:rsid w:val="00B97FEB"/>
    <w:rsid w:val="00BA0887"/>
    <w:rsid w:val="00BA1226"/>
    <w:rsid w:val="00BA3B17"/>
    <w:rsid w:val="00BA5022"/>
    <w:rsid w:val="00BA719C"/>
    <w:rsid w:val="00BA7CA7"/>
    <w:rsid w:val="00BB7C67"/>
    <w:rsid w:val="00BC2389"/>
    <w:rsid w:val="00BC3BDA"/>
    <w:rsid w:val="00BC53E0"/>
    <w:rsid w:val="00BC7705"/>
    <w:rsid w:val="00BD0233"/>
    <w:rsid w:val="00BD02F5"/>
    <w:rsid w:val="00BD366C"/>
    <w:rsid w:val="00BD6AB7"/>
    <w:rsid w:val="00BE09A9"/>
    <w:rsid w:val="00BE3505"/>
    <w:rsid w:val="00BE3A08"/>
    <w:rsid w:val="00BE469D"/>
    <w:rsid w:val="00BE65D6"/>
    <w:rsid w:val="00BE7797"/>
    <w:rsid w:val="00BE7AE8"/>
    <w:rsid w:val="00BF0E02"/>
    <w:rsid w:val="00BF27EC"/>
    <w:rsid w:val="00BF29CE"/>
    <w:rsid w:val="00BF2D33"/>
    <w:rsid w:val="00BF3102"/>
    <w:rsid w:val="00BF48E1"/>
    <w:rsid w:val="00BF4D34"/>
    <w:rsid w:val="00BF5161"/>
    <w:rsid w:val="00BF6DE0"/>
    <w:rsid w:val="00C007F5"/>
    <w:rsid w:val="00C009F9"/>
    <w:rsid w:val="00C02BCE"/>
    <w:rsid w:val="00C05071"/>
    <w:rsid w:val="00C07706"/>
    <w:rsid w:val="00C07874"/>
    <w:rsid w:val="00C07F31"/>
    <w:rsid w:val="00C10033"/>
    <w:rsid w:val="00C102AC"/>
    <w:rsid w:val="00C12DE3"/>
    <w:rsid w:val="00C15126"/>
    <w:rsid w:val="00C179DC"/>
    <w:rsid w:val="00C206CF"/>
    <w:rsid w:val="00C225EE"/>
    <w:rsid w:val="00C22F0B"/>
    <w:rsid w:val="00C2413E"/>
    <w:rsid w:val="00C2691A"/>
    <w:rsid w:val="00C27541"/>
    <w:rsid w:val="00C34F72"/>
    <w:rsid w:val="00C351C2"/>
    <w:rsid w:val="00C37FCA"/>
    <w:rsid w:val="00C423C6"/>
    <w:rsid w:val="00C44A42"/>
    <w:rsid w:val="00C50029"/>
    <w:rsid w:val="00C5307E"/>
    <w:rsid w:val="00C54D09"/>
    <w:rsid w:val="00C55B33"/>
    <w:rsid w:val="00C55EE6"/>
    <w:rsid w:val="00C564E6"/>
    <w:rsid w:val="00C5682D"/>
    <w:rsid w:val="00C5780B"/>
    <w:rsid w:val="00C57E77"/>
    <w:rsid w:val="00C6750C"/>
    <w:rsid w:val="00C700D0"/>
    <w:rsid w:val="00C717C4"/>
    <w:rsid w:val="00C7467B"/>
    <w:rsid w:val="00C75852"/>
    <w:rsid w:val="00C75B27"/>
    <w:rsid w:val="00C76CDC"/>
    <w:rsid w:val="00C83A70"/>
    <w:rsid w:val="00C873A5"/>
    <w:rsid w:val="00C9164B"/>
    <w:rsid w:val="00CA04F8"/>
    <w:rsid w:val="00CB0AFD"/>
    <w:rsid w:val="00CB792F"/>
    <w:rsid w:val="00CC1C14"/>
    <w:rsid w:val="00CC377A"/>
    <w:rsid w:val="00CC3E10"/>
    <w:rsid w:val="00CC5B14"/>
    <w:rsid w:val="00CC729D"/>
    <w:rsid w:val="00CD0409"/>
    <w:rsid w:val="00CD0956"/>
    <w:rsid w:val="00CD2B65"/>
    <w:rsid w:val="00CD3AB4"/>
    <w:rsid w:val="00CD4042"/>
    <w:rsid w:val="00CD4397"/>
    <w:rsid w:val="00CD49FD"/>
    <w:rsid w:val="00CD63BE"/>
    <w:rsid w:val="00CE047D"/>
    <w:rsid w:val="00CE5DC9"/>
    <w:rsid w:val="00CE6513"/>
    <w:rsid w:val="00CE6DA1"/>
    <w:rsid w:val="00CE6FF1"/>
    <w:rsid w:val="00CE7FC3"/>
    <w:rsid w:val="00CF2E0F"/>
    <w:rsid w:val="00CF2E55"/>
    <w:rsid w:val="00CF7097"/>
    <w:rsid w:val="00D001A4"/>
    <w:rsid w:val="00D00B24"/>
    <w:rsid w:val="00D00F33"/>
    <w:rsid w:val="00D0148D"/>
    <w:rsid w:val="00D03F52"/>
    <w:rsid w:val="00D0517D"/>
    <w:rsid w:val="00D05421"/>
    <w:rsid w:val="00D05D5B"/>
    <w:rsid w:val="00D06E28"/>
    <w:rsid w:val="00D07709"/>
    <w:rsid w:val="00D11D21"/>
    <w:rsid w:val="00D129A2"/>
    <w:rsid w:val="00D170FF"/>
    <w:rsid w:val="00D1769B"/>
    <w:rsid w:val="00D1789D"/>
    <w:rsid w:val="00D200D0"/>
    <w:rsid w:val="00D215CC"/>
    <w:rsid w:val="00D2385E"/>
    <w:rsid w:val="00D30FBC"/>
    <w:rsid w:val="00D31AD0"/>
    <w:rsid w:val="00D321ED"/>
    <w:rsid w:val="00D3234D"/>
    <w:rsid w:val="00D326FE"/>
    <w:rsid w:val="00D32D71"/>
    <w:rsid w:val="00D34578"/>
    <w:rsid w:val="00D375FE"/>
    <w:rsid w:val="00D42A7F"/>
    <w:rsid w:val="00D4348E"/>
    <w:rsid w:val="00D45BD0"/>
    <w:rsid w:val="00D46FF2"/>
    <w:rsid w:val="00D47E03"/>
    <w:rsid w:val="00D542B3"/>
    <w:rsid w:val="00D54DA9"/>
    <w:rsid w:val="00D557E9"/>
    <w:rsid w:val="00D55E6C"/>
    <w:rsid w:val="00D56550"/>
    <w:rsid w:val="00D636BB"/>
    <w:rsid w:val="00D6644D"/>
    <w:rsid w:val="00D71372"/>
    <w:rsid w:val="00D7225B"/>
    <w:rsid w:val="00D731E1"/>
    <w:rsid w:val="00D7365B"/>
    <w:rsid w:val="00D74D5B"/>
    <w:rsid w:val="00D76078"/>
    <w:rsid w:val="00D827D0"/>
    <w:rsid w:val="00D846E8"/>
    <w:rsid w:val="00D860A7"/>
    <w:rsid w:val="00D874AF"/>
    <w:rsid w:val="00D90B50"/>
    <w:rsid w:val="00D96AFC"/>
    <w:rsid w:val="00D96B68"/>
    <w:rsid w:val="00DA04CA"/>
    <w:rsid w:val="00DA1FA0"/>
    <w:rsid w:val="00DA2AC2"/>
    <w:rsid w:val="00DA3D4B"/>
    <w:rsid w:val="00DA5796"/>
    <w:rsid w:val="00DB0D61"/>
    <w:rsid w:val="00DB204B"/>
    <w:rsid w:val="00DB3CF6"/>
    <w:rsid w:val="00DB4314"/>
    <w:rsid w:val="00DB4F96"/>
    <w:rsid w:val="00DB66B4"/>
    <w:rsid w:val="00DC0EC3"/>
    <w:rsid w:val="00DD2930"/>
    <w:rsid w:val="00DD2C40"/>
    <w:rsid w:val="00DD6EE5"/>
    <w:rsid w:val="00DE3D48"/>
    <w:rsid w:val="00DE7031"/>
    <w:rsid w:val="00DE7168"/>
    <w:rsid w:val="00DF1DDB"/>
    <w:rsid w:val="00DF38C0"/>
    <w:rsid w:val="00DF3B37"/>
    <w:rsid w:val="00DF3DCD"/>
    <w:rsid w:val="00DF57C3"/>
    <w:rsid w:val="00DF65B0"/>
    <w:rsid w:val="00E01E62"/>
    <w:rsid w:val="00E04510"/>
    <w:rsid w:val="00E07309"/>
    <w:rsid w:val="00E17C2E"/>
    <w:rsid w:val="00E242B3"/>
    <w:rsid w:val="00E24F01"/>
    <w:rsid w:val="00E26586"/>
    <w:rsid w:val="00E31C7A"/>
    <w:rsid w:val="00E31FA5"/>
    <w:rsid w:val="00E33FC6"/>
    <w:rsid w:val="00E40D11"/>
    <w:rsid w:val="00E413C8"/>
    <w:rsid w:val="00E417FC"/>
    <w:rsid w:val="00E43D46"/>
    <w:rsid w:val="00E44864"/>
    <w:rsid w:val="00E4652C"/>
    <w:rsid w:val="00E504AD"/>
    <w:rsid w:val="00E509C8"/>
    <w:rsid w:val="00E6237B"/>
    <w:rsid w:val="00E64F43"/>
    <w:rsid w:val="00E658C5"/>
    <w:rsid w:val="00E65A8C"/>
    <w:rsid w:val="00E666F9"/>
    <w:rsid w:val="00E742E5"/>
    <w:rsid w:val="00E74DF2"/>
    <w:rsid w:val="00E76A4E"/>
    <w:rsid w:val="00E7713A"/>
    <w:rsid w:val="00E80290"/>
    <w:rsid w:val="00E81CE9"/>
    <w:rsid w:val="00E831BF"/>
    <w:rsid w:val="00E84853"/>
    <w:rsid w:val="00E87106"/>
    <w:rsid w:val="00E87412"/>
    <w:rsid w:val="00E90871"/>
    <w:rsid w:val="00E91299"/>
    <w:rsid w:val="00E92945"/>
    <w:rsid w:val="00E938D6"/>
    <w:rsid w:val="00EA2371"/>
    <w:rsid w:val="00EA2BD1"/>
    <w:rsid w:val="00EA4799"/>
    <w:rsid w:val="00EA5ED2"/>
    <w:rsid w:val="00EA6987"/>
    <w:rsid w:val="00EB02DD"/>
    <w:rsid w:val="00EB2117"/>
    <w:rsid w:val="00EB2C76"/>
    <w:rsid w:val="00EB693F"/>
    <w:rsid w:val="00EC0B51"/>
    <w:rsid w:val="00EC4431"/>
    <w:rsid w:val="00EC7C4A"/>
    <w:rsid w:val="00EC7E51"/>
    <w:rsid w:val="00ED275A"/>
    <w:rsid w:val="00ED5395"/>
    <w:rsid w:val="00ED76F5"/>
    <w:rsid w:val="00EE0540"/>
    <w:rsid w:val="00EE12C3"/>
    <w:rsid w:val="00EE1B39"/>
    <w:rsid w:val="00EE1BA0"/>
    <w:rsid w:val="00EE260C"/>
    <w:rsid w:val="00EE5C37"/>
    <w:rsid w:val="00EE63F4"/>
    <w:rsid w:val="00EF044B"/>
    <w:rsid w:val="00EF1369"/>
    <w:rsid w:val="00F00198"/>
    <w:rsid w:val="00F0082C"/>
    <w:rsid w:val="00F03C38"/>
    <w:rsid w:val="00F0482F"/>
    <w:rsid w:val="00F06807"/>
    <w:rsid w:val="00F0689A"/>
    <w:rsid w:val="00F1233C"/>
    <w:rsid w:val="00F13128"/>
    <w:rsid w:val="00F1312E"/>
    <w:rsid w:val="00F13A0F"/>
    <w:rsid w:val="00F1532E"/>
    <w:rsid w:val="00F157ED"/>
    <w:rsid w:val="00F17B18"/>
    <w:rsid w:val="00F17B2C"/>
    <w:rsid w:val="00F17C41"/>
    <w:rsid w:val="00F202C2"/>
    <w:rsid w:val="00F20CA5"/>
    <w:rsid w:val="00F20E8B"/>
    <w:rsid w:val="00F23B59"/>
    <w:rsid w:val="00F2533D"/>
    <w:rsid w:val="00F2648B"/>
    <w:rsid w:val="00F31774"/>
    <w:rsid w:val="00F3448E"/>
    <w:rsid w:val="00F349A3"/>
    <w:rsid w:val="00F358E8"/>
    <w:rsid w:val="00F37B1D"/>
    <w:rsid w:val="00F41F87"/>
    <w:rsid w:val="00F44352"/>
    <w:rsid w:val="00F46310"/>
    <w:rsid w:val="00F46812"/>
    <w:rsid w:val="00F50133"/>
    <w:rsid w:val="00F501DD"/>
    <w:rsid w:val="00F50ED2"/>
    <w:rsid w:val="00F5171C"/>
    <w:rsid w:val="00F526B2"/>
    <w:rsid w:val="00F52A8D"/>
    <w:rsid w:val="00F52ED5"/>
    <w:rsid w:val="00F5799F"/>
    <w:rsid w:val="00F62FD0"/>
    <w:rsid w:val="00F63167"/>
    <w:rsid w:val="00F63EC6"/>
    <w:rsid w:val="00F700C7"/>
    <w:rsid w:val="00F70E3B"/>
    <w:rsid w:val="00F767CD"/>
    <w:rsid w:val="00F820E7"/>
    <w:rsid w:val="00F8215E"/>
    <w:rsid w:val="00F845F1"/>
    <w:rsid w:val="00F8661C"/>
    <w:rsid w:val="00F87E7B"/>
    <w:rsid w:val="00F90806"/>
    <w:rsid w:val="00F916E7"/>
    <w:rsid w:val="00F933E9"/>
    <w:rsid w:val="00F93D3A"/>
    <w:rsid w:val="00F9471D"/>
    <w:rsid w:val="00F956CD"/>
    <w:rsid w:val="00F96520"/>
    <w:rsid w:val="00F96A53"/>
    <w:rsid w:val="00FA0019"/>
    <w:rsid w:val="00FA0A86"/>
    <w:rsid w:val="00FA13A5"/>
    <w:rsid w:val="00FA1A63"/>
    <w:rsid w:val="00FA1B50"/>
    <w:rsid w:val="00FA7001"/>
    <w:rsid w:val="00FB0ADF"/>
    <w:rsid w:val="00FB12CC"/>
    <w:rsid w:val="00FB2F3F"/>
    <w:rsid w:val="00FB3302"/>
    <w:rsid w:val="00FB4450"/>
    <w:rsid w:val="00FB5C74"/>
    <w:rsid w:val="00FB74E7"/>
    <w:rsid w:val="00FC71BA"/>
    <w:rsid w:val="00FD131B"/>
    <w:rsid w:val="00FD2065"/>
    <w:rsid w:val="00FD2900"/>
    <w:rsid w:val="00FD351E"/>
    <w:rsid w:val="00FD7FB0"/>
    <w:rsid w:val="00FE093D"/>
    <w:rsid w:val="00FE2C80"/>
    <w:rsid w:val="00FE2D00"/>
    <w:rsid w:val="00FE6B51"/>
    <w:rsid w:val="00FE6E79"/>
    <w:rsid w:val="00FF1511"/>
    <w:rsid w:val="00FF32FC"/>
    <w:rsid w:val="00FF38AC"/>
    <w:rsid w:val="00FF3D06"/>
    <w:rsid w:val="00FF7BFB"/>
    <w:rsid w:val="010E3934"/>
    <w:rsid w:val="010F6DCD"/>
    <w:rsid w:val="010F7F3F"/>
    <w:rsid w:val="0113454A"/>
    <w:rsid w:val="011D6260"/>
    <w:rsid w:val="012104EA"/>
    <w:rsid w:val="012339ED"/>
    <w:rsid w:val="01245DDC"/>
    <w:rsid w:val="012A7AF5"/>
    <w:rsid w:val="01341807"/>
    <w:rsid w:val="013630CB"/>
    <w:rsid w:val="013779B0"/>
    <w:rsid w:val="01390402"/>
    <w:rsid w:val="01454250"/>
    <w:rsid w:val="015E6884"/>
    <w:rsid w:val="016C0FA1"/>
    <w:rsid w:val="01770C0B"/>
    <w:rsid w:val="0179419D"/>
    <w:rsid w:val="017C4743"/>
    <w:rsid w:val="017E2971"/>
    <w:rsid w:val="017E2A82"/>
    <w:rsid w:val="017F221A"/>
    <w:rsid w:val="018C5CB8"/>
    <w:rsid w:val="0192621F"/>
    <w:rsid w:val="019B1886"/>
    <w:rsid w:val="019C17CD"/>
    <w:rsid w:val="019F1377"/>
    <w:rsid w:val="01A668EB"/>
    <w:rsid w:val="01A761C5"/>
    <w:rsid w:val="01A81CF3"/>
    <w:rsid w:val="01A958ED"/>
    <w:rsid w:val="01BD2958"/>
    <w:rsid w:val="01C34939"/>
    <w:rsid w:val="01C506B1"/>
    <w:rsid w:val="01CB087B"/>
    <w:rsid w:val="01CF7B5F"/>
    <w:rsid w:val="01D136A9"/>
    <w:rsid w:val="01D26E02"/>
    <w:rsid w:val="01D41539"/>
    <w:rsid w:val="01D548B4"/>
    <w:rsid w:val="01D54D98"/>
    <w:rsid w:val="01DC07BC"/>
    <w:rsid w:val="01F0403A"/>
    <w:rsid w:val="01F11015"/>
    <w:rsid w:val="01FA01CD"/>
    <w:rsid w:val="01FB09BE"/>
    <w:rsid w:val="02111211"/>
    <w:rsid w:val="0212648F"/>
    <w:rsid w:val="02203B3A"/>
    <w:rsid w:val="022A0D1C"/>
    <w:rsid w:val="022B0E5C"/>
    <w:rsid w:val="022C641E"/>
    <w:rsid w:val="023006A7"/>
    <w:rsid w:val="02337D01"/>
    <w:rsid w:val="02385090"/>
    <w:rsid w:val="0248052C"/>
    <w:rsid w:val="025657AD"/>
    <w:rsid w:val="025A5C68"/>
    <w:rsid w:val="025D2470"/>
    <w:rsid w:val="0272002F"/>
    <w:rsid w:val="02753F82"/>
    <w:rsid w:val="02785D2C"/>
    <w:rsid w:val="02871152"/>
    <w:rsid w:val="028908D9"/>
    <w:rsid w:val="029403CC"/>
    <w:rsid w:val="02985677"/>
    <w:rsid w:val="029D28A4"/>
    <w:rsid w:val="02A00385"/>
    <w:rsid w:val="02A40196"/>
    <w:rsid w:val="02A5104D"/>
    <w:rsid w:val="02A61AE1"/>
    <w:rsid w:val="02AF10E9"/>
    <w:rsid w:val="02B26125"/>
    <w:rsid w:val="02BC2F91"/>
    <w:rsid w:val="02BD239A"/>
    <w:rsid w:val="02CD5C0C"/>
    <w:rsid w:val="02D10325"/>
    <w:rsid w:val="02DB029E"/>
    <w:rsid w:val="02DF1744"/>
    <w:rsid w:val="02F474A0"/>
    <w:rsid w:val="02F93FC2"/>
    <w:rsid w:val="02F96864"/>
    <w:rsid w:val="02FA5D7F"/>
    <w:rsid w:val="02FD4578"/>
    <w:rsid w:val="02FE20CD"/>
    <w:rsid w:val="030D0562"/>
    <w:rsid w:val="031007AB"/>
    <w:rsid w:val="031B0CF6"/>
    <w:rsid w:val="031D00C3"/>
    <w:rsid w:val="03211E3F"/>
    <w:rsid w:val="03213D9A"/>
    <w:rsid w:val="03267D09"/>
    <w:rsid w:val="0328290A"/>
    <w:rsid w:val="032B053F"/>
    <w:rsid w:val="032B6341"/>
    <w:rsid w:val="03315995"/>
    <w:rsid w:val="0338607D"/>
    <w:rsid w:val="0351077F"/>
    <w:rsid w:val="03526200"/>
    <w:rsid w:val="03556A3B"/>
    <w:rsid w:val="03604B36"/>
    <w:rsid w:val="03622291"/>
    <w:rsid w:val="0368458E"/>
    <w:rsid w:val="036F7D2F"/>
    <w:rsid w:val="03844451"/>
    <w:rsid w:val="03844E12"/>
    <w:rsid w:val="038500F8"/>
    <w:rsid w:val="038765F1"/>
    <w:rsid w:val="038B6AF1"/>
    <w:rsid w:val="038D4A2D"/>
    <w:rsid w:val="038E36F8"/>
    <w:rsid w:val="03956033"/>
    <w:rsid w:val="03987F35"/>
    <w:rsid w:val="03A32AC2"/>
    <w:rsid w:val="03BB23AE"/>
    <w:rsid w:val="03C2759E"/>
    <w:rsid w:val="03C5653F"/>
    <w:rsid w:val="03C97144"/>
    <w:rsid w:val="03CF064F"/>
    <w:rsid w:val="03D755EC"/>
    <w:rsid w:val="03DB1069"/>
    <w:rsid w:val="03DD1CE2"/>
    <w:rsid w:val="03E14DCB"/>
    <w:rsid w:val="03E2379C"/>
    <w:rsid w:val="03E42B2C"/>
    <w:rsid w:val="03EA08A3"/>
    <w:rsid w:val="03EB2744"/>
    <w:rsid w:val="03EF1A15"/>
    <w:rsid w:val="03F04AFA"/>
    <w:rsid w:val="03F35D89"/>
    <w:rsid w:val="03F80AD8"/>
    <w:rsid w:val="03F85710"/>
    <w:rsid w:val="040C0819"/>
    <w:rsid w:val="040E7B36"/>
    <w:rsid w:val="041A2DDD"/>
    <w:rsid w:val="04240155"/>
    <w:rsid w:val="04243EB6"/>
    <w:rsid w:val="0429493F"/>
    <w:rsid w:val="043210F1"/>
    <w:rsid w:val="043A1855"/>
    <w:rsid w:val="043A3568"/>
    <w:rsid w:val="043B0108"/>
    <w:rsid w:val="04432C21"/>
    <w:rsid w:val="044363FB"/>
    <w:rsid w:val="04456850"/>
    <w:rsid w:val="0462452E"/>
    <w:rsid w:val="04642403"/>
    <w:rsid w:val="046A6CCD"/>
    <w:rsid w:val="046B19E4"/>
    <w:rsid w:val="046E7A6F"/>
    <w:rsid w:val="04702B56"/>
    <w:rsid w:val="048E6B22"/>
    <w:rsid w:val="04916F90"/>
    <w:rsid w:val="04970029"/>
    <w:rsid w:val="049D6720"/>
    <w:rsid w:val="04A3012C"/>
    <w:rsid w:val="04AB31F5"/>
    <w:rsid w:val="04AC10D0"/>
    <w:rsid w:val="04B34754"/>
    <w:rsid w:val="04B62533"/>
    <w:rsid w:val="04BC5192"/>
    <w:rsid w:val="04C44C81"/>
    <w:rsid w:val="04C66C1A"/>
    <w:rsid w:val="04C959CE"/>
    <w:rsid w:val="04CA48BF"/>
    <w:rsid w:val="04CB4231"/>
    <w:rsid w:val="04D063E0"/>
    <w:rsid w:val="04D3719B"/>
    <w:rsid w:val="04D45FEB"/>
    <w:rsid w:val="04DF0236"/>
    <w:rsid w:val="04EB6681"/>
    <w:rsid w:val="04EF5DCF"/>
    <w:rsid w:val="05096B07"/>
    <w:rsid w:val="05097AD0"/>
    <w:rsid w:val="050A6C0A"/>
    <w:rsid w:val="050B1C57"/>
    <w:rsid w:val="0510733D"/>
    <w:rsid w:val="051356AF"/>
    <w:rsid w:val="05164D65"/>
    <w:rsid w:val="05192FFB"/>
    <w:rsid w:val="051E6A56"/>
    <w:rsid w:val="051F62F0"/>
    <w:rsid w:val="0520562E"/>
    <w:rsid w:val="0527524C"/>
    <w:rsid w:val="052B5A0B"/>
    <w:rsid w:val="05344142"/>
    <w:rsid w:val="05382B9E"/>
    <w:rsid w:val="053F27C6"/>
    <w:rsid w:val="053F69CD"/>
    <w:rsid w:val="05462813"/>
    <w:rsid w:val="054F5218"/>
    <w:rsid w:val="0563343C"/>
    <w:rsid w:val="05654966"/>
    <w:rsid w:val="0569336D"/>
    <w:rsid w:val="05696BF0"/>
    <w:rsid w:val="057666EE"/>
    <w:rsid w:val="05773556"/>
    <w:rsid w:val="05810D93"/>
    <w:rsid w:val="05872D82"/>
    <w:rsid w:val="058751C4"/>
    <w:rsid w:val="05882122"/>
    <w:rsid w:val="058B0F58"/>
    <w:rsid w:val="058D347C"/>
    <w:rsid w:val="05924D4E"/>
    <w:rsid w:val="05936AC0"/>
    <w:rsid w:val="05A131E3"/>
    <w:rsid w:val="05A36F5B"/>
    <w:rsid w:val="05AA0535"/>
    <w:rsid w:val="05AD48C9"/>
    <w:rsid w:val="05B76525"/>
    <w:rsid w:val="05B95358"/>
    <w:rsid w:val="05BA3B4E"/>
    <w:rsid w:val="05BE3D95"/>
    <w:rsid w:val="05C23F5D"/>
    <w:rsid w:val="05CD5D86"/>
    <w:rsid w:val="05D477B2"/>
    <w:rsid w:val="05E86709"/>
    <w:rsid w:val="05F67C50"/>
    <w:rsid w:val="05F72E03"/>
    <w:rsid w:val="05F81EA7"/>
    <w:rsid w:val="05FC7904"/>
    <w:rsid w:val="060A2051"/>
    <w:rsid w:val="060B6FA9"/>
    <w:rsid w:val="060F4360"/>
    <w:rsid w:val="06157AD8"/>
    <w:rsid w:val="061B1A58"/>
    <w:rsid w:val="061E65E2"/>
    <w:rsid w:val="0620235A"/>
    <w:rsid w:val="062C4179"/>
    <w:rsid w:val="062D43AF"/>
    <w:rsid w:val="062E2472"/>
    <w:rsid w:val="063D464A"/>
    <w:rsid w:val="06511AC7"/>
    <w:rsid w:val="0657780D"/>
    <w:rsid w:val="06606BFB"/>
    <w:rsid w:val="066316B2"/>
    <w:rsid w:val="0666580E"/>
    <w:rsid w:val="066F676C"/>
    <w:rsid w:val="067B3A34"/>
    <w:rsid w:val="067D2A36"/>
    <w:rsid w:val="0680186E"/>
    <w:rsid w:val="06911ED5"/>
    <w:rsid w:val="069873E3"/>
    <w:rsid w:val="069A210C"/>
    <w:rsid w:val="06A32425"/>
    <w:rsid w:val="06A628D7"/>
    <w:rsid w:val="06B61737"/>
    <w:rsid w:val="06B74313"/>
    <w:rsid w:val="06B82BF1"/>
    <w:rsid w:val="06BA630B"/>
    <w:rsid w:val="06BE399A"/>
    <w:rsid w:val="06C158EB"/>
    <w:rsid w:val="06C56E1F"/>
    <w:rsid w:val="06C74ECC"/>
    <w:rsid w:val="06D97F09"/>
    <w:rsid w:val="06E55ABD"/>
    <w:rsid w:val="06F4329F"/>
    <w:rsid w:val="07035CA5"/>
    <w:rsid w:val="070C61D7"/>
    <w:rsid w:val="07312958"/>
    <w:rsid w:val="073562D9"/>
    <w:rsid w:val="073804C1"/>
    <w:rsid w:val="073857C6"/>
    <w:rsid w:val="073A01C8"/>
    <w:rsid w:val="073A38EF"/>
    <w:rsid w:val="07413B34"/>
    <w:rsid w:val="074778FA"/>
    <w:rsid w:val="074E4E7E"/>
    <w:rsid w:val="074F739B"/>
    <w:rsid w:val="07537BDF"/>
    <w:rsid w:val="07541C4C"/>
    <w:rsid w:val="07544BD4"/>
    <w:rsid w:val="075873F6"/>
    <w:rsid w:val="07613C11"/>
    <w:rsid w:val="076B2515"/>
    <w:rsid w:val="07700D1A"/>
    <w:rsid w:val="07727F9D"/>
    <w:rsid w:val="07743731"/>
    <w:rsid w:val="0782145E"/>
    <w:rsid w:val="07872242"/>
    <w:rsid w:val="078D77EF"/>
    <w:rsid w:val="07960AD9"/>
    <w:rsid w:val="079A5410"/>
    <w:rsid w:val="079E3E7E"/>
    <w:rsid w:val="07A743CE"/>
    <w:rsid w:val="07AC7DAE"/>
    <w:rsid w:val="07B57EB1"/>
    <w:rsid w:val="07BA4A59"/>
    <w:rsid w:val="07BB42CC"/>
    <w:rsid w:val="07D33702"/>
    <w:rsid w:val="07D64953"/>
    <w:rsid w:val="07D6751E"/>
    <w:rsid w:val="07D70FAB"/>
    <w:rsid w:val="07DB0C2F"/>
    <w:rsid w:val="07DC0503"/>
    <w:rsid w:val="07DC6755"/>
    <w:rsid w:val="07E75A48"/>
    <w:rsid w:val="07E775D3"/>
    <w:rsid w:val="07F01A92"/>
    <w:rsid w:val="07F13153"/>
    <w:rsid w:val="07F5015C"/>
    <w:rsid w:val="07F901A3"/>
    <w:rsid w:val="07FB6BDB"/>
    <w:rsid w:val="08002443"/>
    <w:rsid w:val="0803635D"/>
    <w:rsid w:val="080A5070"/>
    <w:rsid w:val="080E3A81"/>
    <w:rsid w:val="08116507"/>
    <w:rsid w:val="08187F7C"/>
    <w:rsid w:val="081D49B9"/>
    <w:rsid w:val="08251EAA"/>
    <w:rsid w:val="08286317"/>
    <w:rsid w:val="082C76F8"/>
    <w:rsid w:val="08315D7E"/>
    <w:rsid w:val="08335AB5"/>
    <w:rsid w:val="0834033F"/>
    <w:rsid w:val="08344D8C"/>
    <w:rsid w:val="083A4F48"/>
    <w:rsid w:val="084C5688"/>
    <w:rsid w:val="085056E6"/>
    <w:rsid w:val="085207C5"/>
    <w:rsid w:val="08585E33"/>
    <w:rsid w:val="085B223E"/>
    <w:rsid w:val="085B34CE"/>
    <w:rsid w:val="085E53BC"/>
    <w:rsid w:val="086209E4"/>
    <w:rsid w:val="0863015D"/>
    <w:rsid w:val="08631C80"/>
    <w:rsid w:val="08674270"/>
    <w:rsid w:val="08732C15"/>
    <w:rsid w:val="0875198E"/>
    <w:rsid w:val="087879A4"/>
    <w:rsid w:val="087A7A37"/>
    <w:rsid w:val="087D3A94"/>
    <w:rsid w:val="087F5A5E"/>
    <w:rsid w:val="088246CD"/>
    <w:rsid w:val="08824EE7"/>
    <w:rsid w:val="088458B2"/>
    <w:rsid w:val="08850B9A"/>
    <w:rsid w:val="088C5193"/>
    <w:rsid w:val="088D1D15"/>
    <w:rsid w:val="088E1943"/>
    <w:rsid w:val="088F6118"/>
    <w:rsid w:val="0894259F"/>
    <w:rsid w:val="08961326"/>
    <w:rsid w:val="08971DC4"/>
    <w:rsid w:val="089839BA"/>
    <w:rsid w:val="08A615C0"/>
    <w:rsid w:val="08A6311E"/>
    <w:rsid w:val="08A814EB"/>
    <w:rsid w:val="08B6450A"/>
    <w:rsid w:val="08B704E5"/>
    <w:rsid w:val="08C547EB"/>
    <w:rsid w:val="08C6543B"/>
    <w:rsid w:val="08CD0180"/>
    <w:rsid w:val="08D613F6"/>
    <w:rsid w:val="08D77758"/>
    <w:rsid w:val="08DC1E32"/>
    <w:rsid w:val="08EB4EA1"/>
    <w:rsid w:val="08F63846"/>
    <w:rsid w:val="08F85B47"/>
    <w:rsid w:val="08FC6F0E"/>
    <w:rsid w:val="091C14FF"/>
    <w:rsid w:val="091C3CF3"/>
    <w:rsid w:val="091F4B4B"/>
    <w:rsid w:val="092630E1"/>
    <w:rsid w:val="09263232"/>
    <w:rsid w:val="09275279"/>
    <w:rsid w:val="09297259"/>
    <w:rsid w:val="092A3D98"/>
    <w:rsid w:val="09415207"/>
    <w:rsid w:val="094C4BE7"/>
    <w:rsid w:val="094D790A"/>
    <w:rsid w:val="09525B61"/>
    <w:rsid w:val="095347F5"/>
    <w:rsid w:val="095A6680"/>
    <w:rsid w:val="095C5D9F"/>
    <w:rsid w:val="095D5673"/>
    <w:rsid w:val="096402D3"/>
    <w:rsid w:val="09701252"/>
    <w:rsid w:val="09734E97"/>
    <w:rsid w:val="097645C6"/>
    <w:rsid w:val="097751E1"/>
    <w:rsid w:val="097C7051"/>
    <w:rsid w:val="097D0A60"/>
    <w:rsid w:val="09811362"/>
    <w:rsid w:val="098553AB"/>
    <w:rsid w:val="09860C2E"/>
    <w:rsid w:val="098943DF"/>
    <w:rsid w:val="098B0432"/>
    <w:rsid w:val="09902DEC"/>
    <w:rsid w:val="0992356F"/>
    <w:rsid w:val="09952317"/>
    <w:rsid w:val="099A1942"/>
    <w:rsid w:val="099C263F"/>
    <w:rsid w:val="099F7A3A"/>
    <w:rsid w:val="09A017D8"/>
    <w:rsid w:val="09A27898"/>
    <w:rsid w:val="09A653F9"/>
    <w:rsid w:val="09AD448B"/>
    <w:rsid w:val="09AF3FF1"/>
    <w:rsid w:val="09B073B0"/>
    <w:rsid w:val="09B50431"/>
    <w:rsid w:val="09B554AF"/>
    <w:rsid w:val="09BC52EE"/>
    <w:rsid w:val="09C6146A"/>
    <w:rsid w:val="09DB051F"/>
    <w:rsid w:val="09E0077E"/>
    <w:rsid w:val="09E11F77"/>
    <w:rsid w:val="09F07868"/>
    <w:rsid w:val="09F8769A"/>
    <w:rsid w:val="09FA7742"/>
    <w:rsid w:val="09FB54F6"/>
    <w:rsid w:val="09FC40F0"/>
    <w:rsid w:val="0A062A93"/>
    <w:rsid w:val="0A0A30D1"/>
    <w:rsid w:val="0A1026E6"/>
    <w:rsid w:val="0A154666"/>
    <w:rsid w:val="0A165A79"/>
    <w:rsid w:val="0A1B3564"/>
    <w:rsid w:val="0A1D15DD"/>
    <w:rsid w:val="0A215A95"/>
    <w:rsid w:val="0A2855DD"/>
    <w:rsid w:val="0A2F0DBE"/>
    <w:rsid w:val="0A34424A"/>
    <w:rsid w:val="0A356EC2"/>
    <w:rsid w:val="0A382368"/>
    <w:rsid w:val="0A390C74"/>
    <w:rsid w:val="0A3F6C9F"/>
    <w:rsid w:val="0A466E25"/>
    <w:rsid w:val="0A4D32FF"/>
    <w:rsid w:val="0A5B1BB3"/>
    <w:rsid w:val="0A5B53E2"/>
    <w:rsid w:val="0A5D3B7D"/>
    <w:rsid w:val="0A6063AF"/>
    <w:rsid w:val="0A634F0B"/>
    <w:rsid w:val="0A670558"/>
    <w:rsid w:val="0A7C3B61"/>
    <w:rsid w:val="0A7D7D7B"/>
    <w:rsid w:val="0A813113"/>
    <w:rsid w:val="0A8C30EA"/>
    <w:rsid w:val="0A904C56"/>
    <w:rsid w:val="0A937AE7"/>
    <w:rsid w:val="0A94336A"/>
    <w:rsid w:val="0A95202C"/>
    <w:rsid w:val="0A9642EF"/>
    <w:rsid w:val="0A9A7C97"/>
    <w:rsid w:val="0A9B28F7"/>
    <w:rsid w:val="0A9C61F8"/>
    <w:rsid w:val="0AB0292F"/>
    <w:rsid w:val="0AB17A25"/>
    <w:rsid w:val="0AB76F82"/>
    <w:rsid w:val="0AC06603"/>
    <w:rsid w:val="0AC27E20"/>
    <w:rsid w:val="0AC27FD5"/>
    <w:rsid w:val="0ACA5A42"/>
    <w:rsid w:val="0ACF3C35"/>
    <w:rsid w:val="0AD15708"/>
    <w:rsid w:val="0AD55A71"/>
    <w:rsid w:val="0ADC29A3"/>
    <w:rsid w:val="0ADE3BB0"/>
    <w:rsid w:val="0ADF27E4"/>
    <w:rsid w:val="0AE020D6"/>
    <w:rsid w:val="0AE14BBD"/>
    <w:rsid w:val="0AE37DDF"/>
    <w:rsid w:val="0AE513B5"/>
    <w:rsid w:val="0AE83634"/>
    <w:rsid w:val="0AEB09B7"/>
    <w:rsid w:val="0AEC0884"/>
    <w:rsid w:val="0AED3231"/>
    <w:rsid w:val="0AEF5AB6"/>
    <w:rsid w:val="0AEF5CC1"/>
    <w:rsid w:val="0AF344E1"/>
    <w:rsid w:val="0AFE1637"/>
    <w:rsid w:val="0B0E4E77"/>
    <w:rsid w:val="0B125344"/>
    <w:rsid w:val="0B2C3CBE"/>
    <w:rsid w:val="0B2D79F3"/>
    <w:rsid w:val="0B3118B4"/>
    <w:rsid w:val="0B322557"/>
    <w:rsid w:val="0B37213B"/>
    <w:rsid w:val="0B404629"/>
    <w:rsid w:val="0B45790A"/>
    <w:rsid w:val="0B505490"/>
    <w:rsid w:val="0B532373"/>
    <w:rsid w:val="0B5D7BAD"/>
    <w:rsid w:val="0B5F56D3"/>
    <w:rsid w:val="0B600AC1"/>
    <w:rsid w:val="0B6158EF"/>
    <w:rsid w:val="0B6215DB"/>
    <w:rsid w:val="0B6B1D48"/>
    <w:rsid w:val="0B6B6AC2"/>
    <w:rsid w:val="0B6E6550"/>
    <w:rsid w:val="0B714E70"/>
    <w:rsid w:val="0B727A06"/>
    <w:rsid w:val="0B752DD1"/>
    <w:rsid w:val="0B792C38"/>
    <w:rsid w:val="0B7E6194"/>
    <w:rsid w:val="0B856175"/>
    <w:rsid w:val="0B882E7B"/>
    <w:rsid w:val="0B8C1969"/>
    <w:rsid w:val="0B950315"/>
    <w:rsid w:val="0B955598"/>
    <w:rsid w:val="0B983326"/>
    <w:rsid w:val="0B9F4B24"/>
    <w:rsid w:val="0BA407BD"/>
    <w:rsid w:val="0BA47589"/>
    <w:rsid w:val="0BA62C3C"/>
    <w:rsid w:val="0BB21CA6"/>
    <w:rsid w:val="0BB43C70"/>
    <w:rsid w:val="0BB538AF"/>
    <w:rsid w:val="0BC155E3"/>
    <w:rsid w:val="0BC23D3D"/>
    <w:rsid w:val="0BC47864"/>
    <w:rsid w:val="0BC96FF0"/>
    <w:rsid w:val="0BCA3494"/>
    <w:rsid w:val="0BCD55D4"/>
    <w:rsid w:val="0BD1506D"/>
    <w:rsid w:val="0BD47E6F"/>
    <w:rsid w:val="0BD51943"/>
    <w:rsid w:val="0BDE6F44"/>
    <w:rsid w:val="0BE43E2A"/>
    <w:rsid w:val="0BEB474C"/>
    <w:rsid w:val="0BF1299E"/>
    <w:rsid w:val="0BF51ABF"/>
    <w:rsid w:val="0BF90E1F"/>
    <w:rsid w:val="0BF95B27"/>
    <w:rsid w:val="0BFB31F1"/>
    <w:rsid w:val="0BFC02A2"/>
    <w:rsid w:val="0BFD70B9"/>
    <w:rsid w:val="0BFE4EEC"/>
    <w:rsid w:val="0C005ABF"/>
    <w:rsid w:val="0C083FBC"/>
    <w:rsid w:val="0C087B18"/>
    <w:rsid w:val="0C0D528F"/>
    <w:rsid w:val="0C0E3BAF"/>
    <w:rsid w:val="0C21578B"/>
    <w:rsid w:val="0C245DDA"/>
    <w:rsid w:val="0C253ECF"/>
    <w:rsid w:val="0C2C7C08"/>
    <w:rsid w:val="0C2F0660"/>
    <w:rsid w:val="0C373EC7"/>
    <w:rsid w:val="0C39369B"/>
    <w:rsid w:val="0C3A5F42"/>
    <w:rsid w:val="0C3C5A14"/>
    <w:rsid w:val="0C454E33"/>
    <w:rsid w:val="0C463EB3"/>
    <w:rsid w:val="0C4D21E3"/>
    <w:rsid w:val="0C564B9B"/>
    <w:rsid w:val="0C5A1B9F"/>
    <w:rsid w:val="0C5A226F"/>
    <w:rsid w:val="0C635F19"/>
    <w:rsid w:val="0C6E24B6"/>
    <w:rsid w:val="0C760424"/>
    <w:rsid w:val="0C790A16"/>
    <w:rsid w:val="0C8616F9"/>
    <w:rsid w:val="0C923886"/>
    <w:rsid w:val="0C994C14"/>
    <w:rsid w:val="0C9C64B3"/>
    <w:rsid w:val="0CA12EF1"/>
    <w:rsid w:val="0CA535B9"/>
    <w:rsid w:val="0CB16402"/>
    <w:rsid w:val="0CB6550A"/>
    <w:rsid w:val="0CB8153E"/>
    <w:rsid w:val="0CBD16F5"/>
    <w:rsid w:val="0CCB001F"/>
    <w:rsid w:val="0CCF21BE"/>
    <w:rsid w:val="0CDF76AC"/>
    <w:rsid w:val="0CEB2A8C"/>
    <w:rsid w:val="0CF031C9"/>
    <w:rsid w:val="0CF12B59"/>
    <w:rsid w:val="0CF720C3"/>
    <w:rsid w:val="0CFA5CD7"/>
    <w:rsid w:val="0D072DEE"/>
    <w:rsid w:val="0D077DD0"/>
    <w:rsid w:val="0D096CBC"/>
    <w:rsid w:val="0D0C188A"/>
    <w:rsid w:val="0D1349C7"/>
    <w:rsid w:val="0D1F15BD"/>
    <w:rsid w:val="0D2D1616"/>
    <w:rsid w:val="0D320981"/>
    <w:rsid w:val="0D363F3D"/>
    <w:rsid w:val="0D3D7AFE"/>
    <w:rsid w:val="0D411AEE"/>
    <w:rsid w:val="0D4474A9"/>
    <w:rsid w:val="0D5E3DDF"/>
    <w:rsid w:val="0D5F4FC8"/>
    <w:rsid w:val="0D650A0F"/>
    <w:rsid w:val="0D654D56"/>
    <w:rsid w:val="0D7116ED"/>
    <w:rsid w:val="0D711EFB"/>
    <w:rsid w:val="0D7D2E14"/>
    <w:rsid w:val="0D83015D"/>
    <w:rsid w:val="0D866D86"/>
    <w:rsid w:val="0D902064"/>
    <w:rsid w:val="0D904269"/>
    <w:rsid w:val="0D924314"/>
    <w:rsid w:val="0D9712BC"/>
    <w:rsid w:val="0D98311E"/>
    <w:rsid w:val="0D9848DC"/>
    <w:rsid w:val="0D9934D4"/>
    <w:rsid w:val="0D9D18AE"/>
    <w:rsid w:val="0D9E2EB7"/>
    <w:rsid w:val="0DA41FB1"/>
    <w:rsid w:val="0DA53BF1"/>
    <w:rsid w:val="0DAD7027"/>
    <w:rsid w:val="0DB31D06"/>
    <w:rsid w:val="0DBC069B"/>
    <w:rsid w:val="0DC343D2"/>
    <w:rsid w:val="0DC60991"/>
    <w:rsid w:val="0DC74A7B"/>
    <w:rsid w:val="0DCB50F9"/>
    <w:rsid w:val="0DD7425F"/>
    <w:rsid w:val="0DE3083D"/>
    <w:rsid w:val="0DE95727"/>
    <w:rsid w:val="0DF52076"/>
    <w:rsid w:val="0DF85D40"/>
    <w:rsid w:val="0DF90060"/>
    <w:rsid w:val="0E032C8D"/>
    <w:rsid w:val="0E095E94"/>
    <w:rsid w:val="0E0A401C"/>
    <w:rsid w:val="0E134674"/>
    <w:rsid w:val="0E192820"/>
    <w:rsid w:val="0E197DBB"/>
    <w:rsid w:val="0E1E7AC7"/>
    <w:rsid w:val="0E214D18"/>
    <w:rsid w:val="0E234A50"/>
    <w:rsid w:val="0E2A204E"/>
    <w:rsid w:val="0E302D01"/>
    <w:rsid w:val="0E317059"/>
    <w:rsid w:val="0E464928"/>
    <w:rsid w:val="0E482AE0"/>
    <w:rsid w:val="0E493E38"/>
    <w:rsid w:val="0E4B47AE"/>
    <w:rsid w:val="0E5429BA"/>
    <w:rsid w:val="0E5805C3"/>
    <w:rsid w:val="0E581497"/>
    <w:rsid w:val="0E5977F5"/>
    <w:rsid w:val="0E664FCA"/>
    <w:rsid w:val="0E6B376F"/>
    <w:rsid w:val="0E766AA0"/>
    <w:rsid w:val="0E79524F"/>
    <w:rsid w:val="0E7F1E09"/>
    <w:rsid w:val="0E815652"/>
    <w:rsid w:val="0E820056"/>
    <w:rsid w:val="0E8B7EEE"/>
    <w:rsid w:val="0E8C0E9F"/>
    <w:rsid w:val="0E8D4702"/>
    <w:rsid w:val="0E960DA4"/>
    <w:rsid w:val="0E973518"/>
    <w:rsid w:val="0E9870C6"/>
    <w:rsid w:val="0E99714E"/>
    <w:rsid w:val="0EB63A2E"/>
    <w:rsid w:val="0EB75826"/>
    <w:rsid w:val="0EBD3F26"/>
    <w:rsid w:val="0ECB0381"/>
    <w:rsid w:val="0ED25C7C"/>
    <w:rsid w:val="0EDF39F1"/>
    <w:rsid w:val="0EE268CA"/>
    <w:rsid w:val="0EE27928"/>
    <w:rsid w:val="0EE7194D"/>
    <w:rsid w:val="0EEA5CA3"/>
    <w:rsid w:val="0EED21C5"/>
    <w:rsid w:val="0F0740B7"/>
    <w:rsid w:val="0F0A6D3C"/>
    <w:rsid w:val="0F0C33BF"/>
    <w:rsid w:val="0F1007E9"/>
    <w:rsid w:val="0F184516"/>
    <w:rsid w:val="0F2033CB"/>
    <w:rsid w:val="0F2130DE"/>
    <w:rsid w:val="0F263A31"/>
    <w:rsid w:val="0F310732"/>
    <w:rsid w:val="0F446A6B"/>
    <w:rsid w:val="0F4C1F84"/>
    <w:rsid w:val="0F5817DA"/>
    <w:rsid w:val="0F5A68DD"/>
    <w:rsid w:val="0F64775C"/>
    <w:rsid w:val="0F6B5687"/>
    <w:rsid w:val="0F720EE8"/>
    <w:rsid w:val="0F772D10"/>
    <w:rsid w:val="0F7F21A3"/>
    <w:rsid w:val="0F957915"/>
    <w:rsid w:val="0FA20284"/>
    <w:rsid w:val="0FB14243"/>
    <w:rsid w:val="0FB26719"/>
    <w:rsid w:val="0FB35805"/>
    <w:rsid w:val="0FBC757A"/>
    <w:rsid w:val="0FBF14C9"/>
    <w:rsid w:val="0FC11586"/>
    <w:rsid w:val="0FC82653"/>
    <w:rsid w:val="0FDD0C49"/>
    <w:rsid w:val="0FDF5034"/>
    <w:rsid w:val="0FE33B68"/>
    <w:rsid w:val="0FE632D9"/>
    <w:rsid w:val="0FEA03AC"/>
    <w:rsid w:val="0FF149DF"/>
    <w:rsid w:val="0FF43C9C"/>
    <w:rsid w:val="10093D90"/>
    <w:rsid w:val="100A4084"/>
    <w:rsid w:val="10190C31"/>
    <w:rsid w:val="10267A24"/>
    <w:rsid w:val="102A1392"/>
    <w:rsid w:val="102F1353"/>
    <w:rsid w:val="10341683"/>
    <w:rsid w:val="103B1CEF"/>
    <w:rsid w:val="104018F0"/>
    <w:rsid w:val="10406B35"/>
    <w:rsid w:val="10442109"/>
    <w:rsid w:val="104B5424"/>
    <w:rsid w:val="104D63B0"/>
    <w:rsid w:val="104D66BD"/>
    <w:rsid w:val="10540D81"/>
    <w:rsid w:val="105E1985"/>
    <w:rsid w:val="107D7D81"/>
    <w:rsid w:val="108701D7"/>
    <w:rsid w:val="10882803"/>
    <w:rsid w:val="108C6F6A"/>
    <w:rsid w:val="10912641"/>
    <w:rsid w:val="10915F18"/>
    <w:rsid w:val="10952E26"/>
    <w:rsid w:val="109E2C9A"/>
    <w:rsid w:val="109E4EEF"/>
    <w:rsid w:val="109F789F"/>
    <w:rsid w:val="10A11A07"/>
    <w:rsid w:val="10A15B58"/>
    <w:rsid w:val="10A34519"/>
    <w:rsid w:val="10A54E6C"/>
    <w:rsid w:val="10A83678"/>
    <w:rsid w:val="10B91AD6"/>
    <w:rsid w:val="10B93C0C"/>
    <w:rsid w:val="10BA3BA4"/>
    <w:rsid w:val="10BC5375"/>
    <w:rsid w:val="10BE217D"/>
    <w:rsid w:val="10C546F0"/>
    <w:rsid w:val="10CD346F"/>
    <w:rsid w:val="10D1490E"/>
    <w:rsid w:val="10E66141"/>
    <w:rsid w:val="10EC310F"/>
    <w:rsid w:val="10EF2B42"/>
    <w:rsid w:val="10FB1613"/>
    <w:rsid w:val="10FB5E9E"/>
    <w:rsid w:val="10FC6D8B"/>
    <w:rsid w:val="11072A94"/>
    <w:rsid w:val="110C04BE"/>
    <w:rsid w:val="11115108"/>
    <w:rsid w:val="111E2F24"/>
    <w:rsid w:val="112459A8"/>
    <w:rsid w:val="11286567"/>
    <w:rsid w:val="11290C5D"/>
    <w:rsid w:val="112A22DF"/>
    <w:rsid w:val="112B4874"/>
    <w:rsid w:val="112E3E98"/>
    <w:rsid w:val="1131366D"/>
    <w:rsid w:val="11321BC4"/>
    <w:rsid w:val="113B273E"/>
    <w:rsid w:val="113C6D3D"/>
    <w:rsid w:val="113D0264"/>
    <w:rsid w:val="115130F1"/>
    <w:rsid w:val="115E5F0B"/>
    <w:rsid w:val="115F2023"/>
    <w:rsid w:val="115F44C0"/>
    <w:rsid w:val="115F467E"/>
    <w:rsid w:val="11654990"/>
    <w:rsid w:val="11661D5F"/>
    <w:rsid w:val="11666B9B"/>
    <w:rsid w:val="11671785"/>
    <w:rsid w:val="11683875"/>
    <w:rsid w:val="11762382"/>
    <w:rsid w:val="119F605A"/>
    <w:rsid w:val="11A31EC2"/>
    <w:rsid w:val="11A46680"/>
    <w:rsid w:val="11AF44AC"/>
    <w:rsid w:val="11C41133"/>
    <w:rsid w:val="11C47425"/>
    <w:rsid w:val="11C51083"/>
    <w:rsid w:val="11CD1BD5"/>
    <w:rsid w:val="11CD300A"/>
    <w:rsid w:val="11D174D7"/>
    <w:rsid w:val="11D973D2"/>
    <w:rsid w:val="11E565DF"/>
    <w:rsid w:val="11EF65C7"/>
    <w:rsid w:val="11F016EB"/>
    <w:rsid w:val="11F67383"/>
    <w:rsid w:val="11FB2FCF"/>
    <w:rsid w:val="12047C63"/>
    <w:rsid w:val="12062D4C"/>
    <w:rsid w:val="12097BD4"/>
    <w:rsid w:val="120D5E88"/>
    <w:rsid w:val="121B093B"/>
    <w:rsid w:val="12267AD6"/>
    <w:rsid w:val="122D2087"/>
    <w:rsid w:val="1235718D"/>
    <w:rsid w:val="123C49C0"/>
    <w:rsid w:val="124537CD"/>
    <w:rsid w:val="124D3E1F"/>
    <w:rsid w:val="12575176"/>
    <w:rsid w:val="12696E37"/>
    <w:rsid w:val="126B2BC5"/>
    <w:rsid w:val="126D1954"/>
    <w:rsid w:val="126F7EA4"/>
    <w:rsid w:val="12754739"/>
    <w:rsid w:val="1279565D"/>
    <w:rsid w:val="12795FF5"/>
    <w:rsid w:val="128F714D"/>
    <w:rsid w:val="129C19BE"/>
    <w:rsid w:val="12A85843"/>
    <w:rsid w:val="12AC4F85"/>
    <w:rsid w:val="12AD1419"/>
    <w:rsid w:val="12AF5421"/>
    <w:rsid w:val="12B16D01"/>
    <w:rsid w:val="12B66520"/>
    <w:rsid w:val="12B7564A"/>
    <w:rsid w:val="12C30C3D"/>
    <w:rsid w:val="12C30F58"/>
    <w:rsid w:val="12CF1390"/>
    <w:rsid w:val="12D5396D"/>
    <w:rsid w:val="12E3308D"/>
    <w:rsid w:val="12E54EC4"/>
    <w:rsid w:val="12EE1697"/>
    <w:rsid w:val="12F42BA4"/>
    <w:rsid w:val="12F42EFC"/>
    <w:rsid w:val="12F65DD1"/>
    <w:rsid w:val="12F9379A"/>
    <w:rsid w:val="12FE755B"/>
    <w:rsid w:val="1300779B"/>
    <w:rsid w:val="130364B7"/>
    <w:rsid w:val="13083208"/>
    <w:rsid w:val="130B063D"/>
    <w:rsid w:val="131047C5"/>
    <w:rsid w:val="13113756"/>
    <w:rsid w:val="13160A9B"/>
    <w:rsid w:val="13180760"/>
    <w:rsid w:val="1319085D"/>
    <w:rsid w:val="131A7605"/>
    <w:rsid w:val="131D02CE"/>
    <w:rsid w:val="131F3760"/>
    <w:rsid w:val="1326008D"/>
    <w:rsid w:val="132F3C08"/>
    <w:rsid w:val="13314778"/>
    <w:rsid w:val="133F63CC"/>
    <w:rsid w:val="1342017C"/>
    <w:rsid w:val="13421B62"/>
    <w:rsid w:val="13426006"/>
    <w:rsid w:val="13465C7A"/>
    <w:rsid w:val="134C3473"/>
    <w:rsid w:val="13515A6A"/>
    <w:rsid w:val="13561AB1"/>
    <w:rsid w:val="1356298A"/>
    <w:rsid w:val="13564DC5"/>
    <w:rsid w:val="135875D7"/>
    <w:rsid w:val="136C7D88"/>
    <w:rsid w:val="136E12C6"/>
    <w:rsid w:val="136F49F2"/>
    <w:rsid w:val="13750189"/>
    <w:rsid w:val="137C641A"/>
    <w:rsid w:val="13864617"/>
    <w:rsid w:val="138709A6"/>
    <w:rsid w:val="13914897"/>
    <w:rsid w:val="139A7BF0"/>
    <w:rsid w:val="139B3662"/>
    <w:rsid w:val="139E25B3"/>
    <w:rsid w:val="13A15DD6"/>
    <w:rsid w:val="13AB612D"/>
    <w:rsid w:val="13AD0053"/>
    <w:rsid w:val="13AD1A16"/>
    <w:rsid w:val="13B642FE"/>
    <w:rsid w:val="13CF568D"/>
    <w:rsid w:val="13D07449"/>
    <w:rsid w:val="13E07D60"/>
    <w:rsid w:val="13E63CC6"/>
    <w:rsid w:val="13EA31B1"/>
    <w:rsid w:val="13EA46D2"/>
    <w:rsid w:val="13F84916"/>
    <w:rsid w:val="14013F61"/>
    <w:rsid w:val="140C6490"/>
    <w:rsid w:val="14101C60"/>
    <w:rsid w:val="141A230B"/>
    <w:rsid w:val="141E2CF7"/>
    <w:rsid w:val="142179C9"/>
    <w:rsid w:val="142257E9"/>
    <w:rsid w:val="14227ADF"/>
    <w:rsid w:val="14374EA6"/>
    <w:rsid w:val="143F42F3"/>
    <w:rsid w:val="145002AE"/>
    <w:rsid w:val="14546175"/>
    <w:rsid w:val="145A112D"/>
    <w:rsid w:val="145E685B"/>
    <w:rsid w:val="14641FAC"/>
    <w:rsid w:val="14681A9C"/>
    <w:rsid w:val="14681B4A"/>
    <w:rsid w:val="147815B3"/>
    <w:rsid w:val="147B69EE"/>
    <w:rsid w:val="14805E6D"/>
    <w:rsid w:val="148775B8"/>
    <w:rsid w:val="1497412F"/>
    <w:rsid w:val="14977C8B"/>
    <w:rsid w:val="14983A03"/>
    <w:rsid w:val="149B2648"/>
    <w:rsid w:val="14A0683B"/>
    <w:rsid w:val="14A11E37"/>
    <w:rsid w:val="14AF1479"/>
    <w:rsid w:val="14B64A01"/>
    <w:rsid w:val="14BD60C0"/>
    <w:rsid w:val="14BE790E"/>
    <w:rsid w:val="14C315A5"/>
    <w:rsid w:val="14C50C9C"/>
    <w:rsid w:val="14CB5B87"/>
    <w:rsid w:val="14D14829"/>
    <w:rsid w:val="14DB1FD4"/>
    <w:rsid w:val="14ED4E63"/>
    <w:rsid w:val="14F86E1C"/>
    <w:rsid w:val="14FB46BE"/>
    <w:rsid w:val="15057FB2"/>
    <w:rsid w:val="150C795D"/>
    <w:rsid w:val="150F3CC6"/>
    <w:rsid w:val="15104508"/>
    <w:rsid w:val="1511241E"/>
    <w:rsid w:val="151237B6"/>
    <w:rsid w:val="15170DCC"/>
    <w:rsid w:val="15190FE8"/>
    <w:rsid w:val="151A2797"/>
    <w:rsid w:val="15253159"/>
    <w:rsid w:val="15282FD9"/>
    <w:rsid w:val="152872A1"/>
    <w:rsid w:val="152D5C4C"/>
    <w:rsid w:val="15363948"/>
    <w:rsid w:val="153846F7"/>
    <w:rsid w:val="154A2F50"/>
    <w:rsid w:val="154F0CA1"/>
    <w:rsid w:val="155C11DB"/>
    <w:rsid w:val="155E0372"/>
    <w:rsid w:val="15681628"/>
    <w:rsid w:val="15714980"/>
    <w:rsid w:val="157469EC"/>
    <w:rsid w:val="157601E9"/>
    <w:rsid w:val="15927EE1"/>
    <w:rsid w:val="159468F5"/>
    <w:rsid w:val="159469BC"/>
    <w:rsid w:val="159B3B44"/>
    <w:rsid w:val="15A7745D"/>
    <w:rsid w:val="15A81A5D"/>
    <w:rsid w:val="15AD7A58"/>
    <w:rsid w:val="15B41404"/>
    <w:rsid w:val="15B7232D"/>
    <w:rsid w:val="15B7590B"/>
    <w:rsid w:val="15B957BA"/>
    <w:rsid w:val="15C01464"/>
    <w:rsid w:val="15C319C3"/>
    <w:rsid w:val="15C57C68"/>
    <w:rsid w:val="15D31C5D"/>
    <w:rsid w:val="15D54E27"/>
    <w:rsid w:val="15D717D5"/>
    <w:rsid w:val="15DB20C4"/>
    <w:rsid w:val="15DD2016"/>
    <w:rsid w:val="15DE4647"/>
    <w:rsid w:val="15E4769E"/>
    <w:rsid w:val="15E50ECA"/>
    <w:rsid w:val="15E60903"/>
    <w:rsid w:val="15F138B4"/>
    <w:rsid w:val="15F228BD"/>
    <w:rsid w:val="15FB3C01"/>
    <w:rsid w:val="15FF3D3A"/>
    <w:rsid w:val="160113A9"/>
    <w:rsid w:val="16056D1A"/>
    <w:rsid w:val="16126306"/>
    <w:rsid w:val="16195ADA"/>
    <w:rsid w:val="162520E7"/>
    <w:rsid w:val="162738E6"/>
    <w:rsid w:val="16284729"/>
    <w:rsid w:val="162F62DE"/>
    <w:rsid w:val="16302145"/>
    <w:rsid w:val="163065E9"/>
    <w:rsid w:val="163450C6"/>
    <w:rsid w:val="16353C00"/>
    <w:rsid w:val="163D0008"/>
    <w:rsid w:val="163D0D06"/>
    <w:rsid w:val="163D2AB4"/>
    <w:rsid w:val="164200CB"/>
    <w:rsid w:val="16442095"/>
    <w:rsid w:val="16460CD3"/>
    <w:rsid w:val="164830F5"/>
    <w:rsid w:val="164F7029"/>
    <w:rsid w:val="16591BE3"/>
    <w:rsid w:val="16695657"/>
    <w:rsid w:val="166D5C6A"/>
    <w:rsid w:val="166F5CD4"/>
    <w:rsid w:val="1674297A"/>
    <w:rsid w:val="16743362"/>
    <w:rsid w:val="16757794"/>
    <w:rsid w:val="167E7043"/>
    <w:rsid w:val="167F131F"/>
    <w:rsid w:val="16805045"/>
    <w:rsid w:val="16825CCF"/>
    <w:rsid w:val="168C45E3"/>
    <w:rsid w:val="168D0159"/>
    <w:rsid w:val="168D4B8D"/>
    <w:rsid w:val="169054FB"/>
    <w:rsid w:val="1695401D"/>
    <w:rsid w:val="169675B8"/>
    <w:rsid w:val="169A31F0"/>
    <w:rsid w:val="169D18F7"/>
    <w:rsid w:val="16A14DF1"/>
    <w:rsid w:val="16A37AA9"/>
    <w:rsid w:val="16AB30A9"/>
    <w:rsid w:val="16AD15B5"/>
    <w:rsid w:val="16AD1854"/>
    <w:rsid w:val="16B07EDF"/>
    <w:rsid w:val="16B51994"/>
    <w:rsid w:val="16B80DC0"/>
    <w:rsid w:val="16BF4D5E"/>
    <w:rsid w:val="16C32FBA"/>
    <w:rsid w:val="16DE5A58"/>
    <w:rsid w:val="16E82A20"/>
    <w:rsid w:val="16F07B27"/>
    <w:rsid w:val="16FA7B24"/>
    <w:rsid w:val="16FB1718"/>
    <w:rsid w:val="16FC64CC"/>
    <w:rsid w:val="1706559C"/>
    <w:rsid w:val="170732E8"/>
    <w:rsid w:val="170B657F"/>
    <w:rsid w:val="17123F41"/>
    <w:rsid w:val="171639BF"/>
    <w:rsid w:val="171C7676"/>
    <w:rsid w:val="17221F62"/>
    <w:rsid w:val="17241AB6"/>
    <w:rsid w:val="1724245F"/>
    <w:rsid w:val="17255C4D"/>
    <w:rsid w:val="17273B47"/>
    <w:rsid w:val="17315BCD"/>
    <w:rsid w:val="17322405"/>
    <w:rsid w:val="1734773E"/>
    <w:rsid w:val="17397720"/>
    <w:rsid w:val="173B1E2C"/>
    <w:rsid w:val="174775C1"/>
    <w:rsid w:val="174D6D27"/>
    <w:rsid w:val="17586DC3"/>
    <w:rsid w:val="1759533F"/>
    <w:rsid w:val="175E459A"/>
    <w:rsid w:val="17644487"/>
    <w:rsid w:val="17652F83"/>
    <w:rsid w:val="176F3BD1"/>
    <w:rsid w:val="17742506"/>
    <w:rsid w:val="17826121"/>
    <w:rsid w:val="17964597"/>
    <w:rsid w:val="179D5560"/>
    <w:rsid w:val="17A10E21"/>
    <w:rsid w:val="17A41310"/>
    <w:rsid w:val="17A60A1F"/>
    <w:rsid w:val="17B2302E"/>
    <w:rsid w:val="17B62B1E"/>
    <w:rsid w:val="17B77E65"/>
    <w:rsid w:val="17BF6E60"/>
    <w:rsid w:val="17C43DD0"/>
    <w:rsid w:val="17C74D2B"/>
    <w:rsid w:val="17D06270"/>
    <w:rsid w:val="17DC1085"/>
    <w:rsid w:val="17E44F2C"/>
    <w:rsid w:val="17E603C4"/>
    <w:rsid w:val="17F02970"/>
    <w:rsid w:val="17F02B25"/>
    <w:rsid w:val="180945F0"/>
    <w:rsid w:val="180A53BF"/>
    <w:rsid w:val="180C6BE2"/>
    <w:rsid w:val="180E721D"/>
    <w:rsid w:val="180F1F79"/>
    <w:rsid w:val="181E65EB"/>
    <w:rsid w:val="182076D6"/>
    <w:rsid w:val="18244C3B"/>
    <w:rsid w:val="18266C2F"/>
    <w:rsid w:val="183323C1"/>
    <w:rsid w:val="18371EB1"/>
    <w:rsid w:val="183D76EC"/>
    <w:rsid w:val="183F64D4"/>
    <w:rsid w:val="18416158"/>
    <w:rsid w:val="18425FEF"/>
    <w:rsid w:val="184270FB"/>
    <w:rsid w:val="18463EA2"/>
    <w:rsid w:val="18470AF1"/>
    <w:rsid w:val="185246A8"/>
    <w:rsid w:val="185600EA"/>
    <w:rsid w:val="18584601"/>
    <w:rsid w:val="185F4F64"/>
    <w:rsid w:val="186D58D3"/>
    <w:rsid w:val="18735CDC"/>
    <w:rsid w:val="18736C61"/>
    <w:rsid w:val="18787DD4"/>
    <w:rsid w:val="187973A6"/>
    <w:rsid w:val="187A7FF0"/>
    <w:rsid w:val="18816044"/>
    <w:rsid w:val="188A07D1"/>
    <w:rsid w:val="188B4249"/>
    <w:rsid w:val="1890085C"/>
    <w:rsid w:val="18950986"/>
    <w:rsid w:val="18AE1A47"/>
    <w:rsid w:val="18AE2A8B"/>
    <w:rsid w:val="18B43502"/>
    <w:rsid w:val="18BE612E"/>
    <w:rsid w:val="18CE3E98"/>
    <w:rsid w:val="18D01769"/>
    <w:rsid w:val="18E66AE0"/>
    <w:rsid w:val="18E700E8"/>
    <w:rsid w:val="18EE0096"/>
    <w:rsid w:val="18F465E3"/>
    <w:rsid w:val="18F65ACB"/>
    <w:rsid w:val="1908553B"/>
    <w:rsid w:val="190D7E26"/>
    <w:rsid w:val="19140AFB"/>
    <w:rsid w:val="19165379"/>
    <w:rsid w:val="19173FB9"/>
    <w:rsid w:val="19193725"/>
    <w:rsid w:val="19193C38"/>
    <w:rsid w:val="191A5087"/>
    <w:rsid w:val="191B29BF"/>
    <w:rsid w:val="191E4E1F"/>
    <w:rsid w:val="19234148"/>
    <w:rsid w:val="19237145"/>
    <w:rsid w:val="19237DCB"/>
    <w:rsid w:val="192504C0"/>
    <w:rsid w:val="19284B2E"/>
    <w:rsid w:val="19313CA6"/>
    <w:rsid w:val="19340412"/>
    <w:rsid w:val="193506E9"/>
    <w:rsid w:val="19372EF4"/>
    <w:rsid w:val="193A5CEB"/>
    <w:rsid w:val="19434886"/>
    <w:rsid w:val="194660D8"/>
    <w:rsid w:val="194A4B48"/>
    <w:rsid w:val="1955189F"/>
    <w:rsid w:val="19620BCB"/>
    <w:rsid w:val="1968171F"/>
    <w:rsid w:val="196977CD"/>
    <w:rsid w:val="196A733A"/>
    <w:rsid w:val="197138F4"/>
    <w:rsid w:val="197769FC"/>
    <w:rsid w:val="197C38F4"/>
    <w:rsid w:val="197E0E2C"/>
    <w:rsid w:val="19835643"/>
    <w:rsid w:val="19864EC0"/>
    <w:rsid w:val="19875993"/>
    <w:rsid w:val="198B5AE1"/>
    <w:rsid w:val="198C1D89"/>
    <w:rsid w:val="198E5EAA"/>
    <w:rsid w:val="19921369"/>
    <w:rsid w:val="1997653E"/>
    <w:rsid w:val="199B6D2B"/>
    <w:rsid w:val="199C0C32"/>
    <w:rsid w:val="19AC30BB"/>
    <w:rsid w:val="19B00E58"/>
    <w:rsid w:val="19B1359D"/>
    <w:rsid w:val="19B21C39"/>
    <w:rsid w:val="19B65058"/>
    <w:rsid w:val="19BC6B61"/>
    <w:rsid w:val="19BF5C5A"/>
    <w:rsid w:val="19BF6247"/>
    <w:rsid w:val="19DF75E6"/>
    <w:rsid w:val="19E364EF"/>
    <w:rsid w:val="19F02D3B"/>
    <w:rsid w:val="19F6132D"/>
    <w:rsid w:val="1A0865C6"/>
    <w:rsid w:val="1A1276D4"/>
    <w:rsid w:val="1A1B5DE5"/>
    <w:rsid w:val="1A2A15A2"/>
    <w:rsid w:val="1A2A6467"/>
    <w:rsid w:val="1A3D3083"/>
    <w:rsid w:val="1A420223"/>
    <w:rsid w:val="1A4377A1"/>
    <w:rsid w:val="1A447AAA"/>
    <w:rsid w:val="1A4B17C9"/>
    <w:rsid w:val="1A573700"/>
    <w:rsid w:val="1A575EA3"/>
    <w:rsid w:val="1A656E07"/>
    <w:rsid w:val="1A6C2257"/>
    <w:rsid w:val="1A6C51C0"/>
    <w:rsid w:val="1A6C600C"/>
    <w:rsid w:val="1A6E148E"/>
    <w:rsid w:val="1A7226E2"/>
    <w:rsid w:val="1A771034"/>
    <w:rsid w:val="1A78055F"/>
    <w:rsid w:val="1A7D367A"/>
    <w:rsid w:val="1A7D73CD"/>
    <w:rsid w:val="1A816ABA"/>
    <w:rsid w:val="1A82318C"/>
    <w:rsid w:val="1A872AB4"/>
    <w:rsid w:val="1A892685"/>
    <w:rsid w:val="1A8B76DB"/>
    <w:rsid w:val="1A900E41"/>
    <w:rsid w:val="1A952EBF"/>
    <w:rsid w:val="1A997D9D"/>
    <w:rsid w:val="1A9A7638"/>
    <w:rsid w:val="1A9D1836"/>
    <w:rsid w:val="1A9E04C4"/>
    <w:rsid w:val="1AA25184"/>
    <w:rsid w:val="1AA72BF2"/>
    <w:rsid w:val="1AA85649"/>
    <w:rsid w:val="1AB22196"/>
    <w:rsid w:val="1AB86BAD"/>
    <w:rsid w:val="1ABE55EE"/>
    <w:rsid w:val="1ABF7F3C"/>
    <w:rsid w:val="1ACB2542"/>
    <w:rsid w:val="1AD93C19"/>
    <w:rsid w:val="1ADF238C"/>
    <w:rsid w:val="1AE41E88"/>
    <w:rsid w:val="1AE600F4"/>
    <w:rsid w:val="1AEA1935"/>
    <w:rsid w:val="1AED0649"/>
    <w:rsid w:val="1AF26A51"/>
    <w:rsid w:val="1AF73193"/>
    <w:rsid w:val="1AFA7627"/>
    <w:rsid w:val="1B021AFC"/>
    <w:rsid w:val="1B1F4E7E"/>
    <w:rsid w:val="1B2600C5"/>
    <w:rsid w:val="1B2637FB"/>
    <w:rsid w:val="1B27238F"/>
    <w:rsid w:val="1B291859"/>
    <w:rsid w:val="1B3645AB"/>
    <w:rsid w:val="1B4C7154"/>
    <w:rsid w:val="1B524B76"/>
    <w:rsid w:val="1B537228"/>
    <w:rsid w:val="1B575FFF"/>
    <w:rsid w:val="1B602BF9"/>
    <w:rsid w:val="1B607376"/>
    <w:rsid w:val="1B610FF3"/>
    <w:rsid w:val="1B690B70"/>
    <w:rsid w:val="1B6E7744"/>
    <w:rsid w:val="1B702E93"/>
    <w:rsid w:val="1B762DA7"/>
    <w:rsid w:val="1B8A4174"/>
    <w:rsid w:val="1B972C67"/>
    <w:rsid w:val="1B99078D"/>
    <w:rsid w:val="1B9907D4"/>
    <w:rsid w:val="1BA01EFA"/>
    <w:rsid w:val="1BA86054"/>
    <w:rsid w:val="1BA92C0D"/>
    <w:rsid w:val="1BAC221C"/>
    <w:rsid w:val="1BAE25A1"/>
    <w:rsid w:val="1BBA533C"/>
    <w:rsid w:val="1BC14B2B"/>
    <w:rsid w:val="1BC4709A"/>
    <w:rsid w:val="1BC54B1C"/>
    <w:rsid w:val="1BC64A2C"/>
    <w:rsid w:val="1BC702DA"/>
    <w:rsid w:val="1BC872C4"/>
    <w:rsid w:val="1BDB3877"/>
    <w:rsid w:val="1BDD4B1E"/>
    <w:rsid w:val="1BF155CF"/>
    <w:rsid w:val="1BF51851"/>
    <w:rsid w:val="1BF61C33"/>
    <w:rsid w:val="1BF6305B"/>
    <w:rsid w:val="1BF63E31"/>
    <w:rsid w:val="1BFA64CC"/>
    <w:rsid w:val="1BFD6F6E"/>
    <w:rsid w:val="1C00080C"/>
    <w:rsid w:val="1C0B13A9"/>
    <w:rsid w:val="1C0C20F3"/>
    <w:rsid w:val="1C145E41"/>
    <w:rsid w:val="1C200EAE"/>
    <w:rsid w:val="1C2362A8"/>
    <w:rsid w:val="1C362E73"/>
    <w:rsid w:val="1C471801"/>
    <w:rsid w:val="1C47643B"/>
    <w:rsid w:val="1C4850F5"/>
    <w:rsid w:val="1C4864E1"/>
    <w:rsid w:val="1C5135FC"/>
    <w:rsid w:val="1C60279C"/>
    <w:rsid w:val="1C6E39C8"/>
    <w:rsid w:val="1C7D38EB"/>
    <w:rsid w:val="1C884927"/>
    <w:rsid w:val="1C89680B"/>
    <w:rsid w:val="1C8B7070"/>
    <w:rsid w:val="1C9131E1"/>
    <w:rsid w:val="1C9633EE"/>
    <w:rsid w:val="1C9D50CD"/>
    <w:rsid w:val="1CA215BD"/>
    <w:rsid w:val="1CA70C88"/>
    <w:rsid w:val="1CAA6E5D"/>
    <w:rsid w:val="1CB56179"/>
    <w:rsid w:val="1CC17F9B"/>
    <w:rsid w:val="1CC87027"/>
    <w:rsid w:val="1CD470DD"/>
    <w:rsid w:val="1CD47E75"/>
    <w:rsid w:val="1CEB6DC6"/>
    <w:rsid w:val="1CEC328E"/>
    <w:rsid w:val="1CEE103C"/>
    <w:rsid w:val="1CF53055"/>
    <w:rsid w:val="1CF643E7"/>
    <w:rsid w:val="1CF8633A"/>
    <w:rsid w:val="1D071D89"/>
    <w:rsid w:val="1D097B94"/>
    <w:rsid w:val="1D0F4BE6"/>
    <w:rsid w:val="1D101BF1"/>
    <w:rsid w:val="1D1405B4"/>
    <w:rsid w:val="1D1A3B4F"/>
    <w:rsid w:val="1D1C1676"/>
    <w:rsid w:val="1D1E1BAC"/>
    <w:rsid w:val="1D294F0B"/>
    <w:rsid w:val="1D2971FC"/>
    <w:rsid w:val="1D3A2371"/>
    <w:rsid w:val="1D3A6632"/>
    <w:rsid w:val="1D444728"/>
    <w:rsid w:val="1D4630CE"/>
    <w:rsid w:val="1D531643"/>
    <w:rsid w:val="1D5801D4"/>
    <w:rsid w:val="1D5C7CC4"/>
    <w:rsid w:val="1D5E26BE"/>
    <w:rsid w:val="1D5F1562"/>
    <w:rsid w:val="1D5F7214"/>
    <w:rsid w:val="1D664299"/>
    <w:rsid w:val="1D67197E"/>
    <w:rsid w:val="1D6B1328"/>
    <w:rsid w:val="1D725739"/>
    <w:rsid w:val="1D837940"/>
    <w:rsid w:val="1D905AF0"/>
    <w:rsid w:val="1DA33B45"/>
    <w:rsid w:val="1DC267C4"/>
    <w:rsid w:val="1DCF05FC"/>
    <w:rsid w:val="1DD36DFA"/>
    <w:rsid w:val="1DD43E04"/>
    <w:rsid w:val="1DD82D5E"/>
    <w:rsid w:val="1DDD518B"/>
    <w:rsid w:val="1DDE4B7D"/>
    <w:rsid w:val="1DE25359"/>
    <w:rsid w:val="1DF75C3F"/>
    <w:rsid w:val="1DFA7E83"/>
    <w:rsid w:val="1DFB128B"/>
    <w:rsid w:val="1DFD38B9"/>
    <w:rsid w:val="1DFE521F"/>
    <w:rsid w:val="1E00340E"/>
    <w:rsid w:val="1E03489D"/>
    <w:rsid w:val="1E0850D6"/>
    <w:rsid w:val="1E104249"/>
    <w:rsid w:val="1E181AED"/>
    <w:rsid w:val="1E1E2AA8"/>
    <w:rsid w:val="1E2012C8"/>
    <w:rsid w:val="1E266884"/>
    <w:rsid w:val="1E270F6A"/>
    <w:rsid w:val="1E2D620D"/>
    <w:rsid w:val="1E2E46BF"/>
    <w:rsid w:val="1E3561A8"/>
    <w:rsid w:val="1E4A0EE7"/>
    <w:rsid w:val="1E4A684B"/>
    <w:rsid w:val="1E5D2EAF"/>
    <w:rsid w:val="1E652811"/>
    <w:rsid w:val="1E681FF2"/>
    <w:rsid w:val="1E697BF5"/>
    <w:rsid w:val="1E6C2675"/>
    <w:rsid w:val="1E7828DC"/>
    <w:rsid w:val="1E7C3A2F"/>
    <w:rsid w:val="1E7E0BBD"/>
    <w:rsid w:val="1E851C27"/>
    <w:rsid w:val="1E876FC3"/>
    <w:rsid w:val="1E877BA2"/>
    <w:rsid w:val="1EA2746D"/>
    <w:rsid w:val="1EA30D88"/>
    <w:rsid w:val="1EAF0A4E"/>
    <w:rsid w:val="1EB02877"/>
    <w:rsid w:val="1EB26790"/>
    <w:rsid w:val="1EB4768C"/>
    <w:rsid w:val="1EBD4792"/>
    <w:rsid w:val="1ECA5375"/>
    <w:rsid w:val="1ECC0E79"/>
    <w:rsid w:val="1ED10E06"/>
    <w:rsid w:val="1ED146E2"/>
    <w:rsid w:val="1ED16D1D"/>
    <w:rsid w:val="1ED55F80"/>
    <w:rsid w:val="1ED82CC9"/>
    <w:rsid w:val="1ED85A70"/>
    <w:rsid w:val="1EDF2C39"/>
    <w:rsid w:val="1EE16FB7"/>
    <w:rsid w:val="1EE2244B"/>
    <w:rsid w:val="1EE67195"/>
    <w:rsid w:val="1EE95587"/>
    <w:rsid w:val="1EEB0B3D"/>
    <w:rsid w:val="1EF220FA"/>
    <w:rsid w:val="1EFB4165"/>
    <w:rsid w:val="1EFC365C"/>
    <w:rsid w:val="1F0567F4"/>
    <w:rsid w:val="1F074C4F"/>
    <w:rsid w:val="1F093E7B"/>
    <w:rsid w:val="1F125588"/>
    <w:rsid w:val="1F244C93"/>
    <w:rsid w:val="1F251B9A"/>
    <w:rsid w:val="1F2D7B6A"/>
    <w:rsid w:val="1F3A70DE"/>
    <w:rsid w:val="1F3C5FFF"/>
    <w:rsid w:val="1F3D292C"/>
    <w:rsid w:val="1F426079"/>
    <w:rsid w:val="1F4315DA"/>
    <w:rsid w:val="1F4759CD"/>
    <w:rsid w:val="1F550E6F"/>
    <w:rsid w:val="1F5A11FF"/>
    <w:rsid w:val="1F684B15"/>
    <w:rsid w:val="1F692DE2"/>
    <w:rsid w:val="1F6A149A"/>
    <w:rsid w:val="1F6E09CB"/>
    <w:rsid w:val="1F6E70F2"/>
    <w:rsid w:val="1F7F4372"/>
    <w:rsid w:val="1F7F7C9A"/>
    <w:rsid w:val="1F843502"/>
    <w:rsid w:val="1F890B18"/>
    <w:rsid w:val="1F8F03D5"/>
    <w:rsid w:val="1F9B2E3F"/>
    <w:rsid w:val="1F9E45C4"/>
    <w:rsid w:val="1F9F20EA"/>
    <w:rsid w:val="1FA13B72"/>
    <w:rsid w:val="1FA616CA"/>
    <w:rsid w:val="1FAC709F"/>
    <w:rsid w:val="1FAE057F"/>
    <w:rsid w:val="1FAF3345"/>
    <w:rsid w:val="1FB76B8A"/>
    <w:rsid w:val="1FB97650"/>
    <w:rsid w:val="1FC05F53"/>
    <w:rsid w:val="1FC11EA9"/>
    <w:rsid w:val="1FE31116"/>
    <w:rsid w:val="1FE51D7C"/>
    <w:rsid w:val="1FE67D19"/>
    <w:rsid w:val="1FE83A91"/>
    <w:rsid w:val="1FEE2904"/>
    <w:rsid w:val="1FEF7466"/>
    <w:rsid w:val="1FF7223E"/>
    <w:rsid w:val="200A7D1E"/>
    <w:rsid w:val="20106D53"/>
    <w:rsid w:val="20172D8A"/>
    <w:rsid w:val="2020252E"/>
    <w:rsid w:val="20281085"/>
    <w:rsid w:val="20304547"/>
    <w:rsid w:val="203778E9"/>
    <w:rsid w:val="20392DEC"/>
    <w:rsid w:val="204213F3"/>
    <w:rsid w:val="20463C69"/>
    <w:rsid w:val="20486E36"/>
    <w:rsid w:val="204D7AB8"/>
    <w:rsid w:val="20586E69"/>
    <w:rsid w:val="20592542"/>
    <w:rsid w:val="2061066F"/>
    <w:rsid w:val="20635322"/>
    <w:rsid w:val="206770AC"/>
    <w:rsid w:val="207A46F9"/>
    <w:rsid w:val="20825C93"/>
    <w:rsid w:val="208A1DA8"/>
    <w:rsid w:val="20957659"/>
    <w:rsid w:val="20971013"/>
    <w:rsid w:val="20975384"/>
    <w:rsid w:val="209776E0"/>
    <w:rsid w:val="209B4D22"/>
    <w:rsid w:val="209F02CD"/>
    <w:rsid w:val="20AB6E5A"/>
    <w:rsid w:val="20AE4CDA"/>
    <w:rsid w:val="20BB20C0"/>
    <w:rsid w:val="20BD6CCC"/>
    <w:rsid w:val="20BE4604"/>
    <w:rsid w:val="20C274CD"/>
    <w:rsid w:val="20C53DD2"/>
    <w:rsid w:val="20CB2E6A"/>
    <w:rsid w:val="20CB5EB4"/>
    <w:rsid w:val="20CD4FA8"/>
    <w:rsid w:val="20D109C9"/>
    <w:rsid w:val="20D57965"/>
    <w:rsid w:val="20D64231"/>
    <w:rsid w:val="20DE6C42"/>
    <w:rsid w:val="20DF0FFB"/>
    <w:rsid w:val="20E16423"/>
    <w:rsid w:val="20E72AA0"/>
    <w:rsid w:val="20EF1C03"/>
    <w:rsid w:val="20FC24D7"/>
    <w:rsid w:val="21004DB3"/>
    <w:rsid w:val="210053E1"/>
    <w:rsid w:val="21026F8C"/>
    <w:rsid w:val="21031B0E"/>
    <w:rsid w:val="21061855"/>
    <w:rsid w:val="21110DC5"/>
    <w:rsid w:val="21156B08"/>
    <w:rsid w:val="21184C4B"/>
    <w:rsid w:val="211D59BC"/>
    <w:rsid w:val="212C61A7"/>
    <w:rsid w:val="212D6803"/>
    <w:rsid w:val="21343345"/>
    <w:rsid w:val="213571AA"/>
    <w:rsid w:val="21481828"/>
    <w:rsid w:val="21556F04"/>
    <w:rsid w:val="215F5963"/>
    <w:rsid w:val="21613AFB"/>
    <w:rsid w:val="21631D9B"/>
    <w:rsid w:val="216C7BE6"/>
    <w:rsid w:val="21731A80"/>
    <w:rsid w:val="2186060A"/>
    <w:rsid w:val="21894E00"/>
    <w:rsid w:val="218A6DA5"/>
    <w:rsid w:val="218D1687"/>
    <w:rsid w:val="219537A4"/>
    <w:rsid w:val="219A3686"/>
    <w:rsid w:val="219E3CDC"/>
    <w:rsid w:val="21A110B9"/>
    <w:rsid w:val="21A956F4"/>
    <w:rsid w:val="21AD0AEE"/>
    <w:rsid w:val="21AE2AB8"/>
    <w:rsid w:val="21B95F6D"/>
    <w:rsid w:val="21BA3EF9"/>
    <w:rsid w:val="21BB54E6"/>
    <w:rsid w:val="21BE719F"/>
    <w:rsid w:val="21C0573C"/>
    <w:rsid w:val="21CE52E3"/>
    <w:rsid w:val="21CF4187"/>
    <w:rsid w:val="21D2794E"/>
    <w:rsid w:val="21D40771"/>
    <w:rsid w:val="21DE344B"/>
    <w:rsid w:val="21E464DA"/>
    <w:rsid w:val="21E93AF0"/>
    <w:rsid w:val="21EB24E4"/>
    <w:rsid w:val="21EE1107"/>
    <w:rsid w:val="21EF55AB"/>
    <w:rsid w:val="21F20BF7"/>
    <w:rsid w:val="21F27457"/>
    <w:rsid w:val="21FD33F4"/>
    <w:rsid w:val="22003977"/>
    <w:rsid w:val="22043119"/>
    <w:rsid w:val="220B7F0B"/>
    <w:rsid w:val="220E56F7"/>
    <w:rsid w:val="22142B2B"/>
    <w:rsid w:val="221A31A1"/>
    <w:rsid w:val="22254547"/>
    <w:rsid w:val="22266AF2"/>
    <w:rsid w:val="222C235B"/>
    <w:rsid w:val="222D60D3"/>
    <w:rsid w:val="223076A3"/>
    <w:rsid w:val="22557E77"/>
    <w:rsid w:val="2257732A"/>
    <w:rsid w:val="22625D7D"/>
    <w:rsid w:val="226338A3"/>
    <w:rsid w:val="226E4F8A"/>
    <w:rsid w:val="226F5E79"/>
    <w:rsid w:val="22760E93"/>
    <w:rsid w:val="22784371"/>
    <w:rsid w:val="22806203"/>
    <w:rsid w:val="228F4698"/>
    <w:rsid w:val="229F5759"/>
    <w:rsid w:val="22A6197E"/>
    <w:rsid w:val="22AA2BC7"/>
    <w:rsid w:val="22AE7F72"/>
    <w:rsid w:val="22B234D0"/>
    <w:rsid w:val="22B42350"/>
    <w:rsid w:val="22C0627C"/>
    <w:rsid w:val="22D00EE0"/>
    <w:rsid w:val="22D402FC"/>
    <w:rsid w:val="22E04EF3"/>
    <w:rsid w:val="22E826D5"/>
    <w:rsid w:val="22F369D5"/>
    <w:rsid w:val="22F378F8"/>
    <w:rsid w:val="22F76AA9"/>
    <w:rsid w:val="22FA342B"/>
    <w:rsid w:val="231132FF"/>
    <w:rsid w:val="23113B92"/>
    <w:rsid w:val="2314201A"/>
    <w:rsid w:val="2315555B"/>
    <w:rsid w:val="2318643B"/>
    <w:rsid w:val="231921B3"/>
    <w:rsid w:val="231A1105"/>
    <w:rsid w:val="231D7EF5"/>
    <w:rsid w:val="231E77CA"/>
    <w:rsid w:val="23312A20"/>
    <w:rsid w:val="233B65CE"/>
    <w:rsid w:val="23430BB5"/>
    <w:rsid w:val="234611FA"/>
    <w:rsid w:val="234D674A"/>
    <w:rsid w:val="234F58FD"/>
    <w:rsid w:val="23582CDC"/>
    <w:rsid w:val="235D2694"/>
    <w:rsid w:val="2366520C"/>
    <w:rsid w:val="23696C97"/>
    <w:rsid w:val="2378266B"/>
    <w:rsid w:val="237E4C0E"/>
    <w:rsid w:val="238241FC"/>
    <w:rsid w:val="238A01F2"/>
    <w:rsid w:val="23955CDE"/>
    <w:rsid w:val="23977CA8"/>
    <w:rsid w:val="23A10B26"/>
    <w:rsid w:val="23A118A9"/>
    <w:rsid w:val="23B5369F"/>
    <w:rsid w:val="23BF4C02"/>
    <w:rsid w:val="23C04937"/>
    <w:rsid w:val="23C20B70"/>
    <w:rsid w:val="23CF68C3"/>
    <w:rsid w:val="23D23C82"/>
    <w:rsid w:val="23DB76DF"/>
    <w:rsid w:val="23E54D6E"/>
    <w:rsid w:val="23E8122A"/>
    <w:rsid w:val="23E92278"/>
    <w:rsid w:val="23EA710C"/>
    <w:rsid w:val="23EB1EE6"/>
    <w:rsid w:val="23FE60B7"/>
    <w:rsid w:val="23FF0C5B"/>
    <w:rsid w:val="24002964"/>
    <w:rsid w:val="240C4656"/>
    <w:rsid w:val="24160AF9"/>
    <w:rsid w:val="241A3ABB"/>
    <w:rsid w:val="241C4FDE"/>
    <w:rsid w:val="241D18AE"/>
    <w:rsid w:val="242F51F8"/>
    <w:rsid w:val="24311EAA"/>
    <w:rsid w:val="24316936"/>
    <w:rsid w:val="243E5205"/>
    <w:rsid w:val="24452476"/>
    <w:rsid w:val="244F675B"/>
    <w:rsid w:val="24633A22"/>
    <w:rsid w:val="246358DE"/>
    <w:rsid w:val="2465451F"/>
    <w:rsid w:val="24697AEB"/>
    <w:rsid w:val="246F1448"/>
    <w:rsid w:val="246F516C"/>
    <w:rsid w:val="2476711E"/>
    <w:rsid w:val="24794C42"/>
    <w:rsid w:val="247A7B87"/>
    <w:rsid w:val="24843748"/>
    <w:rsid w:val="248F3D6A"/>
    <w:rsid w:val="2496085A"/>
    <w:rsid w:val="24A26904"/>
    <w:rsid w:val="24A52D69"/>
    <w:rsid w:val="24A85EE5"/>
    <w:rsid w:val="24A86E33"/>
    <w:rsid w:val="24AE34FB"/>
    <w:rsid w:val="24B05567"/>
    <w:rsid w:val="24B85758"/>
    <w:rsid w:val="24BD2DEB"/>
    <w:rsid w:val="24C05266"/>
    <w:rsid w:val="24C51392"/>
    <w:rsid w:val="24C62778"/>
    <w:rsid w:val="24C7122B"/>
    <w:rsid w:val="24C820E3"/>
    <w:rsid w:val="24D0574E"/>
    <w:rsid w:val="24D475AB"/>
    <w:rsid w:val="24D64800"/>
    <w:rsid w:val="24DB0907"/>
    <w:rsid w:val="24E71B39"/>
    <w:rsid w:val="24E76918"/>
    <w:rsid w:val="24E76B0A"/>
    <w:rsid w:val="24F44C86"/>
    <w:rsid w:val="24F72435"/>
    <w:rsid w:val="24F95A17"/>
    <w:rsid w:val="24FB109B"/>
    <w:rsid w:val="25010196"/>
    <w:rsid w:val="2501061C"/>
    <w:rsid w:val="250207C6"/>
    <w:rsid w:val="25041492"/>
    <w:rsid w:val="250501B3"/>
    <w:rsid w:val="250709E3"/>
    <w:rsid w:val="251C72B3"/>
    <w:rsid w:val="251D5F8B"/>
    <w:rsid w:val="252C0DB5"/>
    <w:rsid w:val="25346A17"/>
    <w:rsid w:val="25396722"/>
    <w:rsid w:val="254856B7"/>
    <w:rsid w:val="254A0BBB"/>
    <w:rsid w:val="254C6870"/>
    <w:rsid w:val="254F4E95"/>
    <w:rsid w:val="255549CD"/>
    <w:rsid w:val="25640C0B"/>
    <w:rsid w:val="256462D4"/>
    <w:rsid w:val="256B669F"/>
    <w:rsid w:val="256E17D1"/>
    <w:rsid w:val="25804223"/>
    <w:rsid w:val="25826E47"/>
    <w:rsid w:val="25832019"/>
    <w:rsid w:val="25845C69"/>
    <w:rsid w:val="25890AC0"/>
    <w:rsid w:val="258C4EA7"/>
    <w:rsid w:val="25900E53"/>
    <w:rsid w:val="25991930"/>
    <w:rsid w:val="25994206"/>
    <w:rsid w:val="259C5142"/>
    <w:rsid w:val="259E1C56"/>
    <w:rsid w:val="25A8619C"/>
    <w:rsid w:val="25AB6FE2"/>
    <w:rsid w:val="25B12B77"/>
    <w:rsid w:val="25B432C7"/>
    <w:rsid w:val="25BA4C3B"/>
    <w:rsid w:val="25BB0A99"/>
    <w:rsid w:val="25BE30F8"/>
    <w:rsid w:val="25C342C7"/>
    <w:rsid w:val="25C42A83"/>
    <w:rsid w:val="25C50504"/>
    <w:rsid w:val="25C55BC2"/>
    <w:rsid w:val="25C67FD7"/>
    <w:rsid w:val="25CA3B84"/>
    <w:rsid w:val="25CB1E8B"/>
    <w:rsid w:val="25CC5FE1"/>
    <w:rsid w:val="25CC7E8F"/>
    <w:rsid w:val="25D12171"/>
    <w:rsid w:val="25DB26A8"/>
    <w:rsid w:val="25DE6039"/>
    <w:rsid w:val="25E278B0"/>
    <w:rsid w:val="25E44CFA"/>
    <w:rsid w:val="25E61693"/>
    <w:rsid w:val="25ED1906"/>
    <w:rsid w:val="25F0544D"/>
    <w:rsid w:val="25F62C69"/>
    <w:rsid w:val="25F8192E"/>
    <w:rsid w:val="25FD3E88"/>
    <w:rsid w:val="25FE416B"/>
    <w:rsid w:val="26026247"/>
    <w:rsid w:val="2604539D"/>
    <w:rsid w:val="26054B71"/>
    <w:rsid w:val="26100BF0"/>
    <w:rsid w:val="2613754D"/>
    <w:rsid w:val="26190E48"/>
    <w:rsid w:val="261C4A88"/>
    <w:rsid w:val="261F01A1"/>
    <w:rsid w:val="262F2132"/>
    <w:rsid w:val="26357163"/>
    <w:rsid w:val="26410987"/>
    <w:rsid w:val="265667CD"/>
    <w:rsid w:val="26571970"/>
    <w:rsid w:val="265C0D35"/>
    <w:rsid w:val="265E2CFF"/>
    <w:rsid w:val="2663067D"/>
    <w:rsid w:val="26691012"/>
    <w:rsid w:val="2674607E"/>
    <w:rsid w:val="267D552F"/>
    <w:rsid w:val="267E4EE5"/>
    <w:rsid w:val="267F620B"/>
    <w:rsid w:val="26887041"/>
    <w:rsid w:val="26981553"/>
    <w:rsid w:val="269F5B95"/>
    <w:rsid w:val="26A5448A"/>
    <w:rsid w:val="26A61FB0"/>
    <w:rsid w:val="26AA1AA0"/>
    <w:rsid w:val="26AB47E4"/>
    <w:rsid w:val="26BC5C80"/>
    <w:rsid w:val="26CA3EF0"/>
    <w:rsid w:val="26D43568"/>
    <w:rsid w:val="26EE060F"/>
    <w:rsid w:val="26FC6074"/>
    <w:rsid w:val="2701248A"/>
    <w:rsid w:val="270361AC"/>
    <w:rsid w:val="270C4FC5"/>
    <w:rsid w:val="27137CF7"/>
    <w:rsid w:val="27140AED"/>
    <w:rsid w:val="271635D9"/>
    <w:rsid w:val="27165388"/>
    <w:rsid w:val="27167136"/>
    <w:rsid w:val="271813DF"/>
    <w:rsid w:val="27196C26"/>
    <w:rsid w:val="27202D3F"/>
    <w:rsid w:val="27214B9E"/>
    <w:rsid w:val="27247AA4"/>
    <w:rsid w:val="272C0CD4"/>
    <w:rsid w:val="273264DD"/>
    <w:rsid w:val="27374DBF"/>
    <w:rsid w:val="273837FA"/>
    <w:rsid w:val="273D2914"/>
    <w:rsid w:val="27400126"/>
    <w:rsid w:val="27485159"/>
    <w:rsid w:val="27493F03"/>
    <w:rsid w:val="274E6BC9"/>
    <w:rsid w:val="27507C1B"/>
    <w:rsid w:val="27534744"/>
    <w:rsid w:val="27546BE2"/>
    <w:rsid w:val="27547C5E"/>
    <w:rsid w:val="275507B4"/>
    <w:rsid w:val="27633668"/>
    <w:rsid w:val="27645FBB"/>
    <w:rsid w:val="276854B7"/>
    <w:rsid w:val="276F4A98"/>
    <w:rsid w:val="277B51EB"/>
    <w:rsid w:val="277D341D"/>
    <w:rsid w:val="278B474B"/>
    <w:rsid w:val="2795508D"/>
    <w:rsid w:val="27A961FC"/>
    <w:rsid w:val="27AF7382"/>
    <w:rsid w:val="27B30F41"/>
    <w:rsid w:val="27B35B31"/>
    <w:rsid w:val="27B64475"/>
    <w:rsid w:val="27B841B7"/>
    <w:rsid w:val="27C14218"/>
    <w:rsid w:val="27C2034A"/>
    <w:rsid w:val="27C50B33"/>
    <w:rsid w:val="27C76682"/>
    <w:rsid w:val="27DF0714"/>
    <w:rsid w:val="27E820E3"/>
    <w:rsid w:val="27EC5A7D"/>
    <w:rsid w:val="27F206B2"/>
    <w:rsid w:val="27F44392"/>
    <w:rsid w:val="27F5566A"/>
    <w:rsid w:val="27F66E2D"/>
    <w:rsid w:val="280255D6"/>
    <w:rsid w:val="28066701"/>
    <w:rsid w:val="28070DA1"/>
    <w:rsid w:val="280B1269"/>
    <w:rsid w:val="281100C9"/>
    <w:rsid w:val="281371BB"/>
    <w:rsid w:val="281C4C20"/>
    <w:rsid w:val="2824033B"/>
    <w:rsid w:val="28240813"/>
    <w:rsid w:val="282940B5"/>
    <w:rsid w:val="282B672D"/>
    <w:rsid w:val="282F2EFC"/>
    <w:rsid w:val="28335AC5"/>
    <w:rsid w:val="28373807"/>
    <w:rsid w:val="283B4790"/>
    <w:rsid w:val="283D14DA"/>
    <w:rsid w:val="283D4410"/>
    <w:rsid w:val="283F2A53"/>
    <w:rsid w:val="2842411B"/>
    <w:rsid w:val="284420DC"/>
    <w:rsid w:val="284D302B"/>
    <w:rsid w:val="28593DFD"/>
    <w:rsid w:val="285A367B"/>
    <w:rsid w:val="287205D3"/>
    <w:rsid w:val="28780D72"/>
    <w:rsid w:val="287845F5"/>
    <w:rsid w:val="28796405"/>
    <w:rsid w:val="28866DB6"/>
    <w:rsid w:val="288853AB"/>
    <w:rsid w:val="288F1CB9"/>
    <w:rsid w:val="28943BC8"/>
    <w:rsid w:val="289E5635"/>
    <w:rsid w:val="28A17304"/>
    <w:rsid w:val="28A361E4"/>
    <w:rsid w:val="28A52B3B"/>
    <w:rsid w:val="28AB2D5E"/>
    <w:rsid w:val="28B4212C"/>
    <w:rsid w:val="28B5111E"/>
    <w:rsid w:val="28B86934"/>
    <w:rsid w:val="28B8721A"/>
    <w:rsid w:val="28BE04F0"/>
    <w:rsid w:val="28BF68E1"/>
    <w:rsid w:val="28CB21A2"/>
    <w:rsid w:val="28DB1EAB"/>
    <w:rsid w:val="28DB5305"/>
    <w:rsid w:val="28DB78D6"/>
    <w:rsid w:val="28DF4BAD"/>
    <w:rsid w:val="28E736B1"/>
    <w:rsid w:val="28EF5E90"/>
    <w:rsid w:val="28F811E9"/>
    <w:rsid w:val="29006E37"/>
    <w:rsid w:val="290665CB"/>
    <w:rsid w:val="291753F8"/>
    <w:rsid w:val="291C47AB"/>
    <w:rsid w:val="291C7066"/>
    <w:rsid w:val="291D68CD"/>
    <w:rsid w:val="29210AC9"/>
    <w:rsid w:val="2927562A"/>
    <w:rsid w:val="292C766F"/>
    <w:rsid w:val="29333CB1"/>
    <w:rsid w:val="29340BF9"/>
    <w:rsid w:val="293D1DB5"/>
    <w:rsid w:val="294044B5"/>
    <w:rsid w:val="294211EE"/>
    <w:rsid w:val="29452074"/>
    <w:rsid w:val="294F0DD5"/>
    <w:rsid w:val="29506857"/>
    <w:rsid w:val="29534671"/>
    <w:rsid w:val="2954525D"/>
    <w:rsid w:val="2958576D"/>
    <w:rsid w:val="295C2DFA"/>
    <w:rsid w:val="29671ECA"/>
    <w:rsid w:val="29695C42"/>
    <w:rsid w:val="296E76E6"/>
    <w:rsid w:val="29747D10"/>
    <w:rsid w:val="297F51CF"/>
    <w:rsid w:val="298526BD"/>
    <w:rsid w:val="298F1421"/>
    <w:rsid w:val="299145CA"/>
    <w:rsid w:val="2993749F"/>
    <w:rsid w:val="299730E8"/>
    <w:rsid w:val="29997167"/>
    <w:rsid w:val="299E3EA8"/>
    <w:rsid w:val="29A71B7B"/>
    <w:rsid w:val="29AA1DB7"/>
    <w:rsid w:val="29AF73CD"/>
    <w:rsid w:val="29B05E47"/>
    <w:rsid w:val="29CB047A"/>
    <w:rsid w:val="29CC5DC9"/>
    <w:rsid w:val="29E7272C"/>
    <w:rsid w:val="29ED1E83"/>
    <w:rsid w:val="2A0E0598"/>
    <w:rsid w:val="2A0F01B7"/>
    <w:rsid w:val="2A144016"/>
    <w:rsid w:val="2A180101"/>
    <w:rsid w:val="2A1A6F3D"/>
    <w:rsid w:val="2A1D79A4"/>
    <w:rsid w:val="2A201E47"/>
    <w:rsid w:val="2A22038D"/>
    <w:rsid w:val="2A233BBE"/>
    <w:rsid w:val="2A2878AC"/>
    <w:rsid w:val="2A29653A"/>
    <w:rsid w:val="2A362444"/>
    <w:rsid w:val="2A390EC5"/>
    <w:rsid w:val="2A3D1658"/>
    <w:rsid w:val="2A3F394C"/>
    <w:rsid w:val="2A411802"/>
    <w:rsid w:val="2A467204"/>
    <w:rsid w:val="2A4A387D"/>
    <w:rsid w:val="2A4F5D06"/>
    <w:rsid w:val="2A5353B5"/>
    <w:rsid w:val="2A573FBA"/>
    <w:rsid w:val="2A581813"/>
    <w:rsid w:val="2A5B67F7"/>
    <w:rsid w:val="2A5D66AB"/>
    <w:rsid w:val="2A5F2BA2"/>
    <w:rsid w:val="2A617985"/>
    <w:rsid w:val="2A626AC1"/>
    <w:rsid w:val="2A7B2AC1"/>
    <w:rsid w:val="2A7C19A5"/>
    <w:rsid w:val="2A7F3244"/>
    <w:rsid w:val="2A8049CB"/>
    <w:rsid w:val="2A847B4D"/>
    <w:rsid w:val="2A892117"/>
    <w:rsid w:val="2AA168EB"/>
    <w:rsid w:val="2AA44E13"/>
    <w:rsid w:val="2AA806E9"/>
    <w:rsid w:val="2AAD30A1"/>
    <w:rsid w:val="2AAD3775"/>
    <w:rsid w:val="2AB34EBF"/>
    <w:rsid w:val="2AB9682E"/>
    <w:rsid w:val="2ABF34C7"/>
    <w:rsid w:val="2AC76D9E"/>
    <w:rsid w:val="2ACA4E23"/>
    <w:rsid w:val="2ACD0453"/>
    <w:rsid w:val="2AD43590"/>
    <w:rsid w:val="2AD90BA6"/>
    <w:rsid w:val="2AE61515"/>
    <w:rsid w:val="2AE930F5"/>
    <w:rsid w:val="2AEB07F7"/>
    <w:rsid w:val="2AF53506"/>
    <w:rsid w:val="2AF852A3"/>
    <w:rsid w:val="2AFF7497"/>
    <w:rsid w:val="2B01079C"/>
    <w:rsid w:val="2B09654D"/>
    <w:rsid w:val="2B0A1E4D"/>
    <w:rsid w:val="2B0B2F40"/>
    <w:rsid w:val="2B112F6F"/>
    <w:rsid w:val="2B1803C1"/>
    <w:rsid w:val="2B23002E"/>
    <w:rsid w:val="2B243355"/>
    <w:rsid w:val="2B293B50"/>
    <w:rsid w:val="2B2A72D4"/>
    <w:rsid w:val="2B363260"/>
    <w:rsid w:val="2B3B630C"/>
    <w:rsid w:val="2B3D7387"/>
    <w:rsid w:val="2B45638E"/>
    <w:rsid w:val="2B47568D"/>
    <w:rsid w:val="2B4939A8"/>
    <w:rsid w:val="2B4B29A2"/>
    <w:rsid w:val="2B4D3342"/>
    <w:rsid w:val="2B516A97"/>
    <w:rsid w:val="2B555CA8"/>
    <w:rsid w:val="2B5A7ECC"/>
    <w:rsid w:val="2B6142CE"/>
    <w:rsid w:val="2B65067F"/>
    <w:rsid w:val="2B6761B2"/>
    <w:rsid w:val="2B6A1F09"/>
    <w:rsid w:val="2B7804F2"/>
    <w:rsid w:val="2B7812FC"/>
    <w:rsid w:val="2B801021"/>
    <w:rsid w:val="2B844EE6"/>
    <w:rsid w:val="2B920E50"/>
    <w:rsid w:val="2B947B9B"/>
    <w:rsid w:val="2B966A97"/>
    <w:rsid w:val="2B9E3A12"/>
    <w:rsid w:val="2B9F6887"/>
    <w:rsid w:val="2BA056B8"/>
    <w:rsid w:val="2BA21030"/>
    <w:rsid w:val="2BA37A3D"/>
    <w:rsid w:val="2BB84C5F"/>
    <w:rsid w:val="2BBD4024"/>
    <w:rsid w:val="2BD04ED0"/>
    <w:rsid w:val="2BD923EC"/>
    <w:rsid w:val="2BDB6BA0"/>
    <w:rsid w:val="2BE71B7A"/>
    <w:rsid w:val="2BE958D1"/>
    <w:rsid w:val="2BEC2B5B"/>
    <w:rsid w:val="2BF008D2"/>
    <w:rsid w:val="2BF13CCD"/>
    <w:rsid w:val="2C057961"/>
    <w:rsid w:val="2C0B2C64"/>
    <w:rsid w:val="2C0B2FE1"/>
    <w:rsid w:val="2C0F3ACE"/>
    <w:rsid w:val="2C1027F2"/>
    <w:rsid w:val="2C2A0595"/>
    <w:rsid w:val="2C30560B"/>
    <w:rsid w:val="2C31056E"/>
    <w:rsid w:val="2C3A7EFE"/>
    <w:rsid w:val="2C463234"/>
    <w:rsid w:val="2C511A62"/>
    <w:rsid w:val="2C536453"/>
    <w:rsid w:val="2C542A30"/>
    <w:rsid w:val="2C585E31"/>
    <w:rsid w:val="2C5E0224"/>
    <w:rsid w:val="2C62428A"/>
    <w:rsid w:val="2C677440"/>
    <w:rsid w:val="2C677A71"/>
    <w:rsid w:val="2C70553A"/>
    <w:rsid w:val="2C70607F"/>
    <w:rsid w:val="2C737B50"/>
    <w:rsid w:val="2C8A3ED2"/>
    <w:rsid w:val="2C8D3F94"/>
    <w:rsid w:val="2C90798A"/>
    <w:rsid w:val="2C9B7EB8"/>
    <w:rsid w:val="2CA23219"/>
    <w:rsid w:val="2CA74703"/>
    <w:rsid w:val="2CA90A4C"/>
    <w:rsid w:val="2CAF6062"/>
    <w:rsid w:val="2CAF60BD"/>
    <w:rsid w:val="2CB04C5F"/>
    <w:rsid w:val="2CB05936"/>
    <w:rsid w:val="2CB34429"/>
    <w:rsid w:val="2CBB2750"/>
    <w:rsid w:val="2CC3192C"/>
    <w:rsid w:val="2CC81DD5"/>
    <w:rsid w:val="2CC96C0B"/>
    <w:rsid w:val="2CD47877"/>
    <w:rsid w:val="2CDA0C05"/>
    <w:rsid w:val="2CDA4CFA"/>
    <w:rsid w:val="2CDE6034"/>
    <w:rsid w:val="2CE7515C"/>
    <w:rsid w:val="2CE91146"/>
    <w:rsid w:val="2CEA2043"/>
    <w:rsid w:val="2CEB50A7"/>
    <w:rsid w:val="2CF0667B"/>
    <w:rsid w:val="2CF54280"/>
    <w:rsid w:val="2CF972DD"/>
    <w:rsid w:val="2D031F8E"/>
    <w:rsid w:val="2D087520"/>
    <w:rsid w:val="2D0C2B17"/>
    <w:rsid w:val="2D0F4D53"/>
    <w:rsid w:val="2D11433C"/>
    <w:rsid w:val="2D1659A0"/>
    <w:rsid w:val="2D170271"/>
    <w:rsid w:val="2D1C2FCC"/>
    <w:rsid w:val="2D1E4F96"/>
    <w:rsid w:val="2D1F486A"/>
    <w:rsid w:val="2D214A86"/>
    <w:rsid w:val="2D287230"/>
    <w:rsid w:val="2D2873D5"/>
    <w:rsid w:val="2D2E2024"/>
    <w:rsid w:val="2D3541DF"/>
    <w:rsid w:val="2D3775A8"/>
    <w:rsid w:val="2D4241CE"/>
    <w:rsid w:val="2D572346"/>
    <w:rsid w:val="2D5B4559"/>
    <w:rsid w:val="2D5B7AAC"/>
    <w:rsid w:val="2D5E59AD"/>
    <w:rsid w:val="2D604D17"/>
    <w:rsid w:val="2D636E4D"/>
    <w:rsid w:val="2D6E6317"/>
    <w:rsid w:val="2D71156A"/>
    <w:rsid w:val="2D7453AC"/>
    <w:rsid w:val="2D753C5F"/>
    <w:rsid w:val="2D817A01"/>
    <w:rsid w:val="2D8E2BB9"/>
    <w:rsid w:val="2D963C58"/>
    <w:rsid w:val="2D970D3C"/>
    <w:rsid w:val="2DA7715A"/>
    <w:rsid w:val="2DB7195A"/>
    <w:rsid w:val="2DBD030B"/>
    <w:rsid w:val="2DC25DA1"/>
    <w:rsid w:val="2DD64A42"/>
    <w:rsid w:val="2DE037F5"/>
    <w:rsid w:val="2DE941AF"/>
    <w:rsid w:val="2DE955A4"/>
    <w:rsid w:val="2DEB22F2"/>
    <w:rsid w:val="2DF07FD3"/>
    <w:rsid w:val="2DF91651"/>
    <w:rsid w:val="2DFA397D"/>
    <w:rsid w:val="2DFF426E"/>
    <w:rsid w:val="2E101C15"/>
    <w:rsid w:val="2E126473"/>
    <w:rsid w:val="2E1419DA"/>
    <w:rsid w:val="2E1503B1"/>
    <w:rsid w:val="2E18682A"/>
    <w:rsid w:val="2E213DF4"/>
    <w:rsid w:val="2E22255A"/>
    <w:rsid w:val="2E230EF7"/>
    <w:rsid w:val="2E293288"/>
    <w:rsid w:val="2E2C36E3"/>
    <w:rsid w:val="2E362C09"/>
    <w:rsid w:val="2E36630F"/>
    <w:rsid w:val="2E383E35"/>
    <w:rsid w:val="2E3C047D"/>
    <w:rsid w:val="2E586286"/>
    <w:rsid w:val="2E5B2E08"/>
    <w:rsid w:val="2E5C5D76"/>
    <w:rsid w:val="2E6017EF"/>
    <w:rsid w:val="2E61672B"/>
    <w:rsid w:val="2E734670"/>
    <w:rsid w:val="2E7E7DC6"/>
    <w:rsid w:val="2E82031A"/>
    <w:rsid w:val="2E8A338C"/>
    <w:rsid w:val="2E8F1C72"/>
    <w:rsid w:val="2E932FE8"/>
    <w:rsid w:val="2E9D3186"/>
    <w:rsid w:val="2E9E10ED"/>
    <w:rsid w:val="2E9E177F"/>
    <w:rsid w:val="2EA55A4A"/>
    <w:rsid w:val="2EA70A98"/>
    <w:rsid w:val="2EAA4A5F"/>
    <w:rsid w:val="2EB20AE4"/>
    <w:rsid w:val="2EB931C8"/>
    <w:rsid w:val="2ECE0C97"/>
    <w:rsid w:val="2ECE6548"/>
    <w:rsid w:val="2ED22113"/>
    <w:rsid w:val="2ED7038E"/>
    <w:rsid w:val="2ED973A9"/>
    <w:rsid w:val="2EDB431F"/>
    <w:rsid w:val="2EE47B19"/>
    <w:rsid w:val="2EE92816"/>
    <w:rsid w:val="2F030D93"/>
    <w:rsid w:val="2F032695"/>
    <w:rsid w:val="2F062BB5"/>
    <w:rsid w:val="2F0649DE"/>
    <w:rsid w:val="2F0B32F8"/>
    <w:rsid w:val="2F0E71BF"/>
    <w:rsid w:val="2F102E4C"/>
    <w:rsid w:val="2F104DB2"/>
    <w:rsid w:val="2F1C3757"/>
    <w:rsid w:val="2F1C6CD0"/>
    <w:rsid w:val="2F1F0B51"/>
    <w:rsid w:val="2F21002F"/>
    <w:rsid w:val="2F2666CA"/>
    <w:rsid w:val="2F2B1FA0"/>
    <w:rsid w:val="2F2B399A"/>
    <w:rsid w:val="2F2C4FE9"/>
    <w:rsid w:val="2F2D3E72"/>
    <w:rsid w:val="2F38266A"/>
    <w:rsid w:val="2F3D655A"/>
    <w:rsid w:val="2F4B2025"/>
    <w:rsid w:val="2F560A17"/>
    <w:rsid w:val="2F572ED3"/>
    <w:rsid w:val="2F577925"/>
    <w:rsid w:val="2F580725"/>
    <w:rsid w:val="2F5A6DBC"/>
    <w:rsid w:val="2F61116A"/>
    <w:rsid w:val="2F6B1FE9"/>
    <w:rsid w:val="2F7D6077"/>
    <w:rsid w:val="2F8224FF"/>
    <w:rsid w:val="2F8B2E0E"/>
    <w:rsid w:val="2F9B23BE"/>
    <w:rsid w:val="2F9E23BE"/>
    <w:rsid w:val="2FA1291F"/>
    <w:rsid w:val="2FA234C9"/>
    <w:rsid w:val="2FAE58E9"/>
    <w:rsid w:val="2FB15841"/>
    <w:rsid w:val="2FB62DF7"/>
    <w:rsid w:val="2FBC25A1"/>
    <w:rsid w:val="2FC32F68"/>
    <w:rsid w:val="2FC74572"/>
    <w:rsid w:val="2FC751AB"/>
    <w:rsid w:val="2FC75471"/>
    <w:rsid w:val="2FD11661"/>
    <w:rsid w:val="2FD46B23"/>
    <w:rsid w:val="2FD528C3"/>
    <w:rsid w:val="2FD92212"/>
    <w:rsid w:val="2FDB4900"/>
    <w:rsid w:val="2FEC6B95"/>
    <w:rsid w:val="2FF14E6A"/>
    <w:rsid w:val="30041A89"/>
    <w:rsid w:val="30051B8A"/>
    <w:rsid w:val="300F506A"/>
    <w:rsid w:val="30161CF4"/>
    <w:rsid w:val="3016447C"/>
    <w:rsid w:val="30171A9B"/>
    <w:rsid w:val="301B7BF5"/>
    <w:rsid w:val="301D34C8"/>
    <w:rsid w:val="301D547D"/>
    <w:rsid w:val="30201025"/>
    <w:rsid w:val="30204B81"/>
    <w:rsid w:val="30287DAE"/>
    <w:rsid w:val="302C14EA"/>
    <w:rsid w:val="30335589"/>
    <w:rsid w:val="30336FAA"/>
    <w:rsid w:val="303E4FB3"/>
    <w:rsid w:val="30446283"/>
    <w:rsid w:val="304E0B54"/>
    <w:rsid w:val="305054EA"/>
    <w:rsid w:val="30562C99"/>
    <w:rsid w:val="3057497A"/>
    <w:rsid w:val="305A62E5"/>
    <w:rsid w:val="306040EB"/>
    <w:rsid w:val="307B44AD"/>
    <w:rsid w:val="308405B2"/>
    <w:rsid w:val="308603DF"/>
    <w:rsid w:val="30883ED2"/>
    <w:rsid w:val="30890978"/>
    <w:rsid w:val="30893E07"/>
    <w:rsid w:val="30907F59"/>
    <w:rsid w:val="309917DB"/>
    <w:rsid w:val="309C01A1"/>
    <w:rsid w:val="30A2737F"/>
    <w:rsid w:val="30A56E8B"/>
    <w:rsid w:val="30A92B58"/>
    <w:rsid w:val="30C25BF4"/>
    <w:rsid w:val="30C45E54"/>
    <w:rsid w:val="30C776F3"/>
    <w:rsid w:val="30C929B7"/>
    <w:rsid w:val="30CD0A85"/>
    <w:rsid w:val="30D5040C"/>
    <w:rsid w:val="30DA4EAA"/>
    <w:rsid w:val="30E03A94"/>
    <w:rsid w:val="30E072A6"/>
    <w:rsid w:val="30E97669"/>
    <w:rsid w:val="30E97D2A"/>
    <w:rsid w:val="30EF26D5"/>
    <w:rsid w:val="30F229C1"/>
    <w:rsid w:val="30F948E2"/>
    <w:rsid w:val="30FC3A56"/>
    <w:rsid w:val="31000093"/>
    <w:rsid w:val="31005738"/>
    <w:rsid w:val="31093206"/>
    <w:rsid w:val="310C211D"/>
    <w:rsid w:val="310E5321"/>
    <w:rsid w:val="311C4FA2"/>
    <w:rsid w:val="311F1372"/>
    <w:rsid w:val="3120620A"/>
    <w:rsid w:val="312B4AB9"/>
    <w:rsid w:val="313227C1"/>
    <w:rsid w:val="313935B7"/>
    <w:rsid w:val="314B289F"/>
    <w:rsid w:val="314B5320"/>
    <w:rsid w:val="315039F4"/>
    <w:rsid w:val="31551F9A"/>
    <w:rsid w:val="31562CFE"/>
    <w:rsid w:val="315A3D9B"/>
    <w:rsid w:val="316D0DA5"/>
    <w:rsid w:val="317177AC"/>
    <w:rsid w:val="317470DC"/>
    <w:rsid w:val="3188571C"/>
    <w:rsid w:val="31945827"/>
    <w:rsid w:val="31946FAF"/>
    <w:rsid w:val="31A33AA5"/>
    <w:rsid w:val="31AA45E3"/>
    <w:rsid w:val="31B01BB4"/>
    <w:rsid w:val="31B41A25"/>
    <w:rsid w:val="31BA5C13"/>
    <w:rsid w:val="31BB2DB3"/>
    <w:rsid w:val="31C84D63"/>
    <w:rsid w:val="31D22CC8"/>
    <w:rsid w:val="31D26295"/>
    <w:rsid w:val="31D574D0"/>
    <w:rsid w:val="31E16592"/>
    <w:rsid w:val="31E617A6"/>
    <w:rsid w:val="31E84392"/>
    <w:rsid w:val="31F2254D"/>
    <w:rsid w:val="31F462C5"/>
    <w:rsid w:val="32032617"/>
    <w:rsid w:val="32040A2C"/>
    <w:rsid w:val="32086126"/>
    <w:rsid w:val="32184017"/>
    <w:rsid w:val="321F7140"/>
    <w:rsid w:val="3222475B"/>
    <w:rsid w:val="322A300B"/>
    <w:rsid w:val="322E42D9"/>
    <w:rsid w:val="323B6E74"/>
    <w:rsid w:val="32454D73"/>
    <w:rsid w:val="32455934"/>
    <w:rsid w:val="3247650A"/>
    <w:rsid w:val="325441B9"/>
    <w:rsid w:val="325B14B0"/>
    <w:rsid w:val="325D0C4A"/>
    <w:rsid w:val="325D20BC"/>
    <w:rsid w:val="326F3E4B"/>
    <w:rsid w:val="327127D7"/>
    <w:rsid w:val="32712BD2"/>
    <w:rsid w:val="327238B8"/>
    <w:rsid w:val="32731157"/>
    <w:rsid w:val="32771258"/>
    <w:rsid w:val="327A0EC0"/>
    <w:rsid w:val="32803FFD"/>
    <w:rsid w:val="328533C1"/>
    <w:rsid w:val="32863FA2"/>
    <w:rsid w:val="32874D38"/>
    <w:rsid w:val="328843A3"/>
    <w:rsid w:val="328949F5"/>
    <w:rsid w:val="32904240"/>
    <w:rsid w:val="329527DC"/>
    <w:rsid w:val="32A412F7"/>
    <w:rsid w:val="32A55805"/>
    <w:rsid w:val="32A813AE"/>
    <w:rsid w:val="32B65A63"/>
    <w:rsid w:val="32BD2B5B"/>
    <w:rsid w:val="32C263C3"/>
    <w:rsid w:val="32C44BDA"/>
    <w:rsid w:val="32C539AB"/>
    <w:rsid w:val="32C63D92"/>
    <w:rsid w:val="32C728C5"/>
    <w:rsid w:val="32D61E6F"/>
    <w:rsid w:val="32D90D57"/>
    <w:rsid w:val="32DB47FF"/>
    <w:rsid w:val="32E71A40"/>
    <w:rsid w:val="32EB1476"/>
    <w:rsid w:val="32EB76C8"/>
    <w:rsid w:val="32F75335"/>
    <w:rsid w:val="33020E3C"/>
    <w:rsid w:val="331035D3"/>
    <w:rsid w:val="33106E7A"/>
    <w:rsid w:val="331D429D"/>
    <w:rsid w:val="3323081E"/>
    <w:rsid w:val="332718FB"/>
    <w:rsid w:val="3330731C"/>
    <w:rsid w:val="33340A26"/>
    <w:rsid w:val="333418BE"/>
    <w:rsid w:val="33380434"/>
    <w:rsid w:val="333B6EC9"/>
    <w:rsid w:val="334119DE"/>
    <w:rsid w:val="33424D5D"/>
    <w:rsid w:val="334943EF"/>
    <w:rsid w:val="334D5380"/>
    <w:rsid w:val="334F2C2F"/>
    <w:rsid w:val="335453C3"/>
    <w:rsid w:val="33607A36"/>
    <w:rsid w:val="336359DD"/>
    <w:rsid w:val="33650DA4"/>
    <w:rsid w:val="33673AD1"/>
    <w:rsid w:val="337B4EF0"/>
    <w:rsid w:val="337F42B4"/>
    <w:rsid w:val="3380575E"/>
    <w:rsid w:val="338E42A3"/>
    <w:rsid w:val="33957E5B"/>
    <w:rsid w:val="33A30E9B"/>
    <w:rsid w:val="33A51F6D"/>
    <w:rsid w:val="33AE48EF"/>
    <w:rsid w:val="33B141A9"/>
    <w:rsid w:val="33B163B8"/>
    <w:rsid w:val="33B5249F"/>
    <w:rsid w:val="33B72771"/>
    <w:rsid w:val="33BF2691"/>
    <w:rsid w:val="33C1667B"/>
    <w:rsid w:val="33C31BAD"/>
    <w:rsid w:val="33CB4EA8"/>
    <w:rsid w:val="33DB773D"/>
    <w:rsid w:val="33DC34B5"/>
    <w:rsid w:val="33F6401E"/>
    <w:rsid w:val="33F9299F"/>
    <w:rsid w:val="33FE78CF"/>
    <w:rsid w:val="34025495"/>
    <w:rsid w:val="34172F02"/>
    <w:rsid w:val="34192013"/>
    <w:rsid w:val="341B5C08"/>
    <w:rsid w:val="341B6453"/>
    <w:rsid w:val="341D2989"/>
    <w:rsid w:val="34257C99"/>
    <w:rsid w:val="34284CA8"/>
    <w:rsid w:val="342A73B3"/>
    <w:rsid w:val="34303B21"/>
    <w:rsid w:val="34321327"/>
    <w:rsid w:val="343230D5"/>
    <w:rsid w:val="343D4E57"/>
    <w:rsid w:val="343E023A"/>
    <w:rsid w:val="34454A2F"/>
    <w:rsid w:val="344A2B14"/>
    <w:rsid w:val="344C2BBE"/>
    <w:rsid w:val="344C6CCF"/>
    <w:rsid w:val="344E1C6F"/>
    <w:rsid w:val="34572532"/>
    <w:rsid w:val="345E497B"/>
    <w:rsid w:val="346516EA"/>
    <w:rsid w:val="346D3C31"/>
    <w:rsid w:val="34725B9A"/>
    <w:rsid w:val="34726D60"/>
    <w:rsid w:val="3474301A"/>
    <w:rsid w:val="347C14F1"/>
    <w:rsid w:val="348744BB"/>
    <w:rsid w:val="348A3241"/>
    <w:rsid w:val="348F6ABA"/>
    <w:rsid w:val="349A73C6"/>
    <w:rsid w:val="349C219C"/>
    <w:rsid w:val="349C61FF"/>
    <w:rsid w:val="34A246FE"/>
    <w:rsid w:val="34A60418"/>
    <w:rsid w:val="34AC732B"/>
    <w:rsid w:val="34AE217C"/>
    <w:rsid w:val="34AF2977"/>
    <w:rsid w:val="34AF6AD4"/>
    <w:rsid w:val="34B37CA6"/>
    <w:rsid w:val="34BA7A93"/>
    <w:rsid w:val="34BB68B1"/>
    <w:rsid w:val="34BE4ED1"/>
    <w:rsid w:val="34BF705E"/>
    <w:rsid w:val="34C25B5B"/>
    <w:rsid w:val="34C26C1E"/>
    <w:rsid w:val="34CB5A03"/>
    <w:rsid w:val="34CE3E2A"/>
    <w:rsid w:val="34CF0B5D"/>
    <w:rsid w:val="34D16D92"/>
    <w:rsid w:val="34D2381B"/>
    <w:rsid w:val="34D65F41"/>
    <w:rsid w:val="34DA5C46"/>
    <w:rsid w:val="34E05800"/>
    <w:rsid w:val="34E17AF3"/>
    <w:rsid w:val="34E75451"/>
    <w:rsid w:val="34E977CB"/>
    <w:rsid w:val="34F85BB4"/>
    <w:rsid w:val="34FB6BCB"/>
    <w:rsid w:val="34FF56AD"/>
    <w:rsid w:val="35150A2C"/>
    <w:rsid w:val="35151D9B"/>
    <w:rsid w:val="3518684B"/>
    <w:rsid w:val="352168DB"/>
    <w:rsid w:val="35275D67"/>
    <w:rsid w:val="352D28C8"/>
    <w:rsid w:val="352E7D00"/>
    <w:rsid w:val="353D2CE5"/>
    <w:rsid w:val="353F1F4D"/>
    <w:rsid w:val="35410CCD"/>
    <w:rsid w:val="354613F6"/>
    <w:rsid w:val="35492DCC"/>
    <w:rsid w:val="354D27B9"/>
    <w:rsid w:val="3555351F"/>
    <w:rsid w:val="356024C6"/>
    <w:rsid w:val="35633FD8"/>
    <w:rsid w:val="35650039"/>
    <w:rsid w:val="356C2617"/>
    <w:rsid w:val="357331BF"/>
    <w:rsid w:val="357C2CDC"/>
    <w:rsid w:val="3585695C"/>
    <w:rsid w:val="35867971"/>
    <w:rsid w:val="358D5E88"/>
    <w:rsid w:val="35941EE7"/>
    <w:rsid w:val="35995577"/>
    <w:rsid w:val="35A818A1"/>
    <w:rsid w:val="35AA3319"/>
    <w:rsid w:val="35AF55A2"/>
    <w:rsid w:val="35B463FB"/>
    <w:rsid w:val="35BA5FA0"/>
    <w:rsid w:val="35BE6073"/>
    <w:rsid w:val="35C04380"/>
    <w:rsid w:val="35C6441D"/>
    <w:rsid w:val="35C64805"/>
    <w:rsid w:val="35C773D6"/>
    <w:rsid w:val="35C97A69"/>
    <w:rsid w:val="35CD1B07"/>
    <w:rsid w:val="35CF507F"/>
    <w:rsid w:val="35D01EDB"/>
    <w:rsid w:val="35D43AA5"/>
    <w:rsid w:val="35D73F34"/>
    <w:rsid w:val="35E01551"/>
    <w:rsid w:val="35EA010B"/>
    <w:rsid w:val="35FC7B58"/>
    <w:rsid w:val="360C593C"/>
    <w:rsid w:val="361231BE"/>
    <w:rsid w:val="36133FC9"/>
    <w:rsid w:val="36170A05"/>
    <w:rsid w:val="361E705B"/>
    <w:rsid w:val="36267C4F"/>
    <w:rsid w:val="362D524B"/>
    <w:rsid w:val="362D7FF8"/>
    <w:rsid w:val="36335007"/>
    <w:rsid w:val="363D414B"/>
    <w:rsid w:val="363F212F"/>
    <w:rsid w:val="36561EDA"/>
    <w:rsid w:val="3656754F"/>
    <w:rsid w:val="366476CB"/>
    <w:rsid w:val="36710D10"/>
    <w:rsid w:val="36756265"/>
    <w:rsid w:val="367631F3"/>
    <w:rsid w:val="367B39F1"/>
    <w:rsid w:val="367E65A5"/>
    <w:rsid w:val="36802077"/>
    <w:rsid w:val="36806379"/>
    <w:rsid w:val="36844301"/>
    <w:rsid w:val="36872866"/>
    <w:rsid w:val="3687741F"/>
    <w:rsid w:val="369508BA"/>
    <w:rsid w:val="36977A9E"/>
    <w:rsid w:val="369B67CB"/>
    <w:rsid w:val="369E0A48"/>
    <w:rsid w:val="36B349A1"/>
    <w:rsid w:val="36B52C04"/>
    <w:rsid w:val="36BA0F57"/>
    <w:rsid w:val="36C1706E"/>
    <w:rsid w:val="36C20165"/>
    <w:rsid w:val="36C654C6"/>
    <w:rsid w:val="36C71D39"/>
    <w:rsid w:val="36CF2777"/>
    <w:rsid w:val="36E032BC"/>
    <w:rsid w:val="36E865A3"/>
    <w:rsid w:val="36EB05DD"/>
    <w:rsid w:val="36EB7CB7"/>
    <w:rsid w:val="36FA59B7"/>
    <w:rsid w:val="36FC46E4"/>
    <w:rsid w:val="36FE5C9E"/>
    <w:rsid w:val="370D0A8E"/>
    <w:rsid w:val="37113475"/>
    <w:rsid w:val="371D1DF0"/>
    <w:rsid w:val="371E3A29"/>
    <w:rsid w:val="3726778C"/>
    <w:rsid w:val="372975B4"/>
    <w:rsid w:val="372E6D18"/>
    <w:rsid w:val="373F246B"/>
    <w:rsid w:val="37500442"/>
    <w:rsid w:val="37542EEF"/>
    <w:rsid w:val="375C3DD0"/>
    <w:rsid w:val="375F2433"/>
    <w:rsid w:val="37627087"/>
    <w:rsid w:val="376B32F9"/>
    <w:rsid w:val="376F7781"/>
    <w:rsid w:val="37736187"/>
    <w:rsid w:val="37774698"/>
    <w:rsid w:val="377D39AF"/>
    <w:rsid w:val="377D40C0"/>
    <w:rsid w:val="37872A2C"/>
    <w:rsid w:val="37875062"/>
    <w:rsid w:val="378F162B"/>
    <w:rsid w:val="37990BFB"/>
    <w:rsid w:val="37A435E3"/>
    <w:rsid w:val="37A602F2"/>
    <w:rsid w:val="37A62DA4"/>
    <w:rsid w:val="37B54749"/>
    <w:rsid w:val="37B60206"/>
    <w:rsid w:val="37BA1D5F"/>
    <w:rsid w:val="37BD4B63"/>
    <w:rsid w:val="37BF7375"/>
    <w:rsid w:val="37C15798"/>
    <w:rsid w:val="37D54C68"/>
    <w:rsid w:val="37DE6F96"/>
    <w:rsid w:val="37DF4A44"/>
    <w:rsid w:val="37DF57D1"/>
    <w:rsid w:val="37E86146"/>
    <w:rsid w:val="37EB70FE"/>
    <w:rsid w:val="37EE724E"/>
    <w:rsid w:val="37F107C7"/>
    <w:rsid w:val="37F50CDF"/>
    <w:rsid w:val="37F5541B"/>
    <w:rsid w:val="37FA0E99"/>
    <w:rsid w:val="380354B4"/>
    <w:rsid w:val="380B7600"/>
    <w:rsid w:val="380C458D"/>
    <w:rsid w:val="380D6220"/>
    <w:rsid w:val="381625C9"/>
    <w:rsid w:val="381771B6"/>
    <w:rsid w:val="3824244C"/>
    <w:rsid w:val="3827344A"/>
    <w:rsid w:val="38304781"/>
    <w:rsid w:val="383E64EC"/>
    <w:rsid w:val="383F0A8C"/>
    <w:rsid w:val="38402058"/>
    <w:rsid w:val="38473CCF"/>
    <w:rsid w:val="38481119"/>
    <w:rsid w:val="38515297"/>
    <w:rsid w:val="3857135C"/>
    <w:rsid w:val="38632701"/>
    <w:rsid w:val="386374CD"/>
    <w:rsid w:val="38667E38"/>
    <w:rsid w:val="386A6306"/>
    <w:rsid w:val="386F66A6"/>
    <w:rsid w:val="38710670"/>
    <w:rsid w:val="38752886"/>
    <w:rsid w:val="38794BBC"/>
    <w:rsid w:val="388434EC"/>
    <w:rsid w:val="388749CB"/>
    <w:rsid w:val="388B6152"/>
    <w:rsid w:val="389A6DAB"/>
    <w:rsid w:val="38A122FE"/>
    <w:rsid w:val="38A22DE6"/>
    <w:rsid w:val="38AC6AEC"/>
    <w:rsid w:val="38AD71CE"/>
    <w:rsid w:val="38B77B2F"/>
    <w:rsid w:val="38B87F04"/>
    <w:rsid w:val="38BE7CAB"/>
    <w:rsid w:val="38BF2926"/>
    <w:rsid w:val="38C05153"/>
    <w:rsid w:val="38C26B5D"/>
    <w:rsid w:val="38CE09C2"/>
    <w:rsid w:val="38D40BFF"/>
    <w:rsid w:val="38D53666"/>
    <w:rsid w:val="38E42F90"/>
    <w:rsid w:val="38E47094"/>
    <w:rsid w:val="38E56B1B"/>
    <w:rsid w:val="38E64068"/>
    <w:rsid w:val="38EE7B2F"/>
    <w:rsid w:val="38F37AF9"/>
    <w:rsid w:val="38F8063F"/>
    <w:rsid w:val="390157DE"/>
    <w:rsid w:val="390B0AC4"/>
    <w:rsid w:val="390D035C"/>
    <w:rsid w:val="390E4B1E"/>
    <w:rsid w:val="391B13F0"/>
    <w:rsid w:val="391B4A7F"/>
    <w:rsid w:val="39202096"/>
    <w:rsid w:val="393A5E6D"/>
    <w:rsid w:val="393D67A4"/>
    <w:rsid w:val="39440BD0"/>
    <w:rsid w:val="39454A2B"/>
    <w:rsid w:val="39486B0B"/>
    <w:rsid w:val="394F4BB1"/>
    <w:rsid w:val="39534219"/>
    <w:rsid w:val="395419EB"/>
    <w:rsid w:val="39581830"/>
    <w:rsid w:val="396225C5"/>
    <w:rsid w:val="39673640"/>
    <w:rsid w:val="39684398"/>
    <w:rsid w:val="3969022D"/>
    <w:rsid w:val="3969084F"/>
    <w:rsid w:val="39694E01"/>
    <w:rsid w:val="3972099A"/>
    <w:rsid w:val="397C3A03"/>
    <w:rsid w:val="397D1296"/>
    <w:rsid w:val="398244FE"/>
    <w:rsid w:val="398919E9"/>
    <w:rsid w:val="398E6FFF"/>
    <w:rsid w:val="39921F91"/>
    <w:rsid w:val="39950F55"/>
    <w:rsid w:val="39967178"/>
    <w:rsid w:val="399C2315"/>
    <w:rsid w:val="399D4513"/>
    <w:rsid w:val="399F5FCF"/>
    <w:rsid w:val="39A706A6"/>
    <w:rsid w:val="39AA61FB"/>
    <w:rsid w:val="39AE63D1"/>
    <w:rsid w:val="39B81541"/>
    <w:rsid w:val="39BE63D2"/>
    <w:rsid w:val="39BF7F5D"/>
    <w:rsid w:val="39C026EF"/>
    <w:rsid w:val="39C26CD1"/>
    <w:rsid w:val="39C73159"/>
    <w:rsid w:val="39CD28CD"/>
    <w:rsid w:val="39CE38A0"/>
    <w:rsid w:val="39D81E29"/>
    <w:rsid w:val="39DB140D"/>
    <w:rsid w:val="39E61804"/>
    <w:rsid w:val="39E7368D"/>
    <w:rsid w:val="39ED125E"/>
    <w:rsid w:val="39EE0E01"/>
    <w:rsid w:val="39F07CBA"/>
    <w:rsid w:val="39F27754"/>
    <w:rsid w:val="39F31AC6"/>
    <w:rsid w:val="39F77379"/>
    <w:rsid w:val="39FC665F"/>
    <w:rsid w:val="39FF3A59"/>
    <w:rsid w:val="3A080B60"/>
    <w:rsid w:val="3A086DB2"/>
    <w:rsid w:val="3A0A0D7C"/>
    <w:rsid w:val="3A0B03CA"/>
    <w:rsid w:val="3A0F6DD0"/>
    <w:rsid w:val="3A105C66"/>
    <w:rsid w:val="3A1379D5"/>
    <w:rsid w:val="3A253ED3"/>
    <w:rsid w:val="3A274477"/>
    <w:rsid w:val="3A2A6E01"/>
    <w:rsid w:val="3A2B6F44"/>
    <w:rsid w:val="3A2C1470"/>
    <w:rsid w:val="3A32028A"/>
    <w:rsid w:val="3A476B70"/>
    <w:rsid w:val="3A496541"/>
    <w:rsid w:val="3A507D03"/>
    <w:rsid w:val="3A564FC6"/>
    <w:rsid w:val="3A5E0035"/>
    <w:rsid w:val="3A6B7D18"/>
    <w:rsid w:val="3A6C5E1C"/>
    <w:rsid w:val="3A776D5D"/>
    <w:rsid w:val="3A7B34DA"/>
    <w:rsid w:val="3A7B60FF"/>
    <w:rsid w:val="3A832C4C"/>
    <w:rsid w:val="3A872622"/>
    <w:rsid w:val="3A887EF3"/>
    <w:rsid w:val="3A8E4DD5"/>
    <w:rsid w:val="3A9B69B4"/>
    <w:rsid w:val="3A9C1EB7"/>
    <w:rsid w:val="3A9D40B6"/>
    <w:rsid w:val="3A9F50C7"/>
    <w:rsid w:val="3AA330E2"/>
    <w:rsid w:val="3AA35E85"/>
    <w:rsid w:val="3AAF57CC"/>
    <w:rsid w:val="3AB35737"/>
    <w:rsid w:val="3ABE56C2"/>
    <w:rsid w:val="3AD1108C"/>
    <w:rsid w:val="3AD153F6"/>
    <w:rsid w:val="3AD37E13"/>
    <w:rsid w:val="3AD76025"/>
    <w:rsid w:val="3AD81CD0"/>
    <w:rsid w:val="3ADF126B"/>
    <w:rsid w:val="3ADF67F8"/>
    <w:rsid w:val="3AEC7003"/>
    <w:rsid w:val="3B027CA5"/>
    <w:rsid w:val="3B1B0020"/>
    <w:rsid w:val="3B1B0D67"/>
    <w:rsid w:val="3B283ACB"/>
    <w:rsid w:val="3B2D45F6"/>
    <w:rsid w:val="3B355FF1"/>
    <w:rsid w:val="3B3A1CDA"/>
    <w:rsid w:val="3B4429CF"/>
    <w:rsid w:val="3B4501F9"/>
    <w:rsid w:val="3B4723E0"/>
    <w:rsid w:val="3B497682"/>
    <w:rsid w:val="3B5813BE"/>
    <w:rsid w:val="3B5B1163"/>
    <w:rsid w:val="3B5E76EE"/>
    <w:rsid w:val="3B620744"/>
    <w:rsid w:val="3B636050"/>
    <w:rsid w:val="3B72617B"/>
    <w:rsid w:val="3B7A3CDF"/>
    <w:rsid w:val="3B7B3AA4"/>
    <w:rsid w:val="3B8459FE"/>
    <w:rsid w:val="3B851070"/>
    <w:rsid w:val="3B895CD0"/>
    <w:rsid w:val="3B9308FD"/>
    <w:rsid w:val="3B936B4F"/>
    <w:rsid w:val="3B951F42"/>
    <w:rsid w:val="3B984165"/>
    <w:rsid w:val="3BA60D10"/>
    <w:rsid w:val="3BB05953"/>
    <w:rsid w:val="3BB52984"/>
    <w:rsid w:val="3BBA619A"/>
    <w:rsid w:val="3BC27B48"/>
    <w:rsid w:val="3BD75B04"/>
    <w:rsid w:val="3BDB5C4D"/>
    <w:rsid w:val="3BE803E2"/>
    <w:rsid w:val="3BEA727C"/>
    <w:rsid w:val="3BF46599"/>
    <w:rsid w:val="3BF93F1A"/>
    <w:rsid w:val="3BFB5DFF"/>
    <w:rsid w:val="3BFC05AD"/>
    <w:rsid w:val="3BFC46F4"/>
    <w:rsid w:val="3C0056A5"/>
    <w:rsid w:val="3C047A4D"/>
    <w:rsid w:val="3C075E59"/>
    <w:rsid w:val="3C1031EB"/>
    <w:rsid w:val="3C103A9D"/>
    <w:rsid w:val="3C167601"/>
    <w:rsid w:val="3C1E420F"/>
    <w:rsid w:val="3C291EC0"/>
    <w:rsid w:val="3C3E15E3"/>
    <w:rsid w:val="3C440355"/>
    <w:rsid w:val="3C5138B7"/>
    <w:rsid w:val="3C556076"/>
    <w:rsid w:val="3C5B2466"/>
    <w:rsid w:val="3C613327"/>
    <w:rsid w:val="3C631823"/>
    <w:rsid w:val="3C6632B2"/>
    <w:rsid w:val="3C6A7681"/>
    <w:rsid w:val="3C6B32A8"/>
    <w:rsid w:val="3C6F492B"/>
    <w:rsid w:val="3C710B39"/>
    <w:rsid w:val="3C7437AD"/>
    <w:rsid w:val="3C7560DC"/>
    <w:rsid w:val="3C784CEF"/>
    <w:rsid w:val="3C8534DB"/>
    <w:rsid w:val="3C947E6B"/>
    <w:rsid w:val="3C9C6966"/>
    <w:rsid w:val="3CA115AD"/>
    <w:rsid w:val="3CAC1415"/>
    <w:rsid w:val="3CB212CE"/>
    <w:rsid w:val="3CB81533"/>
    <w:rsid w:val="3CBB23B1"/>
    <w:rsid w:val="3CC01BC6"/>
    <w:rsid w:val="3CC93DFD"/>
    <w:rsid w:val="3CD5085D"/>
    <w:rsid w:val="3CDB3F2D"/>
    <w:rsid w:val="3CE05DC4"/>
    <w:rsid w:val="3CED04E1"/>
    <w:rsid w:val="3CF8135F"/>
    <w:rsid w:val="3CFB49AC"/>
    <w:rsid w:val="3D052131"/>
    <w:rsid w:val="3D057BD5"/>
    <w:rsid w:val="3D0B13F5"/>
    <w:rsid w:val="3D1C44F8"/>
    <w:rsid w:val="3D2A34E3"/>
    <w:rsid w:val="3D2F4655"/>
    <w:rsid w:val="3D356E4E"/>
    <w:rsid w:val="3D3A2CFD"/>
    <w:rsid w:val="3D4070E8"/>
    <w:rsid w:val="3D457166"/>
    <w:rsid w:val="3D4D681C"/>
    <w:rsid w:val="3D4E1E57"/>
    <w:rsid w:val="3D50512E"/>
    <w:rsid w:val="3D605787"/>
    <w:rsid w:val="3D606F05"/>
    <w:rsid w:val="3D617264"/>
    <w:rsid w:val="3D65451B"/>
    <w:rsid w:val="3D793B23"/>
    <w:rsid w:val="3D7E738B"/>
    <w:rsid w:val="3D807EFF"/>
    <w:rsid w:val="3D8263F7"/>
    <w:rsid w:val="3D8C1AA8"/>
    <w:rsid w:val="3D9545C0"/>
    <w:rsid w:val="3D9B1F12"/>
    <w:rsid w:val="3D9D4A23"/>
    <w:rsid w:val="3DA81B6D"/>
    <w:rsid w:val="3DB47ECB"/>
    <w:rsid w:val="3DB63561"/>
    <w:rsid w:val="3DC2043F"/>
    <w:rsid w:val="3DD11700"/>
    <w:rsid w:val="3DD46556"/>
    <w:rsid w:val="3DDA6CB7"/>
    <w:rsid w:val="3DDC47DD"/>
    <w:rsid w:val="3DDF5D4B"/>
    <w:rsid w:val="3DE25B6C"/>
    <w:rsid w:val="3DEF013E"/>
    <w:rsid w:val="3DF178FB"/>
    <w:rsid w:val="3DF31B27"/>
    <w:rsid w:val="3DF510A0"/>
    <w:rsid w:val="3DF63860"/>
    <w:rsid w:val="3DF64D47"/>
    <w:rsid w:val="3E01608A"/>
    <w:rsid w:val="3E091B54"/>
    <w:rsid w:val="3E0953D7"/>
    <w:rsid w:val="3E0E7B26"/>
    <w:rsid w:val="3E1D6BA4"/>
    <w:rsid w:val="3E1F65B6"/>
    <w:rsid w:val="3E2148E6"/>
    <w:rsid w:val="3E224C7C"/>
    <w:rsid w:val="3E230966"/>
    <w:rsid w:val="3E2B01B3"/>
    <w:rsid w:val="3E2D6890"/>
    <w:rsid w:val="3E3100AD"/>
    <w:rsid w:val="3E422FB2"/>
    <w:rsid w:val="3E4C1343"/>
    <w:rsid w:val="3E530817"/>
    <w:rsid w:val="3E5D7C33"/>
    <w:rsid w:val="3E605628"/>
    <w:rsid w:val="3E6070C0"/>
    <w:rsid w:val="3E6913AF"/>
    <w:rsid w:val="3E6A08F3"/>
    <w:rsid w:val="3E6D498B"/>
    <w:rsid w:val="3E7C5655"/>
    <w:rsid w:val="3E7D3D36"/>
    <w:rsid w:val="3E824BC6"/>
    <w:rsid w:val="3E88666E"/>
    <w:rsid w:val="3E8E5630"/>
    <w:rsid w:val="3E9D5356"/>
    <w:rsid w:val="3EA61CCC"/>
    <w:rsid w:val="3EA80B63"/>
    <w:rsid w:val="3EB178A5"/>
    <w:rsid w:val="3EB47508"/>
    <w:rsid w:val="3EB730D5"/>
    <w:rsid w:val="3EC02494"/>
    <w:rsid w:val="3ECC70E8"/>
    <w:rsid w:val="3ECD2B96"/>
    <w:rsid w:val="3ECE24EA"/>
    <w:rsid w:val="3ECF60F0"/>
    <w:rsid w:val="3ED913F6"/>
    <w:rsid w:val="3EDE6333"/>
    <w:rsid w:val="3EE15E23"/>
    <w:rsid w:val="3EE2354C"/>
    <w:rsid w:val="3EE524BD"/>
    <w:rsid w:val="3EE6343A"/>
    <w:rsid w:val="3EF10A44"/>
    <w:rsid w:val="3EF618CF"/>
    <w:rsid w:val="3EF67EB8"/>
    <w:rsid w:val="3EFF6BE9"/>
    <w:rsid w:val="3F060B3B"/>
    <w:rsid w:val="3F0874F8"/>
    <w:rsid w:val="3F0A35CC"/>
    <w:rsid w:val="3F0F400B"/>
    <w:rsid w:val="3F0F5BC1"/>
    <w:rsid w:val="3F115584"/>
    <w:rsid w:val="3F1528D7"/>
    <w:rsid w:val="3F1767B1"/>
    <w:rsid w:val="3F2D1069"/>
    <w:rsid w:val="3F32667F"/>
    <w:rsid w:val="3F3818EC"/>
    <w:rsid w:val="3F3858E5"/>
    <w:rsid w:val="3F3F36A7"/>
    <w:rsid w:val="3F43088C"/>
    <w:rsid w:val="3F466B63"/>
    <w:rsid w:val="3F472639"/>
    <w:rsid w:val="3F4728A3"/>
    <w:rsid w:val="3F4D5E84"/>
    <w:rsid w:val="3F50493E"/>
    <w:rsid w:val="3F5130BA"/>
    <w:rsid w:val="3F53544D"/>
    <w:rsid w:val="3F5B4D58"/>
    <w:rsid w:val="3F604F9A"/>
    <w:rsid w:val="3F6154C5"/>
    <w:rsid w:val="3F626F64"/>
    <w:rsid w:val="3F713F31"/>
    <w:rsid w:val="3F850EA5"/>
    <w:rsid w:val="3F88629F"/>
    <w:rsid w:val="3F984734"/>
    <w:rsid w:val="3F987964"/>
    <w:rsid w:val="3F9A755E"/>
    <w:rsid w:val="3FA154AA"/>
    <w:rsid w:val="3FA449F7"/>
    <w:rsid w:val="3FA532F5"/>
    <w:rsid w:val="3FA9033C"/>
    <w:rsid w:val="3FA94B93"/>
    <w:rsid w:val="3FAB7C0B"/>
    <w:rsid w:val="3FB116AF"/>
    <w:rsid w:val="3FB53538"/>
    <w:rsid w:val="3FC1516B"/>
    <w:rsid w:val="3FD20E42"/>
    <w:rsid w:val="3FD76AD2"/>
    <w:rsid w:val="3FD85478"/>
    <w:rsid w:val="3FD97A92"/>
    <w:rsid w:val="3FE91433"/>
    <w:rsid w:val="3FEC3980"/>
    <w:rsid w:val="3FEE601B"/>
    <w:rsid w:val="3FF1653A"/>
    <w:rsid w:val="3FF34060"/>
    <w:rsid w:val="3FF73E65"/>
    <w:rsid w:val="3FF878C8"/>
    <w:rsid w:val="3FF951DD"/>
    <w:rsid w:val="40007A90"/>
    <w:rsid w:val="40093884"/>
    <w:rsid w:val="40181D19"/>
    <w:rsid w:val="401A783F"/>
    <w:rsid w:val="401B0F1D"/>
    <w:rsid w:val="401F28CC"/>
    <w:rsid w:val="402E786F"/>
    <w:rsid w:val="404457C1"/>
    <w:rsid w:val="404963D9"/>
    <w:rsid w:val="404B5C4A"/>
    <w:rsid w:val="40557893"/>
    <w:rsid w:val="4057639D"/>
    <w:rsid w:val="405D23A8"/>
    <w:rsid w:val="405E2413"/>
    <w:rsid w:val="4066283D"/>
    <w:rsid w:val="406C1ED0"/>
    <w:rsid w:val="407346AB"/>
    <w:rsid w:val="40750FE5"/>
    <w:rsid w:val="408234E1"/>
    <w:rsid w:val="40844CB8"/>
    <w:rsid w:val="40866C82"/>
    <w:rsid w:val="408810DD"/>
    <w:rsid w:val="40891C7B"/>
    <w:rsid w:val="40923879"/>
    <w:rsid w:val="40963FC7"/>
    <w:rsid w:val="409923CE"/>
    <w:rsid w:val="409B649D"/>
    <w:rsid w:val="40A42633"/>
    <w:rsid w:val="40A85D7C"/>
    <w:rsid w:val="40AB3370"/>
    <w:rsid w:val="40AF56BF"/>
    <w:rsid w:val="40B558C8"/>
    <w:rsid w:val="40B57AF2"/>
    <w:rsid w:val="40B77229"/>
    <w:rsid w:val="40C15CEA"/>
    <w:rsid w:val="40C67957"/>
    <w:rsid w:val="40CB6D8B"/>
    <w:rsid w:val="40CD00DD"/>
    <w:rsid w:val="40CD6240"/>
    <w:rsid w:val="40CE27F9"/>
    <w:rsid w:val="40D20119"/>
    <w:rsid w:val="40D72EBE"/>
    <w:rsid w:val="40DD1587"/>
    <w:rsid w:val="40DF41E9"/>
    <w:rsid w:val="40E165AE"/>
    <w:rsid w:val="40F150FB"/>
    <w:rsid w:val="40F45EFA"/>
    <w:rsid w:val="40F57964"/>
    <w:rsid w:val="40FF07E3"/>
    <w:rsid w:val="41007769"/>
    <w:rsid w:val="41086360"/>
    <w:rsid w:val="410B1343"/>
    <w:rsid w:val="410E6949"/>
    <w:rsid w:val="412169AB"/>
    <w:rsid w:val="41274597"/>
    <w:rsid w:val="412D2874"/>
    <w:rsid w:val="41355BA3"/>
    <w:rsid w:val="41401527"/>
    <w:rsid w:val="415154E2"/>
    <w:rsid w:val="415239B1"/>
    <w:rsid w:val="41592B96"/>
    <w:rsid w:val="415D3AAA"/>
    <w:rsid w:val="416827FE"/>
    <w:rsid w:val="416A4B24"/>
    <w:rsid w:val="416D399E"/>
    <w:rsid w:val="417B430D"/>
    <w:rsid w:val="417B6F7C"/>
    <w:rsid w:val="418164EC"/>
    <w:rsid w:val="41840737"/>
    <w:rsid w:val="41866A28"/>
    <w:rsid w:val="418772C7"/>
    <w:rsid w:val="41886CCF"/>
    <w:rsid w:val="418A792B"/>
    <w:rsid w:val="419249A3"/>
    <w:rsid w:val="41960F63"/>
    <w:rsid w:val="41963317"/>
    <w:rsid w:val="41965BEA"/>
    <w:rsid w:val="41A1020F"/>
    <w:rsid w:val="41A9092E"/>
    <w:rsid w:val="41B15F81"/>
    <w:rsid w:val="41B343A0"/>
    <w:rsid w:val="41B63A51"/>
    <w:rsid w:val="41BD4CD3"/>
    <w:rsid w:val="41BE41FA"/>
    <w:rsid w:val="41C4095E"/>
    <w:rsid w:val="41C41900"/>
    <w:rsid w:val="41C50675"/>
    <w:rsid w:val="41C537DA"/>
    <w:rsid w:val="41C97EEA"/>
    <w:rsid w:val="41CC4C17"/>
    <w:rsid w:val="41CD3503"/>
    <w:rsid w:val="41D02A92"/>
    <w:rsid w:val="41D41319"/>
    <w:rsid w:val="41D67795"/>
    <w:rsid w:val="41D936D3"/>
    <w:rsid w:val="41DC460C"/>
    <w:rsid w:val="41DE4E43"/>
    <w:rsid w:val="41E2438C"/>
    <w:rsid w:val="41E334F8"/>
    <w:rsid w:val="41EA09C0"/>
    <w:rsid w:val="41F14593"/>
    <w:rsid w:val="41F253F6"/>
    <w:rsid w:val="41F67E38"/>
    <w:rsid w:val="41F8770C"/>
    <w:rsid w:val="420662CD"/>
    <w:rsid w:val="420E1FCC"/>
    <w:rsid w:val="42177886"/>
    <w:rsid w:val="421E6786"/>
    <w:rsid w:val="42213106"/>
    <w:rsid w:val="42221DED"/>
    <w:rsid w:val="42274495"/>
    <w:rsid w:val="422B7AE1"/>
    <w:rsid w:val="422E75D1"/>
    <w:rsid w:val="42310AA6"/>
    <w:rsid w:val="423170C2"/>
    <w:rsid w:val="423269D5"/>
    <w:rsid w:val="423F5733"/>
    <w:rsid w:val="42417218"/>
    <w:rsid w:val="424607E1"/>
    <w:rsid w:val="42482613"/>
    <w:rsid w:val="424C1853"/>
    <w:rsid w:val="425B29CD"/>
    <w:rsid w:val="426B25D4"/>
    <w:rsid w:val="426E780A"/>
    <w:rsid w:val="42751305"/>
    <w:rsid w:val="42791A43"/>
    <w:rsid w:val="427C3788"/>
    <w:rsid w:val="427C658F"/>
    <w:rsid w:val="427D41CF"/>
    <w:rsid w:val="42814D75"/>
    <w:rsid w:val="42845443"/>
    <w:rsid w:val="428471F1"/>
    <w:rsid w:val="4286597A"/>
    <w:rsid w:val="42892A5A"/>
    <w:rsid w:val="428A713A"/>
    <w:rsid w:val="428D254A"/>
    <w:rsid w:val="42902EBA"/>
    <w:rsid w:val="429C0C25"/>
    <w:rsid w:val="429E4757"/>
    <w:rsid w:val="42A927C0"/>
    <w:rsid w:val="42AB7020"/>
    <w:rsid w:val="42AC1F6D"/>
    <w:rsid w:val="42AD6748"/>
    <w:rsid w:val="42AE0712"/>
    <w:rsid w:val="42AF0581"/>
    <w:rsid w:val="42B60D1B"/>
    <w:rsid w:val="42B63A0B"/>
    <w:rsid w:val="42BA6A61"/>
    <w:rsid w:val="42BF4020"/>
    <w:rsid w:val="42C05351"/>
    <w:rsid w:val="42C617E9"/>
    <w:rsid w:val="42D56E6D"/>
    <w:rsid w:val="42D737C5"/>
    <w:rsid w:val="42DA3024"/>
    <w:rsid w:val="42E371E5"/>
    <w:rsid w:val="42EE5221"/>
    <w:rsid w:val="42F119C2"/>
    <w:rsid w:val="42F9683F"/>
    <w:rsid w:val="42FF2D1C"/>
    <w:rsid w:val="43025813"/>
    <w:rsid w:val="43056A83"/>
    <w:rsid w:val="43066A03"/>
    <w:rsid w:val="43081BD1"/>
    <w:rsid w:val="43176949"/>
    <w:rsid w:val="431A674E"/>
    <w:rsid w:val="43212404"/>
    <w:rsid w:val="43234379"/>
    <w:rsid w:val="43284021"/>
    <w:rsid w:val="432937C0"/>
    <w:rsid w:val="432B30AA"/>
    <w:rsid w:val="433B1FD0"/>
    <w:rsid w:val="433E7EE2"/>
    <w:rsid w:val="434065DE"/>
    <w:rsid w:val="43455072"/>
    <w:rsid w:val="434671E7"/>
    <w:rsid w:val="434A3EA1"/>
    <w:rsid w:val="434D3A87"/>
    <w:rsid w:val="434F0467"/>
    <w:rsid w:val="43557B07"/>
    <w:rsid w:val="43571E00"/>
    <w:rsid w:val="43572B58"/>
    <w:rsid w:val="4359242C"/>
    <w:rsid w:val="435B1A11"/>
    <w:rsid w:val="43653F07"/>
    <w:rsid w:val="43661FA0"/>
    <w:rsid w:val="43663830"/>
    <w:rsid w:val="436A7CB3"/>
    <w:rsid w:val="43727FC1"/>
    <w:rsid w:val="43736DBA"/>
    <w:rsid w:val="43742F2D"/>
    <w:rsid w:val="437A5CE6"/>
    <w:rsid w:val="438356FB"/>
    <w:rsid w:val="43847352"/>
    <w:rsid w:val="43865B08"/>
    <w:rsid w:val="43884EC8"/>
    <w:rsid w:val="438D0328"/>
    <w:rsid w:val="438F69E7"/>
    <w:rsid w:val="439018DB"/>
    <w:rsid w:val="43911BC6"/>
    <w:rsid w:val="4395506D"/>
    <w:rsid w:val="43992A22"/>
    <w:rsid w:val="43A81F35"/>
    <w:rsid w:val="43AC0191"/>
    <w:rsid w:val="43B34232"/>
    <w:rsid w:val="43B434CC"/>
    <w:rsid w:val="43B458B4"/>
    <w:rsid w:val="43BB21BC"/>
    <w:rsid w:val="43C10B4E"/>
    <w:rsid w:val="43C907B4"/>
    <w:rsid w:val="43C95142"/>
    <w:rsid w:val="43D26A18"/>
    <w:rsid w:val="43D43B28"/>
    <w:rsid w:val="43D94F30"/>
    <w:rsid w:val="43DB05D0"/>
    <w:rsid w:val="43DB3816"/>
    <w:rsid w:val="43DD433B"/>
    <w:rsid w:val="43DE2931"/>
    <w:rsid w:val="43E55CD4"/>
    <w:rsid w:val="43E63B53"/>
    <w:rsid w:val="43E715F4"/>
    <w:rsid w:val="43E73EDC"/>
    <w:rsid w:val="43EB3E23"/>
    <w:rsid w:val="43ED3206"/>
    <w:rsid w:val="43FF691F"/>
    <w:rsid w:val="44000F64"/>
    <w:rsid w:val="441445A5"/>
    <w:rsid w:val="44184936"/>
    <w:rsid w:val="442510D9"/>
    <w:rsid w:val="442515B3"/>
    <w:rsid w:val="442962A2"/>
    <w:rsid w:val="442B1A23"/>
    <w:rsid w:val="44323820"/>
    <w:rsid w:val="44330ECF"/>
    <w:rsid w:val="44352E99"/>
    <w:rsid w:val="443652E1"/>
    <w:rsid w:val="444205A3"/>
    <w:rsid w:val="444440BE"/>
    <w:rsid w:val="444E18F2"/>
    <w:rsid w:val="4451295E"/>
    <w:rsid w:val="4452279A"/>
    <w:rsid w:val="44557CFB"/>
    <w:rsid w:val="445E3B7A"/>
    <w:rsid w:val="445F7FB9"/>
    <w:rsid w:val="446012BE"/>
    <w:rsid w:val="44616D40"/>
    <w:rsid w:val="446247C1"/>
    <w:rsid w:val="446450CD"/>
    <w:rsid w:val="4464614B"/>
    <w:rsid w:val="44753296"/>
    <w:rsid w:val="4475773A"/>
    <w:rsid w:val="447A29CE"/>
    <w:rsid w:val="447D65EE"/>
    <w:rsid w:val="448E1426"/>
    <w:rsid w:val="44934F90"/>
    <w:rsid w:val="44936BE1"/>
    <w:rsid w:val="449657B8"/>
    <w:rsid w:val="449974D6"/>
    <w:rsid w:val="449D27EC"/>
    <w:rsid w:val="44A75419"/>
    <w:rsid w:val="44A96FE4"/>
    <w:rsid w:val="44AE5C8E"/>
    <w:rsid w:val="44B46A99"/>
    <w:rsid w:val="44BB380A"/>
    <w:rsid w:val="44C34F81"/>
    <w:rsid w:val="44C55F08"/>
    <w:rsid w:val="44C56594"/>
    <w:rsid w:val="44C61F7F"/>
    <w:rsid w:val="44DE52DF"/>
    <w:rsid w:val="44E03C05"/>
    <w:rsid w:val="44E11690"/>
    <w:rsid w:val="44E155D9"/>
    <w:rsid w:val="44E421C9"/>
    <w:rsid w:val="44EE0B22"/>
    <w:rsid w:val="44F24FAA"/>
    <w:rsid w:val="45017834"/>
    <w:rsid w:val="45064F13"/>
    <w:rsid w:val="45081FCE"/>
    <w:rsid w:val="450B59A8"/>
    <w:rsid w:val="450D34CE"/>
    <w:rsid w:val="4522592E"/>
    <w:rsid w:val="45244CBC"/>
    <w:rsid w:val="45253639"/>
    <w:rsid w:val="4525408B"/>
    <w:rsid w:val="452A4EDD"/>
    <w:rsid w:val="45350C77"/>
    <w:rsid w:val="45390FA1"/>
    <w:rsid w:val="45451F97"/>
    <w:rsid w:val="454809AA"/>
    <w:rsid w:val="454D2734"/>
    <w:rsid w:val="454F7F8B"/>
    <w:rsid w:val="4550785F"/>
    <w:rsid w:val="45533D78"/>
    <w:rsid w:val="455C6BD8"/>
    <w:rsid w:val="455F24CD"/>
    <w:rsid w:val="456033DF"/>
    <w:rsid w:val="456A10D7"/>
    <w:rsid w:val="45786067"/>
    <w:rsid w:val="45801494"/>
    <w:rsid w:val="458D3152"/>
    <w:rsid w:val="4595701E"/>
    <w:rsid w:val="45A176CC"/>
    <w:rsid w:val="45A22427"/>
    <w:rsid w:val="45AD2F03"/>
    <w:rsid w:val="45B40A0C"/>
    <w:rsid w:val="45B95404"/>
    <w:rsid w:val="45D109A0"/>
    <w:rsid w:val="45D12790"/>
    <w:rsid w:val="45D2153D"/>
    <w:rsid w:val="45D31885"/>
    <w:rsid w:val="45DB12E6"/>
    <w:rsid w:val="45E45998"/>
    <w:rsid w:val="45EF52CA"/>
    <w:rsid w:val="45FA7D5B"/>
    <w:rsid w:val="45FB2391"/>
    <w:rsid w:val="46001A20"/>
    <w:rsid w:val="460264E5"/>
    <w:rsid w:val="46053443"/>
    <w:rsid w:val="4619146B"/>
    <w:rsid w:val="461D1E37"/>
    <w:rsid w:val="461F25EA"/>
    <w:rsid w:val="462D194E"/>
    <w:rsid w:val="463351B6"/>
    <w:rsid w:val="463D43E9"/>
    <w:rsid w:val="46514E12"/>
    <w:rsid w:val="46596D35"/>
    <w:rsid w:val="465A6BE7"/>
    <w:rsid w:val="465F41FD"/>
    <w:rsid w:val="46641988"/>
    <w:rsid w:val="46681E1C"/>
    <w:rsid w:val="466B0A0B"/>
    <w:rsid w:val="466C2476"/>
    <w:rsid w:val="46726CE5"/>
    <w:rsid w:val="467523B1"/>
    <w:rsid w:val="467852BF"/>
    <w:rsid w:val="467A653C"/>
    <w:rsid w:val="467D138A"/>
    <w:rsid w:val="46853538"/>
    <w:rsid w:val="468974CC"/>
    <w:rsid w:val="468C7D56"/>
    <w:rsid w:val="46901553"/>
    <w:rsid w:val="469320F9"/>
    <w:rsid w:val="46951B6B"/>
    <w:rsid w:val="4696345C"/>
    <w:rsid w:val="46965D7B"/>
    <w:rsid w:val="469C7200"/>
    <w:rsid w:val="469D327F"/>
    <w:rsid w:val="46A14816"/>
    <w:rsid w:val="46A61E2C"/>
    <w:rsid w:val="46AB4323"/>
    <w:rsid w:val="46B05AF3"/>
    <w:rsid w:val="46B20E4A"/>
    <w:rsid w:val="46BD0F24"/>
    <w:rsid w:val="46C277A4"/>
    <w:rsid w:val="46C50728"/>
    <w:rsid w:val="46CA7D3D"/>
    <w:rsid w:val="46CD0741"/>
    <w:rsid w:val="46CF6A2E"/>
    <w:rsid w:val="46D149CF"/>
    <w:rsid w:val="46D251C1"/>
    <w:rsid w:val="46D52711"/>
    <w:rsid w:val="46D6477E"/>
    <w:rsid w:val="46DC2693"/>
    <w:rsid w:val="46E25ADA"/>
    <w:rsid w:val="46E66846"/>
    <w:rsid w:val="46E7412F"/>
    <w:rsid w:val="46E9027D"/>
    <w:rsid w:val="46ED29BB"/>
    <w:rsid w:val="46FA73EB"/>
    <w:rsid w:val="46FC4D99"/>
    <w:rsid w:val="47095F17"/>
    <w:rsid w:val="47217705"/>
    <w:rsid w:val="47264BB4"/>
    <w:rsid w:val="472D1568"/>
    <w:rsid w:val="473B611B"/>
    <w:rsid w:val="473C2D8E"/>
    <w:rsid w:val="4752380F"/>
    <w:rsid w:val="47541888"/>
    <w:rsid w:val="47686E78"/>
    <w:rsid w:val="476E221E"/>
    <w:rsid w:val="47773F8F"/>
    <w:rsid w:val="47791740"/>
    <w:rsid w:val="478353F3"/>
    <w:rsid w:val="479B7487"/>
    <w:rsid w:val="479D0E07"/>
    <w:rsid w:val="479E6FA7"/>
    <w:rsid w:val="47A0718D"/>
    <w:rsid w:val="47A100A1"/>
    <w:rsid w:val="47A618FA"/>
    <w:rsid w:val="47AB0729"/>
    <w:rsid w:val="47B35A97"/>
    <w:rsid w:val="47B468C0"/>
    <w:rsid w:val="47B71E17"/>
    <w:rsid w:val="47CB256B"/>
    <w:rsid w:val="47CB6788"/>
    <w:rsid w:val="47CF0F0F"/>
    <w:rsid w:val="47D330F7"/>
    <w:rsid w:val="47E5273D"/>
    <w:rsid w:val="47ED6E2E"/>
    <w:rsid w:val="47FC30E6"/>
    <w:rsid w:val="480232C8"/>
    <w:rsid w:val="480321E6"/>
    <w:rsid w:val="480728E2"/>
    <w:rsid w:val="480D1D44"/>
    <w:rsid w:val="480F301E"/>
    <w:rsid w:val="480F3A01"/>
    <w:rsid w:val="48120FDE"/>
    <w:rsid w:val="48147269"/>
    <w:rsid w:val="48206787"/>
    <w:rsid w:val="482165F0"/>
    <w:rsid w:val="48326701"/>
    <w:rsid w:val="483E71A4"/>
    <w:rsid w:val="48427933"/>
    <w:rsid w:val="484935F6"/>
    <w:rsid w:val="484C255F"/>
    <w:rsid w:val="484C2B2E"/>
    <w:rsid w:val="48531B40"/>
    <w:rsid w:val="48570EBF"/>
    <w:rsid w:val="485863AA"/>
    <w:rsid w:val="485A1DF5"/>
    <w:rsid w:val="485D4FC6"/>
    <w:rsid w:val="486134B9"/>
    <w:rsid w:val="48684EBF"/>
    <w:rsid w:val="48692933"/>
    <w:rsid w:val="486E53C9"/>
    <w:rsid w:val="48724537"/>
    <w:rsid w:val="487B70F7"/>
    <w:rsid w:val="487D6C4D"/>
    <w:rsid w:val="488427FF"/>
    <w:rsid w:val="4887050A"/>
    <w:rsid w:val="488C32A4"/>
    <w:rsid w:val="488E0DCA"/>
    <w:rsid w:val="48942A2D"/>
    <w:rsid w:val="4894769F"/>
    <w:rsid w:val="489D2DBB"/>
    <w:rsid w:val="48A51E7D"/>
    <w:rsid w:val="48AF22C8"/>
    <w:rsid w:val="48B2693C"/>
    <w:rsid w:val="48B30830"/>
    <w:rsid w:val="48BF71D5"/>
    <w:rsid w:val="48C17349"/>
    <w:rsid w:val="48C20A74"/>
    <w:rsid w:val="48C40290"/>
    <w:rsid w:val="48C41AF5"/>
    <w:rsid w:val="48C50ABA"/>
    <w:rsid w:val="48CA33FC"/>
    <w:rsid w:val="48CC36A0"/>
    <w:rsid w:val="48CF053E"/>
    <w:rsid w:val="48D037EC"/>
    <w:rsid w:val="48D048C3"/>
    <w:rsid w:val="48E51A27"/>
    <w:rsid w:val="48EC789E"/>
    <w:rsid w:val="48F50E49"/>
    <w:rsid w:val="48F5521F"/>
    <w:rsid w:val="48F8513E"/>
    <w:rsid w:val="48FF1AD9"/>
    <w:rsid w:val="48FF5824"/>
    <w:rsid w:val="49025A13"/>
    <w:rsid w:val="49107A31"/>
    <w:rsid w:val="491141A5"/>
    <w:rsid w:val="491405D0"/>
    <w:rsid w:val="49155047"/>
    <w:rsid w:val="49180694"/>
    <w:rsid w:val="493267ED"/>
    <w:rsid w:val="49331971"/>
    <w:rsid w:val="49364CAA"/>
    <w:rsid w:val="49385DE9"/>
    <w:rsid w:val="49395702"/>
    <w:rsid w:val="49423CA3"/>
    <w:rsid w:val="49465201"/>
    <w:rsid w:val="494A174C"/>
    <w:rsid w:val="4953515D"/>
    <w:rsid w:val="4953791E"/>
    <w:rsid w:val="49544399"/>
    <w:rsid w:val="495811F2"/>
    <w:rsid w:val="496472BA"/>
    <w:rsid w:val="49671E58"/>
    <w:rsid w:val="4968718D"/>
    <w:rsid w:val="496F5FB7"/>
    <w:rsid w:val="497004D0"/>
    <w:rsid w:val="49880C1B"/>
    <w:rsid w:val="49880FF9"/>
    <w:rsid w:val="49884AB4"/>
    <w:rsid w:val="498C51DA"/>
    <w:rsid w:val="499248EA"/>
    <w:rsid w:val="49935819"/>
    <w:rsid w:val="499E4045"/>
    <w:rsid w:val="49A64F95"/>
    <w:rsid w:val="49AD1724"/>
    <w:rsid w:val="49C354F8"/>
    <w:rsid w:val="49C55175"/>
    <w:rsid w:val="49C56A6D"/>
    <w:rsid w:val="49C63B2C"/>
    <w:rsid w:val="49CF224E"/>
    <w:rsid w:val="49D04E1F"/>
    <w:rsid w:val="49D12082"/>
    <w:rsid w:val="49D22F38"/>
    <w:rsid w:val="49D62A28"/>
    <w:rsid w:val="49DB48E8"/>
    <w:rsid w:val="49E904E0"/>
    <w:rsid w:val="49EE4A0A"/>
    <w:rsid w:val="49F23B89"/>
    <w:rsid w:val="49F30BDF"/>
    <w:rsid w:val="49F42EAF"/>
    <w:rsid w:val="49F66671"/>
    <w:rsid w:val="4A070E34"/>
    <w:rsid w:val="4A072E04"/>
    <w:rsid w:val="4A085002"/>
    <w:rsid w:val="4A0F0210"/>
    <w:rsid w:val="4A1043C2"/>
    <w:rsid w:val="4A201EF6"/>
    <w:rsid w:val="4A211429"/>
    <w:rsid w:val="4A2304E5"/>
    <w:rsid w:val="4A271167"/>
    <w:rsid w:val="4A282B58"/>
    <w:rsid w:val="4A2A2FB8"/>
    <w:rsid w:val="4A2C56C7"/>
    <w:rsid w:val="4A2E7440"/>
    <w:rsid w:val="4A33252C"/>
    <w:rsid w:val="4A336491"/>
    <w:rsid w:val="4A337E5B"/>
    <w:rsid w:val="4A3A719C"/>
    <w:rsid w:val="4A3C1FD9"/>
    <w:rsid w:val="4A3C6604"/>
    <w:rsid w:val="4A404346"/>
    <w:rsid w:val="4A462381"/>
    <w:rsid w:val="4A49144C"/>
    <w:rsid w:val="4A525E27"/>
    <w:rsid w:val="4A572534"/>
    <w:rsid w:val="4A641E98"/>
    <w:rsid w:val="4A65539B"/>
    <w:rsid w:val="4A6D4A0F"/>
    <w:rsid w:val="4A6F5CAB"/>
    <w:rsid w:val="4A7224B3"/>
    <w:rsid w:val="4A776398"/>
    <w:rsid w:val="4A783AE0"/>
    <w:rsid w:val="4A800BE6"/>
    <w:rsid w:val="4A880F57"/>
    <w:rsid w:val="4A8D1910"/>
    <w:rsid w:val="4A8E50B1"/>
    <w:rsid w:val="4A95657B"/>
    <w:rsid w:val="4A963F66"/>
    <w:rsid w:val="4A971E4C"/>
    <w:rsid w:val="4A974B69"/>
    <w:rsid w:val="4A9A657C"/>
    <w:rsid w:val="4AA94E4C"/>
    <w:rsid w:val="4AAA702A"/>
    <w:rsid w:val="4AAF6A94"/>
    <w:rsid w:val="4AB368C6"/>
    <w:rsid w:val="4AB93EF8"/>
    <w:rsid w:val="4ABD3BF4"/>
    <w:rsid w:val="4AC91531"/>
    <w:rsid w:val="4AD21DA2"/>
    <w:rsid w:val="4AD25A32"/>
    <w:rsid w:val="4AD41253"/>
    <w:rsid w:val="4AD80F17"/>
    <w:rsid w:val="4AD92EFB"/>
    <w:rsid w:val="4ADA044B"/>
    <w:rsid w:val="4AE20CAF"/>
    <w:rsid w:val="4AE82F89"/>
    <w:rsid w:val="4AF968BD"/>
    <w:rsid w:val="4AFA1A7E"/>
    <w:rsid w:val="4AFC3310"/>
    <w:rsid w:val="4B005883"/>
    <w:rsid w:val="4B0235C9"/>
    <w:rsid w:val="4B076C12"/>
    <w:rsid w:val="4B1405F6"/>
    <w:rsid w:val="4B1A4B97"/>
    <w:rsid w:val="4B1D6488"/>
    <w:rsid w:val="4B1E14E5"/>
    <w:rsid w:val="4B2477C4"/>
    <w:rsid w:val="4B2E23F0"/>
    <w:rsid w:val="4B2F1727"/>
    <w:rsid w:val="4B351526"/>
    <w:rsid w:val="4B3726A8"/>
    <w:rsid w:val="4B4D43D6"/>
    <w:rsid w:val="4B4F2D9B"/>
    <w:rsid w:val="4B5160DF"/>
    <w:rsid w:val="4B577B99"/>
    <w:rsid w:val="4B5B3293"/>
    <w:rsid w:val="4B6840DD"/>
    <w:rsid w:val="4B712E37"/>
    <w:rsid w:val="4B7717C6"/>
    <w:rsid w:val="4B804BEF"/>
    <w:rsid w:val="4B8464B4"/>
    <w:rsid w:val="4B9A581D"/>
    <w:rsid w:val="4B9B4B0A"/>
    <w:rsid w:val="4B9D5F03"/>
    <w:rsid w:val="4BA15123"/>
    <w:rsid w:val="4BA61E1E"/>
    <w:rsid w:val="4BB5666E"/>
    <w:rsid w:val="4BBF225F"/>
    <w:rsid w:val="4BC15FAF"/>
    <w:rsid w:val="4BC24741"/>
    <w:rsid w:val="4BC61AE0"/>
    <w:rsid w:val="4BCD146B"/>
    <w:rsid w:val="4BCD3597"/>
    <w:rsid w:val="4BCD39B7"/>
    <w:rsid w:val="4BD023EF"/>
    <w:rsid w:val="4BD72A88"/>
    <w:rsid w:val="4BE1725F"/>
    <w:rsid w:val="4BEC745B"/>
    <w:rsid w:val="4BF73520"/>
    <w:rsid w:val="4BF93871"/>
    <w:rsid w:val="4BFC604B"/>
    <w:rsid w:val="4C06437D"/>
    <w:rsid w:val="4C0B2731"/>
    <w:rsid w:val="4C0C0983"/>
    <w:rsid w:val="4C0D6124"/>
    <w:rsid w:val="4C0E5A41"/>
    <w:rsid w:val="4C194750"/>
    <w:rsid w:val="4C1D7F6E"/>
    <w:rsid w:val="4C2717D2"/>
    <w:rsid w:val="4C2730B9"/>
    <w:rsid w:val="4C2D4A1A"/>
    <w:rsid w:val="4C3B47B6"/>
    <w:rsid w:val="4C42325F"/>
    <w:rsid w:val="4C51283A"/>
    <w:rsid w:val="4C531C47"/>
    <w:rsid w:val="4C5B5467"/>
    <w:rsid w:val="4C604C4C"/>
    <w:rsid w:val="4C6065D9"/>
    <w:rsid w:val="4C6A741D"/>
    <w:rsid w:val="4C6B1CFC"/>
    <w:rsid w:val="4C6C226D"/>
    <w:rsid w:val="4C6D62E2"/>
    <w:rsid w:val="4C6E1328"/>
    <w:rsid w:val="4C721BF8"/>
    <w:rsid w:val="4C850C19"/>
    <w:rsid w:val="4C9A2FAF"/>
    <w:rsid w:val="4C9C37CD"/>
    <w:rsid w:val="4C9E2C13"/>
    <w:rsid w:val="4C9F01B9"/>
    <w:rsid w:val="4CB30DFF"/>
    <w:rsid w:val="4CB973DA"/>
    <w:rsid w:val="4CC0735A"/>
    <w:rsid w:val="4CC53937"/>
    <w:rsid w:val="4CC55E9E"/>
    <w:rsid w:val="4CCB34F1"/>
    <w:rsid w:val="4CCD0D31"/>
    <w:rsid w:val="4CD511DE"/>
    <w:rsid w:val="4CD8513A"/>
    <w:rsid w:val="4CE00B35"/>
    <w:rsid w:val="4CE770FC"/>
    <w:rsid w:val="4CF041CF"/>
    <w:rsid w:val="4CF17B79"/>
    <w:rsid w:val="4CF51418"/>
    <w:rsid w:val="4D002F94"/>
    <w:rsid w:val="4D27359B"/>
    <w:rsid w:val="4D280422"/>
    <w:rsid w:val="4D294F02"/>
    <w:rsid w:val="4D2E060F"/>
    <w:rsid w:val="4D2E3396"/>
    <w:rsid w:val="4D383F61"/>
    <w:rsid w:val="4D3C516D"/>
    <w:rsid w:val="4D432D71"/>
    <w:rsid w:val="4D552021"/>
    <w:rsid w:val="4D570F71"/>
    <w:rsid w:val="4D5C1711"/>
    <w:rsid w:val="4D5E08D8"/>
    <w:rsid w:val="4D5F074A"/>
    <w:rsid w:val="4D603DFF"/>
    <w:rsid w:val="4D62706D"/>
    <w:rsid w:val="4D647922"/>
    <w:rsid w:val="4D6538AB"/>
    <w:rsid w:val="4D664FEE"/>
    <w:rsid w:val="4D701B8D"/>
    <w:rsid w:val="4D7A43DB"/>
    <w:rsid w:val="4D7A7B6F"/>
    <w:rsid w:val="4D866514"/>
    <w:rsid w:val="4D8A389F"/>
    <w:rsid w:val="4D904889"/>
    <w:rsid w:val="4D930C30"/>
    <w:rsid w:val="4D986543"/>
    <w:rsid w:val="4D9A5B1B"/>
    <w:rsid w:val="4D9B42F0"/>
    <w:rsid w:val="4D9C7C68"/>
    <w:rsid w:val="4DA26078"/>
    <w:rsid w:val="4DAA338D"/>
    <w:rsid w:val="4DAF1CC9"/>
    <w:rsid w:val="4DB65243"/>
    <w:rsid w:val="4DC3082F"/>
    <w:rsid w:val="4DCA57BE"/>
    <w:rsid w:val="4DD57E07"/>
    <w:rsid w:val="4DD95A7F"/>
    <w:rsid w:val="4DDA6F61"/>
    <w:rsid w:val="4DDB077D"/>
    <w:rsid w:val="4DE428CA"/>
    <w:rsid w:val="4DE90850"/>
    <w:rsid w:val="4DEA6AA2"/>
    <w:rsid w:val="4DEA7E0C"/>
    <w:rsid w:val="4DEE3274"/>
    <w:rsid w:val="4DEF40B9"/>
    <w:rsid w:val="4DF74D1B"/>
    <w:rsid w:val="4DFA2A5E"/>
    <w:rsid w:val="4DFF1E22"/>
    <w:rsid w:val="4E0007BA"/>
    <w:rsid w:val="4E037B64"/>
    <w:rsid w:val="4E0C2777"/>
    <w:rsid w:val="4E102281"/>
    <w:rsid w:val="4E165AE9"/>
    <w:rsid w:val="4E1C6499"/>
    <w:rsid w:val="4E231FB4"/>
    <w:rsid w:val="4E2A34C8"/>
    <w:rsid w:val="4E300C55"/>
    <w:rsid w:val="4E3221F7"/>
    <w:rsid w:val="4E34372F"/>
    <w:rsid w:val="4E3A1E87"/>
    <w:rsid w:val="4E425692"/>
    <w:rsid w:val="4E564125"/>
    <w:rsid w:val="4E634927"/>
    <w:rsid w:val="4E6A7BE3"/>
    <w:rsid w:val="4E790B28"/>
    <w:rsid w:val="4E791C6C"/>
    <w:rsid w:val="4E7B73B0"/>
    <w:rsid w:val="4E850793"/>
    <w:rsid w:val="4E9A0C05"/>
    <w:rsid w:val="4E9C2668"/>
    <w:rsid w:val="4E9F6A0C"/>
    <w:rsid w:val="4EA053B3"/>
    <w:rsid w:val="4EA330F5"/>
    <w:rsid w:val="4EA577DD"/>
    <w:rsid w:val="4EA824BA"/>
    <w:rsid w:val="4EAA7D67"/>
    <w:rsid w:val="4EBB3F9B"/>
    <w:rsid w:val="4EC310A1"/>
    <w:rsid w:val="4EC92B5C"/>
    <w:rsid w:val="4ECC0AD3"/>
    <w:rsid w:val="4ECF5C98"/>
    <w:rsid w:val="4ED9613B"/>
    <w:rsid w:val="4EE3163C"/>
    <w:rsid w:val="4EE42689"/>
    <w:rsid w:val="4EE6274C"/>
    <w:rsid w:val="4EE655C7"/>
    <w:rsid w:val="4EEE230C"/>
    <w:rsid w:val="4EEE7D8E"/>
    <w:rsid w:val="4EF61465"/>
    <w:rsid w:val="4EFF657E"/>
    <w:rsid w:val="4F006719"/>
    <w:rsid w:val="4F070468"/>
    <w:rsid w:val="4F092F62"/>
    <w:rsid w:val="4F0A6CD0"/>
    <w:rsid w:val="4F0C7551"/>
    <w:rsid w:val="4F0E78E1"/>
    <w:rsid w:val="4F105466"/>
    <w:rsid w:val="4F133DD7"/>
    <w:rsid w:val="4F203DE0"/>
    <w:rsid w:val="4F252466"/>
    <w:rsid w:val="4F2A0BE8"/>
    <w:rsid w:val="4F2B0726"/>
    <w:rsid w:val="4F2D43E9"/>
    <w:rsid w:val="4F2F4E3E"/>
    <w:rsid w:val="4F302BDB"/>
    <w:rsid w:val="4F344CB1"/>
    <w:rsid w:val="4F455F5A"/>
    <w:rsid w:val="4F483E30"/>
    <w:rsid w:val="4F56775D"/>
    <w:rsid w:val="4F5A37B4"/>
    <w:rsid w:val="4F5C4B3F"/>
    <w:rsid w:val="4F642F6E"/>
    <w:rsid w:val="4F653250"/>
    <w:rsid w:val="4F660CC2"/>
    <w:rsid w:val="4F6D6BF1"/>
    <w:rsid w:val="4F6F4D85"/>
    <w:rsid w:val="4F77635D"/>
    <w:rsid w:val="4F7A5551"/>
    <w:rsid w:val="4F854C57"/>
    <w:rsid w:val="4F88490D"/>
    <w:rsid w:val="4F94594A"/>
    <w:rsid w:val="4FA5581D"/>
    <w:rsid w:val="4FAC7D88"/>
    <w:rsid w:val="4FAD4920"/>
    <w:rsid w:val="4FB22EE4"/>
    <w:rsid w:val="4FC07820"/>
    <w:rsid w:val="4FC563E2"/>
    <w:rsid w:val="4FC7527F"/>
    <w:rsid w:val="4FC7694E"/>
    <w:rsid w:val="4FC935F2"/>
    <w:rsid w:val="4FCA09F6"/>
    <w:rsid w:val="4FD32219"/>
    <w:rsid w:val="4FD73056"/>
    <w:rsid w:val="4FD77DC0"/>
    <w:rsid w:val="4FD77F76"/>
    <w:rsid w:val="4FD80803"/>
    <w:rsid w:val="4FDA2B47"/>
    <w:rsid w:val="4FDD7D32"/>
    <w:rsid w:val="4FE90FDC"/>
    <w:rsid w:val="4FEB08B0"/>
    <w:rsid w:val="4FFE21F1"/>
    <w:rsid w:val="500556C3"/>
    <w:rsid w:val="500C4333"/>
    <w:rsid w:val="50110719"/>
    <w:rsid w:val="50212524"/>
    <w:rsid w:val="503736B8"/>
    <w:rsid w:val="504B75A0"/>
    <w:rsid w:val="504F44D2"/>
    <w:rsid w:val="50582952"/>
    <w:rsid w:val="505A7B2E"/>
    <w:rsid w:val="505B2197"/>
    <w:rsid w:val="505D7A63"/>
    <w:rsid w:val="505E3468"/>
    <w:rsid w:val="505F085C"/>
    <w:rsid w:val="505F176B"/>
    <w:rsid w:val="50642410"/>
    <w:rsid w:val="50666DD0"/>
    <w:rsid w:val="506A779B"/>
    <w:rsid w:val="5079410E"/>
    <w:rsid w:val="507974AB"/>
    <w:rsid w:val="5084761B"/>
    <w:rsid w:val="508820AE"/>
    <w:rsid w:val="508830D8"/>
    <w:rsid w:val="508B24DD"/>
    <w:rsid w:val="50966A6E"/>
    <w:rsid w:val="50A56CB1"/>
    <w:rsid w:val="50AF393A"/>
    <w:rsid w:val="50BA3B81"/>
    <w:rsid w:val="50BB4726"/>
    <w:rsid w:val="50C04D6B"/>
    <w:rsid w:val="50C86E43"/>
    <w:rsid w:val="50D86F9C"/>
    <w:rsid w:val="50D9242D"/>
    <w:rsid w:val="50DA660C"/>
    <w:rsid w:val="50DB36C9"/>
    <w:rsid w:val="50E4650C"/>
    <w:rsid w:val="50E5705E"/>
    <w:rsid w:val="50F01127"/>
    <w:rsid w:val="50F04E0D"/>
    <w:rsid w:val="50F33A0B"/>
    <w:rsid w:val="50F424BD"/>
    <w:rsid w:val="50F72361"/>
    <w:rsid w:val="50F80683"/>
    <w:rsid w:val="50FC63BD"/>
    <w:rsid w:val="51076D65"/>
    <w:rsid w:val="51134562"/>
    <w:rsid w:val="51136310"/>
    <w:rsid w:val="511823B2"/>
    <w:rsid w:val="51193E9E"/>
    <w:rsid w:val="511F76F9"/>
    <w:rsid w:val="51226A29"/>
    <w:rsid w:val="5126524E"/>
    <w:rsid w:val="512A57DF"/>
    <w:rsid w:val="51372B3F"/>
    <w:rsid w:val="51411C3C"/>
    <w:rsid w:val="51621425"/>
    <w:rsid w:val="51632B1E"/>
    <w:rsid w:val="51654AD5"/>
    <w:rsid w:val="51663F84"/>
    <w:rsid w:val="516924D0"/>
    <w:rsid w:val="516E10A7"/>
    <w:rsid w:val="517078A1"/>
    <w:rsid w:val="517A638F"/>
    <w:rsid w:val="517B2107"/>
    <w:rsid w:val="517B79A9"/>
    <w:rsid w:val="51833310"/>
    <w:rsid w:val="51856AE2"/>
    <w:rsid w:val="518965D2"/>
    <w:rsid w:val="518C7793"/>
    <w:rsid w:val="51935A63"/>
    <w:rsid w:val="519F4057"/>
    <w:rsid w:val="51A105FC"/>
    <w:rsid w:val="51A346B0"/>
    <w:rsid w:val="51A5377F"/>
    <w:rsid w:val="51B318A1"/>
    <w:rsid w:val="51B36318"/>
    <w:rsid w:val="51B373A6"/>
    <w:rsid w:val="51B77120"/>
    <w:rsid w:val="51BA678C"/>
    <w:rsid w:val="51BE3185"/>
    <w:rsid w:val="51C07BA2"/>
    <w:rsid w:val="51C1093A"/>
    <w:rsid w:val="51C404BD"/>
    <w:rsid w:val="51D2149E"/>
    <w:rsid w:val="51D302B9"/>
    <w:rsid w:val="51E37852"/>
    <w:rsid w:val="51F46D81"/>
    <w:rsid w:val="51F52DE4"/>
    <w:rsid w:val="52002D2D"/>
    <w:rsid w:val="520F53AD"/>
    <w:rsid w:val="52171E30"/>
    <w:rsid w:val="521B0223"/>
    <w:rsid w:val="52312B91"/>
    <w:rsid w:val="523A6B73"/>
    <w:rsid w:val="52403F0D"/>
    <w:rsid w:val="524E7173"/>
    <w:rsid w:val="52597F9D"/>
    <w:rsid w:val="52642B9B"/>
    <w:rsid w:val="5265537D"/>
    <w:rsid w:val="5265565F"/>
    <w:rsid w:val="5266163F"/>
    <w:rsid w:val="5269272A"/>
    <w:rsid w:val="526A6404"/>
    <w:rsid w:val="526B670D"/>
    <w:rsid w:val="526F57C8"/>
    <w:rsid w:val="527032EE"/>
    <w:rsid w:val="52727066"/>
    <w:rsid w:val="52741030"/>
    <w:rsid w:val="5276286C"/>
    <w:rsid w:val="52785CBF"/>
    <w:rsid w:val="5289067D"/>
    <w:rsid w:val="528A7F1B"/>
    <w:rsid w:val="528F15C5"/>
    <w:rsid w:val="529251A2"/>
    <w:rsid w:val="529E3976"/>
    <w:rsid w:val="52AE45C6"/>
    <w:rsid w:val="52B70F1D"/>
    <w:rsid w:val="52B85BC6"/>
    <w:rsid w:val="52C164D5"/>
    <w:rsid w:val="52C23856"/>
    <w:rsid w:val="52CC1B65"/>
    <w:rsid w:val="52CD233F"/>
    <w:rsid w:val="52DB10B0"/>
    <w:rsid w:val="52EC7697"/>
    <w:rsid w:val="52F94FB6"/>
    <w:rsid w:val="52FD4B60"/>
    <w:rsid w:val="53056945"/>
    <w:rsid w:val="5311687F"/>
    <w:rsid w:val="531719BC"/>
    <w:rsid w:val="531A366F"/>
    <w:rsid w:val="53254E69"/>
    <w:rsid w:val="53273367"/>
    <w:rsid w:val="533961B7"/>
    <w:rsid w:val="53453A94"/>
    <w:rsid w:val="5349426B"/>
    <w:rsid w:val="534E3B3B"/>
    <w:rsid w:val="535411DA"/>
    <w:rsid w:val="53591FD4"/>
    <w:rsid w:val="535E63F5"/>
    <w:rsid w:val="53682217"/>
    <w:rsid w:val="53733096"/>
    <w:rsid w:val="53802164"/>
    <w:rsid w:val="53806FEA"/>
    <w:rsid w:val="538A5CD0"/>
    <w:rsid w:val="53A769A6"/>
    <w:rsid w:val="53AF39DE"/>
    <w:rsid w:val="53B47B7C"/>
    <w:rsid w:val="53B8319F"/>
    <w:rsid w:val="53BC5A15"/>
    <w:rsid w:val="53C03E02"/>
    <w:rsid w:val="53D60A47"/>
    <w:rsid w:val="53D755BE"/>
    <w:rsid w:val="53D8739D"/>
    <w:rsid w:val="53DE15A7"/>
    <w:rsid w:val="53E47AF0"/>
    <w:rsid w:val="53EC02DC"/>
    <w:rsid w:val="53F058C2"/>
    <w:rsid w:val="540B32CF"/>
    <w:rsid w:val="54140ADD"/>
    <w:rsid w:val="541B6E82"/>
    <w:rsid w:val="54211915"/>
    <w:rsid w:val="54256C07"/>
    <w:rsid w:val="542653CA"/>
    <w:rsid w:val="542F13F1"/>
    <w:rsid w:val="542F630F"/>
    <w:rsid w:val="54372316"/>
    <w:rsid w:val="543A3BB4"/>
    <w:rsid w:val="54446FC0"/>
    <w:rsid w:val="544762D1"/>
    <w:rsid w:val="544B2D16"/>
    <w:rsid w:val="544D5142"/>
    <w:rsid w:val="545033D7"/>
    <w:rsid w:val="545253A1"/>
    <w:rsid w:val="54583FED"/>
    <w:rsid w:val="546314A0"/>
    <w:rsid w:val="546B31A6"/>
    <w:rsid w:val="54731328"/>
    <w:rsid w:val="549C41C1"/>
    <w:rsid w:val="54AC4678"/>
    <w:rsid w:val="54B020C8"/>
    <w:rsid w:val="54BE2C11"/>
    <w:rsid w:val="54C74EEA"/>
    <w:rsid w:val="54C833A7"/>
    <w:rsid w:val="54CF0C98"/>
    <w:rsid w:val="54CF254E"/>
    <w:rsid w:val="54D264E2"/>
    <w:rsid w:val="54D6501D"/>
    <w:rsid w:val="54E2503F"/>
    <w:rsid w:val="54E446CA"/>
    <w:rsid w:val="54E570D4"/>
    <w:rsid w:val="54E95974"/>
    <w:rsid w:val="54ED6258"/>
    <w:rsid w:val="54F07E40"/>
    <w:rsid w:val="54FB7079"/>
    <w:rsid w:val="54FD7731"/>
    <w:rsid w:val="54FD7F0A"/>
    <w:rsid w:val="54FE3FCD"/>
    <w:rsid w:val="55005717"/>
    <w:rsid w:val="550478CD"/>
    <w:rsid w:val="550A66F8"/>
    <w:rsid w:val="550B5550"/>
    <w:rsid w:val="55102F81"/>
    <w:rsid w:val="55125C80"/>
    <w:rsid w:val="551F0D2D"/>
    <w:rsid w:val="551F24AD"/>
    <w:rsid w:val="55222FC6"/>
    <w:rsid w:val="552A3B97"/>
    <w:rsid w:val="55314FB7"/>
    <w:rsid w:val="5532429E"/>
    <w:rsid w:val="55325E1E"/>
    <w:rsid w:val="553304D8"/>
    <w:rsid w:val="5537022C"/>
    <w:rsid w:val="55387801"/>
    <w:rsid w:val="553B4B8E"/>
    <w:rsid w:val="553D637D"/>
    <w:rsid w:val="553E1482"/>
    <w:rsid w:val="554B5B7F"/>
    <w:rsid w:val="554D13E9"/>
    <w:rsid w:val="555E60BF"/>
    <w:rsid w:val="55681D6F"/>
    <w:rsid w:val="556C4241"/>
    <w:rsid w:val="55724863"/>
    <w:rsid w:val="557E6990"/>
    <w:rsid w:val="55913CA7"/>
    <w:rsid w:val="55923A90"/>
    <w:rsid w:val="559610A7"/>
    <w:rsid w:val="55964CF9"/>
    <w:rsid w:val="559B1181"/>
    <w:rsid w:val="559B68D4"/>
    <w:rsid w:val="559D264C"/>
    <w:rsid w:val="55A03EEB"/>
    <w:rsid w:val="55A13125"/>
    <w:rsid w:val="55A25EB5"/>
    <w:rsid w:val="55A420CC"/>
    <w:rsid w:val="55A97243"/>
    <w:rsid w:val="55B400D6"/>
    <w:rsid w:val="55B45321"/>
    <w:rsid w:val="55B6370E"/>
    <w:rsid w:val="55B92B06"/>
    <w:rsid w:val="55BA1450"/>
    <w:rsid w:val="55BC588B"/>
    <w:rsid w:val="55BD2CEE"/>
    <w:rsid w:val="55C45E2B"/>
    <w:rsid w:val="55C968EE"/>
    <w:rsid w:val="55D40D14"/>
    <w:rsid w:val="55D90C66"/>
    <w:rsid w:val="55E464CD"/>
    <w:rsid w:val="55E8347F"/>
    <w:rsid w:val="55EB08C4"/>
    <w:rsid w:val="55F44A25"/>
    <w:rsid w:val="55F54236"/>
    <w:rsid w:val="56086DFC"/>
    <w:rsid w:val="56097F17"/>
    <w:rsid w:val="561641AD"/>
    <w:rsid w:val="561843C9"/>
    <w:rsid w:val="56191C96"/>
    <w:rsid w:val="563A60ED"/>
    <w:rsid w:val="5649500D"/>
    <w:rsid w:val="564A47E7"/>
    <w:rsid w:val="565A35ED"/>
    <w:rsid w:val="565B5438"/>
    <w:rsid w:val="566B20F8"/>
    <w:rsid w:val="566E5D97"/>
    <w:rsid w:val="5671480D"/>
    <w:rsid w:val="56725887"/>
    <w:rsid w:val="567E4501"/>
    <w:rsid w:val="56804693"/>
    <w:rsid w:val="568D26C1"/>
    <w:rsid w:val="568E7055"/>
    <w:rsid w:val="568F3EF6"/>
    <w:rsid w:val="568F6378"/>
    <w:rsid w:val="569C5CEF"/>
    <w:rsid w:val="569F3243"/>
    <w:rsid w:val="56A11D40"/>
    <w:rsid w:val="56A31EE4"/>
    <w:rsid w:val="56A7565F"/>
    <w:rsid w:val="56A85BBC"/>
    <w:rsid w:val="56B04601"/>
    <w:rsid w:val="56B440F1"/>
    <w:rsid w:val="56C27CD8"/>
    <w:rsid w:val="56C500AD"/>
    <w:rsid w:val="56C8194B"/>
    <w:rsid w:val="56C82D84"/>
    <w:rsid w:val="56CE6835"/>
    <w:rsid w:val="56E36B2B"/>
    <w:rsid w:val="56E719BB"/>
    <w:rsid w:val="56ED3A4D"/>
    <w:rsid w:val="56EF1280"/>
    <w:rsid w:val="57032CEF"/>
    <w:rsid w:val="570420C4"/>
    <w:rsid w:val="570D2931"/>
    <w:rsid w:val="570E78D0"/>
    <w:rsid w:val="570F009B"/>
    <w:rsid w:val="57103D74"/>
    <w:rsid w:val="57165067"/>
    <w:rsid w:val="571F0565"/>
    <w:rsid w:val="57313656"/>
    <w:rsid w:val="573323BD"/>
    <w:rsid w:val="57382639"/>
    <w:rsid w:val="573A5879"/>
    <w:rsid w:val="57400BE8"/>
    <w:rsid w:val="574A2CE6"/>
    <w:rsid w:val="574C368E"/>
    <w:rsid w:val="574D0779"/>
    <w:rsid w:val="57517B92"/>
    <w:rsid w:val="57560D05"/>
    <w:rsid w:val="575F4499"/>
    <w:rsid w:val="57614B66"/>
    <w:rsid w:val="57680A38"/>
    <w:rsid w:val="576F1DC6"/>
    <w:rsid w:val="57715504"/>
    <w:rsid w:val="577367A5"/>
    <w:rsid w:val="5776198C"/>
    <w:rsid w:val="577A52BE"/>
    <w:rsid w:val="577B5E13"/>
    <w:rsid w:val="57806D5F"/>
    <w:rsid w:val="57817A2B"/>
    <w:rsid w:val="578A4E52"/>
    <w:rsid w:val="578C0BCA"/>
    <w:rsid w:val="57A316AD"/>
    <w:rsid w:val="57B1418D"/>
    <w:rsid w:val="57BB14B0"/>
    <w:rsid w:val="57BD385C"/>
    <w:rsid w:val="57BE3D28"/>
    <w:rsid w:val="57C202C3"/>
    <w:rsid w:val="57CA6046"/>
    <w:rsid w:val="57D61E46"/>
    <w:rsid w:val="57D6726A"/>
    <w:rsid w:val="57DF4DBD"/>
    <w:rsid w:val="57EA52A2"/>
    <w:rsid w:val="57F8282A"/>
    <w:rsid w:val="57F86260"/>
    <w:rsid w:val="57FF5F43"/>
    <w:rsid w:val="58027C9C"/>
    <w:rsid w:val="580A43FE"/>
    <w:rsid w:val="581666E6"/>
    <w:rsid w:val="58242CBD"/>
    <w:rsid w:val="58243C1F"/>
    <w:rsid w:val="58273D2E"/>
    <w:rsid w:val="582E5E38"/>
    <w:rsid w:val="583D3C73"/>
    <w:rsid w:val="584414A5"/>
    <w:rsid w:val="58472D43"/>
    <w:rsid w:val="58524AA4"/>
    <w:rsid w:val="585A5FBA"/>
    <w:rsid w:val="585A70D6"/>
    <w:rsid w:val="585D3FE7"/>
    <w:rsid w:val="585E1BC1"/>
    <w:rsid w:val="585F62DF"/>
    <w:rsid w:val="586B7496"/>
    <w:rsid w:val="586D0C1F"/>
    <w:rsid w:val="586E207E"/>
    <w:rsid w:val="58743C33"/>
    <w:rsid w:val="58775D4B"/>
    <w:rsid w:val="587A0B5B"/>
    <w:rsid w:val="587C0C3F"/>
    <w:rsid w:val="587F24DD"/>
    <w:rsid w:val="58801DB1"/>
    <w:rsid w:val="588C4D06"/>
    <w:rsid w:val="589445D0"/>
    <w:rsid w:val="589820E5"/>
    <w:rsid w:val="58A81767"/>
    <w:rsid w:val="58B035D2"/>
    <w:rsid w:val="58B2254D"/>
    <w:rsid w:val="58B3752B"/>
    <w:rsid w:val="58BE3C27"/>
    <w:rsid w:val="58C168E5"/>
    <w:rsid w:val="58C9222B"/>
    <w:rsid w:val="58CD149A"/>
    <w:rsid w:val="58DC7F4D"/>
    <w:rsid w:val="58E37B80"/>
    <w:rsid w:val="58E85938"/>
    <w:rsid w:val="58EB7B73"/>
    <w:rsid w:val="58ED7515"/>
    <w:rsid w:val="58EE483B"/>
    <w:rsid w:val="58EF340B"/>
    <w:rsid w:val="58F36D0F"/>
    <w:rsid w:val="58F60BD1"/>
    <w:rsid w:val="58FF15CB"/>
    <w:rsid w:val="59001493"/>
    <w:rsid w:val="5909492E"/>
    <w:rsid w:val="590C0B28"/>
    <w:rsid w:val="5918482C"/>
    <w:rsid w:val="591B0458"/>
    <w:rsid w:val="591F1D47"/>
    <w:rsid w:val="5923074E"/>
    <w:rsid w:val="59253085"/>
    <w:rsid w:val="59254F7C"/>
    <w:rsid w:val="592616D2"/>
    <w:rsid w:val="592A5D00"/>
    <w:rsid w:val="592E60A3"/>
    <w:rsid w:val="59367D12"/>
    <w:rsid w:val="594B5287"/>
    <w:rsid w:val="594D74FC"/>
    <w:rsid w:val="5955323E"/>
    <w:rsid w:val="59576FB6"/>
    <w:rsid w:val="595A5065"/>
    <w:rsid w:val="59615FA8"/>
    <w:rsid w:val="59635CB4"/>
    <w:rsid w:val="596D67DA"/>
    <w:rsid w:val="5970084D"/>
    <w:rsid w:val="59705E37"/>
    <w:rsid w:val="597933D0"/>
    <w:rsid w:val="597D20E1"/>
    <w:rsid w:val="59837DAB"/>
    <w:rsid w:val="598963D9"/>
    <w:rsid w:val="598D237B"/>
    <w:rsid w:val="598E0298"/>
    <w:rsid w:val="59922F80"/>
    <w:rsid w:val="59951986"/>
    <w:rsid w:val="59964D73"/>
    <w:rsid w:val="599E4814"/>
    <w:rsid w:val="59A321FB"/>
    <w:rsid w:val="59A4671D"/>
    <w:rsid w:val="59AB698A"/>
    <w:rsid w:val="59AC3F52"/>
    <w:rsid w:val="59AC7302"/>
    <w:rsid w:val="59AE31FD"/>
    <w:rsid w:val="59AF731D"/>
    <w:rsid w:val="59B07FB1"/>
    <w:rsid w:val="59BD288A"/>
    <w:rsid w:val="59C12681"/>
    <w:rsid w:val="59C74B3A"/>
    <w:rsid w:val="59C75EEA"/>
    <w:rsid w:val="59C77E38"/>
    <w:rsid w:val="59C87211"/>
    <w:rsid w:val="59CD58D1"/>
    <w:rsid w:val="59D054D3"/>
    <w:rsid w:val="59D53026"/>
    <w:rsid w:val="59D56ED0"/>
    <w:rsid w:val="59D8685B"/>
    <w:rsid w:val="59D937AC"/>
    <w:rsid w:val="59E13A61"/>
    <w:rsid w:val="59E21F44"/>
    <w:rsid w:val="59E578E9"/>
    <w:rsid w:val="59E6430E"/>
    <w:rsid w:val="59F42A57"/>
    <w:rsid w:val="59FD392A"/>
    <w:rsid w:val="5A130056"/>
    <w:rsid w:val="5A1A271B"/>
    <w:rsid w:val="5A205A79"/>
    <w:rsid w:val="5A276CF7"/>
    <w:rsid w:val="5A285F8C"/>
    <w:rsid w:val="5A2E150D"/>
    <w:rsid w:val="5A2F0582"/>
    <w:rsid w:val="5A411BCF"/>
    <w:rsid w:val="5A4524C4"/>
    <w:rsid w:val="5A47502D"/>
    <w:rsid w:val="5A4A272E"/>
    <w:rsid w:val="5A4D04A2"/>
    <w:rsid w:val="5A504131"/>
    <w:rsid w:val="5A6A5AF8"/>
    <w:rsid w:val="5A6E1669"/>
    <w:rsid w:val="5A776550"/>
    <w:rsid w:val="5A861016"/>
    <w:rsid w:val="5A8E6775"/>
    <w:rsid w:val="5A902347"/>
    <w:rsid w:val="5A90452E"/>
    <w:rsid w:val="5A94756C"/>
    <w:rsid w:val="5A955FE8"/>
    <w:rsid w:val="5A97219C"/>
    <w:rsid w:val="5A9D0065"/>
    <w:rsid w:val="5A9F282B"/>
    <w:rsid w:val="5AA635C4"/>
    <w:rsid w:val="5AA86999"/>
    <w:rsid w:val="5AB53F94"/>
    <w:rsid w:val="5ABA77FD"/>
    <w:rsid w:val="5ABB1768"/>
    <w:rsid w:val="5ABC0977"/>
    <w:rsid w:val="5ABD033C"/>
    <w:rsid w:val="5ACE0DB9"/>
    <w:rsid w:val="5AD1778C"/>
    <w:rsid w:val="5AD34C11"/>
    <w:rsid w:val="5ADA5BF9"/>
    <w:rsid w:val="5ADE3706"/>
    <w:rsid w:val="5AE8436A"/>
    <w:rsid w:val="5AE85DE5"/>
    <w:rsid w:val="5AF32D0E"/>
    <w:rsid w:val="5AF4569C"/>
    <w:rsid w:val="5B032FB5"/>
    <w:rsid w:val="5B0758B0"/>
    <w:rsid w:val="5B0942E0"/>
    <w:rsid w:val="5B0B55AC"/>
    <w:rsid w:val="5B282ACA"/>
    <w:rsid w:val="5B294982"/>
    <w:rsid w:val="5B295620"/>
    <w:rsid w:val="5B37464E"/>
    <w:rsid w:val="5B38147E"/>
    <w:rsid w:val="5B3B3BBF"/>
    <w:rsid w:val="5B417443"/>
    <w:rsid w:val="5B4876F8"/>
    <w:rsid w:val="5B4A0298"/>
    <w:rsid w:val="5B4B66A7"/>
    <w:rsid w:val="5B4D4036"/>
    <w:rsid w:val="5B4E0CA6"/>
    <w:rsid w:val="5B527A35"/>
    <w:rsid w:val="5B547C51"/>
    <w:rsid w:val="5B5B72AF"/>
    <w:rsid w:val="5B5F0825"/>
    <w:rsid w:val="5B624BAD"/>
    <w:rsid w:val="5B6C3BFE"/>
    <w:rsid w:val="5B7163DA"/>
    <w:rsid w:val="5B7568A3"/>
    <w:rsid w:val="5B8D7908"/>
    <w:rsid w:val="5B9042AD"/>
    <w:rsid w:val="5B933EEF"/>
    <w:rsid w:val="5B9643EE"/>
    <w:rsid w:val="5BA0018C"/>
    <w:rsid w:val="5BA33638"/>
    <w:rsid w:val="5BA54F84"/>
    <w:rsid w:val="5BAF6C35"/>
    <w:rsid w:val="5BB31D00"/>
    <w:rsid w:val="5BB662D5"/>
    <w:rsid w:val="5BBE5F8B"/>
    <w:rsid w:val="5BC240ED"/>
    <w:rsid w:val="5BCD0113"/>
    <w:rsid w:val="5BD542CA"/>
    <w:rsid w:val="5BD743DE"/>
    <w:rsid w:val="5BDC248B"/>
    <w:rsid w:val="5BE329E4"/>
    <w:rsid w:val="5BEA43D9"/>
    <w:rsid w:val="5BEF34D6"/>
    <w:rsid w:val="5BF07D28"/>
    <w:rsid w:val="5BF13D64"/>
    <w:rsid w:val="5BFA524D"/>
    <w:rsid w:val="5BFF437E"/>
    <w:rsid w:val="5C11169E"/>
    <w:rsid w:val="5C1123EE"/>
    <w:rsid w:val="5C1761A2"/>
    <w:rsid w:val="5C1D6550"/>
    <w:rsid w:val="5C2018E1"/>
    <w:rsid w:val="5C2A6C04"/>
    <w:rsid w:val="5C3655A9"/>
    <w:rsid w:val="5C3C0960"/>
    <w:rsid w:val="5C412946"/>
    <w:rsid w:val="5C441A74"/>
    <w:rsid w:val="5C4B1054"/>
    <w:rsid w:val="5C4F1BF5"/>
    <w:rsid w:val="5C4F7D15"/>
    <w:rsid w:val="5C522B03"/>
    <w:rsid w:val="5C531B52"/>
    <w:rsid w:val="5C58107B"/>
    <w:rsid w:val="5C602626"/>
    <w:rsid w:val="5C6043D4"/>
    <w:rsid w:val="5C606182"/>
    <w:rsid w:val="5C630206"/>
    <w:rsid w:val="5C71213D"/>
    <w:rsid w:val="5C720E3A"/>
    <w:rsid w:val="5C7A11D9"/>
    <w:rsid w:val="5C8E0F41"/>
    <w:rsid w:val="5C922CA1"/>
    <w:rsid w:val="5C9238ED"/>
    <w:rsid w:val="5C94237E"/>
    <w:rsid w:val="5C9E5E68"/>
    <w:rsid w:val="5CA0231D"/>
    <w:rsid w:val="5CA34E8C"/>
    <w:rsid w:val="5CA37ECD"/>
    <w:rsid w:val="5CA54B48"/>
    <w:rsid w:val="5CA80E05"/>
    <w:rsid w:val="5CB36BF9"/>
    <w:rsid w:val="5CB51E58"/>
    <w:rsid w:val="5CC17406"/>
    <w:rsid w:val="5CCB5CF1"/>
    <w:rsid w:val="5CCC49CC"/>
    <w:rsid w:val="5CCD3D1E"/>
    <w:rsid w:val="5CD163D5"/>
    <w:rsid w:val="5CDE0E68"/>
    <w:rsid w:val="5CE33E78"/>
    <w:rsid w:val="5CE6611E"/>
    <w:rsid w:val="5CEE19DF"/>
    <w:rsid w:val="5CF05758"/>
    <w:rsid w:val="5CF76AE6"/>
    <w:rsid w:val="5CFE60C6"/>
    <w:rsid w:val="5D017424"/>
    <w:rsid w:val="5D046F90"/>
    <w:rsid w:val="5D072AA1"/>
    <w:rsid w:val="5D0A2333"/>
    <w:rsid w:val="5D0B2591"/>
    <w:rsid w:val="5D126A91"/>
    <w:rsid w:val="5D1E0517"/>
    <w:rsid w:val="5D242E5C"/>
    <w:rsid w:val="5D2972E4"/>
    <w:rsid w:val="5D33497E"/>
    <w:rsid w:val="5D3C4DB4"/>
    <w:rsid w:val="5D40343E"/>
    <w:rsid w:val="5D476C55"/>
    <w:rsid w:val="5D520385"/>
    <w:rsid w:val="5D5757D7"/>
    <w:rsid w:val="5D602E70"/>
    <w:rsid w:val="5D6B1282"/>
    <w:rsid w:val="5D6B35DA"/>
    <w:rsid w:val="5D757640"/>
    <w:rsid w:val="5D83481E"/>
    <w:rsid w:val="5D8460C4"/>
    <w:rsid w:val="5D9613BC"/>
    <w:rsid w:val="5D96522B"/>
    <w:rsid w:val="5D9A1C06"/>
    <w:rsid w:val="5D9A411F"/>
    <w:rsid w:val="5D9C143B"/>
    <w:rsid w:val="5DA80EB7"/>
    <w:rsid w:val="5DAE37AA"/>
    <w:rsid w:val="5DB1138B"/>
    <w:rsid w:val="5DB65C4E"/>
    <w:rsid w:val="5DC02938"/>
    <w:rsid w:val="5DCB1CAB"/>
    <w:rsid w:val="5DD01187"/>
    <w:rsid w:val="5DD13D0B"/>
    <w:rsid w:val="5DDB5A14"/>
    <w:rsid w:val="5DE20A52"/>
    <w:rsid w:val="5DE84681"/>
    <w:rsid w:val="5DE9008F"/>
    <w:rsid w:val="5DEA664B"/>
    <w:rsid w:val="5DF634D1"/>
    <w:rsid w:val="5DF8205F"/>
    <w:rsid w:val="5DFC494A"/>
    <w:rsid w:val="5E02284A"/>
    <w:rsid w:val="5E090D37"/>
    <w:rsid w:val="5E0C4813"/>
    <w:rsid w:val="5E1861F6"/>
    <w:rsid w:val="5E2960AF"/>
    <w:rsid w:val="5E2D4E5A"/>
    <w:rsid w:val="5E3F63C8"/>
    <w:rsid w:val="5E4105E7"/>
    <w:rsid w:val="5E5166CA"/>
    <w:rsid w:val="5E544217"/>
    <w:rsid w:val="5E5B12F6"/>
    <w:rsid w:val="5E623438"/>
    <w:rsid w:val="5E81219F"/>
    <w:rsid w:val="5E824AD5"/>
    <w:rsid w:val="5E867529"/>
    <w:rsid w:val="5E8819C0"/>
    <w:rsid w:val="5E8C14B0"/>
    <w:rsid w:val="5E8E10DC"/>
    <w:rsid w:val="5E900C48"/>
    <w:rsid w:val="5E907B64"/>
    <w:rsid w:val="5E951A80"/>
    <w:rsid w:val="5E975CD9"/>
    <w:rsid w:val="5EA12E75"/>
    <w:rsid w:val="5EA147B7"/>
    <w:rsid w:val="5EA22A81"/>
    <w:rsid w:val="5EA76D9A"/>
    <w:rsid w:val="5EA90D90"/>
    <w:rsid w:val="5EBA601D"/>
    <w:rsid w:val="5EBB1C78"/>
    <w:rsid w:val="5EBB7A7A"/>
    <w:rsid w:val="5EBE53E1"/>
    <w:rsid w:val="5EBF3633"/>
    <w:rsid w:val="5EBF6DC9"/>
    <w:rsid w:val="5EC057E6"/>
    <w:rsid w:val="5EC32ACD"/>
    <w:rsid w:val="5EC925A8"/>
    <w:rsid w:val="5ECB647C"/>
    <w:rsid w:val="5ED8702A"/>
    <w:rsid w:val="5EE63F77"/>
    <w:rsid w:val="5EFA17B4"/>
    <w:rsid w:val="5F076D88"/>
    <w:rsid w:val="5F106EAF"/>
    <w:rsid w:val="5F1D035A"/>
    <w:rsid w:val="5F2C5DA3"/>
    <w:rsid w:val="5F2E1471"/>
    <w:rsid w:val="5F300950"/>
    <w:rsid w:val="5F311A1B"/>
    <w:rsid w:val="5F332C95"/>
    <w:rsid w:val="5F38549D"/>
    <w:rsid w:val="5F405377"/>
    <w:rsid w:val="5F406B1C"/>
    <w:rsid w:val="5F450803"/>
    <w:rsid w:val="5F486407"/>
    <w:rsid w:val="5F522C73"/>
    <w:rsid w:val="5F5A62FF"/>
    <w:rsid w:val="5F5B4859"/>
    <w:rsid w:val="5F5C6BB1"/>
    <w:rsid w:val="5F661D01"/>
    <w:rsid w:val="5F662FDF"/>
    <w:rsid w:val="5F6662FF"/>
    <w:rsid w:val="5F6B1E1C"/>
    <w:rsid w:val="5F752121"/>
    <w:rsid w:val="5F7C0787"/>
    <w:rsid w:val="5F802CBB"/>
    <w:rsid w:val="5F8505EF"/>
    <w:rsid w:val="5F8506B9"/>
    <w:rsid w:val="5F8913CC"/>
    <w:rsid w:val="5F8A3553"/>
    <w:rsid w:val="5F8B79B9"/>
    <w:rsid w:val="5F94195C"/>
    <w:rsid w:val="5F9709A0"/>
    <w:rsid w:val="5F976FE5"/>
    <w:rsid w:val="5FA263AE"/>
    <w:rsid w:val="5FA34D03"/>
    <w:rsid w:val="5FA35CEC"/>
    <w:rsid w:val="5FA6034F"/>
    <w:rsid w:val="5FB104B5"/>
    <w:rsid w:val="5FB75653"/>
    <w:rsid w:val="5FBB6ADE"/>
    <w:rsid w:val="5FBC5DC5"/>
    <w:rsid w:val="5FBF7663"/>
    <w:rsid w:val="5FCD14AF"/>
    <w:rsid w:val="5FD07587"/>
    <w:rsid w:val="5FD41360"/>
    <w:rsid w:val="5FD924D3"/>
    <w:rsid w:val="5FDE1325"/>
    <w:rsid w:val="5FE07D05"/>
    <w:rsid w:val="5FEA2932"/>
    <w:rsid w:val="5FEF2B47"/>
    <w:rsid w:val="5FF160F1"/>
    <w:rsid w:val="5FF6617D"/>
    <w:rsid w:val="60005F36"/>
    <w:rsid w:val="600357A2"/>
    <w:rsid w:val="60123C37"/>
    <w:rsid w:val="601E3F25"/>
    <w:rsid w:val="6022663A"/>
    <w:rsid w:val="60230509"/>
    <w:rsid w:val="603114B2"/>
    <w:rsid w:val="60343A63"/>
    <w:rsid w:val="60363A23"/>
    <w:rsid w:val="60395667"/>
    <w:rsid w:val="603E4A2C"/>
    <w:rsid w:val="603E705D"/>
    <w:rsid w:val="604069F6"/>
    <w:rsid w:val="60463A80"/>
    <w:rsid w:val="60464805"/>
    <w:rsid w:val="60471B32"/>
    <w:rsid w:val="60483AFC"/>
    <w:rsid w:val="60491120"/>
    <w:rsid w:val="604A7C32"/>
    <w:rsid w:val="604C140E"/>
    <w:rsid w:val="60510E15"/>
    <w:rsid w:val="60561D75"/>
    <w:rsid w:val="60583D40"/>
    <w:rsid w:val="60591866"/>
    <w:rsid w:val="605B6376"/>
    <w:rsid w:val="605D3008"/>
    <w:rsid w:val="60756BDA"/>
    <w:rsid w:val="60784AA8"/>
    <w:rsid w:val="607A6756"/>
    <w:rsid w:val="60863BD5"/>
    <w:rsid w:val="608B2C82"/>
    <w:rsid w:val="608F14E9"/>
    <w:rsid w:val="6098672D"/>
    <w:rsid w:val="60997EB4"/>
    <w:rsid w:val="609B2F18"/>
    <w:rsid w:val="609C0C43"/>
    <w:rsid w:val="60A11E99"/>
    <w:rsid w:val="60AB66E7"/>
    <w:rsid w:val="60AC7BE7"/>
    <w:rsid w:val="60B66CB8"/>
    <w:rsid w:val="60BE7457"/>
    <w:rsid w:val="60BF241E"/>
    <w:rsid w:val="60C153B2"/>
    <w:rsid w:val="60CF38D6"/>
    <w:rsid w:val="60D609F8"/>
    <w:rsid w:val="60DF620F"/>
    <w:rsid w:val="60F17A8F"/>
    <w:rsid w:val="60FA4DF7"/>
    <w:rsid w:val="61017934"/>
    <w:rsid w:val="610512C6"/>
    <w:rsid w:val="61065C77"/>
    <w:rsid w:val="6109503A"/>
    <w:rsid w:val="610C082F"/>
    <w:rsid w:val="61123248"/>
    <w:rsid w:val="61134D9C"/>
    <w:rsid w:val="61151A0A"/>
    <w:rsid w:val="611A767D"/>
    <w:rsid w:val="611C5F5F"/>
    <w:rsid w:val="61207D1F"/>
    <w:rsid w:val="61221F61"/>
    <w:rsid w:val="61243192"/>
    <w:rsid w:val="612754C0"/>
    <w:rsid w:val="612C0D28"/>
    <w:rsid w:val="612E6F74"/>
    <w:rsid w:val="61300818"/>
    <w:rsid w:val="61380171"/>
    <w:rsid w:val="61386D43"/>
    <w:rsid w:val="61433C21"/>
    <w:rsid w:val="61494162"/>
    <w:rsid w:val="61564616"/>
    <w:rsid w:val="61575C95"/>
    <w:rsid w:val="615C785F"/>
    <w:rsid w:val="61646714"/>
    <w:rsid w:val="61660A5D"/>
    <w:rsid w:val="616C642D"/>
    <w:rsid w:val="616C6A15"/>
    <w:rsid w:val="617321F1"/>
    <w:rsid w:val="617807F9"/>
    <w:rsid w:val="618D5C6B"/>
    <w:rsid w:val="619463EE"/>
    <w:rsid w:val="61946FF9"/>
    <w:rsid w:val="619F14FA"/>
    <w:rsid w:val="619F73CE"/>
    <w:rsid w:val="61A34F3F"/>
    <w:rsid w:val="61A44830"/>
    <w:rsid w:val="61A65EC3"/>
    <w:rsid w:val="61AC0D34"/>
    <w:rsid w:val="61AE32D0"/>
    <w:rsid w:val="61C21438"/>
    <w:rsid w:val="61C715BB"/>
    <w:rsid w:val="61C763F8"/>
    <w:rsid w:val="61D00CCA"/>
    <w:rsid w:val="61D513C0"/>
    <w:rsid w:val="61D60AF3"/>
    <w:rsid w:val="61D770D4"/>
    <w:rsid w:val="61E6537B"/>
    <w:rsid w:val="61E70CA6"/>
    <w:rsid w:val="61E909C7"/>
    <w:rsid w:val="61F07C34"/>
    <w:rsid w:val="61F13DAB"/>
    <w:rsid w:val="61FE26C5"/>
    <w:rsid w:val="62053A53"/>
    <w:rsid w:val="620713E0"/>
    <w:rsid w:val="620A2E3F"/>
    <w:rsid w:val="620B0B0A"/>
    <w:rsid w:val="62103235"/>
    <w:rsid w:val="62103E4E"/>
    <w:rsid w:val="62104898"/>
    <w:rsid w:val="62124D72"/>
    <w:rsid w:val="62145A44"/>
    <w:rsid w:val="621576B3"/>
    <w:rsid w:val="621B3277"/>
    <w:rsid w:val="621C3AD2"/>
    <w:rsid w:val="62230D10"/>
    <w:rsid w:val="622C4862"/>
    <w:rsid w:val="62325AA7"/>
    <w:rsid w:val="623E34FC"/>
    <w:rsid w:val="62400B63"/>
    <w:rsid w:val="62411979"/>
    <w:rsid w:val="62447C21"/>
    <w:rsid w:val="624A164E"/>
    <w:rsid w:val="624A3B5C"/>
    <w:rsid w:val="624A6A82"/>
    <w:rsid w:val="624D53FA"/>
    <w:rsid w:val="624E5C5E"/>
    <w:rsid w:val="62540537"/>
    <w:rsid w:val="625C694F"/>
    <w:rsid w:val="626F4FF4"/>
    <w:rsid w:val="62717A0D"/>
    <w:rsid w:val="62726C0F"/>
    <w:rsid w:val="6278621C"/>
    <w:rsid w:val="627C139F"/>
    <w:rsid w:val="628027D8"/>
    <w:rsid w:val="628506F0"/>
    <w:rsid w:val="6286111B"/>
    <w:rsid w:val="62865532"/>
    <w:rsid w:val="628D5053"/>
    <w:rsid w:val="629503F7"/>
    <w:rsid w:val="62993AFA"/>
    <w:rsid w:val="62A770CD"/>
    <w:rsid w:val="62AA7CF0"/>
    <w:rsid w:val="62AD033D"/>
    <w:rsid w:val="62B90845"/>
    <w:rsid w:val="62BC3A45"/>
    <w:rsid w:val="62BC5F0F"/>
    <w:rsid w:val="62BD568B"/>
    <w:rsid w:val="62CB2D83"/>
    <w:rsid w:val="62CC27C3"/>
    <w:rsid w:val="62CE6C0D"/>
    <w:rsid w:val="62D25FC2"/>
    <w:rsid w:val="62D578C9"/>
    <w:rsid w:val="62F87F28"/>
    <w:rsid w:val="62FB75F9"/>
    <w:rsid w:val="63071A4D"/>
    <w:rsid w:val="6313401C"/>
    <w:rsid w:val="6314164B"/>
    <w:rsid w:val="63184EF5"/>
    <w:rsid w:val="632223E3"/>
    <w:rsid w:val="632B573B"/>
    <w:rsid w:val="632F5430"/>
    <w:rsid w:val="633527B2"/>
    <w:rsid w:val="633E1F15"/>
    <w:rsid w:val="63426E07"/>
    <w:rsid w:val="63433826"/>
    <w:rsid w:val="63462575"/>
    <w:rsid w:val="6347009B"/>
    <w:rsid w:val="634F1570"/>
    <w:rsid w:val="63527E74"/>
    <w:rsid w:val="635527B8"/>
    <w:rsid w:val="63575A1B"/>
    <w:rsid w:val="635E1E8C"/>
    <w:rsid w:val="63612F0B"/>
    <w:rsid w:val="63666773"/>
    <w:rsid w:val="63731393"/>
    <w:rsid w:val="63752139"/>
    <w:rsid w:val="63773F4D"/>
    <w:rsid w:val="63793840"/>
    <w:rsid w:val="637C2FF0"/>
    <w:rsid w:val="637C5E5C"/>
    <w:rsid w:val="637F7AEF"/>
    <w:rsid w:val="6390559E"/>
    <w:rsid w:val="63975899"/>
    <w:rsid w:val="63976673"/>
    <w:rsid w:val="639C2235"/>
    <w:rsid w:val="63A1155A"/>
    <w:rsid w:val="63A21872"/>
    <w:rsid w:val="63A86202"/>
    <w:rsid w:val="63AD2894"/>
    <w:rsid w:val="63B02EC3"/>
    <w:rsid w:val="63B32427"/>
    <w:rsid w:val="63B92975"/>
    <w:rsid w:val="63BA261B"/>
    <w:rsid w:val="63C56A50"/>
    <w:rsid w:val="63CD083E"/>
    <w:rsid w:val="63CD1590"/>
    <w:rsid w:val="63D865B3"/>
    <w:rsid w:val="63DE16B9"/>
    <w:rsid w:val="63EB60FE"/>
    <w:rsid w:val="63F723D3"/>
    <w:rsid w:val="640D3093"/>
    <w:rsid w:val="64124205"/>
    <w:rsid w:val="64135FBD"/>
    <w:rsid w:val="64153CF6"/>
    <w:rsid w:val="64265F03"/>
    <w:rsid w:val="64294B00"/>
    <w:rsid w:val="64406F36"/>
    <w:rsid w:val="645E54FB"/>
    <w:rsid w:val="64622E0B"/>
    <w:rsid w:val="64640684"/>
    <w:rsid w:val="646421C0"/>
    <w:rsid w:val="64657FC6"/>
    <w:rsid w:val="646B7DB9"/>
    <w:rsid w:val="646D6DF1"/>
    <w:rsid w:val="64706357"/>
    <w:rsid w:val="6471344A"/>
    <w:rsid w:val="64731F25"/>
    <w:rsid w:val="64732946"/>
    <w:rsid w:val="647A627A"/>
    <w:rsid w:val="647B184A"/>
    <w:rsid w:val="647E189B"/>
    <w:rsid w:val="64833FCA"/>
    <w:rsid w:val="6485624F"/>
    <w:rsid w:val="64904F1C"/>
    <w:rsid w:val="64996E9C"/>
    <w:rsid w:val="649D4417"/>
    <w:rsid w:val="64A34EF5"/>
    <w:rsid w:val="64AC114E"/>
    <w:rsid w:val="64AC2938"/>
    <w:rsid w:val="64AD03D2"/>
    <w:rsid w:val="64B05712"/>
    <w:rsid w:val="64BA2E7A"/>
    <w:rsid w:val="64CC6AAA"/>
    <w:rsid w:val="64CE6B12"/>
    <w:rsid w:val="64D67929"/>
    <w:rsid w:val="64DF440C"/>
    <w:rsid w:val="64E30A47"/>
    <w:rsid w:val="64EF4547"/>
    <w:rsid w:val="64F24194"/>
    <w:rsid w:val="64FB5522"/>
    <w:rsid w:val="650049A6"/>
    <w:rsid w:val="650236C7"/>
    <w:rsid w:val="651775A6"/>
    <w:rsid w:val="651C4271"/>
    <w:rsid w:val="651F307E"/>
    <w:rsid w:val="65240694"/>
    <w:rsid w:val="65270184"/>
    <w:rsid w:val="65283E8B"/>
    <w:rsid w:val="652B409B"/>
    <w:rsid w:val="652C6F14"/>
    <w:rsid w:val="653463FD"/>
    <w:rsid w:val="65414924"/>
    <w:rsid w:val="654621C9"/>
    <w:rsid w:val="654650B5"/>
    <w:rsid w:val="654B208F"/>
    <w:rsid w:val="654D5232"/>
    <w:rsid w:val="654E3963"/>
    <w:rsid w:val="655E136F"/>
    <w:rsid w:val="6565436A"/>
    <w:rsid w:val="656868EF"/>
    <w:rsid w:val="6569254B"/>
    <w:rsid w:val="657D7DA4"/>
    <w:rsid w:val="658200A4"/>
    <w:rsid w:val="65855DD0"/>
    <w:rsid w:val="658640AB"/>
    <w:rsid w:val="658A7CC2"/>
    <w:rsid w:val="658D45E1"/>
    <w:rsid w:val="658E469B"/>
    <w:rsid w:val="659155FE"/>
    <w:rsid w:val="65920BF5"/>
    <w:rsid w:val="65A3303A"/>
    <w:rsid w:val="65AC5AE1"/>
    <w:rsid w:val="65B33329"/>
    <w:rsid w:val="65B80DDC"/>
    <w:rsid w:val="65C36BAD"/>
    <w:rsid w:val="65C94CE9"/>
    <w:rsid w:val="65CC5A04"/>
    <w:rsid w:val="65D21085"/>
    <w:rsid w:val="65D458E0"/>
    <w:rsid w:val="65DB5DE4"/>
    <w:rsid w:val="65DD1F9C"/>
    <w:rsid w:val="65E76E3D"/>
    <w:rsid w:val="65FD6839"/>
    <w:rsid w:val="6602326A"/>
    <w:rsid w:val="660340CC"/>
    <w:rsid w:val="6605219B"/>
    <w:rsid w:val="660D77BE"/>
    <w:rsid w:val="660D7AD6"/>
    <w:rsid w:val="66195E4F"/>
    <w:rsid w:val="662338A2"/>
    <w:rsid w:val="66236C6D"/>
    <w:rsid w:val="66264400"/>
    <w:rsid w:val="66287D10"/>
    <w:rsid w:val="662B5A52"/>
    <w:rsid w:val="662E109F"/>
    <w:rsid w:val="663526E8"/>
    <w:rsid w:val="663937A1"/>
    <w:rsid w:val="66544FA9"/>
    <w:rsid w:val="66580005"/>
    <w:rsid w:val="665B6338"/>
    <w:rsid w:val="66647A8B"/>
    <w:rsid w:val="66656911"/>
    <w:rsid w:val="66672D13"/>
    <w:rsid w:val="66673F75"/>
    <w:rsid w:val="666A3289"/>
    <w:rsid w:val="666F67A7"/>
    <w:rsid w:val="667541E6"/>
    <w:rsid w:val="667E037E"/>
    <w:rsid w:val="6682389D"/>
    <w:rsid w:val="66832A82"/>
    <w:rsid w:val="66872FA0"/>
    <w:rsid w:val="668B5DA6"/>
    <w:rsid w:val="668F2A3A"/>
    <w:rsid w:val="66A6130F"/>
    <w:rsid w:val="66B0415E"/>
    <w:rsid w:val="66B147DE"/>
    <w:rsid w:val="66B3741A"/>
    <w:rsid w:val="66B6356E"/>
    <w:rsid w:val="66B915E4"/>
    <w:rsid w:val="66BE31BC"/>
    <w:rsid w:val="66C258A6"/>
    <w:rsid w:val="66C537B1"/>
    <w:rsid w:val="66CF713A"/>
    <w:rsid w:val="66D02156"/>
    <w:rsid w:val="66D7263B"/>
    <w:rsid w:val="66D74547"/>
    <w:rsid w:val="66DC2BCD"/>
    <w:rsid w:val="66E31E89"/>
    <w:rsid w:val="66F478CD"/>
    <w:rsid w:val="6700318D"/>
    <w:rsid w:val="67152400"/>
    <w:rsid w:val="67192A32"/>
    <w:rsid w:val="672524A2"/>
    <w:rsid w:val="6751773B"/>
    <w:rsid w:val="675253A3"/>
    <w:rsid w:val="676F0EFD"/>
    <w:rsid w:val="67702502"/>
    <w:rsid w:val="67707058"/>
    <w:rsid w:val="67707E12"/>
    <w:rsid w:val="67757CFC"/>
    <w:rsid w:val="677737F4"/>
    <w:rsid w:val="67780C90"/>
    <w:rsid w:val="677A17D2"/>
    <w:rsid w:val="677B4FEC"/>
    <w:rsid w:val="67815684"/>
    <w:rsid w:val="67846AE7"/>
    <w:rsid w:val="67873B24"/>
    <w:rsid w:val="67880492"/>
    <w:rsid w:val="67881D7C"/>
    <w:rsid w:val="6791161F"/>
    <w:rsid w:val="67954634"/>
    <w:rsid w:val="67980BDA"/>
    <w:rsid w:val="679F4002"/>
    <w:rsid w:val="679F491B"/>
    <w:rsid w:val="67A04629"/>
    <w:rsid w:val="67A42409"/>
    <w:rsid w:val="67A91325"/>
    <w:rsid w:val="67A940EF"/>
    <w:rsid w:val="67B13EAA"/>
    <w:rsid w:val="67BC1EF5"/>
    <w:rsid w:val="67C225DD"/>
    <w:rsid w:val="67C427E5"/>
    <w:rsid w:val="67D04899"/>
    <w:rsid w:val="67D22629"/>
    <w:rsid w:val="67F55254"/>
    <w:rsid w:val="67FA33A5"/>
    <w:rsid w:val="68000819"/>
    <w:rsid w:val="68002D30"/>
    <w:rsid w:val="680C039C"/>
    <w:rsid w:val="680E73DA"/>
    <w:rsid w:val="681066D2"/>
    <w:rsid w:val="6813679E"/>
    <w:rsid w:val="68152516"/>
    <w:rsid w:val="681C38A5"/>
    <w:rsid w:val="681F5143"/>
    <w:rsid w:val="6828049B"/>
    <w:rsid w:val="683B7691"/>
    <w:rsid w:val="683F3225"/>
    <w:rsid w:val="68401612"/>
    <w:rsid w:val="684036A9"/>
    <w:rsid w:val="6842701C"/>
    <w:rsid w:val="68642A54"/>
    <w:rsid w:val="686D4100"/>
    <w:rsid w:val="6872190E"/>
    <w:rsid w:val="6873052F"/>
    <w:rsid w:val="68792AA5"/>
    <w:rsid w:val="688651C2"/>
    <w:rsid w:val="68976F63"/>
    <w:rsid w:val="68994EF5"/>
    <w:rsid w:val="689E7EA2"/>
    <w:rsid w:val="68AC2A8E"/>
    <w:rsid w:val="68B62A8E"/>
    <w:rsid w:val="68BB30BE"/>
    <w:rsid w:val="68BC1224"/>
    <w:rsid w:val="68BC5088"/>
    <w:rsid w:val="68BD352F"/>
    <w:rsid w:val="68CF1ACF"/>
    <w:rsid w:val="68D32C99"/>
    <w:rsid w:val="68D45B5C"/>
    <w:rsid w:val="68DC4DE2"/>
    <w:rsid w:val="68E07229"/>
    <w:rsid w:val="68E41866"/>
    <w:rsid w:val="68E8661E"/>
    <w:rsid w:val="68E90050"/>
    <w:rsid w:val="68EF720B"/>
    <w:rsid w:val="69025933"/>
    <w:rsid w:val="690475B9"/>
    <w:rsid w:val="690833DF"/>
    <w:rsid w:val="690B5EA0"/>
    <w:rsid w:val="69186322"/>
    <w:rsid w:val="691B0EFE"/>
    <w:rsid w:val="691E1E82"/>
    <w:rsid w:val="692A1518"/>
    <w:rsid w:val="692A78CC"/>
    <w:rsid w:val="692C53C1"/>
    <w:rsid w:val="692D1AE1"/>
    <w:rsid w:val="69306332"/>
    <w:rsid w:val="69315D61"/>
    <w:rsid w:val="69327457"/>
    <w:rsid w:val="693F690B"/>
    <w:rsid w:val="693F6DD2"/>
    <w:rsid w:val="69405D20"/>
    <w:rsid w:val="6943759D"/>
    <w:rsid w:val="694450D8"/>
    <w:rsid w:val="69450E38"/>
    <w:rsid w:val="69470DF5"/>
    <w:rsid w:val="69517515"/>
    <w:rsid w:val="69524E67"/>
    <w:rsid w:val="695775DF"/>
    <w:rsid w:val="695E1F48"/>
    <w:rsid w:val="6978240C"/>
    <w:rsid w:val="69794B1B"/>
    <w:rsid w:val="698062B8"/>
    <w:rsid w:val="69863E30"/>
    <w:rsid w:val="698A0EAB"/>
    <w:rsid w:val="69926789"/>
    <w:rsid w:val="699456BD"/>
    <w:rsid w:val="69A51218"/>
    <w:rsid w:val="69A77054"/>
    <w:rsid w:val="69A97868"/>
    <w:rsid w:val="69AA354B"/>
    <w:rsid w:val="69AA7859"/>
    <w:rsid w:val="69AC2A06"/>
    <w:rsid w:val="69AE2C22"/>
    <w:rsid w:val="69B45BF9"/>
    <w:rsid w:val="69BE2272"/>
    <w:rsid w:val="69C2060B"/>
    <w:rsid w:val="69C532D5"/>
    <w:rsid w:val="69C56C16"/>
    <w:rsid w:val="69C72D1C"/>
    <w:rsid w:val="69CC4E56"/>
    <w:rsid w:val="69CE58AE"/>
    <w:rsid w:val="69D41F5D"/>
    <w:rsid w:val="69D41F76"/>
    <w:rsid w:val="69E16584"/>
    <w:rsid w:val="69E860BE"/>
    <w:rsid w:val="69EB57C5"/>
    <w:rsid w:val="69EC619F"/>
    <w:rsid w:val="69EE1271"/>
    <w:rsid w:val="69F73BD6"/>
    <w:rsid w:val="69FD72F2"/>
    <w:rsid w:val="6A055C48"/>
    <w:rsid w:val="6A110A6B"/>
    <w:rsid w:val="6A197BB4"/>
    <w:rsid w:val="6A1A25C7"/>
    <w:rsid w:val="6A2627B9"/>
    <w:rsid w:val="6A2A49B6"/>
    <w:rsid w:val="6A2D0490"/>
    <w:rsid w:val="6A3749C6"/>
    <w:rsid w:val="6A46671D"/>
    <w:rsid w:val="6A4F4F0C"/>
    <w:rsid w:val="6A501F0C"/>
    <w:rsid w:val="6A511EFA"/>
    <w:rsid w:val="6A521800"/>
    <w:rsid w:val="6A58493C"/>
    <w:rsid w:val="6A5C108F"/>
    <w:rsid w:val="6A5C267E"/>
    <w:rsid w:val="6A6126D0"/>
    <w:rsid w:val="6A6257BB"/>
    <w:rsid w:val="6A641533"/>
    <w:rsid w:val="6A6D6639"/>
    <w:rsid w:val="6A6E4FC2"/>
    <w:rsid w:val="6A721453"/>
    <w:rsid w:val="6A7C1F1D"/>
    <w:rsid w:val="6A8A23D9"/>
    <w:rsid w:val="6A8D2838"/>
    <w:rsid w:val="6A9260A0"/>
    <w:rsid w:val="6AA26E5F"/>
    <w:rsid w:val="6AA47B81"/>
    <w:rsid w:val="6AAC0744"/>
    <w:rsid w:val="6AB84999"/>
    <w:rsid w:val="6AB9362D"/>
    <w:rsid w:val="6AC36B8F"/>
    <w:rsid w:val="6AC41FD2"/>
    <w:rsid w:val="6ACD7102"/>
    <w:rsid w:val="6ACE3228"/>
    <w:rsid w:val="6AD211B7"/>
    <w:rsid w:val="6AD53752"/>
    <w:rsid w:val="6AE14931"/>
    <w:rsid w:val="6AE174FA"/>
    <w:rsid w:val="6AE61F48"/>
    <w:rsid w:val="6AEE74D1"/>
    <w:rsid w:val="6AFC1413"/>
    <w:rsid w:val="6AFF300A"/>
    <w:rsid w:val="6B06468C"/>
    <w:rsid w:val="6B0C5E52"/>
    <w:rsid w:val="6B0D0390"/>
    <w:rsid w:val="6B190523"/>
    <w:rsid w:val="6B1B05A6"/>
    <w:rsid w:val="6B1F4E4B"/>
    <w:rsid w:val="6B252A70"/>
    <w:rsid w:val="6B295AA1"/>
    <w:rsid w:val="6B2B746D"/>
    <w:rsid w:val="6B364C7D"/>
    <w:rsid w:val="6B3E3B32"/>
    <w:rsid w:val="6B453A84"/>
    <w:rsid w:val="6B4E646B"/>
    <w:rsid w:val="6B731183"/>
    <w:rsid w:val="6B7633D5"/>
    <w:rsid w:val="6B767770"/>
    <w:rsid w:val="6B79702B"/>
    <w:rsid w:val="6B80746E"/>
    <w:rsid w:val="6B833867"/>
    <w:rsid w:val="6B8407D3"/>
    <w:rsid w:val="6B87197D"/>
    <w:rsid w:val="6B873722"/>
    <w:rsid w:val="6B9062F3"/>
    <w:rsid w:val="6B911ED4"/>
    <w:rsid w:val="6B9D4684"/>
    <w:rsid w:val="6BA40927"/>
    <w:rsid w:val="6BAA42A1"/>
    <w:rsid w:val="6BAF228A"/>
    <w:rsid w:val="6BB90E1E"/>
    <w:rsid w:val="6BBA1281"/>
    <w:rsid w:val="6BD2397F"/>
    <w:rsid w:val="6BE65222"/>
    <w:rsid w:val="6BEA5A68"/>
    <w:rsid w:val="6BEC17E0"/>
    <w:rsid w:val="6BEE71EA"/>
    <w:rsid w:val="6BF1500F"/>
    <w:rsid w:val="6BF15048"/>
    <w:rsid w:val="6BF64EAE"/>
    <w:rsid w:val="6BF84629"/>
    <w:rsid w:val="6C007039"/>
    <w:rsid w:val="6C031950"/>
    <w:rsid w:val="6C1121B0"/>
    <w:rsid w:val="6C122B4B"/>
    <w:rsid w:val="6C1D4C18"/>
    <w:rsid w:val="6C200ABC"/>
    <w:rsid w:val="6C270A6A"/>
    <w:rsid w:val="6C2B2CE1"/>
    <w:rsid w:val="6C2E1D16"/>
    <w:rsid w:val="6C30791F"/>
    <w:rsid w:val="6C3F1435"/>
    <w:rsid w:val="6C442D1C"/>
    <w:rsid w:val="6C4B4758"/>
    <w:rsid w:val="6C4D6722"/>
    <w:rsid w:val="6C4F77F2"/>
    <w:rsid w:val="6C513A5D"/>
    <w:rsid w:val="6C5555D7"/>
    <w:rsid w:val="6C5C4853"/>
    <w:rsid w:val="6C60046D"/>
    <w:rsid w:val="6C6214DB"/>
    <w:rsid w:val="6C7034F3"/>
    <w:rsid w:val="6C7123A2"/>
    <w:rsid w:val="6C735A5D"/>
    <w:rsid w:val="6C776701"/>
    <w:rsid w:val="6C8667DD"/>
    <w:rsid w:val="6C886152"/>
    <w:rsid w:val="6C8B724B"/>
    <w:rsid w:val="6C953C26"/>
    <w:rsid w:val="6CAD3358"/>
    <w:rsid w:val="6CB674EB"/>
    <w:rsid w:val="6CBD4D91"/>
    <w:rsid w:val="6CC012AF"/>
    <w:rsid w:val="6CC14A1B"/>
    <w:rsid w:val="6CC232FE"/>
    <w:rsid w:val="6CCA070A"/>
    <w:rsid w:val="6CCE7C4E"/>
    <w:rsid w:val="6CD1197B"/>
    <w:rsid w:val="6CE05721"/>
    <w:rsid w:val="6CE21E28"/>
    <w:rsid w:val="6CE26F5F"/>
    <w:rsid w:val="6CE57756"/>
    <w:rsid w:val="6CE931BD"/>
    <w:rsid w:val="6CEA563B"/>
    <w:rsid w:val="6CF724D3"/>
    <w:rsid w:val="6CFF5543"/>
    <w:rsid w:val="6D085BF6"/>
    <w:rsid w:val="6D18512F"/>
    <w:rsid w:val="6D1945D1"/>
    <w:rsid w:val="6D25144D"/>
    <w:rsid w:val="6D276982"/>
    <w:rsid w:val="6D2806CC"/>
    <w:rsid w:val="6D2862D3"/>
    <w:rsid w:val="6D30394E"/>
    <w:rsid w:val="6D310546"/>
    <w:rsid w:val="6D344AE0"/>
    <w:rsid w:val="6D3E1B43"/>
    <w:rsid w:val="6D4B1F5D"/>
    <w:rsid w:val="6D4F1951"/>
    <w:rsid w:val="6D511020"/>
    <w:rsid w:val="6D5238C5"/>
    <w:rsid w:val="6D543AE1"/>
    <w:rsid w:val="6D593DB5"/>
    <w:rsid w:val="6D5B3369"/>
    <w:rsid w:val="6D601C70"/>
    <w:rsid w:val="6D632F47"/>
    <w:rsid w:val="6D6967FB"/>
    <w:rsid w:val="6D6A50B2"/>
    <w:rsid w:val="6D71647C"/>
    <w:rsid w:val="6D7E3BF6"/>
    <w:rsid w:val="6D8F4B19"/>
    <w:rsid w:val="6D9369C9"/>
    <w:rsid w:val="6D9C140F"/>
    <w:rsid w:val="6DA21282"/>
    <w:rsid w:val="6DAE40D0"/>
    <w:rsid w:val="6DB44F9A"/>
    <w:rsid w:val="6DB46464"/>
    <w:rsid w:val="6DBD40E5"/>
    <w:rsid w:val="6DCD73EF"/>
    <w:rsid w:val="6DD20F3C"/>
    <w:rsid w:val="6DD24A05"/>
    <w:rsid w:val="6DDF4E95"/>
    <w:rsid w:val="6E022DB7"/>
    <w:rsid w:val="6E0278D7"/>
    <w:rsid w:val="6E062690"/>
    <w:rsid w:val="6E0E1EE1"/>
    <w:rsid w:val="6E116027"/>
    <w:rsid w:val="6E20714F"/>
    <w:rsid w:val="6E283010"/>
    <w:rsid w:val="6E2E4E0D"/>
    <w:rsid w:val="6E2E7E8E"/>
    <w:rsid w:val="6E2F5DF4"/>
    <w:rsid w:val="6E3277EF"/>
    <w:rsid w:val="6E34121C"/>
    <w:rsid w:val="6E3556C0"/>
    <w:rsid w:val="6E357F20"/>
    <w:rsid w:val="6E3A0A2D"/>
    <w:rsid w:val="6E3B07FD"/>
    <w:rsid w:val="6E3F653F"/>
    <w:rsid w:val="6E443B55"/>
    <w:rsid w:val="6E4753F3"/>
    <w:rsid w:val="6E512D78"/>
    <w:rsid w:val="6E543DDB"/>
    <w:rsid w:val="6E5D131B"/>
    <w:rsid w:val="6E625766"/>
    <w:rsid w:val="6E671FF6"/>
    <w:rsid w:val="6E7B00D0"/>
    <w:rsid w:val="6E7E2EFE"/>
    <w:rsid w:val="6E8541BB"/>
    <w:rsid w:val="6E8E068A"/>
    <w:rsid w:val="6EA02607"/>
    <w:rsid w:val="6EA1250E"/>
    <w:rsid w:val="6EA34723"/>
    <w:rsid w:val="6EA64798"/>
    <w:rsid w:val="6EB611AF"/>
    <w:rsid w:val="6EB8275D"/>
    <w:rsid w:val="6EB93D06"/>
    <w:rsid w:val="6EBD1212"/>
    <w:rsid w:val="6ECE2B6D"/>
    <w:rsid w:val="6ED00A3C"/>
    <w:rsid w:val="6ED22F0F"/>
    <w:rsid w:val="6ED637AA"/>
    <w:rsid w:val="6ED76777"/>
    <w:rsid w:val="6ED85A05"/>
    <w:rsid w:val="6EDF4578"/>
    <w:rsid w:val="6EE81783"/>
    <w:rsid w:val="6EE844E0"/>
    <w:rsid w:val="6EED2B79"/>
    <w:rsid w:val="6EF530A1"/>
    <w:rsid w:val="6F025CE0"/>
    <w:rsid w:val="6F060D2C"/>
    <w:rsid w:val="6F1E01FC"/>
    <w:rsid w:val="6F1E43A6"/>
    <w:rsid w:val="6F1E78D9"/>
    <w:rsid w:val="6F23376B"/>
    <w:rsid w:val="6F2E65E5"/>
    <w:rsid w:val="6F332B95"/>
    <w:rsid w:val="6F375468"/>
    <w:rsid w:val="6F3A0AB4"/>
    <w:rsid w:val="6F3C5A94"/>
    <w:rsid w:val="6F412535"/>
    <w:rsid w:val="6F4910F2"/>
    <w:rsid w:val="6F5E4DBF"/>
    <w:rsid w:val="6F5F19C8"/>
    <w:rsid w:val="6F64054A"/>
    <w:rsid w:val="6F683873"/>
    <w:rsid w:val="6F72492C"/>
    <w:rsid w:val="6F7400F2"/>
    <w:rsid w:val="6F7943E6"/>
    <w:rsid w:val="6F80031B"/>
    <w:rsid w:val="6F814935"/>
    <w:rsid w:val="6F8821FF"/>
    <w:rsid w:val="6F982D60"/>
    <w:rsid w:val="6FA87765"/>
    <w:rsid w:val="6FAC390D"/>
    <w:rsid w:val="6FAD74D8"/>
    <w:rsid w:val="6FB64781"/>
    <w:rsid w:val="6FB72105"/>
    <w:rsid w:val="6FB92B07"/>
    <w:rsid w:val="6FC1608F"/>
    <w:rsid w:val="6FC7059A"/>
    <w:rsid w:val="6FC722F1"/>
    <w:rsid w:val="6FC815C1"/>
    <w:rsid w:val="6FC85B74"/>
    <w:rsid w:val="6FC9237A"/>
    <w:rsid w:val="6FD14F5F"/>
    <w:rsid w:val="6FD26F3F"/>
    <w:rsid w:val="6FD72657"/>
    <w:rsid w:val="6FDA1311"/>
    <w:rsid w:val="6FDB4E2B"/>
    <w:rsid w:val="6FDC0F91"/>
    <w:rsid w:val="6FEE06E3"/>
    <w:rsid w:val="6FEE7FB2"/>
    <w:rsid w:val="6FF02146"/>
    <w:rsid w:val="6FF40FD7"/>
    <w:rsid w:val="6FFB7A7F"/>
    <w:rsid w:val="70031191"/>
    <w:rsid w:val="70036D9D"/>
    <w:rsid w:val="70065659"/>
    <w:rsid w:val="700B0B56"/>
    <w:rsid w:val="700E61C9"/>
    <w:rsid w:val="70173375"/>
    <w:rsid w:val="70186B41"/>
    <w:rsid w:val="701B5E49"/>
    <w:rsid w:val="7026309C"/>
    <w:rsid w:val="702A1E44"/>
    <w:rsid w:val="702D3946"/>
    <w:rsid w:val="703419A7"/>
    <w:rsid w:val="70394621"/>
    <w:rsid w:val="703F1C24"/>
    <w:rsid w:val="703F3234"/>
    <w:rsid w:val="70460641"/>
    <w:rsid w:val="704F233D"/>
    <w:rsid w:val="70512559"/>
    <w:rsid w:val="705160B5"/>
    <w:rsid w:val="70577FA3"/>
    <w:rsid w:val="706C2EEF"/>
    <w:rsid w:val="70702A64"/>
    <w:rsid w:val="70753299"/>
    <w:rsid w:val="7078370F"/>
    <w:rsid w:val="70804E40"/>
    <w:rsid w:val="70814FA2"/>
    <w:rsid w:val="70871AD7"/>
    <w:rsid w:val="70874F19"/>
    <w:rsid w:val="70892B38"/>
    <w:rsid w:val="708C17E3"/>
    <w:rsid w:val="708D10B1"/>
    <w:rsid w:val="709226BE"/>
    <w:rsid w:val="70957394"/>
    <w:rsid w:val="70974410"/>
    <w:rsid w:val="709E1D62"/>
    <w:rsid w:val="70A16AF3"/>
    <w:rsid w:val="70A247FB"/>
    <w:rsid w:val="70A30AC2"/>
    <w:rsid w:val="70AB3BE8"/>
    <w:rsid w:val="70BB3E83"/>
    <w:rsid w:val="70C46D11"/>
    <w:rsid w:val="70C84A9F"/>
    <w:rsid w:val="70CA14DA"/>
    <w:rsid w:val="70CB230C"/>
    <w:rsid w:val="70D56FC7"/>
    <w:rsid w:val="70DA5030"/>
    <w:rsid w:val="70E61366"/>
    <w:rsid w:val="70E90A8F"/>
    <w:rsid w:val="70EE5FFA"/>
    <w:rsid w:val="70EF299B"/>
    <w:rsid w:val="70F5125D"/>
    <w:rsid w:val="70F74E78"/>
    <w:rsid w:val="71005531"/>
    <w:rsid w:val="71015D2D"/>
    <w:rsid w:val="712872E9"/>
    <w:rsid w:val="71327A74"/>
    <w:rsid w:val="715F700B"/>
    <w:rsid w:val="71611CD1"/>
    <w:rsid w:val="71886E39"/>
    <w:rsid w:val="718976AD"/>
    <w:rsid w:val="719B56EF"/>
    <w:rsid w:val="719C7804"/>
    <w:rsid w:val="719E1F10"/>
    <w:rsid w:val="71A15312"/>
    <w:rsid w:val="71A46B79"/>
    <w:rsid w:val="71A55FFE"/>
    <w:rsid w:val="71B1796B"/>
    <w:rsid w:val="71B30B97"/>
    <w:rsid w:val="71C54FAD"/>
    <w:rsid w:val="71C55136"/>
    <w:rsid w:val="71CE166E"/>
    <w:rsid w:val="71D376CA"/>
    <w:rsid w:val="71D62D16"/>
    <w:rsid w:val="71D65064"/>
    <w:rsid w:val="71D923DB"/>
    <w:rsid w:val="71DF154D"/>
    <w:rsid w:val="71E41366"/>
    <w:rsid w:val="71E56119"/>
    <w:rsid w:val="71E656E8"/>
    <w:rsid w:val="71E9409C"/>
    <w:rsid w:val="71EB1DB8"/>
    <w:rsid w:val="71FE401B"/>
    <w:rsid w:val="720563F5"/>
    <w:rsid w:val="720A6C4C"/>
    <w:rsid w:val="720C2BDC"/>
    <w:rsid w:val="720D7FAC"/>
    <w:rsid w:val="721D075B"/>
    <w:rsid w:val="721F7B94"/>
    <w:rsid w:val="722103D4"/>
    <w:rsid w:val="722211A2"/>
    <w:rsid w:val="722D1ECD"/>
    <w:rsid w:val="722E23A1"/>
    <w:rsid w:val="723F448C"/>
    <w:rsid w:val="72485ABE"/>
    <w:rsid w:val="725D1D98"/>
    <w:rsid w:val="726227FC"/>
    <w:rsid w:val="72693A7D"/>
    <w:rsid w:val="726C5429"/>
    <w:rsid w:val="726D22F7"/>
    <w:rsid w:val="72710C91"/>
    <w:rsid w:val="72757CBD"/>
    <w:rsid w:val="7282407A"/>
    <w:rsid w:val="72854C5B"/>
    <w:rsid w:val="728743F3"/>
    <w:rsid w:val="72951471"/>
    <w:rsid w:val="72966949"/>
    <w:rsid w:val="729B1351"/>
    <w:rsid w:val="729C4BB7"/>
    <w:rsid w:val="729D1625"/>
    <w:rsid w:val="729D1A86"/>
    <w:rsid w:val="72A542A8"/>
    <w:rsid w:val="72AE77EF"/>
    <w:rsid w:val="72B510B9"/>
    <w:rsid w:val="72BA2583"/>
    <w:rsid w:val="72BA2638"/>
    <w:rsid w:val="72C734DC"/>
    <w:rsid w:val="72D8187A"/>
    <w:rsid w:val="72D85172"/>
    <w:rsid w:val="72DE1CBC"/>
    <w:rsid w:val="72E651DB"/>
    <w:rsid w:val="72E66F89"/>
    <w:rsid w:val="72EB0A43"/>
    <w:rsid w:val="72EC70D5"/>
    <w:rsid w:val="72F531AE"/>
    <w:rsid w:val="72FA0C86"/>
    <w:rsid w:val="72FB07CB"/>
    <w:rsid w:val="73007CA1"/>
    <w:rsid w:val="73090EC9"/>
    <w:rsid w:val="730B2E93"/>
    <w:rsid w:val="7318110C"/>
    <w:rsid w:val="731B5C5D"/>
    <w:rsid w:val="731C0818"/>
    <w:rsid w:val="731D6723"/>
    <w:rsid w:val="731F693F"/>
    <w:rsid w:val="732C1C57"/>
    <w:rsid w:val="73353469"/>
    <w:rsid w:val="73364007"/>
    <w:rsid w:val="733B34D6"/>
    <w:rsid w:val="734B1A82"/>
    <w:rsid w:val="734B3B0C"/>
    <w:rsid w:val="734E740F"/>
    <w:rsid w:val="7352461E"/>
    <w:rsid w:val="735C36EF"/>
    <w:rsid w:val="73614861"/>
    <w:rsid w:val="736D7395"/>
    <w:rsid w:val="737407F8"/>
    <w:rsid w:val="737722D7"/>
    <w:rsid w:val="73792A82"/>
    <w:rsid w:val="737C5C05"/>
    <w:rsid w:val="737F2C09"/>
    <w:rsid w:val="737F70B1"/>
    <w:rsid w:val="73807E8E"/>
    <w:rsid w:val="73866EC6"/>
    <w:rsid w:val="73941757"/>
    <w:rsid w:val="73981CB2"/>
    <w:rsid w:val="73994C80"/>
    <w:rsid w:val="739A0A38"/>
    <w:rsid w:val="73A00B05"/>
    <w:rsid w:val="73AB4ED8"/>
    <w:rsid w:val="73BB6668"/>
    <w:rsid w:val="73CB43D1"/>
    <w:rsid w:val="73CD7F8D"/>
    <w:rsid w:val="73D20082"/>
    <w:rsid w:val="73D56FFD"/>
    <w:rsid w:val="73E73998"/>
    <w:rsid w:val="73EC3978"/>
    <w:rsid w:val="73F2454A"/>
    <w:rsid w:val="740238DF"/>
    <w:rsid w:val="740D49E9"/>
    <w:rsid w:val="74136828"/>
    <w:rsid w:val="741915E0"/>
    <w:rsid w:val="741E31AE"/>
    <w:rsid w:val="7420536D"/>
    <w:rsid w:val="7423539C"/>
    <w:rsid w:val="74244C1C"/>
    <w:rsid w:val="742A10F7"/>
    <w:rsid w:val="742B1A04"/>
    <w:rsid w:val="743B786C"/>
    <w:rsid w:val="744217CA"/>
    <w:rsid w:val="744A2D86"/>
    <w:rsid w:val="744F6DB0"/>
    <w:rsid w:val="745474C0"/>
    <w:rsid w:val="745A1EF0"/>
    <w:rsid w:val="746217D9"/>
    <w:rsid w:val="74686B9E"/>
    <w:rsid w:val="746E74A8"/>
    <w:rsid w:val="747D56C7"/>
    <w:rsid w:val="7482539B"/>
    <w:rsid w:val="748C2B39"/>
    <w:rsid w:val="748C3843"/>
    <w:rsid w:val="749018A2"/>
    <w:rsid w:val="749502B9"/>
    <w:rsid w:val="74A71E6F"/>
    <w:rsid w:val="74AA5A49"/>
    <w:rsid w:val="74B3656E"/>
    <w:rsid w:val="74B74192"/>
    <w:rsid w:val="74B843E7"/>
    <w:rsid w:val="74BF5390"/>
    <w:rsid w:val="74C552BF"/>
    <w:rsid w:val="74CC347F"/>
    <w:rsid w:val="74D30A66"/>
    <w:rsid w:val="74D97F76"/>
    <w:rsid w:val="74DA2B1D"/>
    <w:rsid w:val="74E372D5"/>
    <w:rsid w:val="74F0512C"/>
    <w:rsid w:val="74F1471D"/>
    <w:rsid w:val="74FE0089"/>
    <w:rsid w:val="75037221"/>
    <w:rsid w:val="750443A0"/>
    <w:rsid w:val="751379B1"/>
    <w:rsid w:val="75295853"/>
    <w:rsid w:val="75354225"/>
    <w:rsid w:val="753819D1"/>
    <w:rsid w:val="75425644"/>
    <w:rsid w:val="754537ED"/>
    <w:rsid w:val="75575F1C"/>
    <w:rsid w:val="756158FE"/>
    <w:rsid w:val="756225A2"/>
    <w:rsid w:val="75630AF4"/>
    <w:rsid w:val="756C2951"/>
    <w:rsid w:val="7572283C"/>
    <w:rsid w:val="75742F72"/>
    <w:rsid w:val="757765BE"/>
    <w:rsid w:val="75794EF7"/>
    <w:rsid w:val="757A1C0A"/>
    <w:rsid w:val="758A1F9C"/>
    <w:rsid w:val="758B11E8"/>
    <w:rsid w:val="758C3253"/>
    <w:rsid w:val="75970A0E"/>
    <w:rsid w:val="75A4312B"/>
    <w:rsid w:val="75A61EDE"/>
    <w:rsid w:val="75AA6994"/>
    <w:rsid w:val="75B415C0"/>
    <w:rsid w:val="75B639F4"/>
    <w:rsid w:val="75BA294F"/>
    <w:rsid w:val="75CB06B8"/>
    <w:rsid w:val="75D3640F"/>
    <w:rsid w:val="75D67789"/>
    <w:rsid w:val="75D73A7B"/>
    <w:rsid w:val="75DA5404"/>
    <w:rsid w:val="75EF084A"/>
    <w:rsid w:val="75F27C3C"/>
    <w:rsid w:val="75FC6AC3"/>
    <w:rsid w:val="75FD3DC3"/>
    <w:rsid w:val="76010C56"/>
    <w:rsid w:val="7605562E"/>
    <w:rsid w:val="7606169C"/>
    <w:rsid w:val="76101441"/>
    <w:rsid w:val="76124539"/>
    <w:rsid w:val="761958C7"/>
    <w:rsid w:val="761C5254"/>
    <w:rsid w:val="76271701"/>
    <w:rsid w:val="76382129"/>
    <w:rsid w:val="763952B0"/>
    <w:rsid w:val="763D4224"/>
    <w:rsid w:val="76475B8C"/>
    <w:rsid w:val="76531A15"/>
    <w:rsid w:val="765661D4"/>
    <w:rsid w:val="76622145"/>
    <w:rsid w:val="76627381"/>
    <w:rsid w:val="766A1941"/>
    <w:rsid w:val="76724FD8"/>
    <w:rsid w:val="767C06C4"/>
    <w:rsid w:val="768076F4"/>
    <w:rsid w:val="76864343"/>
    <w:rsid w:val="768E6AE1"/>
    <w:rsid w:val="76944F4E"/>
    <w:rsid w:val="76967CF5"/>
    <w:rsid w:val="769A6A08"/>
    <w:rsid w:val="769F003F"/>
    <w:rsid w:val="76A038F3"/>
    <w:rsid w:val="76A30480"/>
    <w:rsid w:val="76AB74C5"/>
    <w:rsid w:val="76B80988"/>
    <w:rsid w:val="76C3238E"/>
    <w:rsid w:val="76CA3830"/>
    <w:rsid w:val="76CA658E"/>
    <w:rsid w:val="76CD34C8"/>
    <w:rsid w:val="76CE55D9"/>
    <w:rsid w:val="76D0242A"/>
    <w:rsid w:val="76D3491B"/>
    <w:rsid w:val="76D96E05"/>
    <w:rsid w:val="76DB0DCF"/>
    <w:rsid w:val="76F30966"/>
    <w:rsid w:val="76FF2D0F"/>
    <w:rsid w:val="7707393B"/>
    <w:rsid w:val="77084DE0"/>
    <w:rsid w:val="770A79A4"/>
    <w:rsid w:val="771340C5"/>
    <w:rsid w:val="77163BB5"/>
    <w:rsid w:val="771858D9"/>
    <w:rsid w:val="771B48C8"/>
    <w:rsid w:val="772E3E17"/>
    <w:rsid w:val="772E5419"/>
    <w:rsid w:val="772F4F14"/>
    <w:rsid w:val="77366005"/>
    <w:rsid w:val="773853D5"/>
    <w:rsid w:val="773A5AF5"/>
    <w:rsid w:val="774576AA"/>
    <w:rsid w:val="774C428A"/>
    <w:rsid w:val="775C4D16"/>
    <w:rsid w:val="775F47FF"/>
    <w:rsid w:val="775F730A"/>
    <w:rsid w:val="776932F7"/>
    <w:rsid w:val="776A376D"/>
    <w:rsid w:val="77723041"/>
    <w:rsid w:val="7776200D"/>
    <w:rsid w:val="77866F8C"/>
    <w:rsid w:val="77894E9D"/>
    <w:rsid w:val="778A542A"/>
    <w:rsid w:val="778C092D"/>
    <w:rsid w:val="778D178F"/>
    <w:rsid w:val="778F27D1"/>
    <w:rsid w:val="77921842"/>
    <w:rsid w:val="779D717A"/>
    <w:rsid w:val="779F578D"/>
    <w:rsid w:val="77A363DC"/>
    <w:rsid w:val="77A6448D"/>
    <w:rsid w:val="77A96E95"/>
    <w:rsid w:val="77BE4566"/>
    <w:rsid w:val="77BF226A"/>
    <w:rsid w:val="77C35AEB"/>
    <w:rsid w:val="77C80083"/>
    <w:rsid w:val="77C96155"/>
    <w:rsid w:val="77CB6225"/>
    <w:rsid w:val="77CE623E"/>
    <w:rsid w:val="77D5581E"/>
    <w:rsid w:val="77D62D81"/>
    <w:rsid w:val="77DD7433"/>
    <w:rsid w:val="77E43BD5"/>
    <w:rsid w:val="77E616E5"/>
    <w:rsid w:val="77E65B72"/>
    <w:rsid w:val="77EF68E0"/>
    <w:rsid w:val="77F43EF6"/>
    <w:rsid w:val="77F503B0"/>
    <w:rsid w:val="77FC2429"/>
    <w:rsid w:val="77FE2759"/>
    <w:rsid w:val="78022363"/>
    <w:rsid w:val="78030628"/>
    <w:rsid w:val="780B4D75"/>
    <w:rsid w:val="7811406E"/>
    <w:rsid w:val="781400F4"/>
    <w:rsid w:val="781B0C79"/>
    <w:rsid w:val="78207B78"/>
    <w:rsid w:val="78270C62"/>
    <w:rsid w:val="78287E4A"/>
    <w:rsid w:val="78354AF9"/>
    <w:rsid w:val="78376DB4"/>
    <w:rsid w:val="783C6553"/>
    <w:rsid w:val="784D7AAA"/>
    <w:rsid w:val="784F105D"/>
    <w:rsid w:val="785173F2"/>
    <w:rsid w:val="785206F6"/>
    <w:rsid w:val="785827DF"/>
    <w:rsid w:val="785901FD"/>
    <w:rsid w:val="78601134"/>
    <w:rsid w:val="78686CA8"/>
    <w:rsid w:val="786E5D1C"/>
    <w:rsid w:val="786E6255"/>
    <w:rsid w:val="787A7F8E"/>
    <w:rsid w:val="787D038F"/>
    <w:rsid w:val="78850FF2"/>
    <w:rsid w:val="788A2AAC"/>
    <w:rsid w:val="788B28A3"/>
    <w:rsid w:val="788B412F"/>
    <w:rsid w:val="78906DD6"/>
    <w:rsid w:val="789C633C"/>
    <w:rsid w:val="78A10475"/>
    <w:rsid w:val="78A56EEA"/>
    <w:rsid w:val="78BB7662"/>
    <w:rsid w:val="78BD6AB6"/>
    <w:rsid w:val="78C22CE8"/>
    <w:rsid w:val="78C23265"/>
    <w:rsid w:val="78DB6C4C"/>
    <w:rsid w:val="78DD139E"/>
    <w:rsid w:val="78E57161"/>
    <w:rsid w:val="78EC72C3"/>
    <w:rsid w:val="78EE2AED"/>
    <w:rsid w:val="78EE5405"/>
    <w:rsid w:val="78EF16F3"/>
    <w:rsid w:val="78F2178F"/>
    <w:rsid w:val="7905084A"/>
    <w:rsid w:val="79054B3F"/>
    <w:rsid w:val="7908351A"/>
    <w:rsid w:val="790B20A3"/>
    <w:rsid w:val="790C526F"/>
    <w:rsid w:val="791B0FA6"/>
    <w:rsid w:val="791B1DCC"/>
    <w:rsid w:val="791D747D"/>
    <w:rsid w:val="79200D1B"/>
    <w:rsid w:val="79283B12"/>
    <w:rsid w:val="792A12A3"/>
    <w:rsid w:val="79314BFD"/>
    <w:rsid w:val="793E46BF"/>
    <w:rsid w:val="793F6293"/>
    <w:rsid w:val="794A5D98"/>
    <w:rsid w:val="7954379C"/>
    <w:rsid w:val="7956298E"/>
    <w:rsid w:val="79570D3D"/>
    <w:rsid w:val="795C70E0"/>
    <w:rsid w:val="79621AEF"/>
    <w:rsid w:val="7962529D"/>
    <w:rsid w:val="7968243D"/>
    <w:rsid w:val="796E583F"/>
    <w:rsid w:val="797B7403"/>
    <w:rsid w:val="797C23F5"/>
    <w:rsid w:val="798832C4"/>
    <w:rsid w:val="798D6D60"/>
    <w:rsid w:val="799A0330"/>
    <w:rsid w:val="799A7F88"/>
    <w:rsid w:val="79AC25AE"/>
    <w:rsid w:val="79AC45AE"/>
    <w:rsid w:val="79B50757"/>
    <w:rsid w:val="79BB1C13"/>
    <w:rsid w:val="79C21DD2"/>
    <w:rsid w:val="79C27504"/>
    <w:rsid w:val="79D37799"/>
    <w:rsid w:val="79D57D57"/>
    <w:rsid w:val="79D833A4"/>
    <w:rsid w:val="79DC6999"/>
    <w:rsid w:val="79E20872"/>
    <w:rsid w:val="79E53808"/>
    <w:rsid w:val="79E82948"/>
    <w:rsid w:val="79E867D1"/>
    <w:rsid w:val="79F53F55"/>
    <w:rsid w:val="79F60F20"/>
    <w:rsid w:val="79FA77BE"/>
    <w:rsid w:val="79FF5A0B"/>
    <w:rsid w:val="7A021059"/>
    <w:rsid w:val="7A04295E"/>
    <w:rsid w:val="7A054DFA"/>
    <w:rsid w:val="7A083387"/>
    <w:rsid w:val="7A0E6783"/>
    <w:rsid w:val="7A141937"/>
    <w:rsid w:val="7A290C7B"/>
    <w:rsid w:val="7A2B1F18"/>
    <w:rsid w:val="7A2B76DE"/>
    <w:rsid w:val="7A306E77"/>
    <w:rsid w:val="7A373D8F"/>
    <w:rsid w:val="7A3C564B"/>
    <w:rsid w:val="7A412120"/>
    <w:rsid w:val="7A450D97"/>
    <w:rsid w:val="7A4F4E61"/>
    <w:rsid w:val="7A540C7C"/>
    <w:rsid w:val="7A57526B"/>
    <w:rsid w:val="7A5A0700"/>
    <w:rsid w:val="7A5A179A"/>
    <w:rsid w:val="7A6A3165"/>
    <w:rsid w:val="7A6F1DB1"/>
    <w:rsid w:val="7A712187"/>
    <w:rsid w:val="7A726172"/>
    <w:rsid w:val="7A752C31"/>
    <w:rsid w:val="7A7E03FB"/>
    <w:rsid w:val="7A8158F9"/>
    <w:rsid w:val="7A851910"/>
    <w:rsid w:val="7A8A0B42"/>
    <w:rsid w:val="7A8F2AF3"/>
    <w:rsid w:val="7A903B8C"/>
    <w:rsid w:val="7A95542D"/>
    <w:rsid w:val="7A9E7619"/>
    <w:rsid w:val="7AA23522"/>
    <w:rsid w:val="7AA87C98"/>
    <w:rsid w:val="7AAE2997"/>
    <w:rsid w:val="7AB23BF5"/>
    <w:rsid w:val="7AB7341F"/>
    <w:rsid w:val="7AD453B2"/>
    <w:rsid w:val="7AD51D81"/>
    <w:rsid w:val="7AD61FD9"/>
    <w:rsid w:val="7ADA1499"/>
    <w:rsid w:val="7ADD36DB"/>
    <w:rsid w:val="7AE12261"/>
    <w:rsid w:val="7AE244DA"/>
    <w:rsid w:val="7AEE2E6C"/>
    <w:rsid w:val="7AF33058"/>
    <w:rsid w:val="7AF4420D"/>
    <w:rsid w:val="7AF96877"/>
    <w:rsid w:val="7B0501C8"/>
    <w:rsid w:val="7B0556E1"/>
    <w:rsid w:val="7B187EFC"/>
    <w:rsid w:val="7B1A0586"/>
    <w:rsid w:val="7B255EE6"/>
    <w:rsid w:val="7B2A35F3"/>
    <w:rsid w:val="7B2D68A5"/>
    <w:rsid w:val="7B337EB1"/>
    <w:rsid w:val="7B356172"/>
    <w:rsid w:val="7B3E09E5"/>
    <w:rsid w:val="7B407452"/>
    <w:rsid w:val="7B4E1CB8"/>
    <w:rsid w:val="7B58036D"/>
    <w:rsid w:val="7B5829EE"/>
    <w:rsid w:val="7B5C00D2"/>
    <w:rsid w:val="7B610064"/>
    <w:rsid w:val="7B671EB8"/>
    <w:rsid w:val="7B78358A"/>
    <w:rsid w:val="7B7F7F7B"/>
    <w:rsid w:val="7B8F3F36"/>
    <w:rsid w:val="7B964A0D"/>
    <w:rsid w:val="7B9C6F77"/>
    <w:rsid w:val="7BA41809"/>
    <w:rsid w:val="7BAD0F8C"/>
    <w:rsid w:val="7BB408EF"/>
    <w:rsid w:val="7BC77B74"/>
    <w:rsid w:val="7BC97448"/>
    <w:rsid w:val="7BCD2F2C"/>
    <w:rsid w:val="7BCF2427"/>
    <w:rsid w:val="7BD32392"/>
    <w:rsid w:val="7BD441CC"/>
    <w:rsid w:val="7BD83B2F"/>
    <w:rsid w:val="7BDA3403"/>
    <w:rsid w:val="7BDF6C6B"/>
    <w:rsid w:val="7BEA7C3C"/>
    <w:rsid w:val="7BEC1388"/>
    <w:rsid w:val="7BF579FF"/>
    <w:rsid w:val="7BFA55A5"/>
    <w:rsid w:val="7BFA6EF3"/>
    <w:rsid w:val="7C021760"/>
    <w:rsid w:val="7C061CDD"/>
    <w:rsid w:val="7C0A51AA"/>
    <w:rsid w:val="7C1B19AD"/>
    <w:rsid w:val="7C2E4D3F"/>
    <w:rsid w:val="7C307D70"/>
    <w:rsid w:val="7C366536"/>
    <w:rsid w:val="7C3E416F"/>
    <w:rsid w:val="7C45606D"/>
    <w:rsid w:val="7C482A62"/>
    <w:rsid w:val="7C4A1CB8"/>
    <w:rsid w:val="7C4C752A"/>
    <w:rsid w:val="7C50137B"/>
    <w:rsid w:val="7C544A6F"/>
    <w:rsid w:val="7C5E3AB1"/>
    <w:rsid w:val="7C63164A"/>
    <w:rsid w:val="7C633CFD"/>
    <w:rsid w:val="7C651214"/>
    <w:rsid w:val="7C654C4A"/>
    <w:rsid w:val="7C694787"/>
    <w:rsid w:val="7C6A7D3F"/>
    <w:rsid w:val="7C6D4277"/>
    <w:rsid w:val="7C776EA4"/>
    <w:rsid w:val="7C7F45F0"/>
    <w:rsid w:val="7C8141C6"/>
    <w:rsid w:val="7C8211F2"/>
    <w:rsid w:val="7C98060C"/>
    <w:rsid w:val="7CA0464C"/>
    <w:rsid w:val="7CA52E86"/>
    <w:rsid w:val="7CAC0188"/>
    <w:rsid w:val="7CB55428"/>
    <w:rsid w:val="7CB6675C"/>
    <w:rsid w:val="7CB83F86"/>
    <w:rsid w:val="7CC34E09"/>
    <w:rsid w:val="7CC5373C"/>
    <w:rsid w:val="7CCC0DC9"/>
    <w:rsid w:val="7CD05010"/>
    <w:rsid w:val="7CDB2B2C"/>
    <w:rsid w:val="7CEF4A11"/>
    <w:rsid w:val="7CF33FAE"/>
    <w:rsid w:val="7CF73485"/>
    <w:rsid w:val="7CFB1DA1"/>
    <w:rsid w:val="7CFD109F"/>
    <w:rsid w:val="7D000522"/>
    <w:rsid w:val="7D0025C2"/>
    <w:rsid w:val="7D0246F4"/>
    <w:rsid w:val="7D040A2A"/>
    <w:rsid w:val="7D1D1F93"/>
    <w:rsid w:val="7D2140DE"/>
    <w:rsid w:val="7D2221D8"/>
    <w:rsid w:val="7D2A2168"/>
    <w:rsid w:val="7D2D3DED"/>
    <w:rsid w:val="7D2D58D3"/>
    <w:rsid w:val="7D2F59D0"/>
    <w:rsid w:val="7D38224D"/>
    <w:rsid w:val="7D3912CB"/>
    <w:rsid w:val="7D3B0761"/>
    <w:rsid w:val="7D40198C"/>
    <w:rsid w:val="7D496A92"/>
    <w:rsid w:val="7D5316BF"/>
    <w:rsid w:val="7D55172E"/>
    <w:rsid w:val="7D594629"/>
    <w:rsid w:val="7D601AD6"/>
    <w:rsid w:val="7D651C73"/>
    <w:rsid w:val="7D676FBC"/>
    <w:rsid w:val="7D6B1552"/>
    <w:rsid w:val="7D6B38D1"/>
    <w:rsid w:val="7D6D7FBA"/>
    <w:rsid w:val="7D737B08"/>
    <w:rsid w:val="7D7A30EF"/>
    <w:rsid w:val="7D8476ED"/>
    <w:rsid w:val="7D8C697F"/>
    <w:rsid w:val="7D8E7309"/>
    <w:rsid w:val="7D9046C1"/>
    <w:rsid w:val="7D9225A0"/>
    <w:rsid w:val="7D9677FD"/>
    <w:rsid w:val="7D9F061D"/>
    <w:rsid w:val="7DA0666E"/>
    <w:rsid w:val="7DAE414F"/>
    <w:rsid w:val="7DB326D6"/>
    <w:rsid w:val="7DB772EF"/>
    <w:rsid w:val="7DC00CE3"/>
    <w:rsid w:val="7DC070E5"/>
    <w:rsid w:val="7DC51E91"/>
    <w:rsid w:val="7DCE7AD4"/>
    <w:rsid w:val="7DD554FF"/>
    <w:rsid w:val="7DD60F5F"/>
    <w:rsid w:val="7DD91CD1"/>
    <w:rsid w:val="7DD93F05"/>
    <w:rsid w:val="7DDB6351"/>
    <w:rsid w:val="7DE7259B"/>
    <w:rsid w:val="7DED544A"/>
    <w:rsid w:val="7DF0549B"/>
    <w:rsid w:val="7DF57842"/>
    <w:rsid w:val="7DFF53A3"/>
    <w:rsid w:val="7E0E4770"/>
    <w:rsid w:val="7E1D1CCD"/>
    <w:rsid w:val="7E1E0447"/>
    <w:rsid w:val="7E1E3CC4"/>
    <w:rsid w:val="7E247C35"/>
    <w:rsid w:val="7E2F0DA2"/>
    <w:rsid w:val="7E33111C"/>
    <w:rsid w:val="7E3A732C"/>
    <w:rsid w:val="7E3E41FE"/>
    <w:rsid w:val="7E45427D"/>
    <w:rsid w:val="7E490683"/>
    <w:rsid w:val="7E543B89"/>
    <w:rsid w:val="7E607661"/>
    <w:rsid w:val="7E6A1C38"/>
    <w:rsid w:val="7E6D3637"/>
    <w:rsid w:val="7E6E42D6"/>
    <w:rsid w:val="7E6E7389"/>
    <w:rsid w:val="7E6F077A"/>
    <w:rsid w:val="7E745D91"/>
    <w:rsid w:val="7E787B0C"/>
    <w:rsid w:val="7E7F7F16"/>
    <w:rsid w:val="7E903634"/>
    <w:rsid w:val="7E90631A"/>
    <w:rsid w:val="7E970E40"/>
    <w:rsid w:val="7E97382D"/>
    <w:rsid w:val="7E977B22"/>
    <w:rsid w:val="7E9A50CB"/>
    <w:rsid w:val="7E9D74C6"/>
    <w:rsid w:val="7E9E696A"/>
    <w:rsid w:val="7EA75857"/>
    <w:rsid w:val="7EA90D5A"/>
    <w:rsid w:val="7EAB3AD9"/>
    <w:rsid w:val="7EB023E4"/>
    <w:rsid w:val="7EB625EF"/>
    <w:rsid w:val="7ECB789A"/>
    <w:rsid w:val="7ECF746B"/>
    <w:rsid w:val="7ED75CC7"/>
    <w:rsid w:val="7ED8156D"/>
    <w:rsid w:val="7EE12CFA"/>
    <w:rsid w:val="7EE22BE3"/>
    <w:rsid w:val="7EE30820"/>
    <w:rsid w:val="7EEC7B19"/>
    <w:rsid w:val="7EF50554"/>
    <w:rsid w:val="7EF82FA4"/>
    <w:rsid w:val="7EFE2BAF"/>
    <w:rsid w:val="7F040150"/>
    <w:rsid w:val="7F052E8D"/>
    <w:rsid w:val="7F0B11C0"/>
    <w:rsid w:val="7F1164B6"/>
    <w:rsid w:val="7F1508A3"/>
    <w:rsid w:val="7F156257"/>
    <w:rsid w:val="7F160BF6"/>
    <w:rsid w:val="7F197CD0"/>
    <w:rsid w:val="7F1D57C2"/>
    <w:rsid w:val="7F253C46"/>
    <w:rsid w:val="7F3217A8"/>
    <w:rsid w:val="7F343772"/>
    <w:rsid w:val="7F3D43D5"/>
    <w:rsid w:val="7F453289"/>
    <w:rsid w:val="7F4649BB"/>
    <w:rsid w:val="7F564EA4"/>
    <w:rsid w:val="7F58717F"/>
    <w:rsid w:val="7F590AE3"/>
    <w:rsid w:val="7F5F6358"/>
    <w:rsid w:val="7F6000C3"/>
    <w:rsid w:val="7F605512"/>
    <w:rsid w:val="7F6852F2"/>
    <w:rsid w:val="7F6E55E7"/>
    <w:rsid w:val="7F765B38"/>
    <w:rsid w:val="7F791185"/>
    <w:rsid w:val="7F793660"/>
    <w:rsid w:val="7F79563E"/>
    <w:rsid w:val="7F8F7D53"/>
    <w:rsid w:val="7F923FCB"/>
    <w:rsid w:val="7F930498"/>
    <w:rsid w:val="7F940A7E"/>
    <w:rsid w:val="7F9A06C8"/>
    <w:rsid w:val="7F9D305D"/>
    <w:rsid w:val="7F9D4240"/>
    <w:rsid w:val="7F9D4E73"/>
    <w:rsid w:val="7FA347F6"/>
    <w:rsid w:val="7FA823CB"/>
    <w:rsid w:val="7FAE1BD0"/>
    <w:rsid w:val="7FB96DF8"/>
    <w:rsid w:val="7FC25F63"/>
    <w:rsid w:val="7FC527AC"/>
    <w:rsid w:val="7FC543B2"/>
    <w:rsid w:val="7FCD4C86"/>
    <w:rsid w:val="7FCE7ECF"/>
    <w:rsid w:val="7FD21AC2"/>
    <w:rsid w:val="7FD26E67"/>
    <w:rsid w:val="7FD33E5B"/>
    <w:rsid w:val="7FDB57D8"/>
    <w:rsid w:val="7FDD2C43"/>
    <w:rsid w:val="7FDF6A22"/>
    <w:rsid w:val="7FE74B3D"/>
    <w:rsid w:val="7FE93C57"/>
    <w:rsid w:val="7FEA7B12"/>
    <w:rsid w:val="7FEC53FB"/>
    <w:rsid w:val="7FED520E"/>
    <w:rsid w:val="7FEE3921"/>
    <w:rsid w:val="7FF13411"/>
    <w:rsid w:val="7FF151BF"/>
    <w:rsid w:val="7FF16AF3"/>
    <w:rsid w:val="7FF41316"/>
    <w:rsid w:val="7FF7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tabs>
        <w:tab w:val="left" w:pos="420"/>
      </w:tabs>
      <w:jc w:val="center"/>
      <w:outlineLvl w:val="0"/>
    </w:pPr>
    <w:rPr>
      <w:rFonts w:ascii="仿宋_GB2312" w:eastAsia="仿宋_GB2312"/>
      <w:sz w:val="28"/>
    </w:rPr>
  </w:style>
  <w:style w:type="paragraph" w:styleId="4">
    <w:name w:val="heading 2"/>
    <w:basedOn w:val="1"/>
    <w:next w:val="1"/>
    <w:qFormat/>
    <w:uiPriority w:val="0"/>
    <w:pPr>
      <w:keepNext/>
      <w:tabs>
        <w:tab w:val="left" w:pos="420"/>
      </w:tabs>
      <w:spacing w:line="360" w:lineRule="auto"/>
      <w:ind w:left="330" w:hanging="330"/>
      <w:outlineLvl w:val="1"/>
    </w:pPr>
    <w:rPr>
      <w:b/>
      <w:sz w:val="24"/>
      <w:szCs w:val="24"/>
    </w:rPr>
  </w:style>
  <w:style w:type="paragraph" w:styleId="5">
    <w:name w:val="heading 3"/>
    <w:basedOn w:val="1"/>
    <w:next w:val="1"/>
    <w:qFormat/>
    <w:uiPriority w:val="0"/>
    <w:pPr>
      <w:keepNext/>
      <w:tabs>
        <w:tab w:val="left" w:pos="468"/>
      </w:tabs>
      <w:ind w:left="468" w:hanging="468"/>
      <w:outlineLvl w:val="2"/>
    </w:pPr>
    <w:rPr>
      <w:b/>
      <w:bCs/>
      <w:sz w:val="28"/>
      <w:szCs w:val="24"/>
    </w:rPr>
  </w:style>
  <w:style w:type="paragraph" w:styleId="6">
    <w:name w:val="heading 4"/>
    <w:basedOn w:val="1"/>
    <w:next w:val="1"/>
    <w:qFormat/>
    <w:uiPriority w:val="0"/>
    <w:pPr>
      <w:keepNext/>
      <w:tabs>
        <w:tab w:val="left" w:pos="435"/>
      </w:tabs>
      <w:ind w:left="435" w:hanging="435"/>
      <w:outlineLvl w:val="3"/>
    </w:pPr>
    <w:rPr>
      <w:b/>
      <w:color w:val="000000"/>
      <w:sz w:val="28"/>
      <w:szCs w:val="24"/>
      <w:u w:val="single"/>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tabs>
        <w:tab w:val="left" w:pos="900"/>
      </w:tabs>
      <w:ind w:left="900" w:hanging="300"/>
      <w:outlineLvl w:val="6"/>
    </w:pPr>
    <w:rPr>
      <w:rFonts w:ascii="宋体" w:hAnsi="宋体"/>
      <w:b/>
      <w:sz w:val="28"/>
      <w:szCs w:val="24"/>
    </w:rPr>
  </w:style>
  <w:style w:type="paragraph" w:styleId="10">
    <w:name w:val="heading 8"/>
    <w:basedOn w:val="1"/>
    <w:next w:val="1"/>
    <w:qFormat/>
    <w:uiPriority w:val="0"/>
    <w:pPr>
      <w:keepNext/>
      <w:widowControl/>
      <w:tabs>
        <w:tab w:val="left" w:pos="1260"/>
        <w:tab w:val="left" w:pos="1995"/>
        <w:tab w:val="left" w:pos="2520"/>
        <w:tab w:val="left" w:pos="2730"/>
      </w:tabs>
      <w:spacing w:before="100" w:after="100" w:line="400" w:lineRule="exact"/>
      <w:ind w:left="600" w:hanging="600"/>
      <w:jc w:val="left"/>
      <w:outlineLvl w:val="7"/>
    </w:pPr>
    <w:rPr>
      <w:b/>
      <w:sz w:val="28"/>
      <w:szCs w:val="24"/>
      <w:u w:val="single"/>
    </w:rPr>
  </w:style>
  <w:style w:type="character" w:default="1" w:styleId="37">
    <w:name w:val="Default Paragraph Font"/>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8"/>
    <w:qFormat/>
    <w:uiPriority w:val="0"/>
    <w:pPr>
      <w:ind w:firstLine="420"/>
    </w:pPr>
  </w:style>
  <w:style w:type="paragraph" w:styleId="11">
    <w:name w:val="caption"/>
    <w:next w:val="1"/>
    <w:qFormat/>
    <w:uiPriority w:val="0"/>
    <w:pPr>
      <w:widowControl w:val="0"/>
      <w:spacing w:before="152" w:after="160"/>
      <w:jc w:val="center"/>
    </w:pPr>
    <w:rPr>
      <w:rFonts w:ascii="Arial" w:hAnsi="Arial" w:eastAsia="黑体" w:cs="Arial"/>
      <w:kern w:val="2"/>
      <w:sz w:val="18"/>
      <w:szCs w:val="18"/>
      <w:lang w:val="en-US" w:eastAsia="zh-CN" w:bidi="ar-SA"/>
    </w:rPr>
  </w:style>
  <w:style w:type="paragraph" w:styleId="12">
    <w:name w:val="Document Map"/>
    <w:basedOn w:val="1"/>
    <w:semiHidden/>
    <w:qFormat/>
    <w:uiPriority w:val="0"/>
    <w:pPr>
      <w:shd w:val="clear" w:color="auto" w:fill="000080"/>
    </w:pPr>
  </w:style>
  <w:style w:type="paragraph" w:styleId="13">
    <w:name w:val="toa heading"/>
    <w:basedOn w:val="1"/>
    <w:next w:val="1"/>
    <w:qFormat/>
    <w:uiPriority w:val="0"/>
    <w:pPr>
      <w:spacing w:before="120"/>
    </w:pPr>
    <w:rPr>
      <w:rFonts w:ascii="Arial" w:hAnsi="Arial" w:eastAsia="仿宋"/>
      <w:sz w:val="24"/>
    </w:rPr>
  </w:style>
  <w:style w:type="paragraph" w:styleId="14">
    <w:name w:val="annotation text"/>
    <w:basedOn w:val="1"/>
    <w:semiHidden/>
    <w:qFormat/>
    <w:uiPriority w:val="0"/>
    <w:pPr>
      <w:jc w:val="left"/>
    </w:pPr>
  </w:style>
  <w:style w:type="paragraph" w:styleId="15">
    <w:name w:val="index 6"/>
    <w:basedOn w:val="1"/>
    <w:next w:val="1"/>
    <w:qFormat/>
    <w:uiPriority w:val="99"/>
    <w:pPr>
      <w:ind w:left="2100"/>
    </w:pPr>
  </w:style>
  <w:style w:type="paragraph" w:styleId="16">
    <w:name w:val="Body Text 3"/>
    <w:basedOn w:val="1"/>
    <w:next w:val="1"/>
    <w:qFormat/>
    <w:uiPriority w:val="0"/>
    <w:pPr>
      <w:spacing w:after="120"/>
    </w:pPr>
    <w:rPr>
      <w:sz w:val="16"/>
      <w:szCs w:val="16"/>
    </w:rPr>
  </w:style>
  <w:style w:type="paragraph" w:styleId="17">
    <w:name w:val="Body Text"/>
    <w:basedOn w:val="1"/>
    <w:next w:val="1"/>
    <w:qFormat/>
    <w:uiPriority w:val="0"/>
    <w:pPr>
      <w:spacing w:after="120"/>
    </w:pPr>
  </w:style>
  <w:style w:type="paragraph" w:styleId="18">
    <w:name w:val="Body Text Indent"/>
    <w:basedOn w:val="1"/>
    <w:next w:val="1"/>
    <w:qFormat/>
    <w:uiPriority w:val="0"/>
    <w:pPr>
      <w:spacing w:line="800" w:lineRule="exact"/>
      <w:ind w:left="315" w:leftChars="150" w:firstLine="664" w:firstLineChars="237"/>
    </w:pPr>
    <w:rPr>
      <w:rFonts w:ascii="仿宋_GB2312" w:eastAsia="仿宋_GB2312"/>
      <w:sz w:val="28"/>
    </w:rPr>
  </w:style>
  <w:style w:type="paragraph" w:styleId="19">
    <w:name w:val="Plain Text"/>
    <w:basedOn w:val="1"/>
    <w:qFormat/>
    <w:uiPriority w:val="0"/>
    <w:rPr>
      <w:rFonts w:ascii="宋体" w:hAnsi="宋体"/>
    </w:rPr>
  </w:style>
  <w:style w:type="paragraph" w:styleId="20">
    <w:name w:val="Date"/>
    <w:basedOn w:val="1"/>
    <w:next w:val="1"/>
    <w:qFormat/>
    <w:uiPriority w:val="0"/>
    <w:rPr>
      <w:color w:val="000000"/>
      <w:kern w:val="0"/>
      <w:sz w:val="30"/>
    </w:rPr>
  </w:style>
  <w:style w:type="paragraph" w:styleId="21">
    <w:name w:val="Body Text Indent 2"/>
    <w:basedOn w:val="1"/>
    <w:qFormat/>
    <w:uiPriority w:val="0"/>
    <w:pPr>
      <w:spacing w:line="360" w:lineRule="auto"/>
      <w:ind w:firstLine="555"/>
    </w:pPr>
    <w:rPr>
      <w:rFonts w:ascii="仿宋_GB2312" w:eastAsia="仿宋_GB2312"/>
      <w:sz w:val="28"/>
    </w:rPr>
  </w:style>
  <w:style w:type="paragraph" w:styleId="22">
    <w:name w:val="Balloon Text"/>
    <w:basedOn w:val="1"/>
    <w:qFormat/>
    <w:uiPriority w:val="0"/>
    <w:rPr>
      <w:sz w:val="18"/>
      <w:szCs w:val="18"/>
    </w:rPr>
  </w:style>
  <w:style w:type="paragraph" w:styleId="23">
    <w:name w:val="footer"/>
    <w:basedOn w:val="1"/>
    <w:link w:val="49"/>
    <w:qFormat/>
    <w:uiPriority w:val="0"/>
    <w:pPr>
      <w:tabs>
        <w:tab w:val="center" w:pos="4153"/>
        <w:tab w:val="right" w:pos="8306"/>
      </w:tabs>
      <w:snapToGrid w:val="0"/>
      <w:jc w:val="left"/>
    </w:pPr>
    <w:rPr>
      <w:sz w:val="18"/>
      <w:szCs w:val="18"/>
    </w:rPr>
  </w:style>
  <w:style w:type="paragraph" w:styleId="24">
    <w:name w:val="header"/>
    <w:basedOn w:val="1"/>
    <w:link w:val="50"/>
    <w:qFormat/>
    <w:uiPriority w:val="0"/>
    <w:pPr>
      <w:pBdr>
        <w:bottom w:val="single" w:color="auto" w:sz="6" w:space="1"/>
      </w:pBdr>
      <w:tabs>
        <w:tab w:val="center" w:pos="4153"/>
        <w:tab w:val="right" w:pos="8306"/>
      </w:tabs>
      <w:snapToGrid w:val="0"/>
      <w:jc w:val="center"/>
    </w:pPr>
    <w:rPr>
      <w:sz w:val="18"/>
    </w:rPr>
  </w:style>
  <w:style w:type="paragraph" w:styleId="25">
    <w:name w:val="Subtitle"/>
    <w:basedOn w:val="1"/>
    <w:next w:val="1"/>
    <w:qFormat/>
    <w:uiPriority w:val="0"/>
    <w:pPr>
      <w:spacing w:before="240" w:after="60" w:line="312" w:lineRule="atLeast"/>
      <w:ind w:firstLine="482"/>
      <w:jc w:val="center"/>
      <w:outlineLvl w:val="1"/>
    </w:pPr>
    <w:rPr>
      <w:rFonts w:ascii="Calibri Light" w:hAnsi="Calibri Light"/>
      <w:b/>
      <w:bCs/>
      <w:color w:val="000000"/>
      <w:kern w:val="28"/>
      <w:sz w:val="32"/>
      <w:szCs w:val="32"/>
    </w:rPr>
  </w:style>
  <w:style w:type="paragraph" w:styleId="26">
    <w:name w:val="List"/>
    <w:basedOn w:val="1"/>
    <w:qFormat/>
    <w:uiPriority w:val="0"/>
    <w:pPr>
      <w:ind w:left="200" w:hanging="200" w:hangingChars="200"/>
    </w:pPr>
  </w:style>
  <w:style w:type="paragraph" w:styleId="27">
    <w:name w:val="footnote text"/>
    <w:basedOn w:val="1"/>
    <w:unhideWhenUsed/>
    <w:qFormat/>
    <w:uiPriority w:val="99"/>
    <w:pPr>
      <w:snapToGrid w:val="0"/>
      <w:jc w:val="left"/>
    </w:pPr>
    <w:rPr>
      <w:sz w:val="18"/>
      <w:szCs w:val="18"/>
    </w:rPr>
  </w:style>
  <w:style w:type="paragraph" w:styleId="28">
    <w:name w:val="toc 2"/>
    <w:basedOn w:val="1"/>
    <w:next w:val="1"/>
    <w:qFormat/>
    <w:uiPriority w:val="0"/>
    <w:pPr>
      <w:ind w:left="210"/>
      <w:jc w:val="left"/>
    </w:pPr>
    <w:rPr>
      <w:rFonts w:ascii="等线" w:eastAsia="等线"/>
      <w:smallCaps/>
      <w:sz w:val="20"/>
    </w:rPr>
  </w:style>
  <w:style w:type="paragraph" w:styleId="29">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0">
    <w:name w:val="Normal (Web)"/>
    <w:basedOn w:val="1"/>
    <w:qFormat/>
    <w:uiPriority w:val="0"/>
    <w:pPr>
      <w:widowControl/>
      <w:jc w:val="left"/>
    </w:pPr>
    <w:rPr>
      <w:rFonts w:ascii="宋体" w:hAnsi="宋体" w:cs="宋体"/>
      <w:kern w:val="0"/>
      <w:sz w:val="24"/>
      <w:szCs w:val="24"/>
    </w:rPr>
  </w:style>
  <w:style w:type="paragraph" w:styleId="31">
    <w:name w:val="Title"/>
    <w:basedOn w:val="1"/>
    <w:next w:val="1"/>
    <w:qFormat/>
    <w:uiPriority w:val="10"/>
    <w:pPr>
      <w:spacing w:before="240" w:after="60"/>
      <w:jc w:val="center"/>
      <w:outlineLvl w:val="0"/>
    </w:pPr>
    <w:rPr>
      <w:rFonts w:ascii="Cambria" w:hAnsi="Cambria"/>
      <w:b/>
      <w:bCs/>
      <w:sz w:val="32"/>
      <w:szCs w:val="32"/>
    </w:rPr>
  </w:style>
  <w:style w:type="paragraph" w:styleId="32">
    <w:name w:val="annotation subject"/>
    <w:basedOn w:val="14"/>
    <w:next w:val="14"/>
    <w:semiHidden/>
    <w:qFormat/>
    <w:uiPriority w:val="0"/>
    <w:rPr>
      <w:b/>
      <w:bCs/>
    </w:rPr>
  </w:style>
  <w:style w:type="paragraph" w:styleId="33">
    <w:name w:val="Body Text First Indent"/>
    <w:basedOn w:val="17"/>
    <w:qFormat/>
    <w:uiPriority w:val="0"/>
    <w:pPr>
      <w:ind w:firstLine="420" w:firstLineChars="100"/>
    </w:pPr>
  </w:style>
  <w:style w:type="paragraph" w:styleId="34">
    <w:name w:val="Body Text First Indent 2"/>
    <w:basedOn w:val="18"/>
    <w:next w:val="1"/>
    <w:qFormat/>
    <w:uiPriority w:val="0"/>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qFormat/>
    <w:uiPriority w:val="0"/>
  </w:style>
  <w:style w:type="character" w:styleId="40">
    <w:name w:val="FollowedHyperlink"/>
    <w:qFormat/>
    <w:uiPriority w:val="0"/>
    <w:rPr>
      <w:color w:val="800080"/>
      <w:u w:val="single"/>
    </w:rPr>
  </w:style>
  <w:style w:type="character" w:styleId="41">
    <w:name w:val="Emphasis"/>
    <w:qFormat/>
    <w:uiPriority w:val="0"/>
    <w:rPr>
      <w:i/>
    </w:rPr>
  </w:style>
  <w:style w:type="character" w:styleId="42">
    <w:name w:val="Hyperlink"/>
    <w:qFormat/>
    <w:uiPriority w:val="0"/>
    <w:rPr>
      <w:color w:val="0000FF"/>
      <w:u w:val="single"/>
    </w:rPr>
  </w:style>
  <w:style w:type="character" w:styleId="43">
    <w:name w:val="annotation reference"/>
    <w:semiHidden/>
    <w:qFormat/>
    <w:uiPriority w:val="0"/>
    <w:rPr>
      <w:sz w:val="21"/>
      <w:szCs w:val="21"/>
    </w:rPr>
  </w:style>
  <w:style w:type="character" w:styleId="44">
    <w:name w:val="footnote reference"/>
    <w:basedOn w:val="37"/>
    <w:unhideWhenUsed/>
    <w:qFormat/>
    <w:uiPriority w:val="99"/>
    <w:rPr>
      <w:vertAlign w:val="superscript"/>
    </w:rPr>
  </w:style>
  <w:style w:type="paragraph" w:customStyle="1" w:styleId="4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6">
    <w:name w:val="Default"/>
    <w:next w:val="23"/>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customStyle="1" w:styleId="47">
    <w:name w:val="Heading4"/>
    <w:basedOn w:val="1"/>
    <w:next w:val="1"/>
    <w:qFormat/>
    <w:uiPriority w:val="0"/>
    <w:pPr>
      <w:keepNext/>
      <w:keepLines/>
      <w:spacing w:before="280" w:after="290" w:line="376" w:lineRule="atLeast"/>
      <w:ind w:left="-120"/>
      <w:jc w:val="left"/>
      <w:textAlignment w:val="baseline"/>
    </w:pPr>
    <w:rPr>
      <w:rFonts w:ascii="Arial" w:hAnsi="Arial" w:eastAsia="黑体"/>
      <w:b/>
      <w:bCs/>
      <w:kern w:val="0"/>
      <w:sz w:val="28"/>
      <w:szCs w:val="28"/>
    </w:rPr>
  </w:style>
  <w:style w:type="character" w:customStyle="1" w:styleId="48">
    <w:name w:val="正文缩进 字符"/>
    <w:link w:val="2"/>
    <w:qFormat/>
    <w:uiPriority w:val="0"/>
    <w:rPr>
      <w:rFonts w:eastAsia="宋体"/>
      <w:kern w:val="2"/>
      <w:sz w:val="21"/>
      <w:lang w:val="en-US" w:eastAsia="zh-CN" w:bidi="ar-SA"/>
    </w:rPr>
  </w:style>
  <w:style w:type="character" w:customStyle="1" w:styleId="49">
    <w:name w:val="页脚 字符"/>
    <w:link w:val="23"/>
    <w:qFormat/>
    <w:uiPriority w:val="0"/>
    <w:rPr>
      <w:kern w:val="2"/>
      <w:sz w:val="18"/>
      <w:szCs w:val="18"/>
    </w:rPr>
  </w:style>
  <w:style w:type="character" w:customStyle="1" w:styleId="50">
    <w:name w:val="页眉 字符"/>
    <w:link w:val="24"/>
    <w:qFormat/>
    <w:uiPriority w:val="0"/>
    <w:rPr>
      <w:rFonts w:eastAsia="宋体"/>
      <w:kern w:val="2"/>
      <w:sz w:val="18"/>
      <w:lang w:val="en-US" w:eastAsia="zh-CN" w:bidi="ar-SA"/>
    </w:rPr>
  </w:style>
  <w:style w:type="character" w:customStyle="1" w:styleId="51">
    <w:name w:val="HTML 预设格式 字符"/>
    <w:link w:val="29"/>
    <w:qFormat/>
    <w:uiPriority w:val="0"/>
    <w:rPr>
      <w:rFonts w:ascii="Arial" w:hAnsi="Arial" w:cs="Arial"/>
      <w:sz w:val="28"/>
      <w:szCs w:val="28"/>
    </w:rPr>
  </w:style>
  <w:style w:type="paragraph" w:customStyle="1" w:styleId="52">
    <w:name w:val="正文缩进2字符"/>
    <w:basedOn w:val="33"/>
    <w:qFormat/>
    <w:uiPriority w:val="0"/>
    <w:pPr>
      <w:spacing w:after="0" w:line="360" w:lineRule="auto"/>
      <w:ind w:firstLine="200" w:firstLineChars="200"/>
    </w:pPr>
    <w:rPr>
      <w:rFonts w:eastAsia="仿宋"/>
      <w:kern w:val="0"/>
      <w:sz w:val="28"/>
      <w:szCs w:val="24"/>
    </w:rPr>
  </w:style>
  <w:style w:type="paragraph" w:customStyle="1" w:styleId="53">
    <w:name w:val="Plain Text1"/>
    <w:basedOn w:val="1"/>
    <w:qFormat/>
    <w:uiPriority w:val="99"/>
    <w:rPr>
      <w:rFonts w:hAnsi="Courier New" w:cs="Courier New"/>
      <w:szCs w:val="21"/>
    </w:rPr>
  </w:style>
  <w:style w:type="character" w:customStyle="1" w:styleId="54">
    <w:name w:val="THTF-BS-缩进两字正文 Char"/>
    <w:link w:val="55"/>
    <w:qFormat/>
    <w:uiPriority w:val="0"/>
    <w:rPr>
      <w:rFonts w:ascii="宋体"/>
      <w:kern w:val="2"/>
      <w:sz w:val="24"/>
      <w:szCs w:val="24"/>
    </w:rPr>
  </w:style>
  <w:style w:type="paragraph" w:customStyle="1" w:styleId="55">
    <w:name w:val="THTF-BS-缩进两字正文"/>
    <w:basedOn w:val="1"/>
    <w:link w:val="54"/>
    <w:qFormat/>
    <w:uiPriority w:val="0"/>
    <w:pPr>
      <w:wordWrap w:val="0"/>
      <w:topLinePunct/>
      <w:spacing w:line="360" w:lineRule="auto"/>
      <w:jc w:val="left"/>
    </w:pPr>
    <w:rPr>
      <w:rFonts w:ascii="宋体"/>
      <w:sz w:val="24"/>
      <w:szCs w:val="24"/>
    </w:rPr>
  </w:style>
  <w:style w:type="character" w:customStyle="1" w:styleId="56">
    <w:name w:val="outputtext"/>
    <w:qFormat/>
    <w:uiPriority w:val="0"/>
  </w:style>
  <w:style w:type="character" w:customStyle="1" w:styleId="57">
    <w:name w:val="样式1 Char"/>
    <w:link w:val="58"/>
    <w:qFormat/>
    <w:uiPriority w:val="0"/>
    <w:rPr>
      <w:rFonts w:ascii="宋体"/>
      <w:b/>
      <w:color w:val="0000FF"/>
      <w:spacing w:val="4"/>
      <w:sz w:val="24"/>
    </w:rPr>
  </w:style>
  <w:style w:type="paragraph" w:customStyle="1" w:styleId="58">
    <w:name w:val="样式1"/>
    <w:basedOn w:val="1"/>
    <w:link w:val="57"/>
    <w:qFormat/>
    <w:uiPriority w:val="0"/>
    <w:pPr>
      <w:tabs>
        <w:tab w:val="left" w:pos="425"/>
      </w:tabs>
      <w:adjustRightInd w:val="0"/>
      <w:spacing w:line="480" w:lineRule="exact"/>
      <w:ind w:left="330" w:hanging="330"/>
      <w:textAlignment w:val="baseline"/>
    </w:pPr>
    <w:rPr>
      <w:rFonts w:ascii="宋体"/>
      <w:b/>
      <w:color w:val="0000FF"/>
      <w:spacing w:val="4"/>
      <w:kern w:val="0"/>
      <w:sz w:val="24"/>
    </w:rPr>
  </w:style>
  <w:style w:type="character" w:customStyle="1" w:styleId="59">
    <w:name w:val="error"/>
    <w:qFormat/>
    <w:uiPriority w:val="0"/>
    <w:rPr>
      <w:color w:val="FF0000"/>
      <w:sz w:val="16"/>
      <w:szCs w:val="16"/>
    </w:rPr>
  </w:style>
  <w:style w:type="character" w:customStyle="1" w:styleId="60">
    <w:name w:val="三级大纲 Char Char"/>
    <w:link w:val="61"/>
    <w:qFormat/>
    <w:locked/>
    <w:uiPriority w:val="0"/>
    <w:rPr>
      <w:rFonts w:ascii="黑体" w:hAnsi="黑体" w:eastAsia="黑体"/>
      <w:b/>
      <w:bCs/>
      <w:sz w:val="28"/>
      <w:szCs w:val="28"/>
    </w:rPr>
  </w:style>
  <w:style w:type="paragraph" w:customStyle="1" w:styleId="61">
    <w:name w:val="三级大纲"/>
    <w:basedOn w:val="5"/>
    <w:link w:val="60"/>
    <w:qFormat/>
    <w:uiPriority w:val="0"/>
    <w:pPr>
      <w:keepLines/>
      <w:tabs>
        <w:tab w:val="clear" w:pos="468"/>
      </w:tabs>
      <w:spacing w:before="260" w:after="260" w:line="416" w:lineRule="auto"/>
      <w:ind w:left="709" w:hanging="709"/>
    </w:pPr>
    <w:rPr>
      <w:rFonts w:ascii="黑体" w:hAnsi="黑体" w:eastAsia="黑体"/>
      <w:kern w:val="0"/>
      <w:szCs w:val="28"/>
    </w:rPr>
  </w:style>
  <w:style w:type="character" w:customStyle="1" w:styleId="62">
    <w:name w:val="一级缩进 Char"/>
    <w:link w:val="63"/>
    <w:qFormat/>
    <w:uiPriority w:val="0"/>
    <w:rPr>
      <w:rFonts w:eastAsia="仿宋_GB2312"/>
      <w:kern w:val="2"/>
      <w:sz w:val="24"/>
      <w:szCs w:val="24"/>
      <w:lang w:val="en-US" w:eastAsia="zh-CN" w:bidi="ar-SA"/>
    </w:rPr>
  </w:style>
  <w:style w:type="paragraph" w:customStyle="1" w:styleId="63">
    <w:name w:val="一级缩进"/>
    <w:link w:val="62"/>
    <w:qFormat/>
    <w:uiPriority w:val="0"/>
    <w:pPr>
      <w:tabs>
        <w:tab w:val="left" w:pos="720"/>
      </w:tabs>
      <w:adjustRightInd w:val="0"/>
      <w:snapToGrid w:val="0"/>
      <w:spacing w:before="120" w:after="120" w:line="360" w:lineRule="auto"/>
      <w:ind w:left="970" w:hanging="250"/>
      <w:jc w:val="both"/>
    </w:pPr>
    <w:rPr>
      <w:rFonts w:ascii="Times New Roman" w:hAnsi="Times New Roman" w:eastAsia="仿宋_GB2312" w:cs="Times New Roman"/>
      <w:kern w:val="2"/>
      <w:sz w:val="24"/>
      <w:szCs w:val="24"/>
      <w:lang w:val="en-US" w:eastAsia="zh-CN" w:bidi="ar-SA"/>
    </w:rPr>
  </w:style>
  <w:style w:type="character" w:customStyle="1" w:styleId="64">
    <w:name w:val="Default Text Char"/>
    <w:link w:val="65"/>
    <w:qFormat/>
    <w:uiPriority w:val="0"/>
    <w:rPr>
      <w:color w:val="000000"/>
      <w:sz w:val="24"/>
      <w:szCs w:val="24"/>
      <w:lang w:val="en-US" w:eastAsia="zh-CN" w:bidi="ar-SA"/>
    </w:rPr>
  </w:style>
  <w:style w:type="paragraph" w:customStyle="1" w:styleId="65">
    <w:name w:val="Default Text"/>
    <w:link w:val="6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6">
    <w:name w:val="二级大纲 Char Char"/>
    <w:link w:val="67"/>
    <w:qFormat/>
    <w:locked/>
    <w:uiPriority w:val="0"/>
    <w:rPr>
      <w:rFonts w:ascii="黑体" w:hAnsi="黑体" w:eastAsia="黑体"/>
      <w:b/>
      <w:bCs/>
      <w:sz w:val="30"/>
      <w:szCs w:val="30"/>
    </w:rPr>
  </w:style>
  <w:style w:type="paragraph" w:customStyle="1" w:styleId="67">
    <w:name w:val="二级大纲"/>
    <w:basedOn w:val="4"/>
    <w:link w:val="66"/>
    <w:qFormat/>
    <w:uiPriority w:val="0"/>
    <w:pPr>
      <w:keepLines/>
      <w:tabs>
        <w:tab w:val="left" w:pos="330"/>
        <w:tab w:val="clear" w:pos="420"/>
      </w:tabs>
      <w:spacing w:before="260" w:after="260" w:line="416" w:lineRule="auto"/>
      <w:ind w:left="747" w:hanging="567"/>
    </w:pPr>
    <w:rPr>
      <w:rFonts w:ascii="黑体" w:hAnsi="黑体" w:eastAsia="黑体"/>
      <w:bCs/>
      <w:kern w:val="0"/>
      <w:sz w:val="30"/>
      <w:szCs w:val="30"/>
    </w:rPr>
  </w:style>
  <w:style w:type="character" w:customStyle="1" w:styleId="68">
    <w:name w:val="font31"/>
    <w:qFormat/>
    <w:uiPriority w:val="0"/>
    <w:rPr>
      <w:rFonts w:hint="default" w:ascii="Times New Roman" w:hAnsi="Times New Roman" w:cs="Times New Roman"/>
      <w:color w:val="FF0000"/>
      <w:sz w:val="24"/>
      <w:szCs w:val="24"/>
      <w:u w:val="none"/>
    </w:rPr>
  </w:style>
  <w:style w:type="character" w:customStyle="1" w:styleId="69">
    <w:name w:val="font41"/>
    <w:qFormat/>
    <w:uiPriority w:val="0"/>
    <w:rPr>
      <w:rFonts w:hint="default" w:ascii="等线" w:hAnsi="等线" w:eastAsia="等线" w:cs="等线"/>
      <w:color w:val="FF0000"/>
      <w:sz w:val="22"/>
      <w:szCs w:val="22"/>
      <w:u w:val="none"/>
    </w:rPr>
  </w:style>
  <w:style w:type="character" w:customStyle="1" w:styleId="70">
    <w:name w:val="SF正文 Char"/>
    <w:link w:val="71"/>
    <w:qFormat/>
    <w:uiPriority w:val="0"/>
    <w:rPr>
      <w:rFonts w:ascii="Century Gothic" w:hAnsi="Century Gothic" w:eastAsia="宋体"/>
      <w:kern w:val="2"/>
      <w:sz w:val="24"/>
      <w:szCs w:val="24"/>
      <w:lang w:val="en-US" w:eastAsia="zh-CN" w:bidi="ar-SA"/>
    </w:rPr>
  </w:style>
  <w:style w:type="paragraph" w:customStyle="1" w:styleId="71">
    <w:name w:val="SF正文"/>
    <w:basedOn w:val="1"/>
    <w:link w:val="70"/>
    <w:qFormat/>
    <w:uiPriority w:val="0"/>
    <w:pPr>
      <w:spacing w:line="460" w:lineRule="exact"/>
      <w:ind w:firstLine="200" w:firstLineChars="200"/>
    </w:pPr>
    <w:rPr>
      <w:rFonts w:ascii="Century Gothic" w:hAnsi="Century Gothic"/>
      <w:sz w:val="24"/>
      <w:szCs w:val="24"/>
    </w:rPr>
  </w:style>
  <w:style w:type="character" w:customStyle="1" w:styleId="72">
    <w:name w:val="A5"/>
    <w:qFormat/>
    <w:uiPriority w:val="0"/>
    <w:rPr>
      <w:rFonts w:cs="DFHeiW9-GB"/>
      <w:color w:val="000000"/>
      <w:sz w:val="22"/>
      <w:szCs w:val="22"/>
    </w:rPr>
  </w:style>
  <w:style w:type="character" w:customStyle="1" w:styleId="73">
    <w:name w:val="列出段落 Char"/>
    <w:link w:val="74"/>
    <w:qFormat/>
    <w:uiPriority w:val="0"/>
    <w:rPr>
      <w:rFonts w:eastAsia="宋体"/>
      <w:kern w:val="2"/>
      <w:sz w:val="21"/>
      <w:szCs w:val="24"/>
      <w:lang w:val="en-US" w:eastAsia="zh-CN" w:bidi="ar-SA"/>
    </w:rPr>
  </w:style>
  <w:style w:type="paragraph" w:customStyle="1" w:styleId="74">
    <w:name w:val="List Paragraph1"/>
    <w:basedOn w:val="1"/>
    <w:next w:val="24"/>
    <w:link w:val="73"/>
    <w:qFormat/>
    <w:uiPriority w:val="0"/>
    <w:pPr>
      <w:spacing w:before="100" w:beforeAutospacing="1" w:after="100" w:afterAutospacing="1" w:line="320" w:lineRule="exact"/>
      <w:ind w:firstLine="420" w:firstLineChars="200"/>
    </w:pPr>
  </w:style>
  <w:style w:type="character" w:customStyle="1" w:styleId="75">
    <w:name w:val="书籍标题1"/>
    <w:qFormat/>
    <w:uiPriority w:val="0"/>
    <w:rPr>
      <w:b/>
      <w:bCs/>
      <w:smallCaps/>
      <w:spacing w:val="5"/>
    </w:rPr>
  </w:style>
  <w:style w:type="character" w:customStyle="1" w:styleId="76">
    <w:name w:val="NormalCharacter"/>
    <w:link w:val="77"/>
    <w:semiHidden/>
    <w:qFormat/>
    <w:uiPriority w:val="0"/>
    <w:rPr>
      <w:szCs w:val="24"/>
    </w:rPr>
  </w:style>
  <w:style w:type="paragraph" w:customStyle="1" w:styleId="77">
    <w:name w:val="UserStyle_2"/>
    <w:basedOn w:val="1"/>
    <w:link w:val="76"/>
    <w:qFormat/>
    <w:uiPriority w:val="0"/>
    <w:pPr>
      <w:textAlignment w:val="baseline"/>
    </w:pPr>
    <w:rPr>
      <w:szCs w:val="24"/>
    </w:rPr>
  </w:style>
  <w:style w:type="character" w:customStyle="1" w:styleId="78">
    <w:name w:val="链接"/>
    <w:qFormat/>
    <w:uiPriority w:val="0"/>
    <w:rPr>
      <w:rFonts w:ascii="Times New Roman" w:eastAsia="宋体"/>
      <w:color w:val="0000FF"/>
      <w:sz w:val="21"/>
      <w:u w:val="single" w:color="0000FF"/>
      <w:vertAlign w:val="baseline"/>
      <w:lang w:val="en-US" w:eastAsia="zh-CN"/>
    </w:rPr>
  </w:style>
  <w:style w:type="character" w:customStyle="1" w:styleId="79">
    <w:name w:val="font21"/>
    <w:qFormat/>
    <w:uiPriority w:val="0"/>
    <w:rPr>
      <w:rFonts w:hint="default" w:ascii="Times New Roman" w:hAnsi="Times New Roman" w:cs="Times New Roman"/>
      <w:color w:val="000000"/>
      <w:sz w:val="24"/>
      <w:szCs w:val="24"/>
      <w:u w:val="none"/>
    </w:rPr>
  </w:style>
  <w:style w:type="character" w:customStyle="1" w:styleId="80">
    <w:name w:val="font01"/>
    <w:qFormat/>
    <w:uiPriority w:val="0"/>
    <w:rPr>
      <w:rFonts w:hint="eastAsia" w:ascii="宋体" w:hAnsi="宋体" w:eastAsia="宋体" w:cs="宋体"/>
      <w:color w:val="FF0000"/>
      <w:sz w:val="24"/>
      <w:szCs w:val="24"/>
      <w:u w:val="none"/>
    </w:rPr>
  </w:style>
  <w:style w:type="character" w:customStyle="1" w:styleId="81">
    <w:name w:val="font51"/>
    <w:qFormat/>
    <w:uiPriority w:val="0"/>
    <w:rPr>
      <w:rFonts w:hint="default" w:ascii="等线" w:hAnsi="等线" w:eastAsia="等线" w:cs="等线"/>
      <w:color w:val="000000"/>
      <w:sz w:val="22"/>
      <w:szCs w:val="22"/>
      <w:u w:val="none"/>
    </w:rPr>
  </w:style>
  <w:style w:type="character" w:customStyle="1" w:styleId="82">
    <w:name w:val="bg1"/>
    <w:qFormat/>
    <w:uiPriority w:val="0"/>
    <w:rPr>
      <w:rFonts w:hint="default"/>
      <w:color w:val="000000"/>
      <w:sz w:val="23"/>
      <w:szCs w:val="23"/>
      <w:shd w:val="clear" w:color="auto" w:fill="EC0101"/>
    </w:rPr>
  </w:style>
  <w:style w:type="character" w:customStyle="1" w:styleId="83">
    <w:name w:val="标题 2 Char1"/>
    <w:qFormat/>
    <w:uiPriority w:val="0"/>
    <w:rPr>
      <w:rFonts w:ascii="黑体" w:hAnsi="Arial" w:eastAsia="黑体"/>
      <w:b/>
      <w:kern w:val="2"/>
      <w:sz w:val="28"/>
      <w:lang w:val="en-US" w:eastAsia="zh-CN"/>
    </w:rPr>
  </w:style>
  <w:style w:type="paragraph" w:customStyle="1" w:styleId="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85">
    <w:name w:val="MSG_EN_FONT_STYLE_NAME_TEMPLATE_ROLE_LEVEL MSG_EN_FONT_STYLE_NAME_BY_ROLE_HEADING 1"/>
    <w:basedOn w:val="1"/>
    <w:unhideWhenUsed/>
    <w:qFormat/>
    <w:uiPriority w:val="99"/>
    <w:pPr>
      <w:shd w:val="clear" w:color="auto" w:fill="FFFFFF"/>
      <w:spacing w:line="612" w:lineRule="exact"/>
      <w:outlineLvl w:val="0"/>
    </w:pPr>
    <w:rPr>
      <w:rFonts w:hint="eastAsia" w:ascii="PMingLiU" w:eastAsia="PMingLiU"/>
      <w:sz w:val="32"/>
    </w:rPr>
  </w:style>
  <w:style w:type="paragraph" w:customStyle="1" w:styleId="86">
    <w:name w:val="xl51"/>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89">
    <w:name w:val="1级大纲"/>
    <w:basedOn w:val="3"/>
    <w:qFormat/>
    <w:uiPriority w:val="0"/>
    <w:pPr>
      <w:keepLines/>
      <w:spacing w:before="340" w:after="330" w:line="578" w:lineRule="auto"/>
      <w:ind w:left="425" w:hanging="425"/>
      <w:jc w:val="both"/>
    </w:pPr>
    <w:rPr>
      <w:rFonts w:ascii="黑体" w:hAnsi="黑体" w:eastAsia="黑体"/>
      <w:kern w:val="44"/>
      <w:sz w:val="32"/>
    </w:rPr>
  </w:style>
  <w:style w:type="paragraph" w:customStyle="1" w:styleId="90">
    <w:name w:val="Quote1"/>
    <w:basedOn w:val="1"/>
    <w:next w:val="1"/>
    <w:qFormat/>
    <w:uiPriority w:val="29"/>
    <w:pPr>
      <w:spacing w:beforeLines="50" w:afterLines="50" w:line="360" w:lineRule="auto"/>
    </w:pPr>
    <w:rPr>
      <w:i/>
      <w:iCs/>
      <w:color w:val="000000"/>
      <w:szCs w:val="24"/>
      <w:lang w:val="zh-CN"/>
    </w:rPr>
  </w:style>
  <w:style w:type="paragraph" w:customStyle="1" w:styleId="91">
    <w:name w:val="默认"/>
    <w:qFormat/>
    <w:uiPriority w:val="0"/>
    <w:pPr>
      <w:framePr w:wrap="around" w:vAnchor="margin" w:hAnchor="text" w:yAlign="top"/>
      <w:spacing w:before="160" w:line="288" w:lineRule="auto"/>
    </w:pPr>
    <w:rPr>
      <w:rFonts w:ascii="PingFang SC Regular" w:hAnsi="PingFang SC Regular" w:eastAsia="Arial Unicode MS" w:cs="Arial Unicode MS"/>
      <w:color w:val="000000"/>
      <w:sz w:val="24"/>
      <w:szCs w:val="24"/>
      <w:lang w:val="zh-CN" w:eastAsia="zh-CN" w:bidi="ar-SA"/>
    </w:rPr>
  </w:style>
  <w:style w:type="paragraph" w:customStyle="1" w:styleId="92">
    <w:name w:val="xl45"/>
    <w:basedOn w:val="1"/>
    <w:qFormat/>
    <w:uiPriority w:val="0"/>
    <w:pPr>
      <w:widowControl/>
      <w:spacing w:before="100" w:beforeAutospacing="1" w:after="100" w:afterAutospacing="1"/>
      <w:jc w:val="left"/>
      <w:textAlignment w:val="center"/>
    </w:pPr>
    <w:rPr>
      <w:rFonts w:ascii="宋体" w:hAnsi="宋体"/>
      <w:kern w:val="0"/>
      <w:sz w:val="20"/>
    </w:rPr>
  </w:style>
  <w:style w:type="paragraph" w:customStyle="1" w:styleId="93">
    <w:name w:val="xl43"/>
    <w:basedOn w:val="1"/>
    <w:qFormat/>
    <w:uiPriority w:val="0"/>
    <w:pPr>
      <w:widowControl/>
      <w:spacing w:before="100" w:beforeAutospacing="1" w:after="100" w:afterAutospacing="1"/>
      <w:jc w:val="left"/>
    </w:pPr>
    <w:rPr>
      <w:rFonts w:ascii="宋体" w:hAnsi="宋体"/>
      <w:kern w:val="0"/>
      <w:sz w:val="20"/>
    </w:rPr>
  </w:style>
  <w:style w:type="paragraph" w:customStyle="1" w:styleId="94">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95">
    <w:name w:val="Heading2"/>
    <w:basedOn w:val="1"/>
    <w:next w:val="1"/>
    <w:qFormat/>
    <w:uiPriority w:val="0"/>
    <w:pPr>
      <w:keepNext/>
      <w:keepLines/>
      <w:numPr>
        <w:ilvl w:val="1"/>
        <w:numId w:val="1"/>
      </w:numPr>
      <w:tabs>
        <w:tab w:val="left" w:pos="432"/>
      </w:tabs>
      <w:spacing w:before="260" w:after="260" w:line="416" w:lineRule="auto"/>
    </w:pPr>
    <w:rPr>
      <w:rFonts w:ascii="宋体" w:hAnsi="宋体"/>
      <w:b/>
      <w:bCs/>
      <w:sz w:val="32"/>
      <w:szCs w:val="32"/>
    </w:rPr>
  </w:style>
  <w:style w:type="paragraph" w:customStyle="1" w:styleId="9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97">
    <w:name w:val="font13"/>
    <w:basedOn w:val="1"/>
    <w:qFormat/>
    <w:uiPriority w:val="0"/>
    <w:pPr>
      <w:widowControl/>
      <w:spacing w:before="100" w:beforeAutospacing="1" w:after="100" w:afterAutospacing="1"/>
      <w:jc w:val="left"/>
    </w:pPr>
    <w:rPr>
      <w:b/>
      <w:bCs/>
      <w:color w:val="FF0000"/>
      <w:kern w:val="0"/>
      <w:sz w:val="22"/>
      <w:szCs w:val="22"/>
    </w:rPr>
  </w:style>
  <w:style w:type="paragraph" w:customStyle="1" w:styleId="9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99">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1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8000"/>
      <w:kern w:val="0"/>
      <w:sz w:val="20"/>
    </w:rPr>
  </w:style>
  <w:style w:type="paragraph" w:customStyle="1" w:styleId="101">
    <w:name w:val="font7"/>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10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styleId="103">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04">
    <w:name w:val="File1"/>
    <w:qFormat/>
    <w:uiPriority w:val="0"/>
    <w:pPr>
      <w:tabs>
        <w:tab w:val="left" w:pos="1134"/>
      </w:tabs>
      <w:spacing w:line="360" w:lineRule="exact"/>
      <w:ind w:left="540" w:leftChars="540"/>
    </w:pPr>
    <w:rPr>
      <w:rFonts w:ascii="Arial" w:hAnsi="Arial" w:eastAsia="宋体" w:cs="Times New Roman"/>
      <w:spacing w:val="10"/>
      <w:sz w:val="24"/>
      <w:lang w:val="en-US" w:eastAsia="zh-CN" w:bidi="ar-SA"/>
    </w:rPr>
  </w:style>
  <w:style w:type="paragraph" w:customStyle="1" w:styleId="10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0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FF"/>
      <w:kern w:val="0"/>
      <w:sz w:val="20"/>
    </w:rPr>
  </w:style>
  <w:style w:type="paragraph" w:customStyle="1" w:styleId="107">
    <w:name w:val="font10"/>
    <w:basedOn w:val="1"/>
    <w:qFormat/>
    <w:uiPriority w:val="0"/>
    <w:pPr>
      <w:widowControl/>
      <w:spacing w:before="100" w:beforeAutospacing="1" w:after="100" w:afterAutospacing="1"/>
      <w:jc w:val="left"/>
    </w:pPr>
    <w:rPr>
      <w:rFonts w:hint="eastAsia" w:ascii="宋体" w:hAnsi="宋体"/>
      <w:kern w:val="0"/>
      <w:sz w:val="22"/>
      <w:szCs w:val="22"/>
    </w:rPr>
  </w:style>
  <w:style w:type="paragraph" w:styleId="108">
    <w:name w:val="Quote"/>
    <w:basedOn w:val="1"/>
    <w:next w:val="1"/>
    <w:qFormat/>
    <w:uiPriority w:val="29"/>
    <w:pPr>
      <w:spacing w:beforeLines="50" w:afterLines="50" w:line="360" w:lineRule="auto"/>
    </w:pPr>
    <w:rPr>
      <w:i/>
      <w:iCs/>
      <w:color w:val="000000"/>
      <w:szCs w:val="24"/>
      <w:lang w:val="zh-CN"/>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1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11">
    <w:name w:val="xl44"/>
    <w:basedOn w:val="1"/>
    <w:qFormat/>
    <w:uiPriority w:val="0"/>
    <w:pPr>
      <w:widowControl/>
      <w:spacing w:before="100" w:beforeAutospacing="1" w:after="100" w:afterAutospacing="1"/>
      <w:jc w:val="center"/>
      <w:textAlignment w:val="center"/>
    </w:pPr>
    <w:rPr>
      <w:rFonts w:ascii="宋体" w:hAnsi="宋体"/>
      <w:b/>
      <w:bCs/>
      <w:color w:val="0000FF"/>
      <w:kern w:val="0"/>
      <w:sz w:val="20"/>
    </w:rPr>
  </w:style>
  <w:style w:type="paragraph" w:customStyle="1" w:styleId="1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13">
    <w:name w:val="UserStyle_11"/>
    <w:basedOn w:val="114"/>
    <w:next w:val="1"/>
    <w:qFormat/>
    <w:uiPriority w:val="0"/>
    <w:pPr>
      <w:tabs>
        <w:tab w:val="left" w:pos="480"/>
      </w:tabs>
    </w:pPr>
    <w:rPr>
      <w:rFonts w:ascii="Times New Roman" w:hAnsi="Times New Roman"/>
      <w:b/>
    </w:rPr>
  </w:style>
  <w:style w:type="paragraph" w:customStyle="1" w:styleId="114">
    <w:name w:val="UserStyle_10"/>
    <w:basedOn w:val="1"/>
    <w:qFormat/>
    <w:uiPriority w:val="0"/>
    <w:pPr>
      <w:tabs>
        <w:tab w:val="left" w:pos="480"/>
      </w:tabs>
      <w:jc w:val="center"/>
      <w:textAlignment w:val="baseline"/>
    </w:pPr>
    <w:rPr>
      <w:rFonts w:ascii="宋体" w:hAnsi="Tms Rmn"/>
      <w:color w:val="000000"/>
      <w:kern w:val="0"/>
    </w:rPr>
  </w:style>
  <w:style w:type="paragraph" w:customStyle="1" w:styleId="11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117">
    <w:name w:val="列表段落1"/>
    <w:basedOn w:val="1"/>
    <w:qFormat/>
    <w:uiPriority w:val="34"/>
    <w:pPr>
      <w:ind w:firstLine="420" w:firstLineChars="200"/>
    </w:pPr>
  </w:style>
  <w:style w:type="paragraph" w:styleId="118">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19">
    <w:name w:val="Char1 Char Char Char"/>
    <w:basedOn w:val="1"/>
    <w:qFormat/>
    <w:uiPriority w:val="0"/>
    <w:rPr>
      <w:rFonts w:ascii="Tahoma" w:hAnsi="Tahoma"/>
      <w:sz w:val="24"/>
    </w:rPr>
  </w:style>
  <w:style w:type="paragraph" w:customStyle="1" w:styleId="120">
    <w:name w:val="[基本段落]"/>
    <w:basedOn w:val="1"/>
    <w:unhideWhenUsed/>
    <w:qFormat/>
    <w:uiPriority w:val="99"/>
    <w:pPr>
      <w:autoSpaceDE w:val="0"/>
      <w:autoSpaceDN w:val="0"/>
      <w:adjustRightInd w:val="0"/>
      <w:spacing w:line="288" w:lineRule="auto"/>
      <w:textAlignment w:val="center"/>
    </w:pPr>
    <w:rPr>
      <w:rFonts w:hint="eastAsia" w:ascii="Adobe 宋体 Std L" w:hAnsi="Adobe 宋体 Std L" w:eastAsia="Adobe 宋体 Std L"/>
      <w:color w:val="000000"/>
      <w:kern w:val="0"/>
      <w:sz w:val="24"/>
      <w:szCs w:val="22"/>
      <w:lang w:val="zh-CN"/>
    </w:rPr>
  </w:style>
  <w:style w:type="paragraph" w:customStyle="1" w:styleId="121">
    <w:name w:val="Char Char"/>
    <w:basedOn w:val="1"/>
    <w:qFormat/>
    <w:uiPriority w:val="0"/>
    <w:rPr>
      <w:szCs w:val="24"/>
    </w:rPr>
  </w:style>
  <w:style w:type="paragraph" w:customStyle="1" w:styleId="122">
    <w:name w:val="多级符号"/>
    <w:basedOn w:val="1"/>
    <w:qFormat/>
    <w:uiPriority w:val="0"/>
    <w:pPr>
      <w:tabs>
        <w:tab w:val="left" w:pos="1077"/>
      </w:tabs>
      <w:adjustRightInd w:val="0"/>
      <w:spacing w:line="360" w:lineRule="auto"/>
      <w:ind w:left="1272" w:hanging="705"/>
      <w:jc w:val="left"/>
      <w:textAlignment w:val="baseline"/>
    </w:pPr>
    <w:rPr>
      <w:rFonts w:ascii="宋体"/>
      <w:color w:val="0000FF"/>
      <w:kern w:val="0"/>
      <w:sz w:val="24"/>
    </w:rPr>
  </w:style>
  <w:style w:type="paragraph" w:customStyle="1" w:styleId="1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24">
    <w:name w:val="无间距"/>
    <w:qFormat/>
    <w:uiPriority w:val="1"/>
    <w:pPr>
      <w:adjustRightInd w:val="0"/>
      <w:snapToGrid w:val="0"/>
      <w:ind w:firstLine="200" w:firstLineChars="200"/>
      <w:jc w:val="both"/>
    </w:pPr>
    <w:rPr>
      <w:rFonts w:ascii="Tahoma" w:hAnsi="Tahoma" w:eastAsia="微软雅黑" w:cs="Times New Roman"/>
      <w:sz w:val="22"/>
      <w:szCs w:val="22"/>
      <w:lang w:val="en-US" w:eastAsia="zh-CN" w:bidi="ar-SA"/>
    </w:rPr>
  </w:style>
  <w:style w:type="paragraph" w:customStyle="1" w:styleId="1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26">
    <w:name w:val="表名称"/>
    <w:qFormat/>
    <w:uiPriority w:val="0"/>
    <w:pPr>
      <w:widowControl w:val="0"/>
      <w:numPr>
        <w:ilvl w:val="0"/>
        <w:numId w:val="2"/>
      </w:numPr>
      <w:pBdr>
        <w:top w:val="none" w:color="000000" w:sz="0" w:space="3"/>
        <w:left w:val="none" w:color="000000" w:sz="0" w:space="3"/>
        <w:bottom w:val="none" w:color="000000" w:sz="0" w:space="3"/>
        <w:right w:val="none" w:color="000000" w:sz="0" w:space="3"/>
        <w:between w:val="none" w:color="000000" w:sz="0" w:space="0"/>
      </w:pBdr>
      <w:shd w:val="solid" w:color="auto" w:fill="auto"/>
      <w:adjustRightInd w:val="0"/>
      <w:ind w:left="900"/>
      <w:jc w:val="center"/>
      <w:textAlignment w:val="baseline"/>
    </w:pPr>
    <w:rPr>
      <w:rFonts w:ascii="Times New Roman" w:hAnsi="Times New Roman" w:eastAsia="宋体" w:cs="Times New Roman"/>
      <w:kern w:val="1"/>
      <w:sz w:val="21"/>
      <w:lang w:val="en-US" w:eastAsia="zh-CN" w:bidi="ar-SA"/>
    </w:rPr>
  </w:style>
  <w:style w:type="paragraph" w:customStyle="1" w:styleId="127">
    <w:name w:val="日期1"/>
    <w:basedOn w:val="1"/>
    <w:next w:val="1"/>
    <w:qFormat/>
    <w:uiPriority w:val="0"/>
    <w:pPr>
      <w:adjustRightInd w:val="0"/>
      <w:textAlignment w:val="baseline"/>
    </w:pPr>
    <w:rPr>
      <w:rFonts w:ascii="宋体"/>
      <w:kern w:val="0"/>
      <w:sz w:val="24"/>
    </w:rPr>
  </w:style>
  <w:style w:type="paragraph" w:customStyle="1" w:styleId="128">
    <w:name w:val="ÕýÎÄ"/>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zh-CN" w:bidi="ar-SA"/>
    </w:rPr>
  </w:style>
  <w:style w:type="paragraph" w:customStyle="1" w:styleId="12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800000"/>
      <w:kern w:val="0"/>
      <w:sz w:val="20"/>
    </w:rPr>
  </w:style>
  <w:style w:type="paragraph" w:customStyle="1" w:styleId="130">
    <w:name w:val="font11"/>
    <w:basedOn w:val="1"/>
    <w:qFormat/>
    <w:uiPriority w:val="0"/>
    <w:pPr>
      <w:widowControl/>
      <w:spacing w:before="100" w:beforeAutospacing="1" w:after="100" w:afterAutospacing="1"/>
      <w:jc w:val="left"/>
    </w:pPr>
    <w:rPr>
      <w:kern w:val="0"/>
      <w:sz w:val="22"/>
      <w:szCs w:val="22"/>
    </w:rPr>
  </w:style>
  <w:style w:type="paragraph" w:customStyle="1" w:styleId="13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132">
    <w:name w:val="Text"/>
    <w:basedOn w:val="1"/>
    <w:qFormat/>
    <w:uiPriority w:val="0"/>
    <w:pPr>
      <w:widowControl/>
      <w:jc w:val="left"/>
    </w:pPr>
    <w:rPr>
      <w:rFonts w:ascii="Arial" w:hAnsi="Arial" w:cs="Courier New"/>
      <w:kern w:val="0"/>
      <w:szCs w:val="21"/>
    </w:rPr>
  </w:style>
  <w:style w:type="paragraph" w:customStyle="1" w:styleId="133">
    <w:name w:val="THTF-BS-三级标题"/>
    <w:basedOn w:val="1"/>
    <w:next w:val="55"/>
    <w:qFormat/>
    <w:uiPriority w:val="0"/>
    <w:pPr>
      <w:spacing w:line="360" w:lineRule="auto"/>
      <w:outlineLvl w:val="2"/>
    </w:pPr>
    <w:rPr>
      <w:rFonts w:ascii="宋体"/>
      <w:b/>
      <w:sz w:val="30"/>
      <w:szCs w:val="30"/>
    </w:rPr>
  </w:style>
  <w:style w:type="paragraph" w:customStyle="1" w:styleId="134">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36">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37">
    <w:name w:val="正文缩进1"/>
    <w:basedOn w:val="1"/>
    <w:qFormat/>
    <w:uiPriority w:val="0"/>
    <w:pPr>
      <w:ind w:firstLine="420" w:firstLineChars="200"/>
    </w:pPr>
    <w:rPr>
      <w:rFonts w:ascii="Calibri" w:hAnsi="Calibri"/>
    </w:rPr>
  </w:style>
  <w:style w:type="paragraph" w:customStyle="1" w:styleId="1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40">
    <w:name w:val="*正文"/>
    <w:basedOn w:val="1"/>
    <w:qFormat/>
    <w:uiPriority w:val="0"/>
    <w:pPr>
      <w:widowControl/>
      <w:spacing w:line="360" w:lineRule="auto"/>
      <w:jc w:val="left"/>
    </w:pPr>
    <w:rPr>
      <w:rFonts w:ascii="仿宋_GB2312" w:eastAsia="仿宋_GB2312"/>
      <w:sz w:val="24"/>
      <w:szCs w:val="28"/>
    </w:rPr>
  </w:style>
  <w:style w:type="paragraph" w:customStyle="1" w:styleId="141">
    <w:name w:val="Char"/>
    <w:basedOn w:val="1"/>
    <w:qFormat/>
    <w:uiPriority w:val="0"/>
    <w:pPr>
      <w:spacing w:line="360" w:lineRule="auto"/>
    </w:pPr>
    <w:rPr>
      <w:rFonts w:ascii="新宋体" w:hAnsi="新宋体" w:eastAsia="新宋体"/>
      <w:b/>
      <w:sz w:val="24"/>
      <w:szCs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143">
    <w:name w:val="页眉与页脚"/>
    <w:qFormat/>
    <w:uiPriority w:val="0"/>
    <w:pPr>
      <w:framePr w:wrap="around" w:vAnchor="margin" w:hAnchor="text" w:yAlign="top"/>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144">
    <w:name w:val="font9"/>
    <w:basedOn w:val="1"/>
    <w:qFormat/>
    <w:uiPriority w:val="0"/>
    <w:pPr>
      <w:widowControl/>
      <w:spacing w:before="100" w:beforeAutospacing="1" w:after="100" w:afterAutospacing="1"/>
      <w:jc w:val="left"/>
    </w:pPr>
    <w:rPr>
      <w:rFonts w:hint="eastAsia" w:ascii="宋体" w:hAnsi="宋体"/>
      <w:b/>
      <w:bCs/>
      <w:color w:val="FF0000"/>
      <w:kern w:val="0"/>
      <w:sz w:val="20"/>
    </w:rPr>
  </w:style>
  <w:style w:type="paragraph" w:customStyle="1" w:styleId="145">
    <w:name w:val="MSG_EN_FONT_STYLE_NAME_TEMPLATE_ROLE_NUMBER MSG_EN_FONT_STYLE_NAME_BY_ROLE_TEXT 2"/>
    <w:basedOn w:val="1"/>
    <w:unhideWhenUsed/>
    <w:qFormat/>
    <w:uiPriority w:val="99"/>
    <w:pPr>
      <w:shd w:val="clear" w:color="auto" w:fill="FFFFFF"/>
    </w:pPr>
    <w:rPr>
      <w:rFonts w:hint="eastAsia"/>
      <w:sz w:val="20"/>
    </w:rPr>
  </w:style>
  <w:style w:type="paragraph" w:customStyle="1" w:styleId="146">
    <w:name w:val="正文缩进_0"/>
    <w:basedOn w:val="147"/>
    <w:qFormat/>
    <w:uiPriority w:val="0"/>
    <w:pPr>
      <w:ind w:firstLine="420" w:firstLineChars="200"/>
    </w:pPr>
    <w:rPr>
      <w:rFonts w:ascii="Times New Roman" w:hAnsi="Times New Roman"/>
    </w:rPr>
  </w:style>
  <w:style w:type="paragraph" w:customStyle="1" w:styleId="147">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font12"/>
    <w:basedOn w:val="1"/>
    <w:qFormat/>
    <w:uiPriority w:val="0"/>
    <w:pPr>
      <w:widowControl/>
      <w:spacing w:before="100" w:beforeAutospacing="1" w:after="100" w:afterAutospacing="1"/>
      <w:jc w:val="left"/>
    </w:pPr>
    <w:rPr>
      <w:rFonts w:hint="eastAsia" w:ascii="楷体_GB2312" w:hAnsi="宋体" w:eastAsia="楷体_GB2312"/>
      <w:b/>
      <w:bCs/>
      <w:color w:val="FF0000"/>
      <w:kern w:val="0"/>
      <w:sz w:val="22"/>
      <w:szCs w:val="22"/>
    </w:rPr>
  </w:style>
  <w:style w:type="paragraph" w:customStyle="1" w:styleId="1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FF"/>
      <w:kern w:val="0"/>
      <w:sz w:val="20"/>
    </w:rPr>
  </w:style>
  <w:style w:type="paragraph" w:customStyle="1" w:styleId="150">
    <w:name w:val="font8"/>
    <w:basedOn w:val="1"/>
    <w:qFormat/>
    <w:uiPriority w:val="0"/>
    <w:pPr>
      <w:widowControl/>
      <w:spacing w:before="100" w:beforeAutospacing="1" w:after="100" w:afterAutospacing="1"/>
      <w:jc w:val="left"/>
    </w:pPr>
    <w:rPr>
      <w:rFonts w:hint="eastAsia" w:ascii="宋体" w:hAnsi="宋体"/>
      <w:b/>
      <w:bCs/>
      <w:color w:val="0000FF"/>
      <w:kern w:val="0"/>
      <w:sz w:val="20"/>
    </w:rPr>
  </w:style>
  <w:style w:type="paragraph" w:customStyle="1" w:styleId="151">
    <w:name w:val="THTF-BS-二级标题"/>
    <w:next w:val="55"/>
    <w:qFormat/>
    <w:uiPriority w:val="0"/>
    <w:pPr>
      <w:widowControl w:val="0"/>
      <w:spacing w:line="360" w:lineRule="auto"/>
      <w:outlineLvl w:val="1"/>
    </w:pPr>
    <w:rPr>
      <w:rFonts w:ascii="宋体" w:hAnsi="Times New Roman" w:eastAsia="宋体" w:cs="Times New Roman"/>
      <w:b/>
      <w:kern w:val="2"/>
      <w:sz w:val="32"/>
      <w:szCs w:val="32"/>
      <w:lang w:val="en-US" w:eastAsia="zh-CN" w:bidi="ar-SA"/>
    </w:rPr>
  </w:style>
  <w:style w:type="paragraph" w:customStyle="1" w:styleId="152">
    <w:name w:val="È±Ê¡ÎÄ±¾"/>
    <w:basedOn w:val="1"/>
    <w:qFormat/>
    <w:uiPriority w:val="0"/>
    <w:pPr>
      <w:widowControl/>
      <w:overflowPunct w:val="0"/>
      <w:autoSpaceDE w:val="0"/>
      <w:autoSpaceDN w:val="0"/>
      <w:adjustRightInd w:val="0"/>
      <w:jc w:val="left"/>
    </w:pPr>
    <w:rPr>
      <w:kern w:val="0"/>
      <w:sz w:val="24"/>
    </w:rPr>
  </w:style>
  <w:style w:type="paragraph" w:customStyle="1" w:styleId="1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155">
    <w:name w:val="默认段落字体 Para Char Char Char Char Char Char Char"/>
    <w:basedOn w:val="1"/>
    <w:qFormat/>
    <w:uiPriority w:val="0"/>
  </w:style>
  <w:style w:type="paragraph" w:customStyle="1" w:styleId="156">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57">
    <w:name w:val="列出段落1"/>
    <w:basedOn w:val="1"/>
    <w:qFormat/>
    <w:uiPriority w:val="0"/>
    <w:pPr>
      <w:ind w:firstLine="420" w:firstLineChars="200"/>
    </w:pPr>
    <w:rPr>
      <w:rFonts w:ascii="Calibri" w:hAnsi="Calibri"/>
      <w:szCs w:val="22"/>
    </w:rPr>
  </w:style>
  <w:style w:type="paragraph" w:customStyle="1" w:styleId="158">
    <w:name w:val="xl50"/>
    <w:basedOn w:val="1"/>
    <w:qFormat/>
    <w:uiPriority w:val="0"/>
    <w:pPr>
      <w:widowControl/>
      <w:spacing w:before="100" w:beforeAutospacing="1" w:after="100" w:afterAutospacing="1"/>
      <w:jc w:val="left"/>
      <w:textAlignment w:val="center"/>
    </w:pPr>
    <w:rPr>
      <w:rFonts w:ascii="宋体" w:hAnsi="宋体"/>
      <w:b/>
      <w:bCs/>
      <w:color w:val="0000FF"/>
      <w:kern w:val="0"/>
      <w:sz w:val="32"/>
      <w:szCs w:val="32"/>
    </w:rPr>
  </w:style>
  <w:style w:type="paragraph" w:customStyle="1" w:styleId="159">
    <w:name w:val="_Style 1"/>
    <w:basedOn w:val="1"/>
    <w:next w:val="1"/>
    <w:qFormat/>
    <w:uiPriority w:val="0"/>
    <w:pPr>
      <w:ind w:firstLine="420" w:firstLineChars="200"/>
    </w:pPr>
    <w:rPr>
      <w:rFonts w:ascii="Calibri" w:hAnsi="Calibri"/>
      <w:szCs w:val="22"/>
    </w:rPr>
  </w:style>
  <w:style w:type="paragraph" w:customStyle="1" w:styleId="16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62">
    <w:name w:val="TOAHeading"/>
    <w:basedOn w:val="1"/>
    <w:next w:val="1"/>
    <w:qFormat/>
    <w:uiPriority w:val="0"/>
    <w:pPr>
      <w:spacing w:before="120"/>
      <w:textAlignment w:val="baseline"/>
    </w:pPr>
    <w:rPr>
      <w:rFonts w:ascii="Arial" w:hAnsi="Arial" w:eastAsia="仿宋"/>
      <w:sz w:val="24"/>
    </w:rPr>
  </w:style>
  <w:style w:type="character" w:customStyle="1" w:styleId="163">
    <w:name w:val="font61"/>
    <w:basedOn w:val="37"/>
    <w:qFormat/>
    <w:uiPriority w:val="0"/>
    <w:rPr>
      <w:rFonts w:hint="eastAsia" w:ascii="宋体" w:hAnsi="宋体" w:eastAsia="宋体" w:cs="宋体"/>
      <w:b/>
      <w:bCs/>
      <w:color w:val="000000"/>
      <w:sz w:val="20"/>
      <w:szCs w:val="20"/>
      <w:u w:val="none"/>
    </w:rPr>
  </w:style>
  <w:style w:type="paragraph" w:customStyle="1" w:styleId="16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正文文本缩进_2"/>
    <w:basedOn w:val="165"/>
    <w:qFormat/>
    <w:uiPriority w:val="0"/>
    <w:pPr>
      <w:spacing w:line="500" w:lineRule="exact"/>
      <w:ind w:left="1588" w:leftChars="832" w:firstLine="433" w:firstLineChars="196"/>
    </w:pPr>
    <w:rPr>
      <w:rFonts w:ascii="Times New Roman" w:hAnsi="Times New Roman"/>
      <w:kern w:val="0"/>
      <w:sz w:val="24"/>
      <w:szCs w:val="24"/>
    </w:rPr>
  </w:style>
  <w:style w:type="paragraph" w:customStyle="1" w:styleId="16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68">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69">
    <w:name w:val="BodyText1I2"/>
    <w:basedOn w:val="170"/>
    <w:qFormat/>
    <w:uiPriority w:val="0"/>
    <w:pPr>
      <w:ind w:firstLine="420" w:firstLineChars="200"/>
    </w:pPr>
  </w:style>
  <w:style w:type="paragraph" w:customStyle="1" w:styleId="170">
    <w:name w:val="BodyTextIndent"/>
    <w:basedOn w:val="1"/>
    <w:qFormat/>
    <w:uiPriority w:val="0"/>
    <w:pPr>
      <w:ind w:firstLine="480"/>
      <w:textAlignment w:val="baseline"/>
    </w:pPr>
    <w:rPr>
      <w:rFonts w:ascii="宋体" w:hAnsi="宋体"/>
      <w:sz w:val="24"/>
    </w:rPr>
  </w:style>
  <w:style w:type="paragraph" w:customStyle="1" w:styleId="1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2">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73">
    <w:name w:val="Char Char Char Char Char Char Char1 Char"/>
    <w:basedOn w:val="1"/>
    <w:qFormat/>
    <w:uiPriority w:val="0"/>
    <w:rPr>
      <w:rFonts w:ascii="Tahoma" w:hAnsi="Tahoma"/>
      <w:sz w:val="24"/>
    </w:rPr>
  </w:style>
  <w:style w:type="character" w:customStyle="1" w:styleId="174">
    <w:name w:val="dash6bb5__char1"/>
    <w:basedOn w:val="37"/>
    <w:qFormat/>
    <w:uiPriority w:val="0"/>
    <w:rPr>
      <w:rFonts w:hint="eastAsia" w:ascii="宋体" w:hAnsi="宋体" w:eastAsia="宋体"/>
      <w:sz w:val="20"/>
      <w:szCs w:val="20"/>
    </w:rPr>
  </w:style>
  <w:style w:type="paragraph" w:customStyle="1" w:styleId="1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6">
    <w:name w:val="正文_0"/>
    <w:next w:val="1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页脚_0"/>
    <w:basedOn w:val="176"/>
    <w:unhideWhenUsed/>
    <w:qFormat/>
    <w:uiPriority w:val="99"/>
    <w:pPr>
      <w:tabs>
        <w:tab w:val="center" w:pos="4153"/>
        <w:tab w:val="right" w:pos="8306"/>
      </w:tabs>
      <w:snapToGrid w:val="0"/>
      <w:jc w:val="left"/>
    </w:pPr>
    <w:rPr>
      <w:sz w:val="18"/>
      <w:szCs w:val="18"/>
    </w:rPr>
  </w:style>
  <w:style w:type="paragraph" w:customStyle="1" w:styleId="178">
    <w:name w:val="Table Text"/>
    <w:basedOn w:val="1"/>
    <w:qFormat/>
    <w:uiPriority w:val="0"/>
    <w:rPr>
      <w:rFonts w:ascii="宋体" w:hAnsi="宋体" w:eastAsia="宋体" w:cs="宋体"/>
      <w:sz w:val="24"/>
      <w:szCs w:val="24"/>
      <w:lang w:val="en-US" w:eastAsia="en-US" w:bidi="ar-SA"/>
    </w:rPr>
  </w:style>
  <w:style w:type="character" w:customStyle="1" w:styleId="179">
    <w:name w:val="font71"/>
    <w:basedOn w:val="37"/>
    <w:qFormat/>
    <w:uiPriority w:val="0"/>
    <w:rPr>
      <w:rFonts w:hint="eastAsia" w:ascii="宋体" w:hAnsi="宋体" w:eastAsia="宋体" w:cs="宋体"/>
      <w:color w:val="000000"/>
      <w:sz w:val="18"/>
      <w:szCs w:val="18"/>
      <w:u w:val="none"/>
    </w:rPr>
  </w:style>
  <w:style w:type="character" w:customStyle="1" w:styleId="180">
    <w:name w:val="font81"/>
    <w:basedOn w:val="37"/>
    <w:qFormat/>
    <w:uiPriority w:val="0"/>
    <w:rPr>
      <w:rFonts w:ascii="Calibri" w:hAnsi="Calibri" w:cs="Calibri"/>
      <w:color w:val="000000"/>
      <w:sz w:val="18"/>
      <w:szCs w:val="18"/>
      <w:u w:val="none"/>
    </w:rPr>
  </w:style>
  <w:style w:type="paragraph" w:customStyle="1" w:styleId="181">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3733</Words>
  <Characters>4265</Characters>
  <Lines>510</Lines>
  <Paragraphs>143</Paragraphs>
  <TotalTime>1</TotalTime>
  <ScaleCrop>false</ScaleCrop>
  <LinksUpToDate>false</LinksUpToDate>
  <CharactersWithSpaces>4351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2017-12-11T10:56:00Z</dcterms:created>
  <dc:creator>Administrator</dc:creator>
  <cp:lastModifiedBy>刘鑫龙</cp:lastModifiedBy>
  <cp:lastPrinted>2024-06-24T11:34:00Z</cp:lastPrinted>
  <dcterms:modified xsi:type="dcterms:W3CDTF">2025-06-26T10:38:27Z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972A1DDEB2474B6091F8A9E5CBF7E1A8</vt:lpwstr>
  </property>
  <property fmtid="{D5CDD505-2E9C-101B-9397-08002B2CF9AE}" pid="4" name="KSOTemplateDocerSaveRecord">
    <vt:lpwstr>eyJoZGlkIjoiMmE5MTkxYWU2N2EzMDNmMjg1OTk3MzA0ZWQwYmMxYTgiLCJ1c2VySWQiOiIxNDU4NTEzMzQ2In0=</vt:lpwstr>
  </property>
</Properties>
</file>