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spacing w:before="0" w:after="0"/>
        <w:ind w:firstLine="0"/>
        <w:rPr>
          <w:rFonts w:hint="eastAsia" w:ascii="宋体" w:hAnsi="宋体" w:eastAsia="宋体" w:cs="宋体"/>
          <w:color w:val="auto"/>
          <w:highlight w:val="none"/>
          <w:lang w:val="en-US" w:eastAsia="zh-CN"/>
        </w:rPr>
      </w:pPr>
    </w:p>
    <w:p>
      <w:pPr>
        <w:pStyle w:val="119"/>
        <w:ind w:firstLine="0"/>
        <w:jc w:val="center"/>
        <w:rPr>
          <w:rFonts w:ascii="宋体" w:hAnsi="宋体" w:cs="宋体"/>
          <w:b/>
          <w:bCs/>
          <w:color w:val="auto"/>
          <w:sz w:val="84"/>
          <w:highlight w:val="none"/>
        </w:rPr>
      </w:pPr>
      <w:r>
        <w:rPr>
          <w:rFonts w:hint="eastAsia" w:ascii="宋体" w:hAnsi="宋体" w:cs="宋体"/>
          <w:b/>
          <w:bCs/>
          <w:color w:val="auto"/>
          <w:sz w:val="84"/>
          <w:highlight w:val="none"/>
        </w:rPr>
        <w:t>招　标　文　件</w:t>
      </w:r>
    </w:p>
    <w:p>
      <w:pPr>
        <w:pStyle w:val="119"/>
        <w:ind w:firstLine="0"/>
        <w:rPr>
          <w:rFonts w:ascii="宋体" w:hAnsi="宋体" w:cs="宋体"/>
          <w:b/>
          <w:bCs/>
          <w:color w:val="auto"/>
          <w:sz w:val="32"/>
          <w:highlight w:val="none"/>
        </w:rPr>
      </w:pPr>
    </w:p>
    <w:p>
      <w:pPr>
        <w:pStyle w:val="119"/>
        <w:ind w:firstLine="0"/>
        <w:jc w:val="both"/>
        <w:rPr>
          <w:rFonts w:ascii="宋体" w:hAnsi="宋体" w:cs="宋体"/>
          <w:b/>
          <w:bCs/>
          <w:color w:val="auto"/>
          <w:sz w:val="32"/>
          <w:highlight w:val="none"/>
        </w:rPr>
      </w:pPr>
      <w:r>
        <w:rPr>
          <w:rFonts w:hint="eastAsia" w:ascii="宋体" w:hAnsi="宋体" w:cs="宋体"/>
          <w:b/>
          <w:bCs/>
          <w:color w:val="auto"/>
          <w:sz w:val="32"/>
          <w:highlight w:val="none"/>
        </w:rPr>
        <w:t>项目名称：新疆</w:t>
      </w:r>
      <w:r>
        <w:rPr>
          <w:rFonts w:hint="eastAsia"/>
          <w:b/>
          <w:bCs/>
          <w:color w:val="auto"/>
          <w:sz w:val="32"/>
          <w:highlight w:val="none"/>
        </w:rPr>
        <w:t>维吾尔自治区教育厅</w:t>
      </w:r>
      <w:r>
        <w:rPr>
          <w:rFonts w:hint="eastAsia"/>
          <w:b/>
          <w:bCs/>
          <w:color w:val="auto"/>
          <w:sz w:val="32"/>
          <w:highlight w:val="none"/>
          <w:lang w:eastAsia="zh-CN"/>
        </w:rPr>
        <w:t>2025</w:t>
      </w:r>
      <w:r>
        <w:rPr>
          <w:rFonts w:hint="eastAsia"/>
          <w:b/>
          <w:bCs/>
          <w:color w:val="auto"/>
          <w:sz w:val="32"/>
          <w:highlight w:val="none"/>
        </w:rPr>
        <w:t>学年自治区农村学前幼儿教育资料发行采购项目</w:t>
      </w:r>
    </w:p>
    <w:p>
      <w:pPr>
        <w:pStyle w:val="119"/>
        <w:ind w:firstLine="0"/>
        <w:jc w:val="both"/>
        <w:rPr>
          <w:rFonts w:hint="default" w:ascii="宋体" w:hAnsi="宋体" w:eastAsia="宋体" w:cs="宋体"/>
          <w:b/>
          <w:bCs/>
          <w:color w:val="auto"/>
          <w:sz w:val="32"/>
          <w:highlight w:val="none"/>
          <w:lang w:val="en-US" w:eastAsia="zh-CN"/>
        </w:rPr>
      </w:pPr>
      <w:r>
        <w:rPr>
          <w:rFonts w:hint="eastAsia" w:ascii="宋体" w:hAnsi="宋体" w:cs="宋体"/>
          <w:b/>
          <w:bCs/>
          <w:color w:val="auto"/>
          <w:sz w:val="32"/>
          <w:highlight w:val="none"/>
        </w:rPr>
        <w:t>项目编号：GK</w:t>
      </w:r>
      <w:r>
        <w:rPr>
          <w:rFonts w:hint="eastAsia" w:ascii="宋体" w:hAnsi="宋体" w:cs="宋体"/>
          <w:b/>
          <w:bCs/>
          <w:color w:val="auto"/>
          <w:sz w:val="32"/>
          <w:highlight w:val="none"/>
          <w:lang w:eastAsia="zh-CN"/>
        </w:rPr>
        <w:t>2025</w:t>
      </w:r>
      <w:r>
        <w:rPr>
          <w:rFonts w:hint="eastAsia" w:ascii="宋体" w:hAnsi="宋体" w:cs="宋体"/>
          <w:b/>
          <w:bCs/>
          <w:color w:val="auto"/>
          <w:sz w:val="32"/>
          <w:highlight w:val="none"/>
        </w:rPr>
        <w:t>-</w:t>
      </w:r>
      <w:r>
        <w:rPr>
          <w:rFonts w:hint="eastAsia" w:ascii="宋体" w:hAnsi="宋体" w:cs="宋体"/>
          <w:b/>
          <w:bCs/>
          <w:color w:val="auto"/>
          <w:sz w:val="32"/>
          <w:highlight w:val="none"/>
          <w:lang w:val="en-US" w:eastAsia="zh-CN"/>
        </w:rPr>
        <w:t>147</w:t>
      </w:r>
    </w:p>
    <w:p>
      <w:pPr>
        <w:pStyle w:val="119"/>
        <w:spacing w:before="0" w:after="0"/>
        <w:ind w:firstLine="0"/>
        <w:rPr>
          <w:rFonts w:ascii="宋体" w:hAnsi="宋体" w:cs="宋体"/>
          <w:color w:val="auto"/>
          <w:highlight w:val="none"/>
        </w:rPr>
      </w:pPr>
      <w:r>
        <w:rPr>
          <w:rFonts w:hint="eastAsia" w:ascii="宋体" w:hAnsi="宋体" w:cs="宋体"/>
          <w:color w:val="auto"/>
          <w:highlight w:val="none"/>
        </w:rPr>
        <w:t xml:space="preserve">                     </w:t>
      </w:r>
    </w:p>
    <w:tbl>
      <w:tblPr>
        <w:tblStyle w:val="37"/>
        <w:tblpPr w:leftFromText="180" w:rightFromText="180" w:vertAnchor="page" w:horzAnchor="margin" w:tblpY="785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采购人</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审核意见</w:t>
            </w:r>
          </w:p>
        </w:tc>
        <w:tc>
          <w:tcPr>
            <w:tcW w:w="8161" w:type="dxa"/>
          </w:tcPr>
          <w:p>
            <w:pPr>
              <w:rPr>
                <w:rFonts w:ascii="宋体" w:hAnsi="宋体" w:cs="宋体"/>
                <w:color w:val="auto"/>
                <w:sz w:val="28"/>
                <w:szCs w:val="28"/>
                <w:highlight w:val="none"/>
              </w:rPr>
            </w:pPr>
            <w:r>
              <w:rPr>
                <w:rFonts w:hint="eastAsia" w:ascii="宋体" w:hAnsi="宋体" w:cs="宋体"/>
                <w:color w:val="auto"/>
                <w:sz w:val="28"/>
                <w:szCs w:val="28"/>
                <w:highlight w:val="none"/>
              </w:rPr>
              <w:t>　　　　　　　　　　　　　　　　　　　</w:t>
            </w:r>
          </w:p>
          <w:p>
            <w:pPr>
              <w:rPr>
                <w:rFonts w:ascii="宋体" w:hAnsi="宋体" w:cs="宋体"/>
                <w:color w:val="auto"/>
                <w:sz w:val="28"/>
                <w:szCs w:val="28"/>
                <w:highlight w:val="none"/>
              </w:rPr>
            </w:pPr>
          </w:p>
          <w:p>
            <w:pPr>
              <w:ind w:firstLine="4620" w:firstLineChars="1650"/>
              <w:rPr>
                <w:rFonts w:ascii="宋体" w:hAnsi="宋体" w:cs="宋体"/>
                <w:color w:val="auto"/>
                <w:sz w:val="28"/>
                <w:szCs w:val="28"/>
                <w:highlight w:val="none"/>
              </w:rPr>
            </w:pPr>
            <w:r>
              <w:rPr>
                <w:rFonts w:hint="eastAsia" w:ascii="宋体" w:hAnsi="宋体" w:cs="宋体"/>
                <w:color w:val="auto"/>
                <w:sz w:val="28"/>
                <w:szCs w:val="28"/>
                <w:highlight w:val="none"/>
              </w:rPr>
              <w:t>采购人签章：</w:t>
            </w:r>
          </w:p>
          <w:p>
            <w:pPr>
              <w:rPr>
                <w:rFonts w:ascii="宋体" w:hAnsi="宋体" w:cs="宋体"/>
                <w:color w:val="auto"/>
                <w:sz w:val="28"/>
                <w:szCs w:val="28"/>
                <w:highlight w:val="none"/>
              </w:rPr>
            </w:pPr>
            <w:r>
              <w:rPr>
                <w:rFonts w:hint="eastAsia" w:ascii="宋体" w:hAnsi="宋体" w:cs="宋体"/>
                <w:color w:val="auto"/>
                <w:sz w:val="28"/>
                <w:szCs w:val="28"/>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现场监督部</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审核意见</w:t>
            </w:r>
          </w:p>
        </w:tc>
        <w:tc>
          <w:tcPr>
            <w:tcW w:w="8161" w:type="dxa"/>
          </w:tcPr>
          <w:p>
            <w:pPr>
              <w:ind w:firstLine="4620" w:firstLineChars="1650"/>
              <w:rPr>
                <w:rFonts w:ascii="宋体" w:hAnsi="宋体" w:cs="宋体"/>
                <w:color w:val="auto"/>
                <w:sz w:val="28"/>
                <w:szCs w:val="28"/>
                <w:highlight w:val="none"/>
              </w:rPr>
            </w:pPr>
          </w:p>
          <w:p>
            <w:pPr>
              <w:ind w:firstLine="4620" w:firstLineChars="1650"/>
              <w:rPr>
                <w:rFonts w:ascii="宋体" w:hAnsi="宋体" w:cs="宋体"/>
                <w:color w:val="auto"/>
                <w:sz w:val="28"/>
                <w:szCs w:val="28"/>
                <w:highlight w:val="none"/>
              </w:rPr>
            </w:pPr>
            <w:r>
              <w:rPr>
                <w:rFonts w:hint="eastAsia" w:ascii="宋体" w:hAnsi="宋体" w:cs="宋体"/>
                <w:color w:val="auto"/>
                <w:sz w:val="28"/>
                <w:szCs w:val="28"/>
                <w:highlight w:val="none"/>
              </w:rPr>
              <w:t>审核人签章：</w:t>
            </w:r>
          </w:p>
          <w:p>
            <w:pPr>
              <w:rPr>
                <w:rFonts w:ascii="宋体" w:hAnsi="宋体" w:cs="宋体"/>
                <w:color w:val="auto"/>
                <w:sz w:val="28"/>
                <w:szCs w:val="28"/>
                <w:highlight w:val="none"/>
              </w:rPr>
            </w:pPr>
            <w:r>
              <w:rPr>
                <w:rFonts w:hint="eastAsia" w:ascii="宋体" w:hAnsi="宋体" w:cs="宋体"/>
                <w:color w:val="auto"/>
                <w:sz w:val="28"/>
                <w:szCs w:val="28"/>
                <w:highlight w:val="none"/>
              </w:rPr>
              <w:t>　　　　　　　　　　　　　　　　            年  月  日</w:t>
            </w:r>
          </w:p>
        </w:tc>
      </w:tr>
    </w:tbl>
    <w:p>
      <w:pPr>
        <w:pStyle w:val="119"/>
        <w:ind w:firstLine="0"/>
        <w:jc w:val="center"/>
        <w:rPr>
          <w:rFonts w:ascii="宋体" w:hAnsi="宋体" w:cs="宋体"/>
          <w:b/>
          <w:bCs/>
          <w:color w:val="auto"/>
          <w:sz w:val="32"/>
          <w:highlight w:val="none"/>
        </w:rPr>
      </w:pPr>
    </w:p>
    <w:p>
      <w:pPr>
        <w:pStyle w:val="119"/>
        <w:ind w:firstLine="0"/>
        <w:jc w:val="center"/>
        <w:rPr>
          <w:rFonts w:hint="eastAsia" w:ascii="宋体" w:hAnsi="宋体" w:cs="宋体"/>
          <w:b/>
          <w:bCs/>
          <w:color w:val="auto"/>
          <w:sz w:val="32"/>
          <w:highlight w:val="none"/>
        </w:rPr>
      </w:pPr>
    </w:p>
    <w:p>
      <w:pPr>
        <w:pStyle w:val="119"/>
        <w:ind w:firstLine="0"/>
        <w:jc w:val="center"/>
        <w:rPr>
          <w:rFonts w:hint="eastAsia" w:ascii="宋体" w:hAnsi="宋体" w:cs="宋体"/>
          <w:b/>
          <w:bCs/>
          <w:color w:val="auto"/>
          <w:sz w:val="32"/>
          <w:highlight w:val="none"/>
        </w:rPr>
      </w:pPr>
    </w:p>
    <w:p>
      <w:pPr>
        <w:pStyle w:val="119"/>
        <w:ind w:firstLine="0"/>
        <w:jc w:val="center"/>
        <w:rPr>
          <w:rFonts w:ascii="宋体" w:hAnsi="宋体" w:cs="宋体"/>
          <w:b/>
          <w:bCs/>
          <w:color w:val="auto"/>
          <w:sz w:val="32"/>
          <w:highlight w:val="none"/>
        </w:rPr>
      </w:pPr>
      <w:r>
        <w:rPr>
          <w:rFonts w:hint="eastAsia" w:ascii="宋体" w:hAnsi="宋体" w:cs="宋体"/>
          <w:b/>
          <w:bCs/>
          <w:color w:val="auto"/>
          <w:sz w:val="32"/>
          <w:highlight w:val="none"/>
        </w:rPr>
        <w:t>新疆维吾尔自治区政务服务和公共资源交易中心</w:t>
      </w:r>
    </w:p>
    <w:p>
      <w:pPr>
        <w:pStyle w:val="119"/>
        <w:ind w:firstLine="0"/>
        <w:jc w:val="center"/>
        <w:rPr>
          <w:rFonts w:ascii="宋体" w:hAnsi="宋体" w:cs="宋体"/>
          <w:color w:val="auto"/>
          <w:highlight w:val="none"/>
        </w:rPr>
      </w:pPr>
      <w:r>
        <w:rPr>
          <w:rFonts w:hint="eastAsia" w:ascii="宋体" w:hAnsi="宋体" w:cs="宋体"/>
          <w:b/>
          <w:bCs/>
          <w:color w:val="auto"/>
          <w:sz w:val="32"/>
          <w:highlight w:val="none"/>
          <w:lang w:eastAsia="zh-CN"/>
        </w:rPr>
        <w:t>2025</w:t>
      </w:r>
      <w:r>
        <w:rPr>
          <w:rFonts w:hint="eastAsia" w:ascii="宋体" w:hAnsi="宋体" w:cs="宋体"/>
          <w:b/>
          <w:bCs/>
          <w:color w:val="auto"/>
          <w:sz w:val="32"/>
          <w:highlight w:val="none"/>
        </w:rPr>
        <w:t>年</w:t>
      </w:r>
      <w:r>
        <w:rPr>
          <w:rFonts w:hint="eastAsia" w:ascii="宋体" w:hAnsi="宋体" w:cs="宋体"/>
          <w:b/>
          <w:bCs/>
          <w:color w:val="auto"/>
          <w:sz w:val="32"/>
          <w:highlight w:val="none"/>
          <w:lang w:val="en-US" w:eastAsia="zh-CN"/>
        </w:rPr>
        <w:t>7</w:t>
      </w:r>
      <w:r>
        <w:rPr>
          <w:rFonts w:hint="eastAsia" w:ascii="宋体" w:hAnsi="宋体" w:cs="宋体"/>
          <w:b/>
          <w:bCs/>
          <w:color w:val="auto"/>
          <w:sz w:val="32"/>
          <w:highlight w:val="none"/>
        </w:rPr>
        <w:t>月</w:t>
      </w:r>
      <w:r>
        <w:rPr>
          <w:rFonts w:hint="eastAsia" w:ascii="宋体" w:hAnsi="宋体" w:cs="宋体"/>
          <w:b/>
          <w:bCs/>
          <w:color w:val="auto"/>
          <w:sz w:val="32"/>
          <w:highlight w:val="none"/>
          <w:lang w:val="en-US" w:eastAsia="zh-CN"/>
        </w:rPr>
        <w:t>7</w:t>
      </w:r>
      <w:r>
        <w:rPr>
          <w:rFonts w:hint="eastAsia" w:ascii="宋体" w:hAnsi="宋体" w:cs="宋体"/>
          <w:b/>
          <w:bCs/>
          <w:color w:val="auto"/>
          <w:sz w:val="32"/>
          <w:highlight w:val="none"/>
        </w:rPr>
        <w:t>日</w:t>
      </w:r>
    </w:p>
    <w:p>
      <w:pPr>
        <w:rPr>
          <w:rFonts w:ascii="宋体" w:hAnsi="宋体" w:cs="宋体"/>
          <w:color w:val="auto"/>
          <w:highlight w:val="none"/>
        </w:rPr>
      </w:pPr>
      <w:r>
        <w:rPr>
          <w:rFonts w:hint="eastAsia" w:ascii="宋体" w:hAnsi="宋体" w:cs="宋体"/>
          <w:color w:val="auto"/>
          <w:highlight w:val="none"/>
        </w:rPr>
        <w:br w:type="page"/>
      </w:r>
      <w:bookmarkStart w:id="0" w:name="_Toc120614210"/>
      <w:bookmarkStart w:id="1" w:name="_Toc494375077"/>
      <w:bookmarkStart w:id="2" w:name="_Toc513029200"/>
      <w:bookmarkStart w:id="3" w:name="_Toc523127445"/>
      <w:bookmarkStart w:id="4" w:name="_Toc20823272"/>
      <w:bookmarkStart w:id="5" w:name="_Toc16938516"/>
      <w:bookmarkStart w:id="6" w:name="_Toc479757206"/>
    </w:p>
    <w:p>
      <w:pPr>
        <w:pStyle w:val="110"/>
        <w:jc w:val="center"/>
        <w:rPr>
          <w:rFonts w:ascii="宋体" w:hAnsi="宋体" w:cs="宋体"/>
          <w:b w:val="0"/>
          <w:color w:val="auto"/>
          <w:sz w:val="44"/>
          <w:highlight w:val="none"/>
        </w:rPr>
      </w:pPr>
      <w:r>
        <w:rPr>
          <w:rFonts w:hint="eastAsia" w:ascii="宋体" w:hAnsi="宋体" w:cs="宋体"/>
          <w:b w:val="0"/>
          <w:color w:val="auto"/>
          <w:sz w:val="44"/>
          <w:highlight w:val="none"/>
        </w:rPr>
        <w:t>总  目  录</w:t>
      </w:r>
    </w:p>
    <w:p>
      <w:pPr>
        <w:rPr>
          <w:rFonts w:ascii="宋体" w:hAnsi="宋体" w:cs="宋体"/>
          <w:color w:val="auto"/>
          <w:sz w:val="28"/>
          <w:szCs w:val="28"/>
          <w:highlight w:val="none"/>
        </w:rPr>
      </w:pPr>
    </w:p>
    <w:p>
      <w:pPr>
        <w:pStyle w:val="32"/>
        <w:tabs>
          <w:tab w:val="right" w:leader="dot" w:pos="8943"/>
        </w:tabs>
        <w:rPr>
          <w:rFonts w:ascii="宋体" w:hAnsi="宋体" w:cs="宋体"/>
          <w:smallCaps w:val="0"/>
          <w:color w:val="auto"/>
          <w:sz w:val="36"/>
          <w:szCs w:val="36"/>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TOC \o "1-3" \h \z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"_Toc534816625" </w:instrText>
      </w:r>
      <w:r>
        <w:rPr>
          <w:color w:val="auto"/>
          <w:highlight w:val="none"/>
        </w:rPr>
        <w:fldChar w:fldCharType="separate"/>
      </w:r>
      <w:r>
        <w:rPr>
          <w:rStyle w:val="42"/>
          <w:rFonts w:hint="eastAsia" w:ascii="宋体" w:hAnsi="宋体" w:cs="宋体"/>
          <w:color w:val="auto"/>
          <w:sz w:val="36"/>
          <w:szCs w:val="36"/>
          <w:highlight w:val="none"/>
        </w:rPr>
        <w:t>第一章  投标邀请</w:t>
      </w:r>
      <w:r>
        <w:rPr>
          <w:rFonts w:hint="eastAsia" w:ascii="宋体" w:hAnsi="宋体" w:cs="宋体"/>
          <w:color w:val="auto"/>
          <w:sz w:val="36"/>
          <w:szCs w:val="36"/>
          <w:highlight w:val="none"/>
        </w:rPr>
        <w:t>……………………………………</w:t>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_Toc534816625 \h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3</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943"/>
        </w:tabs>
        <w:rPr>
          <w:rFonts w:ascii="宋体" w:hAnsi="宋体" w:cs="宋体"/>
          <w:smallCaps w:val="0"/>
          <w:color w:val="auto"/>
          <w:sz w:val="36"/>
          <w:szCs w:val="36"/>
          <w:highlight w:val="none"/>
        </w:rPr>
      </w:pPr>
      <w:r>
        <w:rPr>
          <w:color w:val="auto"/>
          <w:highlight w:val="none"/>
        </w:rPr>
        <w:fldChar w:fldCharType="begin"/>
      </w:r>
      <w:r>
        <w:rPr>
          <w:color w:val="auto"/>
          <w:highlight w:val="none"/>
        </w:rPr>
        <w:instrText xml:space="preserve"> HYPERLINK \l "_Toc534816626" </w:instrText>
      </w:r>
      <w:r>
        <w:rPr>
          <w:color w:val="auto"/>
          <w:highlight w:val="none"/>
        </w:rPr>
        <w:fldChar w:fldCharType="separate"/>
      </w:r>
      <w:r>
        <w:rPr>
          <w:rStyle w:val="42"/>
          <w:rFonts w:hint="eastAsia" w:ascii="宋体" w:hAnsi="宋体" w:cs="宋体"/>
          <w:color w:val="auto"/>
          <w:sz w:val="36"/>
          <w:szCs w:val="36"/>
          <w:highlight w:val="none"/>
        </w:rPr>
        <w:t>第二章  投标人须知</w:t>
      </w:r>
      <w:r>
        <w:rPr>
          <w:rFonts w:hint="eastAsia" w:ascii="宋体" w:hAnsi="宋体" w:cs="宋体"/>
          <w:color w:val="auto"/>
          <w:sz w:val="36"/>
          <w:szCs w:val="36"/>
          <w:highlight w:val="none"/>
        </w:rPr>
        <w:t>…………………………………</w:t>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_Toc534816626 \h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8</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943"/>
        </w:tabs>
        <w:rPr>
          <w:rFonts w:ascii="宋体" w:hAnsi="宋体" w:cs="宋体"/>
          <w:smallCaps w:val="0"/>
          <w:color w:val="auto"/>
          <w:sz w:val="36"/>
          <w:szCs w:val="36"/>
          <w:highlight w:val="none"/>
        </w:rPr>
      </w:pPr>
      <w:r>
        <w:rPr>
          <w:color w:val="auto"/>
          <w:highlight w:val="none"/>
        </w:rPr>
        <w:fldChar w:fldCharType="begin"/>
      </w:r>
      <w:r>
        <w:rPr>
          <w:color w:val="auto"/>
          <w:highlight w:val="none"/>
        </w:rPr>
        <w:instrText xml:space="preserve"> HYPERLINK \l "_Toc534816635" </w:instrText>
      </w:r>
      <w:r>
        <w:rPr>
          <w:color w:val="auto"/>
          <w:highlight w:val="none"/>
        </w:rPr>
        <w:fldChar w:fldCharType="separate"/>
      </w:r>
      <w:r>
        <w:rPr>
          <w:rStyle w:val="42"/>
          <w:rFonts w:hint="eastAsia" w:ascii="宋体" w:hAnsi="宋体" w:cs="宋体"/>
          <w:color w:val="auto"/>
          <w:sz w:val="36"/>
          <w:szCs w:val="36"/>
          <w:highlight w:val="none"/>
        </w:rPr>
        <w:t xml:space="preserve">第三章  </w:t>
      </w:r>
      <w:r>
        <w:rPr>
          <w:rFonts w:hint="eastAsia" w:ascii="宋体" w:hAnsi="宋体" w:cs="宋体"/>
          <w:color w:val="auto"/>
          <w:sz w:val="36"/>
          <w:szCs w:val="36"/>
          <w:highlight w:val="none"/>
        </w:rPr>
        <w:t>合同</w:t>
      </w:r>
      <w:r>
        <w:rPr>
          <w:rFonts w:hint="eastAsia" w:ascii="宋体" w:hAnsi="宋体" w:cs="宋体"/>
          <w:color w:val="auto"/>
          <w:sz w:val="36"/>
          <w:szCs w:val="36"/>
          <w:highlight w:val="none"/>
          <w:lang w:eastAsia="zh-CN"/>
        </w:rPr>
        <w:t>文本</w:t>
      </w:r>
      <w:r>
        <w:rPr>
          <w:rFonts w:hint="eastAsia" w:ascii="宋体" w:hAnsi="宋体" w:cs="宋体"/>
          <w:color w:val="auto"/>
          <w:sz w:val="36"/>
          <w:szCs w:val="36"/>
          <w:highlight w:val="none"/>
        </w:rPr>
        <w:t>……………………………………</w:t>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_Toc534816635 \h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23</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943"/>
        </w:tabs>
        <w:rPr>
          <w:rFonts w:ascii="宋体" w:hAnsi="宋体" w:cs="宋体"/>
          <w:smallCaps w:val="0"/>
          <w:color w:val="auto"/>
          <w:sz w:val="36"/>
          <w:szCs w:val="36"/>
          <w:highlight w:val="none"/>
        </w:rPr>
      </w:pPr>
      <w:r>
        <w:rPr>
          <w:color w:val="auto"/>
          <w:highlight w:val="none"/>
        </w:rPr>
        <w:fldChar w:fldCharType="begin"/>
      </w:r>
      <w:r>
        <w:rPr>
          <w:color w:val="auto"/>
          <w:highlight w:val="none"/>
        </w:rPr>
        <w:instrText xml:space="preserve"> HYPERLINK \l "_Toc534816636" </w:instrText>
      </w:r>
      <w:r>
        <w:rPr>
          <w:color w:val="auto"/>
          <w:highlight w:val="none"/>
        </w:rPr>
        <w:fldChar w:fldCharType="separate"/>
      </w:r>
      <w:r>
        <w:rPr>
          <w:rStyle w:val="42"/>
          <w:rFonts w:hint="eastAsia" w:ascii="宋体" w:hAnsi="宋体" w:cs="宋体"/>
          <w:color w:val="auto"/>
          <w:sz w:val="36"/>
          <w:szCs w:val="36"/>
          <w:highlight w:val="none"/>
        </w:rPr>
        <w:t>第四章  项目需求</w:t>
      </w:r>
      <w:r>
        <w:rPr>
          <w:rFonts w:hint="eastAsia" w:ascii="宋体" w:hAnsi="宋体" w:cs="宋体"/>
          <w:color w:val="auto"/>
          <w:sz w:val="36"/>
          <w:highlight w:val="none"/>
        </w:rPr>
        <w:t>……………………………………</w:t>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_Toc534816636 \h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29</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943"/>
        </w:tabs>
        <w:rPr>
          <w:rFonts w:ascii="宋体" w:hAnsi="宋体" w:cs="宋体"/>
          <w:smallCaps w:val="0"/>
          <w:color w:val="auto"/>
          <w:sz w:val="36"/>
          <w:szCs w:val="36"/>
          <w:highlight w:val="none"/>
        </w:rPr>
      </w:pPr>
      <w:r>
        <w:rPr>
          <w:color w:val="auto"/>
          <w:highlight w:val="none"/>
        </w:rPr>
        <w:fldChar w:fldCharType="begin"/>
      </w:r>
      <w:r>
        <w:rPr>
          <w:color w:val="auto"/>
          <w:highlight w:val="none"/>
        </w:rPr>
        <w:instrText xml:space="preserve"> HYPERLINK \l "_Toc534816639" </w:instrText>
      </w:r>
      <w:r>
        <w:rPr>
          <w:color w:val="auto"/>
          <w:highlight w:val="none"/>
        </w:rPr>
        <w:fldChar w:fldCharType="separate"/>
      </w:r>
      <w:r>
        <w:rPr>
          <w:rStyle w:val="42"/>
          <w:rFonts w:hint="eastAsia" w:ascii="宋体" w:hAnsi="宋体" w:cs="宋体"/>
          <w:color w:val="auto"/>
          <w:sz w:val="36"/>
          <w:szCs w:val="36"/>
          <w:highlight w:val="none"/>
        </w:rPr>
        <w:t>第五章  评标方法与评标标准</w:t>
      </w:r>
      <w:r>
        <w:rPr>
          <w:rFonts w:hint="eastAsia" w:ascii="宋体" w:hAnsi="宋体" w:cs="宋体"/>
          <w:color w:val="auto"/>
          <w:sz w:val="36"/>
          <w:highlight w:val="none"/>
        </w:rPr>
        <w:t>………………………</w:t>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PAGEREF _Toc534816639 \h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t>31</w:t>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end"/>
      </w:r>
    </w:p>
    <w:p>
      <w:pPr>
        <w:pStyle w:val="32"/>
        <w:tabs>
          <w:tab w:val="right" w:leader="dot" w:pos="8943"/>
        </w:tabs>
        <w:rPr>
          <w:rFonts w:ascii="宋体" w:hAnsi="宋体" w:cs="宋体"/>
          <w:smallCaps w:val="0"/>
          <w:color w:val="auto"/>
          <w:sz w:val="32"/>
          <w:szCs w:val="32"/>
          <w:highlight w:val="none"/>
        </w:rPr>
      </w:pPr>
      <w:r>
        <w:rPr>
          <w:color w:val="auto"/>
          <w:highlight w:val="none"/>
        </w:rPr>
        <w:fldChar w:fldCharType="begin"/>
      </w:r>
      <w:r>
        <w:rPr>
          <w:color w:val="auto"/>
          <w:highlight w:val="none"/>
        </w:rPr>
        <w:instrText xml:space="preserve"> HYPERLINK \l "_Toc534816640" </w:instrText>
      </w:r>
      <w:r>
        <w:rPr>
          <w:color w:val="auto"/>
          <w:highlight w:val="none"/>
        </w:rPr>
        <w:fldChar w:fldCharType="separate"/>
      </w:r>
      <w:r>
        <w:rPr>
          <w:rStyle w:val="42"/>
          <w:rFonts w:hint="eastAsia" w:ascii="宋体" w:hAnsi="宋体" w:cs="宋体"/>
          <w:color w:val="auto"/>
          <w:sz w:val="36"/>
          <w:szCs w:val="36"/>
          <w:highlight w:val="none"/>
        </w:rPr>
        <w:t>第六章  投标文件格式</w:t>
      </w:r>
      <w:r>
        <w:rPr>
          <w:rFonts w:hint="eastAsia" w:ascii="宋体" w:hAnsi="宋体" w:cs="宋体"/>
          <w:color w:val="auto"/>
          <w:sz w:val="36"/>
          <w:highlight w:val="none"/>
        </w:rPr>
        <w:t>………………………………</w:t>
      </w:r>
      <w:r>
        <w:rPr>
          <w:rFonts w:hint="eastAsia" w:ascii="宋体" w:hAnsi="宋体" w:cs="宋体"/>
          <w:color w:val="auto"/>
          <w:sz w:val="36"/>
          <w:highlight w:val="none"/>
        </w:rPr>
        <w:fldChar w:fldCharType="end"/>
      </w:r>
      <w:r>
        <w:rPr>
          <w:rFonts w:hint="eastAsia" w:ascii="宋体" w:hAnsi="宋体" w:cs="宋体"/>
          <w:color w:val="auto"/>
          <w:sz w:val="36"/>
          <w:highlight w:val="none"/>
          <w:lang w:val="en-US" w:eastAsia="zh-CN"/>
        </w:rPr>
        <w:t>34</w:t>
      </w:r>
    </w:p>
    <w:p>
      <w:pPr>
        <w:rPr>
          <w:rFonts w:ascii="宋体" w:hAnsi="宋体" w:cs="宋体"/>
          <w:color w:val="auto"/>
          <w:highlight w:val="none"/>
        </w:rPr>
      </w:pPr>
      <w:r>
        <w:rPr>
          <w:rFonts w:hint="eastAsia" w:ascii="宋体" w:hAnsi="宋体" w:cs="宋体"/>
          <w:b/>
          <w:bCs/>
          <w:color w:val="auto"/>
          <w:sz w:val="32"/>
          <w:szCs w:val="32"/>
          <w:highlight w:val="none"/>
          <w:lang w:val="zh-CN"/>
        </w:rPr>
        <w:fldChar w:fldCharType="end"/>
      </w:r>
    </w:p>
    <w:p>
      <w:pPr>
        <w:pStyle w:val="5"/>
        <w:pageBreakBefore w:val="0"/>
        <w:widowControl w:val="0"/>
        <w:kinsoku/>
        <w:wordWrap/>
        <w:overflowPunct/>
        <w:topLinePunct w:val="0"/>
        <w:autoSpaceDE/>
        <w:autoSpaceDN/>
        <w:bidi w:val="0"/>
        <w:spacing w:line="560" w:lineRule="exact"/>
        <w:rPr>
          <w:rFonts w:ascii="宋体" w:hAnsi="宋体" w:eastAsia="宋体" w:cs="宋体"/>
          <w:color w:val="auto"/>
          <w:highlight w:val="none"/>
        </w:rPr>
      </w:pPr>
      <w:r>
        <w:rPr>
          <w:rFonts w:hint="eastAsia" w:ascii="宋体" w:hAnsi="宋体" w:eastAsia="宋体" w:cs="宋体"/>
          <w:color w:val="auto"/>
          <w:highlight w:val="none"/>
        </w:rPr>
        <w:br w:type="page"/>
      </w:r>
      <w:bookmarkStart w:id="7" w:name="_Toc534725596"/>
      <w:bookmarkStart w:id="8" w:name="_Toc534816625"/>
      <w:r>
        <w:rPr>
          <w:rFonts w:hint="eastAsia" w:ascii="宋体" w:hAnsi="宋体" w:eastAsia="宋体" w:cs="宋体"/>
          <w:color w:val="auto"/>
          <w:highlight w:val="none"/>
        </w:rPr>
        <w:t xml:space="preserve">第一章  </w:t>
      </w:r>
      <w:bookmarkEnd w:id="0"/>
      <w:r>
        <w:rPr>
          <w:rFonts w:hint="eastAsia" w:ascii="宋体" w:hAnsi="宋体" w:eastAsia="宋体" w:cs="宋体"/>
          <w:color w:val="auto"/>
          <w:highlight w:val="none"/>
        </w:rPr>
        <w:t>投标邀请</w:t>
      </w:r>
      <w:bookmarkEnd w:id="1"/>
      <w:bookmarkEnd w:id="7"/>
      <w:bookmarkEnd w:id="8"/>
    </w:p>
    <w:p>
      <w:pPr>
        <w:pStyle w:val="119"/>
        <w:pageBreakBefore w:val="0"/>
        <w:widowControl w:val="0"/>
        <w:kinsoku/>
        <w:wordWrap/>
        <w:overflowPunct/>
        <w:topLinePunct w:val="0"/>
        <w:autoSpaceDE/>
        <w:autoSpaceDN/>
        <w:bidi w:val="0"/>
        <w:spacing w:line="560" w:lineRule="exact"/>
        <w:rPr>
          <w:rFonts w:ascii="宋体" w:hAnsi="宋体" w:cs="宋体"/>
          <w:color w:val="auto"/>
          <w:highlight w:val="none"/>
        </w:rPr>
      </w:pPr>
      <w:r>
        <w:rPr>
          <w:rFonts w:hint="eastAsia" w:ascii="宋体" w:hAnsi="宋体" w:cs="宋体"/>
          <w:color w:val="auto"/>
          <w:highlight w:val="none"/>
        </w:rPr>
        <w:t>新疆维吾尔自治区政务服务和公共资源交易中心现就GK</w:t>
      </w:r>
      <w:r>
        <w:rPr>
          <w:rFonts w:hint="eastAsia" w:ascii="宋体" w:hAnsi="宋体" w:cs="宋体"/>
          <w:color w:val="auto"/>
          <w:highlight w:val="none"/>
          <w:lang w:eastAsia="zh-CN"/>
        </w:rPr>
        <w:t>2025</w:t>
      </w:r>
      <w:r>
        <w:rPr>
          <w:rFonts w:hint="eastAsia" w:ascii="宋体" w:hAnsi="宋体" w:cs="宋体"/>
          <w:color w:val="auto"/>
          <w:highlight w:val="none"/>
        </w:rPr>
        <w:t>-</w:t>
      </w:r>
      <w:r>
        <w:rPr>
          <w:rFonts w:hint="eastAsia" w:ascii="宋体" w:hAnsi="宋体" w:cs="宋体"/>
          <w:color w:val="auto"/>
          <w:highlight w:val="none"/>
          <w:lang w:val="en-US" w:eastAsia="zh-CN"/>
        </w:rPr>
        <w:t>147</w:t>
      </w:r>
      <w:r>
        <w:rPr>
          <w:rFonts w:hint="eastAsia" w:ascii="宋体" w:hAnsi="宋体" w:cs="宋体"/>
          <w:color w:val="auto"/>
          <w:highlight w:val="none"/>
        </w:rPr>
        <w:t>（新疆维吾尔自治区教育厅</w:t>
      </w:r>
      <w:r>
        <w:rPr>
          <w:rFonts w:hint="eastAsia" w:ascii="宋体" w:hAnsi="宋体" w:cs="宋体"/>
          <w:color w:val="auto"/>
          <w:highlight w:val="none"/>
          <w:lang w:eastAsia="zh-CN"/>
        </w:rPr>
        <w:t>2025</w:t>
      </w:r>
      <w:r>
        <w:rPr>
          <w:rFonts w:hint="eastAsia" w:ascii="宋体" w:hAnsi="宋体" w:cs="宋体"/>
          <w:color w:val="auto"/>
          <w:highlight w:val="none"/>
        </w:rPr>
        <w:t>学年自治区农村学前幼儿教育资料发行采购项目）进行公开招标采购，欢迎符合条件的供应商投标。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560" w:lineRule="exact"/>
        <w:ind w:firstLine="480" w:firstLineChars="200"/>
        <w:rPr>
          <w:rFonts w:ascii="宋体" w:hAnsi="宋体" w:cs="宋体"/>
          <w:color w:val="auto"/>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highlight w:val="none"/>
          <w:u w:val="single"/>
        </w:rPr>
        <w:t>GK</w:t>
      </w:r>
      <w:r>
        <w:rPr>
          <w:rFonts w:hint="eastAsia" w:ascii="宋体" w:hAnsi="宋体" w:cs="宋体"/>
          <w:color w:val="auto"/>
          <w:highlight w:val="none"/>
          <w:u w:val="single"/>
          <w:lang w:eastAsia="zh-CN"/>
        </w:rPr>
        <w:t>2025</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147</w:t>
      </w:r>
      <w:r>
        <w:rPr>
          <w:rFonts w:hint="eastAsia" w:ascii="宋体" w:hAnsi="宋体" w:cs="宋体"/>
          <w:color w:val="auto"/>
          <w:kern w:val="0"/>
          <w:sz w:val="24"/>
          <w:szCs w:val="24"/>
          <w:highlight w:val="none"/>
          <w:u w:val="single"/>
        </w:rPr>
        <w:t>（</w:t>
      </w:r>
      <w:r>
        <w:rPr>
          <w:rFonts w:hint="eastAsia" w:ascii="宋体" w:hAnsi="宋体" w:cs="宋体"/>
          <w:color w:val="auto"/>
          <w:sz w:val="24"/>
          <w:highlight w:val="none"/>
          <w:u w:val="single"/>
        </w:rPr>
        <w:t>新疆维吾尔自治区教育厅</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学年自治区农村学前幼儿教育资料发行采购项目</w:t>
      </w:r>
      <w:r>
        <w:rPr>
          <w:rFonts w:hint="eastAsia" w:ascii="宋体" w:hAnsi="宋体" w:cs="宋体"/>
          <w:color w:val="auto"/>
          <w:kern w:val="0"/>
          <w:sz w:val="24"/>
          <w:szCs w:val="24"/>
          <w:highlight w:val="none"/>
          <w:u w:val="single"/>
        </w:rPr>
        <w:t>）</w:t>
      </w:r>
      <w:r>
        <w:rPr>
          <w:rFonts w:hint="eastAsia" w:ascii="宋体" w:hAnsi="宋体" w:cs="宋体"/>
          <w:color w:val="auto"/>
          <w:sz w:val="24"/>
          <w:szCs w:val="24"/>
          <w:highlight w:val="none"/>
        </w:rPr>
        <w:t xml:space="preserve"> 招标项目的潜在投标人可在</w:t>
      </w:r>
      <w:r>
        <w:rPr>
          <w:rFonts w:hint="eastAsia" w:ascii="宋体" w:hAnsi="宋体" w:cs="宋体"/>
          <w:color w:val="auto"/>
          <w:sz w:val="24"/>
          <w:szCs w:val="24"/>
          <w:highlight w:val="none"/>
          <w:u w:val="single"/>
        </w:rPr>
        <w:t>“新疆公共资源交易网”或“新疆政府采购网”自行查看</w:t>
      </w:r>
      <w:r>
        <w:rPr>
          <w:rFonts w:hint="eastAsia" w:ascii="宋体" w:hAnsi="宋体" w:cs="宋体"/>
          <w:color w:val="auto"/>
          <w:sz w:val="24"/>
          <w:szCs w:val="24"/>
          <w:highlight w:val="none"/>
        </w:rPr>
        <w:t>项目公告，并于</w:t>
      </w:r>
      <w:r>
        <w:rPr>
          <w:rFonts w:hint="eastAsia" w:ascii="宋体" w:hAnsi="宋体" w:cs="宋体"/>
          <w:color w:val="auto"/>
          <w:sz w:val="24"/>
          <w:szCs w:val="24"/>
          <w:highlight w:val="none"/>
          <w:u w:val="single"/>
          <w:lang w:eastAsia="zh-CN"/>
        </w:rPr>
        <w:t>2025</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30</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11</w:t>
      </w:r>
      <w:r>
        <w:rPr>
          <w:rFonts w:hint="eastAsia" w:ascii="宋体" w:hAnsi="宋体" w:cs="宋体"/>
          <w:bCs/>
          <w:color w:val="auto"/>
          <w:sz w:val="24"/>
          <w:szCs w:val="24"/>
          <w:highlight w:val="none"/>
          <w:u w:val="single"/>
        </w:rPr>
        <w:t>点</w:t>
      </w:r>
      <w:r>
        <w:rPr>
          <w:rFonts w:hint="eastAsia" w:ascii="宋体" w:hAnsi="宋体" w:cs="宋体"/>
          <w:bCs/>
          <w:color w:val="auto"/>
          <w:sz w:val="24"/>
          <w:szCs w:val="24"/>
          <w:highlight w:val="none"/>
          <w:u w:val="single"/>
          <w:lang w:val="en-US" w:eastAsia="zh-CN"/>
        </w:rPr>
        <w:t>00</w:t>
      </w:r>
      <w:r>
        <w:rPr>
          <w:rFonts w:hint="eastAsia" w:ascii="宋体" w:hAnsi="宋体" w:cs="宋体"/>
          <w:bCs/>
          <w:color w:val="auto"/>
          <w:sz w:val="24"/>
          <w:szCs w:val="24"/>
          <w:highlight w:val="none"/>
          <w:u w:val="single"/>
        </w:rPr>
        <w:t>分（</w:t>
      </w:r>
      <w:r>
        <w:rPr>
          <w:rFonts w:hint="eastAsia" w:ascii="宋体" w:hAnsi="宋体" w:cs="宋体"/>
          <w:bCs/>
          <w:color w:val="auto"/>
          <w:sz w:val="24"/>
          <w:szCs w:val="24"/>
          <w:highlight w:val="none"/>
        </w:rPr>
        <w:t>北京时间）前提交投标文件</w:t>
      </w:r>
      <w:r>
        <w:rPr>
          <w:rFonts w:hint="eastAsia" w:ascii="宋体" w:hAnsi="宋体" w:cs="宋体"/>
          <w:color w:val="auto"/>
          <w:sz w:val="24"/>
          <w:szCs w:val="24"/>
          <w:highlight w:val="none"/>
        </w:rPr>
        <w:t>。</w:t>
      </w:r>
    </w:p>
    <w:p>
      <w:pPr>
        <w:pStyle w:val="6"/>
        <w:pageBreakBefore w:val="0"/>
        <w:widowControl w:val="0"/>
        <w:kinsoku/>
        <w:wordWrap/>
        <w:overflowPunct/>
        <w:topLinePunct w:val="0"/>
        <w:autoSpaceDE/>
        <w:autoSpaceDN/>
        <w:bidi w:val="0"/>
        <w:spacing w:line="560" w:lineRule="exact"/>
        <w:ind w:firstLine="481" w:firstLineChars="150"/>
        <w:rPr>
          <w:rFonts w:ascii="宋体" w:hAnsi="宋体" w:cs="宋体"/>
          <w:color w:val="auto"/>
          <w:highlight w:val="none"/>
        </w:rPr>
      </w:pPr>
      <w:r>
        <w:rPr>
          <w:rFonts w:hint="eastAsia" w:ascii="宋体" w:hAnsi="宋体" w:cs="宋体"/>
          <w:color w:val="auto"/>
          <w:highlight w:val="none"/>
        </w:rPr>
        <w:t>一、项目基本情况</w:t>
      </w:r>
    </w:p>
    <w:p>
      <w:pPr>
        <w:pageBreakBefore w:val="0"/>
        <w:widowControl w:val="0"/>
        <w:tabs>
          <w:tab w:val="left" w:pos="900"/>
        </w:tabs>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1.项目名称：</w:t>
      </w:r>
      <w:r>
        <w:rPr>
          <w:rFonts w:hint="eastAsia" w:ascii="宋体" w:hAnsi="宋体" w:cs="宋体"/>
          <w:color w:val="auto"/>
          <w:sz w:val="24"/>
          <w:highlight w:val="none"/>
        </w:rPr>
        <w:t>新疆维吾尔自治区教育厅</w:t>
      </w:r>
      <w:r>
        <w:rPr>
          <w:rFonts w:hint="eastAsia" w:ascii="宋体" w:hAnsi="宋体" w:cs="宋体"/>
          <w:color w:val="auto"/>
          <w:sz w:val="24"/>
          <w:highlight w:val="none"/>
          <w:lang w:eastAsia="zh-CN"/>
        </w:rPr>
        <w:t>2025</w:t>
      </w:r>
      <w:r>
        <w:rPr>
          <w:rFonts w:hint="eastAsia" w:ascii="宋体" w:hAnsi="宋体" w:cs="宋体"/>
          <w:color w:val="auto"/>
          <w:sz w:val="24"/>
          <w:highlight w:val="none"/>
        </w:rPr>
        <w:t>学年自治区农村学前幼儿教育资料发行采购项目</w:t>
      </w:r>
      <w:r>
        <w:rPr>
          <w:rFonts w:hint="eastAsia" w:ascii="宋体" w:hAnsi="宋体" w:cs="宋体"/>
          <w:color w:val="auto"/>
          <w:sz w:val="24"/>
          <w:szCs w:val="24"/>
          <w:highlight w:val="none"/>
        </w:rPr>
        <w:t xml:space="preserve">       </w:t>
      </w:r>
    </w:p>
    <w:p>
      <w:pPr>
        <w:pageBreakBefore w:val="0"/>
        <w:widowControl w:val="0"/>
        <w:tabs>
          <w:tab w:val="left" w:pos="900"/>
        </w:tabs>
        <w:kinsoku/>
        <w:wordWrap/>
        <w:overflowPunct/>
        <w:topLinePunct w:val="0"/>
        <w:autoSpaceDE/>
        <w:autoSpaceDN/>
        <w:bidi w:val="0"/>
        <w:spacing w:line="56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rPr>
        <w:t>2.项目</w:t>
      </w:r>
      <w:r>
        <w:rPr>
          <w:rFonts w:hint="eastAsia" w:ascii="宋体" w:hAnsi="宋体" w:cs="宋体"/>
          <w:color w:val="auto"/>
          <w:sz w:val="24"/>
          <w:highlight w:val="none"/>
        </w:rPr>
        <w:t>编号：</w:t>
      </w:r>
      <w:bookmarkStart w:id="247" w:name="_GoBack"/>
      <w:r>
        <w:rPr>
          <w:rFonts w:hint="eastAsia" w:ascii="宋体" w:hAnsi="宋体" w:cs="宋体"/>
          <w:color w:val="auto"/>
          <w:sz w:val="24"/>
          <w:highlight w:val="none"/>
        </w:rPr>
        <w:t>GK</w:t>
      </w:r>
      <w:r>
        <w:rPr>
          <w:rFonts w:hint="eastAsia" w:ascii="宋体" w:hAnsi="宋体" w:cs="宋体"/>
          <w:color w:val="auto"/>
          <w:sz w:val="24"/>
          <w:highlight w:val="none"/>
          <w:lang w:eastAsia="zh-CN"/>
        </w:rPr>
        <w:t>2025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147</w:t>
      </w:r>
      <w:bookmarkEnd w:id="247"/>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3.预算金额：</w:t>
      </w:r>
      <w:r>
        <w:rPr>
          <w:rFonts w:hint="default" w:ascii="宋体" w:hAnsi="宋体" w:cs="宋体"/>
          <w:color w:val="auto"/>
          <w:sz w:val="24"/>
          <w:szCs w:val="24"/>
          <w:highlight w:val="none"/>
          <w:u w:val="single"/>
          <w:lang w:val="en"/>
        </w:rPr>
        <w:t xml:space="preserve">  1012.33</w:t>
      </w:r>
      <w:r>
        <w:rPr>
          <w:rFonts w:hint="default" w:ascii="宋体" w:hAnsi="宋体" w:cs="宋体"/>
          <w:color w:val="auto"/>
          <w:sz w:val="24"/>
          <w:szCs w:val="24"/>
          <w:highlight w:val="none"/>
          <w:u w:val="single"/>
          <w:lang w:val="en" w:eastAsia="zh-CN"/>
        </w:rPr>
        <w:t xml:space="preserve">  </w:t>
      </w:r>
      <w:r>
        <w:rPr>
          <w:rFonts w:hint="eastAsia" w:ascii="宋体" w:hAnsi="宋体" w:cs="宋体"/>
          <w:color w:val="auto"/>
          <w:sz w:val="24"/>
          <w:szCs w:val="24"/>
          <w:highlight w:val="none"/>
        </w:rPr>
        <w:t>万元</w:t>
      </w:r>
    </w:p>
    <w:p>
      <w:pPr>
        <w:pageBreakBefore w:val="0"/>
        <w:widowControl w:val="0"/>
        <w:tabs>
          <w:tab w:val="left" w:pos="900"/>
        </w:tabs>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4.本项目</w:t>
      </w:r>
      <w:r>
        <w:rPr>
          <w:rFonts w:hint="eastAsia" w:ascii="宋体" w:hAnsi="宋体" w:cs="宋体"/>
          <w:color w:val="auto"/>
          <w:sz w:val="24"/>
          <w:szCs w:val="24"/>
          <w:highlight w:val="none"/>
          <w:u w:val="single"/>
        </w:rPr>
        <w:t>设定</w:t>
      </w:r>
      <w:r>
        <w:rPr>
          <w:rFonts w:hint="eastAsia" w:ascii="宋体" w:hAnsi="宋体" w:cs="宋体"/>
          <w:color w:val="auto"/>
          <w:sz w:val="24"/>
          <w:szCs w:val="24"/>
          <w:highlight w:val="none"/>
        </w:rPr>
        <w:t>最高限价，最高限价为</w:t>
      </w:r>
      <w:r>
        <w:rPr>
          <w:rFonts w:hint="default" w:ascii="宋体" w:hAnsi="宋体" w:cs="宋体"/>
          <w:color w:val="auto"/>
          <w:sz w:val="24"/>
          <w:szCs w:val="24"/>
          <w:highlight w:val="none"/>
          <w:u w:val="single"/>
          <w:lang w:val="en"/>
        </w:rPr>
        <w:t xml:space="preserve"> </w:t>
      </w:r>
      <w:r>
        <w:rPr>
          <w:rFonts w:hint="eastAsia" w:ascii="宋体" w:hAnsi="宋体" w:cs="宋体"/>
          <w:color w:val="auto"/>
          <w:sz w:val="24"/>
          <w:szCs w:val="24"/>
          <w:highlight w:val="none"/>
          <w:u w:val="single"/>
          <w:lang w:val="en-US" w:eastAsia="zh-CN"/>
        </w:rPr>
        <w:t>739.39</w:t>
      </w:r>
      <w:r>
        <w:rPr>
          <w:rFonts w:hint="eastAsia" w:ascii="宋体" w:hAnsi="宋体" w:cs="宋体"/>
          <w:color w:val="auto"/>
          <w:sz w:val="24"/>
          <w:szCs w:val="24"/>
          <w:highlight w:val="none"/>
          <w:u w:val="none"/>
        </w:rPr>
        <w:t>万</w:t>
      </w:r>
      <w:r>
        <w:rPr>
          <w:rFonts w:hint="eastAsia" w:ascii="宋体" w:hAnsi="宋体" w:cs="宋体"/>
          <w:color w:val="auto"/>
          <w:sz w:val="24"/>
          <w:szCs w:val="24"/>
          <w:highlight w:val="none"/>
        </w:rPr>
        <w:t>元。</w:t>
      </w:r>
    </w:p>
    <w:p>
      <w:pPr>
        <w:pageBreakBefore w:val="0"/>
        <w:widowControl w:val="0"/>
        <w:tabs>
          <w:tab w:val="left" w:pos="900"/>
        </w:tabs>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 采购需求：</w:t>
      </w:r>
    </w:p>
    <w:p>
      <w:pPr>
        <w:pStyle w:val="7"/>
        <w:ind w:firstLine="480" w:firstLineChars="200"/>
        <w:rPr>
          <w:rFonts w:ascii="宋体" w:hAnsi="宋体" w:cs="宋体"/>
          <w:b w:val="0"/>
          <w:color w:val="auto"/>
          <w:sz w:val="24"/>
          <w:szCs w:val="24"/>
          <w:highlight w:val="none"/>
        </w:rPr>
      </w:pPr>
      <w:r>
        <w:rPr>
          <w:rFonts w:hint="eastAsia" w:ascii="宋体" w:hAnsi="宋体" w:cs="宋体"/>
          <w:b w:val="0"/>
          <w:color w:val="auto"/>
          <w:sz w:val="24"/>
          <w:szCs w:val="24"/>
          <w:highlight w:val="none"/>
        </w:rPr>
        <w:t>（1）图书5</w:t>
      </w:r>
      <w:r>
        <w:rPr>
          <w:rFonts w:hint="eastAsia" w:ascii="宋体" w:hAnsi="宋体" w:cs="宋体"/>
          <w:b w:val="0"/>
          <w:color w:val="auto"/>
          <w:sz w:val="24"/>
          <w:szCs w:val="24"/>
          <w:highlight w:val="none"/>
          <w:lang w:val="en-US" w:eastAsia="zh-CN"/>
        </w:rPr>
        <w:t>4</w:t>
      </w:r>
      <w:r>
        <w:rPr>
          <w:rFonts w:hint="eastAsia" w:ascii="宋体" w:hAnsi="宋体" w:cs="宋体"/>
          <w:b w:val="0"/>
          <w:color w:val="auto"/>
          <w:sz w:val="24"/>
          <w:szCs w:val="24"/>
          <w:highlight w:val="none"/>
        </w:rPr>
        <w:t>个品种约</w:t>
      </w:r>
      <w:r>
        <w:rPr>
          <w:rFonts w:hint="eastAsia" w:ascii="宋体" w:hAnsi="宋体" w:cs="宋体"/>
          <w:b w:val="0"/>
          <w:color w:val="auto"/>
          <w:sz w:val="24"/>
          <w:szCs w:val="24"/>
          <w:highlight w:val="none"/>
          <w:lang w:val="en-US" w:eastAsia="zh-CN"/>
        </w:rPr>
        <w:t>380</w:t>
      </w:r>
      <w:r>
        <w:rPr>
          <w:rFonts w:hint="eastAsia" w:ascii="宋体" w:hAnsi="宋体" w:cs="宋体"/>
          <w:b w:val="0"/>
          <w:color w:val="auto"/>
          <w:sz w:val="24"/>
          <w:szCs w:val="24"/>
          <w:highlight w:val="none"/>
        </w:rPr>
        <w:t>万册（秋季3</w:t>
      </w:r>
      <w:r>
        <w:rPr>
          <w:rFonts w:hint="eastAsia" w:ascii="宋体" w:hAnsi="宋体" w:cs="宋体"/>
          <w:b w:val="0"/>
          <w:color w:val="auto"/>
          <w:sz w:val="24"/>
          <w:szCs w:val="24"/>
          <w:highlight w:val="none"/>
          <w:lang w:val="en-US" w:eastAsia="zh-CN"/>
        </w:rPr>
        <w:t>5</w:t>
      </w:r>
      <w:r>
        <w:rPr>
          <w:rFonts w:hint="eastAsia" w:ascii="宋体" w:hAnsi="宋体" w:cs="宋体"/>
          <w:b w:val="0"/>
          <w:color w:val="auto"/>
          <w:sz w:val="24"/>
          <w:szCs w:val="24"/>
          <w:highlight w:val="none"/>
        </w:rPr>
        <w:t>个品种，春季</w:t>
      </w:r>
      <w:r>
        <w:rPr>
          <w:rFonts w:hint="eastAsia" w:ascii="宋体" w:hAnsi="宋体" w:cs="宋体"/>
          <w:b w:val="0"/>
          <w:color w:val="auto"/>
          <w:sz w:val="24"/>
          <w:szCs w:val="24"/>
          <w:highlight w:val="none"/>
          <w:lang w:val="en-US" w:eastAsia="zh-CN"/>
        </w:rPr>
        <w:t>19</w:t>
      </w:r>
      <w:r>
        <w:rPr>
          <w:rFonts w:hint="eastAsia" w:ascii="宋体" w:hAnsi="宋体" w:cs="宋体"/>
          <w:b w:val="0"/>
          <w:color w:val="auto"/>
          <w:sz w:val="24"/>
          <w:szCs w:val="24"/>
          <w:highlight w:val="none"/>
        </w:rPr>
        <w:t>个品种</w:t>
      </w:r>
      <w:r>
        <w:rPr>
          <w:rFonts w:hint="eastAsia" w:ascii="宋体" w:hAnsi="宋体" w:cs="宋体"/>
          <w:b w:val="0"/>
          <w:color w:val="auto"/>
          <w:sz w:val="24"/>
          <w:szCs w:val="24"/>
          <w:highlight w:val="none"/>
          <w:lang w:eastAsia="zh-CN"/>
        </w:rPr>
        <w:t>，</w:t>
      </w:r>
      <w:r>
        <w:rPr>
          <w:rFonts w:hint="eastAsia" w:ascii="宋体" w:hAnsi="宋体" w:cs="宋体"/>
          <w:b w:val="0"/>
          <w:color w:val="auto"/>
          <w:sz w:val="24"/>
          <w:szCs w:val="24"/>
          <w:highlight w:val="none"/>
        </w:rPr>
        <w:t>小</w:t>
      </w:r>
      <w:r>
        <w:rPr>
          <w:rFonts w:hint="eastAsia" w:ascii="宋体" w:hAnsi="宋体" w:cs="宋体"/>
          <w:b w:val="0"/>
          <w:color w:val="auto"/>
          <w:sz w:val="24"/>
          <w:szCs w:val="24"/>
          <w:highlight w:val="none"/>
          <w:lang w:eastAsia="zh-CN"/>
        </w:rPr>
        <w:t>、</w:t>
      </w:r>
      <w:r>
        <w:rPr>
          <w:rFonts w:hint="eastAsia" w:ascii="宋体" w:hAnsi="宋体" w:cs="宋体"/>
          <w:b w:val="0"/>
          <w:color w:val="auto"/>
          <w:sz w:val="24"/>
          <w:szCs w:val="24"/>
          <w:highlight w:val="none"/>
        </w:rPr>
        <w:t>中</w:t>
      </w:r>
      <w:r>
        <w:rPr>
          <w:rFonts w:hint="eastAsia" w:ascii="宋体" w:hAnsi="宋体" w:cs="宋体"/>
          <w:b w:val="0"/>
          <w:color w:val="auto"/>
          <w:sz w:val="24"/>
          <w:szCs w:val="24"/>
          <w:highlight w:val="none"/>
          <w:lang w:eastAsia="zh-CN"/>
        </w:rPr>
        <w:t>、</w:t>
      </w:r>
      <w:r>
        <w:rPr>
          <w:rFonts w:hint="eastAsia" w:ascii="宋体" w:hAnsi="宋体" w:cs="宋体"/>
          <w:b w:val="0"/>
          <w:color w:val="auto"/>
          <w:sz w:val="24"/>
          <w:szCs w:val="24"/>
          <w:highlight w:val="none"/>
        </w:rPr>
        <w:t>大班按要求分装）的装卸、分装、打包、运输、配送等；</w:t>
      </w:r>
    </w:p>
    <w:p>
      <w:pPr>
        <w:pStyle w:val="7"/>
        <w:ind w:firstLine="480" w:firstLineChars="200"/>
        <w:rPr>
          <w:rFonts w:ascii="宋体" w:hAnsi="宋体" w:cs="宋体"/>
          <w:b w:val="0"/>
          <w:color w:val="auto"/>
          <w:sz w:val="24"/>
          <w:szCs w:val="24"/>
          <w:highlight w:val="none"/>
        </w:rPr>
      </w:pPr>
      <w:r>
        <w:rPr>
          <w:rFonts w:hint="eastAsia" w:ascii="宋体" w:hAnsi="宋体" w:cs="宋体"/>
          <w:b w:val="0"/>
          <w:color w:val="auto"/>
          <w:sz w:val="24"/>
          <w:szCs w:val="24"/>
          <w:highlight w:val="none"/>
        </w:rPr>
        <w:t>（2）幼儿教学资料袋约</w:t>
      </w:r>
      <w:r>
        <w:rPr>
          <w:rFonts w:hint="eastAsia" w:ascii="宋体" w:hAnsi="宋体" w:cs="宋体"/>
          <w:b w:val="0"/>
          <w:color w:val="auto"/>
          <w:sz w:val="24"/>
          <w:szCs w:val="24"/>
          <w:highlight w:val="none"/>
          <w:lang w:val="en-US" w:eastAsia="zh-CN"/>
        </w:rPr>
        <w:t>68</w:t>
      </w:r>
      <w:r>
        <w:rPr>
          <w:rFonts w:hint="eastAsia" w:ascii="宋体" w:hAnsi="宋体" w:cs="宋体"/>
          <w:b w:val="0"/>
          <w:color w:val="auto"/>
          <w:sz w:val="24"/>
          <w:szCs w:val="24"/>
          <w:highlight w:val="none"/>
        </w:rPr>
        <w:t>万袋内装品目约8</w:t>
      </w:r>
      <w:r>
        <w:rPr>
          <w:rFonts w:hint="eastAsia" w:ascii="宋体" w:hAnsi="宋体" w:cs="宋体"/>
          <w:b w:val="0"/>
          <w:color w:val="auto"/>
          <w:sz w:val="24"/>
          <w:szCs w:val="24"/>
          <w:highlight w:val="none"/>
          <w:lang w:val="en-US" w:eastAsia="zh-CN"/>
        </w:rPr>
        <w:t>84</w:t>
      </w:r>
      <w:r>
        <w:rPr>
          <w:rFonts w:hint="eastAsia" w:ascii="宋体" w:hAnsi="宋体" w:cs="宋体"/>
          <w:b w:val="0"/>
          <w:color w:val="auto"/>
          <w:sz w:val="24"/>
          <w:szCs w:val="24"/>
          <w:highlight w:val="none"/>
        </w:rPr>
        <w:t>万个（秋、春季各约3</w:t>
      </w:r>
      <w:r>
        <w:rPr>
          <w:rFonts w:hint="eastAsia" w:ascii="宋体" w:hAnsi="宋体" w:cs="宋体"/>
          <w:b w:val="0"/>
          <w:color w:val="auto"/>
          <w:sz w:val="24"/>
          <w:szCs w:val="24"/>
          <w:highlight w:val="none"/>
          <w:lang w:val="en-US" w:eastAsia="zh-CN"/>
        </w:rPr>
        <w:t>4</w:t>
      </w:r>
      <w:r>
        <w:rPr>
          <w:rFonts w:hint="eastAsia" w:ascii="宋体" w:hAnsi="宋体" w:cs="宋体"/>
          <w:b w:val="0"/>
          <w:color w:val="auto"/>
          <w:sz w:val="24"/>
          <w:szCs w:val="24"/>
          <w:highlight w:val="none"/>
        </w:rPr>
        <w:t>万袋，每袋内装约1</w:t>
      </w:r>
      <w:r>
        <w:rPr>
          <w:rFonts w:hint="eastAsia" w:ascii="宋体" w:hAnsi="宋体" w:cs="宋体"/>
          <w:b w:val="0"/>
          <w:color w:val="auto"/>
          <w:sz w:val="24"/>
          <w:szCs w:val="24"/>
          <w:highlight w:val="none"/>
          <w:lang w:val="en-US" w:eastAsia="zh-CN"/>
        </w:rPr>
        <w:t>3</w:t>
      </w:r>
      <w:r>
        <w:rPr>
          <w:rFonts w:hint="eastAsia" w:ascii="宋体" w:hAnsi="宋体" w:cs="宋体"/>
          <w:b w:val="0"/>
          <w:color w:val="auto"/>
          <w:sz w:val="24"/>
          <w:szCs w:val="24"/>
          <w:highlight w:val="none"/>
        </w:rPr>
        <w:t>个品目，</w:t>
      </w:r>
      <w:r>
        <w:rPr>
          <w:rFonts w:hint="eastAsia" w:ascii="宋体" w:hAnsi="宋体" w:cs="宋体"/>
          <w:b w:val="0"/>
          <w:color w:val="auto"/>
          <w:sz w:val="24"/>
          <w:szCs w:val="24"/>
          <w:highlight w:val="none"/>
          <w:lang w:eastAsia="zh-CN"/>
        </w:rPr>
        <w:t>小、中、大</w:t>
      </w:r>
      <w:r>
        <w:rPr>
          <w:rFonts w:hint="eastAsia" w:ascii="宋体" w:hAnsi="宋体" w:cs="宋体"/>
          <w:b w:val="0"/>
          <w:color w:val="auto"/>
          <w:sz w:val="24"/>
          <w:szCs w:val="24"/>
          <w:highlight w:val="none"/>
        </w:rPr>
        <w:t>班按要求分装）的装卸、分装、打包、运输、配送等；</w:t>
      </w:r>
    </w:p>
    <w:p>
      <w:pPr>
        <w:pStyle w:val="17"/>
        <w:pageBreakBefore w:val="0"/>
        <w:widowControl w:val="0"/>
        <w:kinsoku/>
        <w:wordWrap/>
        <w:overflowPunct/>
        <w:topLinePunct w:val="0"/>
        <w:autoSpaceDE/>
        <w:autoSpaceDN/>
        <w:bidi w:val="0"/>
        <w:spacing w:line="560" w:lineRule="exact"/>
        <w:ind w:left="0" w:leftChars="0" w:firstLine="480" w:firstLineChars="200"/>
        <w:rPr>
          <w:color w:val="auto"/>
          <w:sz w:val="24"/>
          <w:szCs w:val="24"/>
          <w:highlight w:val="none"/>
        </w:rPr>
      </w:pPr>
      <w:r>
        <w:rPr>
          <w:rFonts w:hint="eastAsia" w:ascii="宋体" w:hAnsi="宋体" w:cs="宋体"/>
          <w:color w:val="auto"/>
          <w:sz w:val="24"/>
          <w:szCs w:val="24"/>
          <w:highlight w:val="none"/>
        </w:rPr>
        <w:t>（3）以上需求，按两季配送至全疆14个地（州、市）约90余个县（市、区）</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000余所</w:t>
      </w:r>
      <w:r>
        <w:rPr>
          <w:rFonts w:hint="eastAsia" w:ascii="宋体" w:hAnsi="宋体" w:cs="宋体"/>
          <w:b/>
          <w:color w:val="auto"/>
          <w:sz w:val="24"/>
          <w:szCs w:val="24"/>
          <w:highlight w:val="none"/>
        </w:rPr>
        <w:t>指定</w:t>
      </w:r>
      <w:r>
        <w:rPr>
          <w:rFonts w:hint="eastAsia" w:ascii="宋体" w:hAnsi="宋体" w:cs="宋体"/>
          <w:color w:val="auto"/>
          <w:sz w:val="24"/>
          <w:szCs w:val="24"/>
          <w:highlight w:val="none"/>
        </w:rPr>
        <w:t>幼儿园。</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6.合同履行期限：自合同签订之日起至验收合格</w:t>
      </w:r>
      <w:r>
        <w:rPr>
          <w:rFonts w:hint="eastAsia" w:ascii="宋体" w:hAnsi="宋体" w:cs="宋体"/>
          <w:color w:val="auto"/>
          <w:sz w:val="24"/>
          <w:szCs w:val="24"/>
          <w:highlight w:val="none"/>
          <w:u w:val="single"/>
        </w:rPr>
        <w:t>300</w:t>
      </w:r>
      <w:r>
        <w:rPr>
          <w:rFonts w:hint="eastAsia" w:ascii="宋体" w:hAnsi="宋体" w:cs="宋体"/>
          <w:color w:val="auto"/>
          <w:sz w:val="24"/>
          <w:szCs w:val="24"/>
          <w:highlight w:val="none"/>
        </w:rPr>
        <w:t>个日历日</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7.本项目</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rPr>
        <w:t>联合体投标。</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8.本项目</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rPr>
        <w:t>进口产品投标。</w:t>
      </w:r>
    </w:p>
    <w:p>
      <w:pPr>
        <w:pageBreakBefore w:val="0"/>
        <w:widowControl w:val="0"/>
        <w:tabs>
          <w:tab w:val="left" w:pos="900"/>
        </w:tabs>
        <w:kinsoku/>
        <w:wordWrap/>
        <w:overflowPunct/>
        <w:topLinePunct w:val="0"/>
        <w:autoSpaceDE/>
        <w:autoSpaceDN/>
        <w:bidi w:val="0"/>
        <w:spacing w:line="56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9.本项目属于</w:t>
      </w:r>
      <w:r>
        <w:rPr>
          <w:rFonts w:hint="eastAsia" w:ascii="宋体" w:hAnsi="宋体" w:cs="宋体"/>
          <w:color w:val="auto"/>
          <w:sz w:val="24"/>
          <w:szCs w:val="24"/>
          <w:highlight w:val="none"/>
          <w:u w:val="single"/>
        </w:rPr>
        <w:t xml:space="preserve">（服务）类      </w:t>
      </w:r>
    </w:p>
    <w:p>
      <w:pPr>
        <w:pageBreakBefore w:val="0"/>
        <w:widowControl w:val="0"/>
        <w:tabs>
          <w:tab w:val="left" w:pos="900"/>
        </w:tabs>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10.本项目采购标的对应的中小企业划分标准所属行业为“</w:t>
      </w:r>
      <w:r>
        <w:rPr>
          <w:rFonts w:hint="eastAsia" w:ascii="宋体" w:hAnsi="宋体" w:cs="宋体"/>
          <w:color w:val="auto"/>
          <w:sz w:val="24"/>
          <w:szCs w:val="24"/>
          <w:highlight w:val="none"/>
          <w:u w:val="single"/>
          <w:lang w:val="en-US" w:eastAsia="zh-CN"/>
        </w:rPr>
        <w:t>交通运输</w:t>
      </w:r>
      <w:r>
        <w:rPr>
          <w:rFonts w:hint="eastAsia" w:ascii="宋体" w:hAnsi="宋体" w:cs="宋体"/>
          <w:color w:val="auto"/>
          <w:sz w:val="24"/>
          <w:szCs w:val="24"/>
          <w:highlight w:val="none"/>
          <w:u w:val="single"/>
        </w:rPr>
        <w:t>业</w:t>
      </w:r>
      <w:r>
        <w:rPr>
          <w:rFonts w:hint="eastAsia" w:ascii="宋体" w:hAnsi="宋体" w:cs="宋体"/>
          <w:color w:val="auto"/>
          <w:sz w:val="24"/>
          <w:szCs w:val="24"/>
          <w:highlight w:val="none"/>
        </w:rPr>
        <w:t>”。行业划分标准按《国民经济行业分类》执行。中小企业划分标准按《中小企业划型标准规定》（工信部联企业</w:t>
      </w:r>
      <w:r>
        <w:rPr>
          <w:rFonts w:hint="eastAsia" w:ascii="宋体" w:hAnsi="宋体" w:cs="宋体"/>
          <w:color w:val="auto"/>
          <w:sz w:val="24"/>
          <w:szCs w:val="24"/>
          <w:highlight w:val="none"/>
          <w:lang w:eastAsia="zh-CN"/>
        </w:rPr>
        <w:t>〔2011〕300号</w:t>
      </w:r>
      <w:r>
        <w:rPr>
          <w:rFonts w:hint="eastAsia" w:ascii="宋体" w:hAnsi="宋体" w:cs="宋体"/>
          <w:color w:val="auto"/>
          <w:sz w:val="24"/>
          <w:szCs w:val="24"/>
          <w:highlight w:val="none"/>
        </w:rPr>
        <w:t>）文件规定执行。</w:t>
      </w:r>
    </w:p>
    <w:p>
      <w:pPr>
        <w:pStyle w:val="6"/>
        <w:pageBreakBefore w:val="0"/>
        <w:widowControl w:val="0"/>
        <w:kinsoku/>
        <w:wordWrap/>
        <w:overflowPunct/>
        <w:topLinePunct w:val="0"/>
        <w:autoSpaceDE/>
        <w:autoSpaceDN/>
        <w:bidi w:val="0"/>
        <w:spacing w:beforeLines="50" w:afterLines="50" w:line="560" w:lineRule="exact"/>
        <w:ind w:firstLine="497" w:firstLineChars="155"/>
        <w:rPr>
          <w:rFonts w:ascii="宋体" w:hAnsi="宋体" w:cs="宋体"/>
          <w:color w:val="auto"/>
          <w:highlight w:val="none"/>
        </w:rPr>
      </w:pPr>
      <w:r>
        <w:rPr>
          <w:rFonts w:hint="eastAsia" w:ascii="宋体" w:hAnsi="宋体" w:cs="宋体"/>
          <w:color w:val="auto"/>
          <w:highlight w:val="none"/>
        </w:rPr>
        <w:t>二、申请人的资格要求</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1.满足《中华人民共和国政府采购法》第二十二条规定，并提供下列材料：</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1.1法人或者其他组织的营业执照等证明文件，自然人的身份证明；</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1.2最近一个年度的财务状况报告（成立不满一年</w:t>
      </w:r>
      <w:r>
        <w:rPr>
          <w:rFonts w:hint="eastAsia" w:ascii="宋体" w:hAnsi="宋体" w:cs="宋体"/>
          <w:color w:val="auto"/>
          <w:sz w:val="24"/>
          <w:szCs w:val="24"/>
          <w:highlight w:val="none"/>
          <w:lang w:val="en-US" w:eastAsia="zh-CN"/>
        </w:rPr>
        <w:t>无</w:t>
      </w:r>
      <w:r>
        <w:rPr>
          <w:rFonts w:hint="eastAsia" w:ascii="宋体" w:hAnsi="宋体" w:cs="宋体"/>
          <w:color w:val="auto"/>
          <w:sz w:val="24"/>
          <w:szCs w:val="24"/>
          <w:highlight w:val="none"/>
        </w:rPr>
        <w:t>需提供）；</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1.3依法缴纳税收和社会保障资金的相关材料（提供提交投标文件截止时间前一</w:t>
      </w:r>
      <w:r>
        <w:rPr>
          <w:rFonts w:hint="eastAsia" w:ascii="宋体" w:hAnsi="宋体" w:cs="宋体"/>
          <w:color w:val="auto"/>
          <w:sz w:val="24"/>
          <w:szCs w:val="24"/>
          <w:highlight w:val="none"/>
          <w:lang w:val="en-US" w:eastAsia="zh-CN"/>
        </w:rPr>
        <w:t>个</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度</w:t>
      </w:r>
      <w:r>
        <w:rPr>
          <w:rFonts w:hint="eastAsia" w:ascii="宋体" w:hAnsi="宋体" w:cs="宋体"/>
          <w:color w:val="auto"/>
          <w:sz w:val="24"/>
          <w:szCs w:val="24"/>
          <w:highlight w:val="none"/>
        </w:rPr>
        <w:t>依法缴纳税收及缴纳社会保障资金的证明材料。投标人依法享受缓缴、免缴税收、社会保障资金的证明材料）；</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1.4具备履行合同所必需的设备和专业技术能力的证明材料；</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1.5参加政府采购活动前3年内在经营活动中没有重大违法记录的书面声明；</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1.6未被“信用中国”网站（www.creditchina.gov.cn）、“中国政府采购网”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www.ccgp.gov.cn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列入失信被执行人、重大税收违法案件当事人名单、政府采购严重失信行为记录名单。（提供网页截图或承诺函）</w:t>
      </w:r>
    </w:p>
    <w:p>
      <w:pPr>
        <w:pageBreakBefore w:val="0"/>
        <w:widowControl w:val="0"/>
        <w:kinsoku/>
        <w:wordWrap/>
        <w:overflowPunct/>
        <w:topLinePunct w:val="0"/>
        <w:autoSpaceDE/>
        <w:autoSpaceDN/>
        <w:bidi w:val="0"/>
        <w:spacing w:line="560" w:lineRule="exact"/>
        <w:ind w:firstLine="480" w:firstLineChars="200"/>
        <w:jc w:val="left"/>
        <w:rPr>
          <w:rFonts w:ascii="宋体" w:hAnsi="宋体" w:cs="宋体"/>
          <w:color w:val="auto"/>
          <w:highlight w:val="none"/>
        </w:rPr>
      </w:pPr>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lang w:val="en-US" w:eastAsia="zh-CN"/>
        </w:rPr>
        <w:t>本项目专门面向小微企业采购。即：提供的货物全部由符合政策要求的小微企业制造、服务全部由符合政策要求的小微企业承接。投标时须提交《中小企业声明函》。</w:t>
      </w:r>
    </w:p>
    <w:p>
      <w:pPr>
        <w:pStyle w:val="6"/>
        <w:pageBreakBefore w:val="0"/>
        <w:widowControl w:val="0"/>
        <w:kinsoku/>
        <w:wordWrap/>
        <w:overflowPunct/>
        <w:topLinePunct w:val="0"/>
        <w:autoSpaceDE/>
        <w:autoSpaceDN/>
        <w:bidi w:val="0"/>
        <w:spacing w:beforeLines="50" w:afterLines="50" w:line="560" w:lineRule="exact"/>
        <w:ind w:firstLine="497" w:firstLineChars="155"/>
        <w:rPr>
          <w:rFonts w:ascii="宋体" w:hAnsi="宋体" w:cs="宋体"/>
          <w:color w:val="auto"/>
          <w:highlight w:val="none"/>
        </w:rPr>
      </w:pPr>
      <w:r>
        <w:rPr>
          <w:rFonts w:hint="eastAsia" w:ascii="宋体" w:hAnsi="宋体" w:cs="宋体"/>
          <w:color w:val="auto"/>
          <w:highlight w:val="none"/>
        </w:rPr>
        <w:t>三、获取招标文件</w:t>
      </w:r>
    </w:p>
    <w:p>
      <w:pPr>
        <w:pageBreakBefore w:val="0"/>
        <w:widowControl w:val="0"/>
        <w:kinsoku/>
        <w:wordWrap/>
        <w:overflowPunct/>
        <w:topLinePunct w:val="0"/>
        <w:autoSpaceDE/>
        <w:autoSpaceDN/>
        <w:bidi w:val="0"/>
        <w:spacing w:line="560" w:lineRule="exact"/>
        <w:ind w:firstLine="540"/>
        <w:rPr>
          <w:rFonts w:ascii="宋体" w:hAnsi="宋体" w:cs="宋体"/>
          <w:color w:val="auto"/>
          <w:sz w:val="24"/>
          <w:szCs w:val="24"/>
          <w:highlight w:val="none"/>
        </w:rPr>
      </w:pPr>
      <w:r>
        <w:rPr>
          <w:rFonts w:hint="eastAsia" w:ascii="宋体" w:hAnsi="宋体" w:cs="宋体"/>
          <w:color w:val="auto"/>
          <w:sz w:val="24"/>
          <w:szCs w:val="24"/>
          <w:highlight w:val="none"/>
        </w:rPr>
        <w:t>1.时间：自招标文件公告发布之日起5个工作日。</w:t>
      </w:r>
    </w:p>
    <w:p>
      <w:pPr>
        <w:pageBreakBefore w:val="0"/>
        <w:widowControl w:val="0"/>
        <w:kinsoku/>
        <w:wordWrap/>
        <w:overflowPunct/>
        <w:topLinePunct w:val="0"/>
        <w:autoSpaceDE/>
        <w:autoSpaceDN/>
        <w:bidi w:val="0"/>
        <w:spacing w:line="560" w:lineRule="exact"/>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2.方式：登录“新疆政府采购云平台”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“项目采购”-“获取采购文件”中自行免费下载招标文件。</w:t>
      </w:r>
    </w:p>
    <w:p>
      <w:pPr>
        <w:pStyle w:val="6"/>
        <w:pageBreakBefore w:val="0"/>
        <w:widowControl w:val="0"/>
        <w:kinsoku/>
        <w:wordWrap/>
        <w:overflowPunct/>
        <w:topLinePunct w:val="0"/>
        <w:autoSpaceDE/>
        <w:autoSpaceDN/>
        <w:bidi w:val="0"/>
        <w:spacing w:line="560" w:lineRule="exact"/>
        <w:ind w:firstLine="481" w:firstLineChars="150"/>
        <w:rPr>
          <w:rFonts w:ascii="宋体" w:hAnsi="宋体" w:cs="宋体"/>
          <w:color w:val="auto"/>
          <w:highlight w:val="none"/>
        </w:rPr>
      </w:pPr>
      <w:r>
        <w:rPr>
          <w:rFonts w:hint="eastAsia" w:ascii="宋体" w:hAnsi="宋体" w:cs="宋体"/>
          <w:color w:val="auto"/>
          <w:highlight w:val="none"/>
        </w:rPr>
        <w:t>四、提交投标文件截止时间、开标时间和地点</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1.提交投标文件截止时间、开标时间：</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点00分（北京时间）</w:t>
      </w:r>
    </w:p>
    <w:p>
      <w:pPr>
        <w:pageBreakBefore w:val="0"/>
        <w:widowControl w:val="0"/>
        <w:kinsoku/>
        <w:wordWrap/>
        <w:overflowPunct/>
        <w:topLinePunct w:val="0"/>
        <w:autoSpaceDE/>
        <w:autoSpaceDN/>
        <w:bidi w:val="0"/>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2.地点：新疆政府采购网。</w:t>
      </w:r>
    </w:p>
    <w:p>
      <w:pPr>
        <w:pStyle w:val="6"/>
        <w:pageBreakBefore w:val="0"/>
        <w:widowControl w:val="0"/>
        <w:kinsoku/>
        <w:wordWrap/>
        <w:overflowPunct/>
        <w:topLinePunct w:val="0"/>
        <w:autoSpaceDE/>
        <w:autoSpaceDN/>
        <w:bidi w:val="0"/>
        <w:spacing w:beforeLines="50" w:afterLines="50" w:line="560" w:lineRule="exact"/>
        <w:ind w:firstLine="497" w:firstLineChars="155"/>
        <w:rPr>
          <w:rFonts w:ascii="宋体" w:hAnsi="宋体" w:cs="宋体"/>
          <w:color w:val="auto"/>
          <w:highlight w:val="none"/>
        </w:rPr>
      </w:pPr>
      <w:bookmarkStart w:id="9" w:name="_Toc35393794"/>
      <w:bookmarkStart w:id="10" w:name="_Toc28359084"/>
      <w:bookmarkStart w:id="11" w:name="_Toc35393625"/>
      <w:bookmarkStart w:id="12" w:name="_Toc38985267"/>
      <w:bookmarkStart w:id="13" w:name="_Toc28359007"/>
      <w:r>
        <w:rPr>
          <w:rFonts w:hint="eastAsia" w:ascii="宋体" w:hAnsi="宋体" w:cs="宋体"/>
          <w:color w:val="auto"/>
          <w:highlight w:val="none"/>
        </w:rPr>
        <w:t>五、公告期限</w:t>
      </w:r>
      <w:bookmarkEnd w:id="9"/>
      <w:bookmarkEnd w:id="10"/>
      <w:bookmarkEnd w:id="11"/>
      <w:bookmarkEnd w:id="12"/>
      <w:bookmarkEnd w:id="13"/>
    </w:p>
    <w:p>
      <w:pPr>
        <w:pageBreakBefore w:val="0"/>
        <w:widowControl w:val="0"/>
        <w:tabs>
          <w:tab w:val="left" w:pos="900"/>
        </w:tabs>
        <w:kinsoku/>
        <w:wordWrap/>
        <w:overflowPunct/>
        <w:topLinePunct w:val="0"/>
        <w:autoSpaceDE/>
        <w:autoSpaceDN/>
        <w:bidi w:val="0"/>
        <w:spacing w:line="560" w:lineRule="exact"/>
        <w:ind w:firstLine="480" w:firstLineChars="200"/>
        <w:rPr>
          <w:rFonts w:ascii="宋体" w:hAnsi="宋体" w:cs="宋体"/>
          <w:b/>
          <w:bCs/>
          <w:color w:val="auto"/>
          <w:sz w:val="24"/>
          <w:szCs w:val="24"/>
          <w:highlight w:val="none"/>
        </w:rPr>
      </w:pPr>
      <w:r>
        <w:rPr>
          <w:rFonts w:hint="eastAsia" w:ascii="宋体" w:hAnsi="宋体" w:cs="宋体"/>
          <w:color w:val="auto"/>
          <w:kern w:val="0"/>
          <w:sz w:val="24"/>
          <w:szCs w:val="24"/>
          <w:highlight w:val="none"/>
        </w:rPr>
        <w:t>招标公告及招标文件公告期限为自本公告发布之日起5个工作日。</w:t>
      </w:r>
    </w:p>
    <w:p>
      <w:pPr>
        <w:pStyle w:val="6"/>
        <w:pageBreakBefore w:val="0"/>
        <w:widowControl w:val="0"/>
        <w:kinsoku/>
        <w:wordWrap/>
        <w:overflowPunct/>
        <w:topLinePunct w:val="0"/>
        <w:autoSpaceDE/>
        <w:autoSpaceDN/>
        <w:bidi w:val="0"/>
        <w:spacing w:beforeLines="50" w:afterLines="50" w:line="560" w:lineRule="exact"/>
        <w:ind w:firstLine="497" w:firstLineChars="155"/>
        <w:rPr>
          <w:rFonts w:ascii="宋体" w:hAnsi="宋体" w:cs="宋体"/>
          <w:color w:val="auto"/>
          <w:highlight w:val="none"/>
        </w:rPr>
      </w:pPr>
      <w:r>
        <w:rPr>
          <w:rFonts w:hint="eastAsia" w:ascii="宋体" w:hAnsi="宋体" w:cs="宋体"/>
          <w:color w:val="auto"/>
          <w:highlight w:val="none"/>
        </w:rPr>
        <w:t>六、其他补充事宜</w:t>
      </w:r>
    </w:p>
    <w:p>
      <w:pPr>
        <w:pageBreakBefore w:val="0"/>
        <w:widowControl w:val="0"/>
        <w:kinsoku/>
        <w:wordWrap/>
        <w:overflowPunct/>
        <w:topLinePunct w:val="0"/>
        <w:autoSpaceDE/>
        <w:autoSpaceDN/>
        <w:bidi w:val="0"/>
        <w:adjustRightInd w:val="0"/>
        <w:snapToGrid w:val="0"/>
        <w:spacing w:beforeLines="50" w:afterLines="50" w:line="5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如要求投标人对投标文件内容进行澄清，将通过腾讯视频会议方式进行，请各投标人在开标前做好人员、网络、设备准备工作，视频会议房间信息将适时告知投标授权代表，投标代表务必于开标当日保持手机联系畅通。</w:t>
      </w:r>
    </w:p>
    <w:p>
      <w:pPr>
        <w:pStyle w:val="6"/>
        <w:pageBreakBefore w:val="0"/>
        <w:widowControl w:val="0"/>
        <w:kinsoku/>
        <w:wordWrap/>
        <w:overflowPunct/>
        <w:topLinePunct w:val="0"/>
        <w:autoSpaceDE/>
        <w:autoSpaceDN/>
        <w:bidi w:val="0"/>
        <w:spacing w:beforeLines="50" w:afterLines="50" w:line="560" w:lineRule="exact"/>
        <w:ind w:firstLine="497" w:firstLineChars="155"/>
        <w:rPr>
          <w:rFonts w:ascii="宋体" w:hAnsi="宋体" w:cs="宋体"/>
          <w:color w:val="auto"/>
          <w:highlight w:val="none"/>
        </w:rPr>
      </w:pPr>
      <w:bookmarkStart w:id="14" w:name="_Toc28359008"/>
      <w:bookmarkStart w:id="15" w:name="_Toc35393627"/>
      <w:bookmarkStart w:id="16" w:name="_Toc38985269"/>
      <w:bookmarkStart w:id="17" w:name="_Toc35393796"/>
      <w:bookmarkStart w:id="18" w:name="_Toc28359085"/>
      <w:r>
        <w:rPr>
          <w:rFonts w:hint="eastAsia" w:ascii="宋体" w:hAnsi="宋体" w:cs="宋体"/>
          <w:color w:val="auto"/>
          <w:highlight w:val="none"/>
        </w:rPr>
        <w:t>七、联系</w:t>
      </w:r>
      <w:bookmarkEnd w:id="14"/>
      <w:bookmarkEnd w:id="15"/>
      <w:bookmarkEnd w:id="16"/>
      <w:bookmarkEnd w:id="17"/>
      <w:bookmarkEnd w:id="18"/>
      <w:r>
        <w:rPr>
          <w:rFonts w:hint="eastAsia" w:ascii="宋体" w:hAnsi="宋体" w:cs="宋体"/>
          <w:color w:val="auto"/>
          <w:highlight w:val="none"/>
        </w:rPr>
        <w:t>事项</w:t>
      </w:r>
    </w:p>
    <w:p>
      <w:pPr>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pStyle w:val="119"/>
        <w:keepNext w:val="0"/>
        <w:keepLines w:val="0"/>
        <w:pageBreakBefore w:val="0"/>
        <w:widowControl w:val="0"/>
        <w:kinsoku/>
        <w:wordWrap/>
        <w:overflowPunct/>
        <w:topLinePunct w:val="0"/>
        <w:autoSpaceDE/>
        <w:autoSpaceDN/>
        <w:bidi w:val="0"/>
        <w:adjustRightInd w:val="0"/>
        <w:spacing w:line="460" w:lineRule="exact"/>
        <w:ind w:firstLine="480" w:firstLineChars="200"/>
        <w:jc w:val="both"/>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val="en-US" w:eastAsia="zh-CN"/>
        </w:rPr>
        <w:t>新疆维吾尔自治区教育厅2025学年自治区农村学前幼儿教育资料发行采购项目</w:t>
      </w:r>
    </w:p>
    <w:p>
      <w:pPr>
        <w:pStyle w:val="119"/>
        <w:keepNext w:val="0"/>
        <w:keepLines w:val="0"/>
        <w:pageBreakBefore w:val="0"/>
        <w:widowControl w:val="0"/>
        <w:kinsoku/>
        <w:wordWrap/>
        <w:overflowPunct/>
        <w:topLinePunct w:val="0"/>
        <w:autoSpaceDE/>
        <w:autoSpaceDN/>
        <w:bidi w:val="0"/>
        <w:adjustRightInd w:val="0"/>
        <w:spacing w:line="460" w:lineRule="exact"/>
        <w:ind w:firstLine="480" w:firstLineChars="200"/>
        <w:jc w:val="both"/>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乌鲁木齐市天山区胜利路</w:t>
      </w:r>
      <w:r>
        <w:rPr>
          <w:rFonts w:hint="eastAsia" w:ascii="宋体" w:hAnsi="宋体" w:cs="宋体"/>
          <w:sz w:val="24"/>
          <w:szCs w:val="24"/>
          <w:highlight w:val="none"/>
          <w:lang w:val="en-US" w:eastAsia="zh-CN"/>
        </w:rPr>
        <w:t>229号</w:t>
      </w:r>
    </w:p>
    <w:p>
      <w:pPr>
        <w:pStyle w:val="119"/>
        <w:keepNext w:val="0"/>
        <w:keepLines w:val="0"/>
        <w:pageBreakBefore w:val="0"/>
        <w:widowControl w:val="0"/>
        <w:kinsoku/>
        <w:wordWrap/>
        <w:overflowPunct/>
        <w:topLinePunct w:val="0"/>
        <w:autoSpaceDE/>
        <w:autoSpaceDN/>
        <w:bidi w:val="0"/>
        <w:adjustRightInd w:val="0"/>
        <w:spacing w:line="460" w:lineRule="exact"/>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王</w:t>
      </w:r>
      <w:r>
        <w:rPr>
          <w:rFonts w:hint="eastAsia" w:ascii="宋体" w:hAnsi="宋体" w:cs="宋体"/>
          <w:sz w:val="24"/>
          <w:szCs w:val="24"/>
          <w:highlight w:val="none"/>
          <w:lang w:val="en-US" w:eastAsia="zh-CN"/>
        </w:rPr>
        <w:t>老师</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cs="宋体"/>
          <w:sz w:val="24"/>
          <w:szCs w:val="24"/>
          <w:highlight w:val="none"/>
          <w:lang w:val="en-US" w:eastAsia="zh-CN"/>
        </w:rPr>
        <w:t>0991-7606195</w:t>
      </w:r>
    </w:p>
    <w:p>
      <w:pPr>
        <w:pageBreakBefore w:val="0"/>
        <w:widowControl w:val="0"/>
        <w:kinsoku/>
        <w:wordWrap/>
        <w:overflowPunct/>
        <w:topLinePunct w:val="0"/>
        <w:autoSpaceDE/>
        <w:autoSpaceDN/>
        <w:bidi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highlight w:val="none"/>
        </w:rPr>
        <w:t xml:space="preserve"> 新疆维吾尔自治区政务服务和公共资源交易中心</w:t>
      </w:r>
      <w:r>
        <w:rPr>
          <w:rFonts w:hint="eastAsia" w:ascii="宋体" w:hAnsi="宋体" w:eastAsia="宋体" w:cs="宋体"/>
          <w:sz w:val="24"/>
          <w:szCs w:val="24"/>
          <w:highlight w:val="none"/>
        </w:rPr>
        <w:t>信息</w:t>
      </w:r>
    </w:p>
    <w:p>
      <w:pPr>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highlight w:val="none"/>
        </w:rPr>
        <w:t>新疆乌鲁木齐市水磨沟区准噶尔街299号益民大厦4楼A40</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室</w:t>
      </w:r>
    </w:p>
    <w:p>
      <w:pPr>
        <w:pageBreakBefore w:val="0"/>
        <w:widowControl w:val="0"/>
        <w:kinsoku/>
        <w:wordWrap/>
        <w:overflowPunct/>
        <w:topLinePunct w:val="0"/>
        <w:autoSpaceDE/>
        <w:autoSpaceDN/>
        <w:bidi w:val="0"/>
        <w:spacing w:line="4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张振啸</w:t>
      </w:r>
    </w:p>
    <w:p>
      <w:pPr>
        <w:pageBreakBefore w:val="0"/>
        <w:widowControl w:val="0"/>
        <w:kinsoku/>
        <w:wordWrap/>
        <w:overflowPunct/>
        <w:topLinePunct w:val="0"/>
        <w:autoSpaceDE/>
        <w:autoSpaceDN/>
        <w:bidi w:val="0"/>
        <w:spacing w:line="46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0991-</w:t>
      </w:r>
      <w:r>
        <w:rPr>
          <w:rFonts w:hint="eastAsia" w:ascii="宋体" w:hAnsi="宋体" w:cs="宋体"/>
          <w:sz w:val="24"/>
          <w:szCs w:val="24"/>
          <w:highlight w:val="none"/>
          <w:lang w:val="en-US" w:eastAsia="zh-CN"/>
        </w:rPr>
        <w:t>3550126</w:t>
      </w:r>
    </w:p>
    <w:p>
      <w:pPr>
        <w:pStyle w:val="6"/>
        <w:pageBreakBefore w:val="0"/>
        <w:widowControl w:val="0"/>
        <w:kinsoku/>
        <w:wordWrap/>
        <w:overflowPunct/>
        <w:topLinePunct w:val="0"/>
        <w:autoSpaceDE/>
        <w:autoSpaceDN/>
        <w:bidi w:val="0"/>
        <w:spacing w:line="460" w:lineRule="exact"/>
        <w:ind w:firstLine="481" w:firstLineChars="150"/>
        <w:rPr>
          <w:rFonts w:ascii="宋体" w:hAnsi="宋体" w:cs="宋体"/>
          <w:color w:val="auto"/>
          <w:highlight w:val="none"/>
        </w:rPr>
      </w:pPr>
      <w:r>
        <w:rPr>
          <w:rFonts w:hint="eastAsia" w:ascii="宋体" w:hAnsi="宋体" w:cs="宋体"/>
          <w:color w:val="auto"/>
          <w:highlight w:val="none"/>
        </w:rPr>
        <w:t>八、其他</w:t>
      </w:r>
    </w:p>
    <w:p>
      <w:pPr>
        <w:tabs>
          <w:tab w:val="left" w:pos="900"/>
        </w:tabs>
        <w:wordWrap w:val="0"/>
        <w:spacing w:line="56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1.本项目实行电子招投标，供应商须登录新疆政府采购云平台申请获取招标文件，并通过新疆政府采购云平台电子投标客户端制作投标文件。</w:t>
      </w:r>
      <w:r>
        <w:rPr>
          <w:rFonts w:hint="eastAsia" w:ascii="宋体" w:hAnsi="宋体" w:cs="宋体"/>
          <w:bCs/>
          <w:color w:val="auto"/>
          <w:sz w:val="24"/>
          <w:szCs w:val="24"/>
          <w:highlight w:val="none"/>
        </w:rPr>
        <w:t>有关本次招标的事项若存在变动或修改，敬请及时关注新疆维吾尔自治区政务服务和公共资源交易中心在“新疆公共资源交易网”和“新疆政府采购云平台”发布的澄清变更公告，</w:t>
      </w:r>
      <w:r>
        <w:rPr>
          <w:rFonts w:hint="eastAsia" w:ascii="宋体" w:hAnsi="宋体" w:eastAsia="宋体" w:cs="宋体"/>
          <w:bCs/>
          <w:sz w:val="24"/>
          <w:szCs w:val="24"/>
          <w:highlight w:val="none"/>
        </w:rPr>
        <w:t>网址分别为“</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"http://zwfw.xinjiang.gov.cn/xinjiangggzy"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http://zwfw.xinjiang.gov.cn/xinjiangggzy</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”和“http://www.ccgp-xinjiang.gov.cn”。</w:t>
      </w:r>
    </w:p>
    <w:p>
      <w:pPr>
        <w:tabs>
          <w:tab w:val="left" w:pos="900"/>
        </w:tabs>
        <w:wordWrap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2.各供应商应在开标前确保成为新疆政府采购网正式供应商，并完成CA数字证书（符合国密标准）申领。因未注册入库、未办理CA数字证书等原因造成无法投标或投标失败等后果由供应商自行承担。</w:t>
      </w:r>
    </w:p>
    <w:p>
      <w:pPr>
        <w:tabs>
          <w:tab w:val="left" w:pos="900"/>
        </w:tabs>
        <w:wordWrap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供应商可前往新疆政府采购云平台（http://www.ccgp-xinjiang.gov.cn/）下载专区，下载电子投标客户端，安装完成后，可通过账号密码或CA登录客户端进行响应文件制作。在使用政采云电子投标客户端时，建议使用WIN7及以上操作系统。如有问题可拨打客户服务热线95763进行咨询。</w:t>
      </w:r>
    </w:p>
    <w:p>
      <w:pPr>
        <w:tabs>
          <w:tab w:val="left" w:pos="900"/>
        </w:tabs>
        <w:wordWrap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4.本项目采用不见面开标，供应商须在投标截止时间前通过CA上传加密的电子响应文件。</w:t>
      </w:r>
    </w:p>
    <w:p>
      <w:pPr>
        <w:tabs>
          <w:tab w:val="left" w:pos="900"/>
        </w:tabs>
        <w:wordWrap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在线客服获取服务支持。</w:t>
      </w:r>
    </w:p>
    <w:p>
      <w:pPr>
        <w:tabs>
          <w:tab w:val="left" w:pos="900"/>
        </w:tabs>
        <w:wordWrap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5、供应商应当在递交截止时间前,将生成的“电子加密响应文件”上传递交至“政府采购云平台”,递交截止时间以后上传递交的响应文件将被“政府采购云平台”拒收。</w:t>
      </w:r>
    </w:p>
    <w:p>
      <w:pPr>
        <w:tabs>
          <w:tab w:val="left" w:pos="900"/>
        </w:tabs>
        <w:wordWrap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autoSpaceDE w:val="0"/>
        <w:autoSpaceDN w:val="0"/>
        <w:spacing w:line="440" w:lineRule="exact"/>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7、</w:t>
      </w:r>
      <w:r>
        <w:rPr>
          <w:rFonts w:hint="eastAsia" w:ascii="宋体" w:hAnsi="宋体" w:cs="宋体"/>
          <w:bCs/>
          <w:color w:val="auto"/>
          <w:sz w:val="24"/>
          <w:szCs w:val="24"/>
          <w:highlight w:val="none"/>
        </w:rPr>
        <w:t>本项目收取投标保证金，保证金金额:</w:t>
      </w:r>
      <w:r>
        <w:rPr>
          <w:rFonts w:hint="eastAsia" w:ascii="宋体" w:hAnsi="宋体" w:cs="宋体"/>
          <w:bCs/>
          <w:color w:val="auto"/>
          <w:sz w:val="24"/>
          <w:szCs w:val="24"/>
          <w:highlight w:val="none"/>
          <w:u w:val="single"/>
        </w:rPr>
        <w:t>10万元</w:t>
      </w:r>
      <w:r>
        <w:rPr>
          <w:rFonts w:hint="eastAsia" w:ascii="宋体" w:hAnsi="宋体" w:cs="宋体"/>
          <w:bCs/>
          <w:color w:val="auto"/>
          <w:sz w:val="24"/>
          <w:szCs w:val="24"/>
          <w:highlight w:val="none"/>
          <w:u w:val="single"/>
          <w:lang w:val="en-US" w:eastAsia="zh-CN"/>
        </w:rPr>
        <w:t>整</w:t>
      </w:r>
      <w:r>
        <w:rPr>
          <w:rFonts w:hint="eastAsia" w:ascii="宋体" w:hAnsi="宋体" w:cs="宋体"/>
          <w:bCs/>
          <w:color w:val="auto"/>
          <w:sz w:val="24"/>
          <w:szCs w:val="24"/>
          <w:highlight w:val="none"/>
        </w:rPr>
        <w:t>，供应商自主选择以银行转账或者电子保函等非现金方式缴纳，具体缴纳方式如下：</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方式一：银行转账</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账户名称：新疆维吾尔自治区政务服务和公共资源交易中心政采线下子账户</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账号：300004010400137320000000005</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开户行名称：中国农业银行股份有限公司乌鲁木齐七道湾支行</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行号：103881001270</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(1)公司开户许可证或汇款账户信息复印件并加盖公章；</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(2)保证金银行汇款回单复印件加盖公章；</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(3)《保证金退还审批表》（格式见招标文件第六部分：投标文件格式）；</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(4)资料提交或邮寄地址：新疆乌鲁木齐市水磨沟区准噶尔街299号益民大厦4楼A408室自治区政务服务和公共资源交易中心政府采购部，邮编：830063。收件人：王老师 电话：0991-3550126。</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方式二：保函</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（1）可以使用银行保函、担保保函、保险保函其中之一形式提交。</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（2）供应商制作投标（响应）文件时，须将保函办理凭证加盖公章一并上传至资格审查文件中提交。</w:t>
      </w:r>
    </w:p>
    <w:p>
      <w:pPr>
        <w:autoSpaceDE w:val="0"/>
        <w:autoSpaceDN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（3）办理咨询电话：13364798888、</w:t>
      </w:r>
      <w:r>
        <w:rPr>
          <w:rFonts w:hint="eastAsia" w:ascii="宋体" w:hAnsi="宋体" w:cs="宋体"/>
          <w:color w:val="auto"/>
          <w:sz w:val="24"/>
          <w:szCs w:val="24"/>
          <w:highlight w:val="none"/>
          <w:lang w:eastAsia="zh-CN"/>
        </w:rPr>
        <w:t>0991-6660666</w:t>
      </w:r>
      <w:r>
        <w:rPr>
          <w:rFonts w:hint="eastAsia" w:ascii="宋体" w:hAnsi="宋体" w:cs="宋体"/>
          <w:color w:val="auto"/>
          <w:sz w:val="24"/>
          <w:szCs w:val="24"/>
          <w:highlight w:val="none"/>
        </w:rPr>
        <w:t>；18160681166、4008005100。</w:t>
      </w:r>
    </w:p>
    <w:p>
      <w:pPr>
        <w:pStyle w:val="2"/>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若供应商未按上述规定缴纳投标保证金，将导致投标（响应）无效。</w:t>
      </w:r>
    </w:p>
    <w:p>
      <w:pPr>
        <w:tabs>
          <w:tab w:val="left" w:pos="900"/>
        </w:tabs>
        <w:wordWrap w:val="0"/>
        <w:spacing w:line="5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8、本项目的中标供应商可以登</w:t>
      </w:r>
      <w:r>
        <w:rPr>
          <w:rFonts w:hint="eastAsia" w:ascii="宋体" w:hAnsi="宋体" w:cs="宋体"/>
          <w:color w:val="auto"/>
          <w:sz w:val="24"/>
          <w:szCs w:val="24"/>
          <w:highlight w:val="none"/>
          <w:lang w:val="en-US" w:eastAsia="zh-CN"/>
        </w:rPr>
        <w:t>录</w:t>
      </w:r>
      <w:r>
        <w:rPr>
          <w:rFonts w:hint="eastAsia" w:ascii="宋体" w:hAnsi="宋体" w:cs="宋体"/>
          <w:color w:val="auto"/>
          <w:sz w:val="24"/>
          <w:szCs w:val="24"/>
          <w:highlight w:val="none"/>
        </w:rPr>
        <w:t>新疆政府采购网,进入“项目采购” 自行打印中标通知书。通过新疆政府采购网下载打印的中标通知书与现场开具的中标通知书具有同等法律效力。</w:t>
      </w:r>
    </w:p>
    <w:p>
      <w:pPr>
        <w:adjustRightInd w:val="0"/>
        <w:snapToGrid w:val="0"/>
        <w:spacing w:beforeLines="50" w:afterLines="50" w:line="293" w:lineRule="auto"/>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9、系统技术支持电话：95763。</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p>
    <w:bookmarkEnd w:id="2"/>
    <w:bookmarkEnd w:id="3"/>
    <w:bookmarkEnd w:id="4"/>
    <w:bookmarkEnd w:id="5"/>
    <w:bookmarkEnd w:id="6"/>
    <w:p>
      <w:pPr>
        <w:pStyle w:val="5"/>
        <w:pageBreakBefore w:val="0"/>
        <w:widowControl w:val="0"/>
        <w:kinsoku/>
        <w:overflowPunct/>
        <w:topLinePunct w:val="0"/>
        <w:bidi w:val="0"/>
        <w:spacing w:line="560" w:lineRule="exact"/>
        <w:ind w:firstLine="2429" w:firstLineChars="550"/>
        <w:jc w:val="both"/>
        <w:textAlignment w:val="auto"/>
        <w:rPr>
          <w:rFonts w:ascii="宋体" w:hAnsi="宋体" w:eastAsia="宋体" w:cs="宋体"/>
          <w:b w:val="0"/>
          <w:bCs w:val="0"/>
          <w:color w:val="auto"/>
          <w:highlight w:val="none"/>
        </w:rPr>
      </w:pPr>
      <w:bookmarkStart w:id="19" w:name="_Toc120614211"/>
      <w:bookmarkStart w:id="20" w:name="_Toc534816626"/>
      <w:bookmarkStart w:id="21" w:name="_Toc534725597"/>
      <w:bookmarkStart w:id="22" w:name="_Toc120614221"/>
      <w:bookmarkStart w:id="23" w:name="_Toc513029242"/>
      <w:bookmarkStart w:id="24" w:name="_Toc16938558"/>
      <w:bookmarkStart w:id="25" w:name="_Toc20823314"/>
      <w:bookmarkStart w:id="26" w:name="_Toc479757207"/>
      <w:bookmarkStart w:id="27" w:name="_Toc494375079"/>
      <w:r>
        <w:rPr>
          <w:rFonts w:hint="eastAsia" w:ascii="宋体" w:hAnsi="宋体" w:eastAsia="宋体" w:cs="宋体"/>
          <w:color w:val="auto"/>
          <w:highlight w:val="none"/>
        </w:rPr>
        <w:t xml:space="preserve">第二章  </w:t>
      </w:r>
      <w:bookmarkEnd w:id="19"/>
      <w:bookmarkStart w:id="28" w:name="_Toc20823274"/>
      <w:bookmarkStart w:id="29" w:name="_Toc120614213"/>
      <w:bookmarkStart w:id="30" w:name="_Toc16938518"/>
      <w:bookmarkStart w:id="31" w:name="_Toc513029202"/>
      <w:r>
        <w:rPr>
          <w:rFonts w:hint="eastAsia" w:ascii="宋体" w:hAnsi="宋体" w:eastAsia="宋体" w:cs="宋体"/>
          <w:color w:val="auto"/>
          <w:highlight w:val="none"/>
        </w:rPr>
        <w:t>投标人须知</w:t>
      </w:r>
      <w:bookmarkEnd w:id="20"/>
      <w:bookmarkEnd w:id="21"/>
      <w:bookmarkEnd w:id="28"/>
      <w:bookmarkEnd w:id="29"/>
      <w:bookmarkEnd w:id="30"/>
      <w:bookmarkEnd w:id="31"/>
    </w:p>
    <w:p>
      <w:pPr>
        <w:pStyle w:val="6"/>
        <w:pageBreakBefore w:val="0"/>
        <w:widowControl w:val="0"/>
        <w:kinsoku/>
        <w:overflowPunct/>
        <w:topLinePunct w:val="0"/>
        <w:bidi w:val="0"/>
        <w:spacing w:beforeLines="50" w:afterLines="50" w:line="560" w:lineRule="exact"/>
        <w:ind w:firstLine="497" w:firstLineChars="155"/>
        <w:textAlignment w:val="auto"/>
        <w:rPr>
          <w:rFonts w:ascii="宋体" w:hAnsi="宋体" w:cs="宋体"/>
          <w:color w:val="auto"/>
          <w:highlight w:val="none"/>
        </w:rPr>
      </w:pPr>
      <w:bookmarkStart w:id="32" w:name="_Toc534725598"/>
      <w:bookmarkStart w:id="33" w:name="_Toc120614214"/>
      <w:bookmarkStart w:id="34" w:name="_Toc534816627"/>
      <w:bookmarkStart w:id="35" w:name="_Toc20823275"/>
      <w:bookmarkStart w:id="36" w:name="_Toc16938519"/>
      <w:bookmarkStart w:id="37" w:name="_Toc513029203"/>
      <w:r>
        <w:rPr>
          <w:rFonts w:hint="eastAsia" w:ascii="宋体" w:hAnsi="宋体" w:cs="宋体"/>
          <w:color w:val="auto"/>
          <w:highlight w:val="none"/>
        </w:rPr>
        <w:t>一、总则</w:t>
      </w:r>
      <w:bookmarkEnd w:id="32"/>
      <w:bookmarkEnd w:id="33"/>
      <w:bookmarkEnd w:id="34"/>
      <w:bookmarkEnd w:id="35"/>
      <w:bookmarkEnd w:id="36"/>
      <w:bookmarkEnd w:id="37"/>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38" w:name="_Hlt16619475"/>
      <w:bookmarkEnd w:id="38"/>
      <w:bookmarkStart w:id="39" w:name="_Toc458694821"/>
      <w:bookmarkStart w:id="40" w:name="_Toc513029204"/>
      <w:bookmarkStart w:id="41" w:name="_Toc20823276"/>
      <w:bookmarkStart w:id="42" w:name="_Toc16938520"/>
      <w:r>
        <w:rPr>
          <w:rFonts w:hint="eastAsia" w:ascii="宋体" w:hAnsi="宋体" w:cs="宋体"/>
          <w:b w:val="0"/>
          <w:bCs/>
          <w:color w:val="auto"/>
          <w:highlight w:val="none"/>
        </w:rPr>
        <w:t>1</w:t>
      </w:r>
      <w:bookmarkEnd w:id="39"/>
      <w:r>
        <w:rPr>
          <w:rFonts w:hint="eastAsia" w:ascii="宋体" w:hAnsi="宋体" w:cs="宋体"/>
          <w:b w:val="0"/>
          <w:bCs/>
          <w:color w:val="auto"/>
          <w:highlight w:val="none"/>
        </w:rPr>
        <w:t>、招标方式</w:t>
      </w:r>
      <w:bookmarkEnd w:id="40"/>
      <w:bookmarkEnd w:id="41"/>
      <w:bookmarkEnd w:id="42"/>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 本次招标采取公开招标方式，本招标文件仅适用于招标公告中所述项目。</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43" w:name="_Toc20823277"/>
      <w:bookmarkStart w:id="44" w:name="_Toc16938521"/>
      <w:bookmarkStart w:id="45" w:name="_Toc513029205"/>
      <w:r>
        <w:rPr>
          <w:rFonts w:hint="eastAsia" w:ascii="宋体" w:hAnsi="宋体" w:cs="宋体"/>
          <w:b w:val="0"/>
          <w:bCs/>
          <w:color w:val="auto"/>
          <w:highlight w:val="none"/>
        </w:rPr>
        <w:t>2、合格的投标人</w:t>
      </w:r>
      <w:bookmarkEnd w:id="43"/>
      <w:bookmarkEnd w:id="44"/>
      <w:bookmarkEnd w:id="45"/>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2.1满足招标公告中供应商的资格要求的规定。</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 满足本文件实质性条款的规定。</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46" w:name="_Toc20823278"/>
      <w:bookmarkStart w:id="47" w:name="_Toc16938522"/>
      <w:bookmarkStart w:id="48" w:name="_Toc513029206"/>
      <w:r>
        <w:rPr>
          <w:rFonts w:hint="eastAsia" w:ascii="宋体" w:hAnsi="宋体" w:cs="宋体"/>
          <w:b w:val="0"/>
          <w:bCs/>
          <w:color w:val="auto"/>
          <w:highlight w:val="none"/>
        </w:rPr>
        <w:t>3、适用法律</w:t>
      </w:r>
      <w:bookmarkEnd w:id="46"/>
      <w:bookmarkEnd w:id="47"/>
      <w:bookmarkEnd w:id="48"/>
    </w:p>
    <w:p>
      <w:pPr>
        <w:pageBreakBefore w:val="0"/>
        <w:widowControl w:val="0"/>
        <w:kinsoku/>
        <w:overflowPunct/>
        <w:topLinePunct w:val="0"/>
        <w:bidi w:val="0"/>
        <w:spacing w:line="560" w:lineRule="exact"/>
        <w:ind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3.1 本次招标及由此产生的合同受中华人民共和国有关的法律法规制约和保护。</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49" w:name="_Toc462564067"/>
      <w:bookmarkStart w:id="50" w:name="_Toc513029207"/>
      <w:bookmarkStart w:id="51" w:name="_Toc16938523"/>
      <w:bookmarkStart w:id="52" w:name="_Toc20823279"/>
      <w:r>
        <w:rPr>
          <w:rFonts w:hint="eastAsia" w:ascii="宋体" w:hAnsi="宋体" w:cs="宋体"/>
          <w:b w:val="0"/>
          <w:bCs/>
          <w:color w:val="auto"/>
          <w:highlight w:val="none"/>
        </w:rPr>
        <w:t>4、投标费用</w:t>
      </w:r>
      <w:bookmarkEnd w:id="49"/>
      <w:bookmarkEnd w:id="50"/>
      <w:bookmarkEnd w:id="51"/>
      <w:bookmarkEnd w:id="52"/>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4.1</w:t>
      </w:r>
      <w:r>
        <w:rPr>
          <w:rFonts w:hint="eastAsia" w:ascii="宋体" w:hAnsi="宋体" w:cs="宋体"/>
          <w:color w:val="auto"/>
          <w:sz w:val="24"/>
          <w:highlight w:val="none"/>
        </w:rPr>
        <w:t xml:space="preserve"> 投标人应自行承担所有与参加投标有关的费用，无论投标过程中的做法和结果如何，新疆维吾尔自治区政务服务和公共资源交易中心（以下简称“交易中心”）在任何情况下均无义务和责任承担这些费用。</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4.2本次招标交易中心和采购人不收取标书工本费与中标服务费。</w:t>
      </w:r>
    </w:p>
    <w:p>
      <w:pPr>
        <w:pStyle w:val="7"/>
        <w:pageBreakBefore w:val="0"/>
        <w:widowControl w:val="0"/>
        <w:kinsoku/>
        <w:overflowPunct/>
        <w:topLinePunct w:val="0"/>
        <w:bidi w:val="0"/>
        <w:spacing w:line="560" w:lineRule="exact"/>
        <w:ind w:firstLine="416" w:firstLineChars="139"/>
        <w:textAlignment w:val="auto"/>
        <w:rPr>
          <w:rFonts w:ascii="宋体" w:hAnsi="宋体" w:cs="宋体"/>
          <w:b w:val="0"/>
          <w:color w:val="auto"/>
          <w:highlight w:val="none"/>
        </w:rPr>
      </w:pPr>
      <w:r>
        <w:rPr>
          <w:rFonts w:hint="eastAsia" w:ascii="宋体" w:hAnsi="宋体" w:cs="宋体"/>
          <w:b w:val="0"/>
          <w:bCs/>
          <w:color w:val="auto"/>
          <w:sz w:val="30"/>
          <w:highlight w:val="none"/>
        </w:rPr>
        <w:t>5、</w:t>
      </w:r>
      <w:r>
        <w:rPr>
          <w:rFonts w:hint="eastAsia" w:ascii="宋体" w:hAnsi="宋体" w:cs="宋体"/>
          <w:b w:val="0"/>
          <w:bCs/>
          <w:color w:val="auto"/>
          <w:highlight w:val="none"/>
        </w:rPr>
        <w:t>招标文件的约束力</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5.1</w:t>
      </w:r>
      <w:r>
        <w:rPr>
          <w:rFonts w:hint="eastAsia" w:ascii="宋体" w:hAnsi="宋体" w:cs="宋体"/>
          <w:color w:val="auto"/>
          <w:sz w:val="24"/>
          <w:szCs w:val="24"/>
          <w:highlight w:val="none"/>
        </w:rPr>
        <w:t xml:space="preserve"> 投标人一旦参加本项目采购活动，即被认为接受了本招标文件的规定和约束。</w:t>
      </w:r>
    </w:p>
    <w:p>
      <w:pPr>
        <w:pStyle w:val="6"/>
        <w:pageBreakBefore w:val="0"/>
        <w:widowControl w:val="0"/>
        <w:kinsoku/>
        <w:overflowPunct/>
        <w:topLinePunct w:val="0"/>
        <w:bidi w:val="0"/>
        <w:spacing w:beforeLines="50" w:afterLines="50" w:line="560" w:lineRule="exact"/>
        <w:ind w:firstLine="321" w:firstLineChars="100"/>
        <w:textAlignment w:val="auto"/>
        <w:rPr>
          <w:rFonts w:ascii="宋体" w:hAnsi="宋体" w:cs="宋体"/>
          <w:color w:val="auto"/>
          <w:highlight w:val="none"/>
        </w:rPr>
      </w:pPr>
      <w:bookmarkStart w:id="53" w:name="_Toc534816628"/>
      <w:bookmarkStart w:id="54" w:name="_Toc16938525"/>
      <w:bookmarkStart w:id="55" w:name="_Toc513029209"/>
      <w:bookmarkStart w:id="56" w:name="_Toc534725599"/>
      <w:bookmarkStart w:id="57" w:name="_Toc120614215"/>
      <w:bookmarkStart w:id="58" w:name="_Toc20823281"/>
      <w:r>
        <w:rPr>
          <w:rFonts w:hint="eastAsia" w:ascii="宋体" w:hAnsi="宋体" w:cs="宋体"/>
          <w:color w:val="auto"/>
          <w:highlight w:val="none"/>
        </w:rPr>
        <w:t>二、招标文件</w:t>
      </w:r>
      <w:bookmarkEnd w:id="53"/>
      <w:bookmarkEnd w:id="54"/>
      <w:bookmarkEnd w:id="55"/>
      <w:bookmarkEnd w:id="56"/>
      <w:bookmarkEnd w:id="57"/>
      <w:bookmarkEnd w:id="58"/>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59" w:name="_Toc16938526"/>
      <w:bookmarkStart w:id="60" w:name="_Toc20823282"/>
      <w:bookmarkStart w:id="61" w:name="_Toc513029210"/>
      <w:r>
        <w:rPr>
          <w:rFonts w:hint="eastAsia" w:ascii="宋体" w:hAnsi="宋体" w:cs="宋体"/>
          <w:b w:val="0"/>
          <w:bCs/>
          <w:color w:val="auto"/>
          <w:highlight w:val="none"/>
        </w:rPr>
        <w:t>6、招标文件构成</w:t>
      </w:r>
      <w:bookmarkEnd w:id="59"/>
      <w:bookmarkEnd w:id="60"/>
      <w:bookmarkEnd w:id="61"/>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6.1</w:t>
      </w:r>
      <w:r>
        <w:rPr>
          <w:rFonts w:hint="eastAsia" w:ascii="宋体" w:hAnsi="宋体" w:cs="宋体"/>
          <w:color w:val="auto"/>
          <w:sz w:val="24"/>
          <w:highlight w:val="none"/>
        </w:rPr>
        <w:t xml:space="preserve"> 招标文件由以下部分组成：</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（1）投标邀请</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（3）合同条款及格式</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（4）项目需求</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（5）评标方法与评标标准</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请仔细检查招标文件是否齐全，如有缺漏请立即与交易中心联系解决。</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6.2</w:t>
      </w:r>
      <w:r>
        <w:rPr>
          <w:rFonts w:hint="eastAsia" w:ascii="宋体" w:hAnsi="宋体" w:cs="宋体"/>
          <w:color w:val="auto"/>
          <w:sz w:val="24"/>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bookmarkStart w:id="62" w:name="_Toc513029211"/>
      <w:bookmarkStart w:id="63" w:name="_Toc20823283"/>
      <w:bookmarkStart w:id="64" w:name="_Toc16938527"/>
      <w:bookmarkStart w:id="65" w:name="_Toc462564070"/>
    </w:p>
    <w:p>
      <w:pPr>
        <w:pageBreakBefore w:val="0"/>
        <w:widowControl w:val="0"/>
        <w:kinsoku/>
        <w:overflowPunct/>
        <w:topLinePunct w:val="0"/>
        <w:bidi w:val="0"/>
        <w:spacing w:line="560" w:lineRule="exact"/>
        <w:ind w:firstLine="420" w:firstLineChars="150"/>
        <w:textAlignment w:val="auto"/>
        <w:rPr>
          <w:rFonts w:ascii="宋体" w:hAnsi="宋体" w:cs="宋体"/>
          <w:color w:val="auto"/>
          <w:sz w:val="28"/>
          <w:szCs w:val="28"/>
          <w:highlight w:val="none"/>
        </w:rPr>
      </w:pPr>
      <w:r>
        <w:rPr>
          <w:rFonts w:hint="eastAsia" w:ascii="宋体" w:hAnsi="宋体" w:cs="宋体"/>
          <w:color w:val="auto"/>
          <w:sz w:val="28"/>
          <w:szCs w:val="28"/>
          <w:highlight w:val="none"/>
        </w:rPr>
        <w:t>7、招标文件的澄清</w:t>
      </w:r>
      <w:bookmarkEnd w:id="62"/>
      <w:bookmarkEnd w:id="63"/>
      <w:bookmarkEnd w:id="64"/>
      <w:bookmarkEnd w:id="65"/>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szCs w:val="24"/>
          <w:highlight w:val="none"/>
        </w:rPr>
      </w:pPr>
      <w:r>
        <w:rPr>
          <w:rFonts w:hint="eastAsia" w:ascii="宋体" w:hAnsi="宋体" w:cs="宋体"/>
          <w:bCs/>
          <w:color w:val="auto"/>
          <w:sz w:val="24"/>
          <w:highlight w:val="none"/>
        </w:rPr>
        <w:t>7.1</w:t>
      </w:r>
      <w:r>
        <w:rPr>
          <w:rFonts w:hint="eastAsia" w:ascii="宋体" w:hAnsi="宋体" w:cs="宋体"/>
          <w:color w:val="auto"/>
          <w:sz w:val="24"/>
          <w:highlight w:val="none"/>
        </w:rPr>
        <w:t xml:space="preserve"> 任何要求对招标文件进行澄清的投标人，应在投标截止期</w:t>
      </w:r>
      <w:r>
        <w:rPr>
          <w:rFonts w:hint="eastAsia" w:ascii="宋体" w:hAnsi="宋体" w:cs="宋体"/>
          <w:b/>
          <w:color w:val="auto"/>
          <w:sz w:val="24"/>
          <w:szCs w:val="24"/>
          <w:highlight w:val="none"/>
        </w:rPr>
        <w:t>七日</w:t>
      </w:r>
      <w:r>
        <w:rPr>
          <w:rFonts w:hint="eastAsia" w:ascii="宋体" w:hAnsi="宋体" w:cs="宋体"/>
          <w:color w:val="auto"/>
          <w:sz w:val="24"/>
          <w:szCs w:val="24"/>
          <w:highlight w:val="none"/>
        </w:rPr>
        <w:t>前</w:t>
      </w:r>
      <w:r>
        <w:rPr>
          <w:rFonts w:hint="eastAsia" w:ascii="宋体" w:hAnsi="宋体" w:cs="宋体"/>
          <w:color w:val="auto"/>
          <w:sz w:val="24"/>
          <w:highlight w:val="none"/>
        </w:rPr>
        <w:t>按招标公告中的通讯地址，以书面形式通知交易中心。</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66" w:name="_Toc20823284"/>
      <w:bookmarkStart w:id="67" w:name="_Toc513029212"/>
      <w:bookmarkStart w:id="68" w:name="_Toc16938528"/>
      <w:bookmarkStart w:id="69" w:name="_Toc462564071"/>
      <w:r>
        <w:rPr>
          <w:rFonts w:hint="eastAsia" w:ascii="宋体" w:hAnsi="宋体" w:cs="宋体"/>
          <w:b w:val="0"/>
          <w:bCs/>
          <w:color w:val="auto"/>
          <w:highlight w:val="none"/>
        </w:rPr>
        <w:t>8、招标文件的修改</w:t>
      </w:r>
      <w:bookmarkEnd w:id="66"/>
      <w:bookmarkEnd w:id="67"/>
      <w:bookmarkEnd w:id="68"/>
      <w:bookmarkEnd w:id="69"/>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highlight w:val="none"/>
        </w:rPr>
      </w:pPr>
      <w:r>
        <w:rPr>
          <w:rFonts w:hint="eastAsia" w:ascii="宋体" w:hAnsi="宋体" w:cs="宋体"/>
          <w:bCs/>
          <w:color w:val="auto"/>
          <w:sz w:val="24"/>
          <w:highlight w:val="none"/>
        </w:rPr>
        <w:t>8.1</w:t>
      </w:r>
      <w:r>
        <w:rPr>
          <w:rFonts w:hint="eastAsia" w:ascii="宋体" w:hAnsi="宋体" w:cs="宋体"/>
          <w:color w:val="auto"/>
          <w:sz w:val="24"/>
          <w:highlight w:val="none"/>
        </w:rPr>
        <w:t xml:space="preserve"> 在投标截止时间至少十五日前，交易中心可以对招标文件进行修改。</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8"/>
          <w:highlight w:val="none"/>
        </w:rPr>
      </w:pPr>
      <w:r>
        <w:rPr>
          <w:rFonts w:hint="eastAsia" w:ascii="宋体" w:hAnsi="宋体" w:cs="宋体"/>
          <w:bCs/>
          <w:color w:val="auto"/>
          <w:sz w:val="24"/>
          <w:highlight w:val="none"/>
        </w:rPr>
        <w:t xml:space="preserve">8.2 </w:t>
      </w:r>
      <w:r>
        <w:rPr>
          <w:rFonts w:hint="eastAsia" w:ascii="宋体" w:hAnsi="宋体" w:cs="宋体"/>
          <w:color w:val="auto"/>
          <w:sz w:val="24"/>
          <w:highlight w:val="none"/>
        </w:rPr>
        <w:t>交易中心</w:t>
      </w:r>
      <w:r>
        <w:rPr>
          <w:rFonts w:hint="eastAsia" w:ascii="宋体" w:hAnsi="宋体" w:cs="宋体"/>
          <w:color w:val="auto"/>
          <w:sz w:val="24"/>
          <w:szCs w:val="24"/>
          <w:highlight w:val="none"/>
        </w:rPr>
        <w:t>有权按照法定的要求</w:t>
      </w:r>
      <w:r>
        <w:rPr>
          <w:rFonts w:hint="eastAsia" w:ascii="宋体" w:hAnsi="宋体" w:cs="宋体"/>
          <w:color w:val="auto"/>
          <w:sz w:val="24"/>
          <w:highlight w:val="none"/>
        </w:rPr>
        <w:t>推迟投标截止日期和开标日期。</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highlight w:val="none"/>
        </w:rPr>
      </w:pPr>
      <w:r>
        <w:rPr>
          <w:rFonts w:hint="eastAsia" w:ascii="宋体" w:hAnsi="宋体" w:cs="宋体"/>
          <w:bCs/>
          <w:color w:val="auto"/>
          <w:sz w:val="24"/>
          <w:highlight w:val="none"/>
        </w:rPr>
        <w:t xml:space="preserve">8.3 </w:t>
      </w:r>
      <w:r>
        <w:rPr>
          <w:rFonts w:hint="eastAsia" w:ascii="宋体" w:hAnsi="宋体" w:cs="宋体"/>
          <w:color w:val="auto"/>
          <w:sz w:val="24"/>
          <w:highlight w:val="none"/>
        </w:rPr>
        <w:t>招标文件的修改将在“新疆公共资源交易网”和“新疆政府采购网”公布，</w:t>
      </w:r>
      <w:r>
        <w:rPr>
          <w:rFonts w:hint="eastAsia" w:ascii="宋体" w:hAnsi="宋体" w:cs="宋体"/>
          <w:color w:val="auto"/>
          <w:sz w:val="24"/>
          <w:szCs w:val="24"/>
          <w:highlight w:val="none"/>
        </w:rPr>
        <w:t>补充文件将作为招标文件的组成部分，</w:t>
      </w:r>
      <w:r>
        <w:rPr>
          <w:rFonts w:hint="eastAsia" w:ascii="宋体" w:hAnsi="宋体" w:cs="宋体"/>
          <w:color w:val="auto"/>
          <w:sz w:val="24"/>
          <w:highlight w:val="none"/>
        </w:rPr>
        <w:t>并对投标人具有约束力。</w:t>
      </w:r>
    </w:p>
    <w:p>
      <w:pPr>
        <w:pStyle w:val="6"/>
        <w:pageBreakBefore w:val="0"/>
        <w:widowControl w:val="0"/>
        <w:kinsoku/>
        <w:overflowPunct/>
        <w:topLinePunct w:val="0"/>
        <w:bidi w:val="0"/>
        <w:spacing w:beforeLines="50" w:afterLines="50" w:line="560" w:lineRule="exact"/>
        <w:ind w:firstLine="481" w:firstLineChars="150"/>
        <w:textAlignment w:val="auto"/>
        <w:rPr>
          <w:rFonts w:ascii="宋体" w:hAnsi="宋体" w:cs="宋体"/>
          <w:color w:val="auto"/>
          <w:highlight w:val="none"/>
        </w:rPr>
      </w:pPr>
      <w:bookmarkStart w:id="70" w:name="_Toc534816629"/>
      <w:bookmarkStart w:id="71" w:name="_Toc16938529"/>
      <w:bookmarkStart w:id="72" w:name="_Toc513029213"/>
      <w:bookmarkStart w:id="73" w:name="_Toc20823285"/>
      <w:bookmarkStart w:id="74" w:name="_Toc462564072"/>
      <w:bookmarkStart w:id="75" w:name="_Toc534725600"/>
      <w:bookmarkStart w:id="76" w:name="_Toc120614216"/>
      <w:r>
        <w:rPr>
          <w:rFonts w:hint="eastAsia" w:ascii="宋体" w:hAnsi="宋体" w:cs="宋体"/>
          <w:color w:val="auto"/>
          <w:highlight w:val="none"/>
        </w:rPr>
        <w:t>三、投标文件的编制</w:t>
      </w:r>
      <w:bookmarkEnd w:id="70"/>
      <w:bookmarkEnd w:id="71"/>
      <w:bookmarkEnd w:id="72"/>
      <w:bookmarkEnd w:id="73"/>
      <w:bookmarkEnd w:id="74"/>
      <w:bookmarkEnd w:id="75"/>
      <w:bookmarkEnd w:id="76"/>
    </w:p>
    <w:p>
      <w:pPr>
        <w:pStyle w:val="7"/>
        <w:pageBreakBefore w:val="0"/>
        <w:widowControl w:val="0"/>
        <w:kinsoku/>
        <w:overflowPunct/>
        <w:topLinePunct w:val="0"/>
        <w:bidi w:val="0"/>
        <w:spacing w:line="560" w:lineRule="exact"/>
        <w:textAlignment w:val="auto"/>
        <w:rPr>
          <w:rFonts w:ascii="宋体" w:hAnsi="宋体" w:cs="宋体"/>
          <w:color w:val="auto"/>
          <w:highlight w:val="none"/>
        </w:rPr>
      </w:pPr>
      <w:bookmarkStart w:id="77" w:name="_Toc16938530"/>
      <w:bookmarkStart w:id="78" w:name="_Toc513029214"/>
      <w:bookmarkStart w:id="79" w:name="_Toc462564073"/>
      <w:bookmarkStart w:id="80" w:name="_Toc20823286"/>
      <w:r>
        <w:rPr>
          <w:rFonts w:hint="eastAsia" w:ascii="宋体" w:hAnsi="宋体" w:cs="宋体"/>
          <w:b w:val="0"/>
          <w:bCs/>
          <w:color w:val="auto"/>
          <w:highlight w:val="none"/>
        </w:rPr>
        <w:t>9、投标文件的语言及度量衡单位</w:t>
      </w:r>
      <w:bookmarkEnd w:id="77"/>
      <w:bookmarkEnd w:id="78"/>
      <w:bookmarkEnd w:id="79"/>
      <w:bookmarkEnd w:id="80"/>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highlight w:val="none"/>
        </w:rPr>
      </w:pPr>
      <w:r>
        <w:rPr>
          <w:rFonts w:hint="eastAsia" w:ascii="宋体" w:hAnsi="宋体" w:cs="宋体"/>
          <w:bCs/>
          <w:color w:val="auto"/>
          <w:sz w:val="24"/>
          <w:highlight w:val="none"/>
        </w:rPr>
        <w:t>9.1</w:t>
      </w:r>
      <w:r>
        <w:rPr>
          <w:rFonts w:hint="eastAsia" w:ascii="宋体" w:hAnsi="宋体" w:cs="宋体"/>
          <w:color w:val="auto"/>
          <w:sz w:val="24"/>
          <w:highlight w:val="none"/>
        </w:rPr>
        <w:t xml:space="preserve"> 投标人提交的投标文件以及投标人与交易中心就有关投标的所有来往通知、函件和文件均应使用</w:t>
      </w:r>
      <w:r>
        <w:rPr>
          <w:rFonts w:hint="eastAsia" w:ascii="宋体" w:hAnsi="宋体" w:cs="宋体"/>
          <w:b/>
          <w:bCs/>
          <w:color w:val="auto"/>
          <w:sz w:val="24"/>
          <w:highlight w:val="none"/>
        </w:rPr>
        <w:t>简体中文</w:t>
      </w:r>
      <w:r>
        <w:rPr>
          <w:rFonts w:hint="eastAsia" w:ascii="宋体" w:hAnsi="宋体" w:cs="宋体"/>
          <w:color w:val="auto"/>
          <w:sz w:val="24"/>
          <w:highlight w:val="none"/>
        </w:rPr>
        <w:t>。</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highlight w:val="none"/>
        </w:rPr>
      </w:pPr>
      <w:r>
        <w:rPr>
          <w:rFonts w:hint="eastAsia" w:ascii="宋体" w:hAnsi="宋体" w:cs="宋体"/>
          <w:bCs/>
          <w:color w:val="auto"/>
          <w:sz w:val="24"/>
          <w:highlight w:val="none"/>
        </w:rPr>
        <w:t>9.2</w:t>
      </w:r>
      <w:r>
        <w:rPr>
          <w:rFonts w:hint="eastAsia" w:ascii="宋体" w:hAnsi="宋体" w:cs="宋体"/>
          <w:color w:val="auto"/>
          <w:sz w:val="24"/>
          <w:highlight w:val="none"/>
        </w:rPr>
        <w:t xml:space="preserve"> 除技术性能另有规定外，投标文件所使用的度量衡单位，均须采用国家法定计量单位。</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81" w:name="_Toc20823287"/>
      <w:bookmarkStart w:id="82" w:name="_Toc16938531"/>
      <w:bookmarkStart w:id="83" w:name="_Toc513029215"/>
      <w:bookmarkStart w:id="84" w:name="_Toc462564074"/>
      <w:r>
        <w:rPr>
          <w:rFonts w:hint="eastAsia" w:ascii="宋体" w:hAnsi="宋体" w:cs="宋体"/>
          <w:b w:val="0"/>
          <w:bCs/>
          <w:color w:val="auto"/>
          <w:highlight w:val="none"/>
        </w:rPr>
        <w:t>10、投标文件构成</w:t>
      </w:r>
      <w:bookmarkEnd w:id="81"/>
      <w:bookmarkEnd w:id="82"/>
      <w:bookmarkEnd w:id="83"/>
      <w:bookmarkEnd w:id="84"/>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highlight w:val="none"/>
        </w:rPr>
      </w:pPr>
      <w:r>
        <w:rPr>
          <w:rFonts w:hint="eastAsia" w:ascii="宋体" w:hAnsi="宋体" w:cs="宋体"/>
          <w:bCs/>
          <w:color w:val="auto"/>
          <w:sz w:val="24"/>
          <w:highlight w:val="none"/>
        </w:rPr>
        <w:t>10.1</w:t>
      </w:r>
      <w:r>
        <w:rPr>
          <w:rFonts w:hint="eastAsia" w:ascii="宋体" w:hAnsi="宋体" w:cs="宋体"/>
          <w:color w:val="auto"/>
          <w:sz w:val="24"/>
          <w:highlight w:val="none"/>
        </w:rPr>
        <w:t xml:space="preserve"> 投标人编写的投标文件应包括资信证明文件、投标配置与分项报价表、技术参数响应及偏离表、商务条款响应及偏离表、技术及售后服务承诺书、投标函、开标一览表等内容。</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85" w:name="_Hlt26668975"/>
      <w:bookmarkEnd w:id="85"/>
      <w:bookmarkStart w:id="86" w:name="_Hlt26670360"/>
      <w:bookmarkEnd w:id="86"/>
      <w:bookmarkStart w:id="87" w:name="_Hlt26954838"/>
      <w:bookmarkEnd w:id="87"/>
      <w:bookmarkStart w:id="88" w:name="_Toc49090509"/>
      <w:bookmarkStart w:id="89" w:name="_Toc14577357"/>
      <w:bookmarkStart w:id="90" w:name="_Toc513029219"/>
      <w:bookmarkStart w:id="91" w:name="_Toc513029216"/>
      <w:bookmarkStart w:id="92" w:name="_Toc49090507"/>
      <w:bookmarkStart w:id="93" w:name="_Toc14577354"/>
      <w:r>
        <w:rPr>
          <w:rFonts w:hint="eastAsia" w:ascii="宋体" w:hAnsi="宋体" w:cs="宋体"/>
          <w:b w:val="0"/>
          <w:bCs/>
          <w:color w:val="auto"/>
          <w:highlight w:val="none"/>
        </w:rPr>
        <w:t>11、证明投标人资格及符合招标文件规定的文件</w:t>
      </w:r>
      <w:bookmarkEnd w:id="88"/>
      <w:bookmarkEnd w:id="89"/>
      <w:bookmarkEnd w:id="90"/>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11.1</w:t>
      </w:r>
      <w:bookmarkStart w:id="94" w:name="_Hlt26668999"/>
      <w:bookmarkEnd w:id="94"/>
      <w:r>
        <w:rPr>
          <w:rFonts w:hint="eastAsia" w:ascii="宋体" w:hAnsi="宋体" w:cs="宋体"/>
          <w:color w:val="auto"/>
          <w:sz w:val="24"/>
          <w:highlight w:val="none"/>
        </w:rPr>
        <w:t>投标人应按要求提交资格证明文件及符合招标文件规定的文件。</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11.2投标人应提交证明其有资格参加投标和中标后有能力独立履行合同的文件。</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11.3投标人除必须具有履行合同所需提供的货物以及服务的能力外，还必须具备相应的财务、技术方面的能力。</w:t>
      </w:r>
    </w:p>
    <w:p>
      <w:pPr>
        <w:pageBreakBefore w:val="0"/>
        <w:widowControl w:val="0"/>
        <w:kinsoku/>
        <w:overflowPunct/>
        <w:topLinePunct w:val="0"/>
        <w:bidi w:val="0"/>
        <w:spacing w:line="560" w:lineRule="exact"/>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11.4投标人应提交根据合同要求提供的证明产品质量合格以及符合招标文件规定的证明文件。</w:t>
      </w:r>
    </w:p>
    <w:p>
      <w:pPr>
        <w:pageBreakBefore w:val="0"/>
        <w:widowControl w:val="0"/>
        <w:kinsoku/>
        <w:overflowPunct/>
        <w:topLinePunct w:val="0"/>
        <w:bidi w:val="0"/>
        <w:spacing w:line="560" w:lineRule="exact"/>
        <w:ind w:firstLine="420" w:firstLineChars="175"/>
        <w:textAlignment w:val="auto"/>
        <w:rPr>
          <w:rFonts w:ascii="宋体" w:hAnsi="宋体" w:cs="宋体"/>
          <w:color w:val="auto"/>
          <w:sz w:val="24"/>
          <w:szCs w:val="24"/>
          <w:highlight w:val="none"/>
        </w:rPr>
      </w:pPr>
      <w:r>
        <w:rPr>
          <w:rFonts w:hint="eastAsia" w:ascii="宋体" w:hAnsi="宋体" w:cs="宋体"/>
          <w:color w:val="auto"/>
          <w:sz w:val="24"/>
          <w:szCs w:val="24"/>
          <w:highlight w:val="none"/>
        </w:rPr>
        <w:t>11.5证明投标人所提</w:t>
      </w:r>
      <w:r>
        <w:rPr>
          <w:rFonts w:hint="eastAsia" w:ascii="宋体" w:hAnsi="宋体" w:cs="宋体"/>
          <w:color w:val="auto"/>
          <w:sz w:val="24"/>
          <w:szCs w:val="24"/>
          <w:highlight w:val="none"/>
          <w:lang w:eastAsia="zh-CN"/>
        </w:rPr>
        <w:t>供的</w:t>
      </w:r>
      <w:r>
        <w:rPr>
          <w:rFonts w:hint="eastAsia" w:ascii="宋体" w:hAnsi="宋体" w:cs="宋体"/>
          <w:color w:val="auto"/>
          <w:sz w:val="24"/>
          <w:szCs w:val="24"/>
          <w:highlight w:val="none"/>
        </w:rPr>
        <w:t>产品与招标文件的要求相一致的文件可以是手册、图纸、文字资料和数据</w:t>
      </w:r>
      <w:r>
        <w:rPr>
          <w:rFonts w:hint="eastAsia" w:ascii="宋体" w:hAnsi="宋体" w:cs="宋体"/>
          <w:bCs/>
          <w:color w:val="auto"/>
          <w:sz w:val="24"/>
          <w:highlight w:val="none"/>
        </w:rPr>
        <w:t>。</w:t>
      </w:r>
    </w:p>
    <w:bookmarkEnd w:id="91"/>
    <w:bookmarkEnd w:id="92"/>
    <w:bookmarkEnd w:id="93"/>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95" w:name="_Toc14577355"/>
      <w:bookmarkStart w:id="96" w:name="_Toc49090508"/>
      <w:r>
        <w:rPr>
          <w:rFonts w:hint="eastAsia" w:ascii="宋体" w:hAnsi="宋体" w:cs="宋体"/>
          <w:b w:val="0"/>
          <w:bCs/>
          <w:color w:val="auto"/>
          <w:highlight w:val="none"/>
        </w:rPr>
        <w:t>12、投标配置与分项报价</w:t>
      </w:r>
      <w:bookmarkEnd w:id="95"/>
      <w:bookmarkStart w:id="97" w:name="_Hlt26670373"/>
      <w:bookmarkEnd w:id="97"/>
      <w:r>
        <w:rPr>
          <w:rFonts w:hint="eastAsia" w:ascii="宋体" w:hAnsi="宋体" w:cs="宋体"/>
          <w:b w:val="0"/>
          <w:bCs/>
          <w:color w:val="auto"/>
          <w:highlight w:val="none"/>
        </w:rPr>
        <w:t>表</w:t>
      </w:r>
      <w:bookmarkEnd w:id="96"/>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12.1</w:t>
      </w:r>
      <w:r>
        <w:rPr>
          <w:rFonts w:hint="eastAsia" w:ascii="宋体" w:hAnsi="宋体" w:cs="宋体"/>
          <w:color w:val="auto"/>
          <w:sz w:val="24"/>
          <w:highlight w:val="none"/>
        </w:rPr>
        <w:t>投</w:t>
      </w:r>
      <w:bookmarkStart w:id="98" w:name="_Hlt26954840"/>
      <w:bookmarkEnd w:id="98"/>
      <w:r>
        <w:rPr>
          <w:rFonts w:hint="eastAsia" w:ascii="宋体" w:hAnsi="宋体" w:cs="宋体"/>
          <w:color w:val="auto"/>
          <w:sz w:val="24"/>
          <w:highlight w:val="none"/>
        </w:rPr>
        <w:t>标人应按照招标文件规定格式填报投标配置与分项报价表</w:t>
      </w:r>
      <w:bookmarkStart w:id="99" w:name="_Hlt26670399"/>
      <w:bookmarkEnd w:id="99"/>
      <w:r>
        <w:rPr>
          <w:rFonts w:hint="eastAsia" w:ascii="宋体" w:hAnsi="宋体" w:cs="宋体"/>
          <w:color w:val="auto"/>
          <w:sz w:val="24"/>
          <w:highlight w:val="none"/>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12.2</w:t>
      </w:r>
      <w:r>
        <w:rPr>
          <w:rFonts w:hint="eastAsia" w:ascii="宋体" w:hAnsi="宋体" w:cs="宋体"/>
          <w:color w:val="auto"/>
          <w:sz w:val="24"/>
          <w:highlight w:val="none"/>
        </w:rPr>
        <w:t xml:space="preserve"> 标的物</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采购人需求的货物供应、安装，调试及有关技术服务等</w:t>
      </w:r>
      <w:r>
        <w:rPr>
          <w:rFonts w:hint="eastAsia" w:ascii="宋体" w:hAnsi="宋体" w:cs="宋体"/>
          <w:color w:val="auto"/>
          <w:sz w:val="24"/>
          <w:highlight w:val="none"/>
        </w:rPr>
        <w:t>。</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12.3</w:t>
      </w:r>
      <w:r>
        <w:rPr>
          <w:rFonts w:hint="eastAsia" w:ascii="宋体" w:hAnsi="宋体" w:cs="宋体"/>
          <w:bCs/>
          <w:color w:val="auto"/>
          <w:sz w:val="24"/>
          <w:highlight w:val="none"/>
        </w:rPr>
        <w:t>有关费用处理</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12.4</w:t>
      </w:r>
      <w:r>
        <w:rPr>
          <w:rFonts w:hint="eastAsia" w:ascii="宋体" w:hAnsi="宋体" w:cs="宋体"/>
          <w:color w:val="auto"/>
          <w:sz w:val="24"/>
          <w:highlight w:val="none"/>
          <w:lang w:eastAsia="zh-CN"/>
        </w:rPr>
        <w:t>其他费用</w:t>
      </w:r>
      <w:r>
        <w:rPr>
          <w:rFonts w:hint="eastAsia" w:ascii="宋体" w:hAnsi="宋体" w:cs="宋体"/>
          <w:bCs/>
          <w:color w:val="auto"/>
          <w:sz w:val="24"/>
          <w:highlight w:val="none"/>
        </w:rPr>
        <w:t>处理</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招标文件未列明，而投标人认为必需的费用也需列入报价。</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12.5</w:t>
      </w:r>
      <w:r>
        <w:rPr>
          <w:rFonts w:hint="eastAsia" w:ascii="宋体" w:hAnsi="宋体" w:cs="宋体"/>
          <w:bCs/>
          <w:color w:val="auto"/>
          <w:sz w:val="24"/>
          <w:highlight w:val="none"/>
        </w:rPr>
        <w:t>投标货币</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投标文件中的货物单价和总价无特殊规定的采用人民币报价，以元为单位标注。</w:t>
      </w:r>
      <w:r>
        <w:rPr>
          <w:rFonts w:hint="eastAsia" w:ascii="宋体" w:hAnsi="宋体" w:cs="宋体"/>
          <w:color w:val="auto"/>
          <w:sz w:val="24"/>
          <w:highlight w:val="none"/>
        </w:rPr>
        <w:t>招标文件中另有规定的按规定执行。</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12.6</w:t>
      </w:r>
      <w:r>
        <w:rPr>
          <w:rFonts w:hint="eastAsia" w:ascii="宋体" w:hAnsi="宋体" w:cs="宋体"/>
          <w:bCs/>
          <w:color w:val="auto"/>
          <w:sz w:val="24"/>
          <w:highlight w:val="none"/>
        </w:rPr>
        <w:t xml:space="preserve"> 投标配置与分项报价表上的价格应按下列方式分开填写</w:t>
      </w:r>
      <w:r>
        <w:rPr>
          <w:rFonts w:hint="eastAsia" w:ascii="宋体" w:hAnsi="宋体" w:cs="宋体"/>
          <w:color w:val="auto"/>
          <w:sz w:val="24"/>
          <w:highlight w:val="none"/>
        </w:rPr>
        <w:t>：</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bookmarkStart w:id="100" w:name="_Hlt26670425"/>
      <w:bookmarkEnd w:id="100"/>
      <w:bookmarkStart w:id="101" w:name="_Hlt26668983"/>
      <w:bookmarkEnd w:id="101"/>
      <w:bookmarkStart w:id="102" w:name="_Hlt26954844"/>
      <w:bookmarkEnd w:id="102"/>
      <w:bookmarkStart w:id="103" w:name="_Hlt26670403"/>
      <w:bookmarkEnd w:id="103"/>
      <w:bookmarkStart w:id="104" w:name="_Hlt26954842"/>
      <w:bookmarkEnd w:id="104"/>
      <w:r>
        <w:rPr>
          <w:rFonts w:hint="eastAsia" w:ascii="宋体" w:hAnsi="宋体" w:cs="宋体"/>
          <w:bCs/>
          <w:color w:val="auto"/>
          <w:sz w:val="24"/>
          <w:highlight w:val="none"/>
        </w:rPr>
        <w:t>1、</w:t>
      </w:r>
      <w:r>
        <w:rPr>
          <w:rFonts w:hint="eastAsia" w:ascii="宋体" w:hAnsi="宋体" w:cs="宋体"/>
          <w:color w:val="auto"/>
          <w:sz w:val="24"/>
          <w:highlight w:val="none"/>
        </w:rPr>
        <w:t>项目总价：包括</w:t>
      </w:r>
      <w:r>
        <w:rPr>
          <w:rFonts w:hint="eastAsia" w:ascii="宋体" w:hAnsi="宋体" w:cs="宋体"/>
          <w:bCs/>
          <w:color w:val="auto"/>
          <w:sz w:val="24"/>
          <w:highlight w:val="none"/>
        </w:rPr>
        <w:t>买方需求的产品价格</w:t>
      </w:r>
      <w:r>
        <w:rPr>
          <w:rFonts w:hint="eastAsia" w:ascii="宋体" w:hAnsi="宋体" w:cs="宋体"/>
          <w:color w:val="auto"/>
          <w:sz w:val="24"/>
          <w:highlight w:val="none"/>
        </w:rPr>
        <w:t>、培</w:t>
      </w:r>
      <w:r>
        <w:rPr>
          <w:rFonts w:hint="eastAsia" w:ascii="宋体" w:hAnsi="宋体" w:cs="宋体"/>
          <w:bCs/>
          <w:color w:val="auto"/>
          <w:sz w:val="24"/>
          <w:highlight w:val="none"/>
        </w:rPr>
        <w:t>训费用及售后服务费用，项目在指定地点、环境交付、安装、调试、验收所需费用和所有</w:t>
      </w:r>
      <w:r>
        <w:rPr>
          <w:rFonts w:hint="eastAsia" w:ascii="宋体" w:hAnsi="宋体" w:cs="宋体"/>
          <w:color w:val="auto"/>
          <w:sz w:val="24"/>
          <w:highlight w:val="none"/>
        </w:rPr>
        <w:t>相关税金费用</w:t>
      </w:r>
      <w:r>
        <w:rPr>
          <w:rFonts w:hint="eastAsia" w:ascii="宋体" w:hAnsi="宋体" w:cs="宋体"/>
          <w:bCs/>
          <w:color w:val="auto"/>
          <w:sz w:val="24"/>
          <w:highlight w:val="none"/>
        </w:rPr>
        <w:t>及为完成整个项目所产生的</w:t>
      </w:r>
      <w:r>
        <w:rPr>
          <w:rFonts w:hint="eastAsia" w:ascii="宋体" w:hAnsi="宋体" w:cs="宋体"/>
          <w:bCs/>
          <w:color w:val="auto"/>
          <w:sz w:val="24"/>
          <w:highlight w:val="none"/>
          <w:lang w:eastAsia="zh-CN"/>
        </w:rPr>
        <w:t>其他所有</w:t>
      </w:r>
      <w:r>
        <w:rPr>
          <w:rFonts w:hint="eastAsia" w:ascii="宋体" w:hAnsi="宋体" w:cs="宋体"/>
          <w:bCs/>
          <w:color w:val="auto"/>
          <w:sz w:val="24"/>
          <w:highlight w:val="none"/>
        </w:rPr>
        <w:t>费用。</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项目单价按投标配置及分项报价表中要求填报。</w:t>
      </w:r>
    </w:p>
    <w:p>
      <w:pPr>
        <w:pStyle w:val="7"/>
        <w:pageBreakBefore w:val="0"/>
        <w:widowControl w:val="0"/>
        <w:kinsoku/>
        <w:overflowPunct/>
        <w:topLinePunct w:val="0"/>
        <w:bidi w:val="0"/>
        <w:spacing w:line="560" w:lineRule="exact"/>
        <w:textAlignment w:val="auto"/>
        <w:rPr>
          <w:rFonts w:ascii="宋体" w:hAnsi="宋体" w:cs="宋体"/>
          <w:b w:val="0"/>
          <w:bCs/>
          <w:color w:val="auto"/>
          <w:highlight w:val="none"/>
        </w:rPr>
      </w:pPr>
      <w:bookmarkStart w:id="105" w:name="_Hlt26954731"/>
      <w:bookmarkEnd w:id="105"/>
      <w:bookmarkStart w:id="106" w:name="_Hlt26954848"/>
      <w:bookmarkEnd w:id="106"/>
      <w:bookmarkStart w:id="107" w:name="_Hlt26954846"/>
      <w:bookmarkEnd w:id="107"/>
      <w:bookmarkStart w:id="108" w:name="_Hlt26670486"/>
      <w:bookmarkEnd w:id="108"/>
      <w:bookmarkStart w:id="109" w:name="_Hlt26670482"/>
      <w:bookmarkEnd w:id="109"/>
      <w:r>
        <w:rPr>
          <w:rFonts w:hint="eastAsia" w:ascii="宋体" w:hAnsi="宋体" w:cs="宋体"/>
          <w:b w:val="0"/>
          <w:bCs/>
          <w:color w:val="auto"/>
          <w:highlight w:val="none"/>
        </w:rPr>
        <w:t>13、技术参数响应及偏离表、商务条款响应及偏离表及投标货物说明</w:t>
      </w:r>
    </w:p>
    <w:p>
      <w:pPr>
        <w:pageBreakBefore w:val="0"/>
        <w:widowControl w:val="0"/>
        <w:kinsoku/>
        <w:overflowPunct/>
        <w:topLinePunct w:val="0"/>
        <w:autoSpaceDE w:val="0"/>
        <w:autoSpaceDN w:val="0"/>
        <w:bidi w:val="0"/>
        <w:adjustRightInd w:val="0"/>
        <w:spacing w:line="560" w:lineRule="exact"/>
        <w:ind w:firstLine="480"/>
        <w:textAlignment w:val="auto"/>
        <w:rPr>
          <w:rFonts w:ascii="宋体" w:hAnsi="宋体" w:cs="宋体"/>
          <w:color w:val="auto"/>
          <w:sz w:val="24"/>
          <w:highlight w:val="none"/>
          <w:lang w:val="zh-CN"/>
        </w:rPr>
      </w:pPr>
      <w:r>
        <w:rPr>
          <w:rFonts w:hint="eastAsia" w:ascii="宋体" w:hAnsi="宋体" w:cs="宋体"/>
          <w:bCs/>
          <w:color w:val="auto"/>
          <w:sz w:val="24"/>
          <w:highlight w:val="none"/>
          <w:lang w:val="zh-CN"/>
        </w:rPr>
        <w:t>13.1</w:t>
      </w:r>
      <w:r>
        <w:rPr>
          <w:rFonts w:hint="eastAsia" w:ascii="宋体" w:hAnsi="宋体" w:cs="宋体"/>
          <w:color w:val="auto"/>
          <w:sz w:val="24"/>
          <w:highlight w:val="none"/>
          <w:lang w:val="zh-CN"/>
        </w:rPr>
        <w:t xml:space="preserve"> 对招标文件中的技术与商务条款要求逐项作出响应或偏离，并说明原因；</w:t>
      </w:r>
    </w:p>
    <w:p>
      <w:pPr>
        <w:pageBreakBefore w:val="0"/>
        <w:widowControl w:val="0"/>
        <w:tabs>
          <w:tab w:val="left" w:pos="1035"/>
        </w:tabs>
        <w:kinsoku/>
        <w:overflowPunct/>
        <w:topLinePunct w:val="0"/>
        <w:autoSpaceDE w:val="0"/>
        <w:autoSpaceDN w:val="0"/>
        <w:bidi w:val="0"/>
        <w:adjustRightInd w:val="0"/>
        <w:spacing w:line="56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13.2 提供参加本项目类似案例简介；</w:t>
      </w:r>
    </w:p>
    <w:p>
      <w:pPr>
        <w:pageBreakBefore w:val="0"/>
        <w:widowControl w:val="0"/>
        <w:tabs>
          <w:tab w:val="left" w:pos="1035"/>
        </w:tabs>
        <w:kinsoku/>
        <w:overflowPunct/>
        <w:topLinePunct w:val="0"/>
        <w:autoSpaceDE w:val="0"/>
        <w:autoSpaceDN w:val="0"/>
        <w:bidi w:val="0"/>
        <w:adjustRightInd w:val="0"/>
        <w:spacing w:line="56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13.3 培训计划；</w:t>
      </w:r>
    </w:p>
    <w:p>
      <w:pPr>
        <w:pageBreakBefore w:val="0"/>
        <w:widowControl w:val="0"/>
        <w:tabs>
          <w:tab w:val="left" w:pos="1035"/>
        </w:tabs>
        <w:kinsoku/>
        <w:overflowPunct/>
        <w:topLinePunct w:val="0"/>
        <w:autoSpaceDE w:val="0"/>
        <w:autoSpaceDN w:val="0"/>
        <w:bidi w:val="0"/>
        <w:adjustRightInd w:val="0"/>
        <w:spacing w:line="56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13.4 详细阐述所投货物的主要组成部分、功能设计、实现思路及关键技术；</w:t>
      </w:r>
    </w:p>
    <w:p>
      <w:pPr>
        <w:pageBreakBefore w:val="0"/>
        <w:widowControl w:val="0"/>
        <w:tabs>
          <w:tab w:val="left" w:pos="1035"/>
        </w:tabs>
        <w:kinsoku/>
        <w:overflowPunct/>
        <w:topLinePunct w:val="0"/>
        <w:autoSpaceDE w:val="0"/>
        <w:autoSpaceDN w:val="0"/>
        <w:bidi w:val="0"/>
        <w:adjustRightInd w:val="0"/>
        <w:spacing w:line="560" w:lineRule="exact"/>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13.5 投标人认为需要的其他技术文件或说明。</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r>
        <w:rPr>
          <w:rFonts w:hint="eastAsia" w:ascii="宋体" w:hAnsi="宋体" w:cs="宋体"/>
          <w:b w:val="0"/>
          <w:bCs/>
          <w:color w:val="auto"/>
          <w:highlight w:val="none"/>
        </w:rPr>
        <w:t>14、服务承诺及售后服务机构、人员的情况介绍</w:t>
      </w:r>
    </w:p>
    <w:p>
      <w:pPr>
        <w:pageBreakBefore w:val="0"/>
        <w:widowControl w:val="0"/>
        <w:kinsoku/>
        <w:overflowPunct/>
        <w:topLinePunct w:val="0"/>
        <w:bidi w:val="0"/>
        <w:spacing w:line="5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14</w:t>
      </w:r>
      <w:r>
        <w:rPr>
          <w:rFonts w:hint="eastAsia" w:ascii="宋体" w:hAnsi="宋体" w:cs="宋体"/>
          <w:color w:val="auto"/>
          <w:sz w:val="24"/>
          <w:highlight w:val="none"/>
          <w:lang w:val="zh-CN"/>
        </w:rPr>
        <w:t>.</w:t>
      </w: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投标人的服务承诺应按不低于招标文件中商务要求的标准。</w:t>
      </w:r>
    </w:p>
    <w:p>
      <w:pPr>
        <w:pageBreakBefore w:val="0"/>
        <w:widowControl w:val="0"/>
        <w:kinsoku/>
        <w:overflowPunct/>
        <w:topLinePunct w:val="0"/>
        <w:bidi w:val="0"/>
        <w:spacing w:line="560" w:lineRule="exact"/>
        <w:ind w:firstLine="480"/>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14</w:t>
      </w:r>
      <w:r>
        <w:rPr>
          <w:rFonts w:hint="eastAsia" w:ascii="宋体" w:hAnsi="宋体" w:cs="宋体"/>
          <w:color w:val="auto"/>
          <w:sz w:val="24"/>
          <w:highlight w:val="none"/>
          <w:lang w:val="zh-CN"/>
        </w:rPr>
        <w:t>.</w:t>
      </w:r>
      <w:r>
        <w:rPr>
          <w:rFonts w:hint="eastAsia" w:ascii="宋体" w:hAnsi="宋体" w:cs="宋体"/>
          <w:bCs/>
          <w:color w:val="auto"/>
          <w:sz w:val="24"/>
          <w:szCs w:val="24"/>
          <w:highlight w:val="none"/>
        </w:rPr>
        <w:t>2</w:t>
      </w:r>
      <w:r>
        <w:rPr>
          <w:rFonts w:hint="eastAsia" w:ascii="宋体" w:hAnsi="宋体" w:cs="宋体"/>
          <w:color w:val="auto"/>
          <w:sz w:val="24"/>
          <w:szCs w:val="24"/>
          <w:highlight w:val="none"/>
        </w:rPr>
        <w:t>提供投标人有关售后服务的管理制度、售后服务机构的分布情况、售后服务人员的数量、素质、技术水平及售后服务的反应能力。</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110" w:name="_Toc49090510"/>
      <w:bookmarkStart w:id="111" w:name="_Toc14577359"/>
      <w:r>
        <w:rPr>
          <w:rFonts w:hint="eastAsia" w:ascii="宋体" w:hAnsi="宋体" w:cs="宋体"/>
          <w:b w:val="0"/>
          <w:bCs/>
          <w:color w:val="auto"/>
          <w:highlight w:val="none"/>
        </w:rPr>
        <w:t>15、投标函和开标一览表</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15.1</w:t>
      </w:r>
      <w:r>
        <w:rPr>
          <w:rFonts w:hint="eastAsia" w:ascii="宋体" w:hAnsi="宋体" w:cs="宋体"/>
          <w:color w:val="auto"/>
          <w:sz w:val="24"/>
          <w:highlight w:val="none"/>
        </w:rPr>
        <w:t xml:space="preserve"> 投标人应按照招标文件中提供的格式完整、正确填写投标函、开标一览表。</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15.2</w:t>
      </w:r>
      <w:r>
        <w:rPr>
          <w:rFonts w:hint="eastAsia" w:ascii="宋体" w:hAnsi="宋体" w:cs="宋体"/>
          <w:color w:val="auto"/>
          <w:sz w:val="24"/>
          <w:highlight w:val="none"/>
        </w:rPr>
        <w:t xml:space="preserve"> </w:t>
      </w:r>
      <w:r>
        <w:rPr>
          <w:rFonts w:hint="eastAsia" w:ascii="宋体" w:hAnsi="宋体" w:cs="宋体"/>
          <w:bCs/>
          <w:color w:val="auto"/>
          <w:sz w:val="24"/>
          <w:highlight w:val="none"/>
        </w:rPr>
        <w:t>开标一览表中的价格应与投标文件中投标配置与分项报价表中的价格一致，如不一致，</w:t>
      </w:r>
      <w:r>
        <w:rPr>
          <w:rFonts w:hint="eastAsia" w:ascii="宋体" w:hAnsi="宋体" w:cs="宋体"/>
          <w:color w:val="auto"/>
          <w:sz w:val="24"/>
          <w:szCs w:val="24"/>
          <w:highlight w:val="none"/>
        </w:rPr>
        <w:t>不作为无效投标处理</w:t>
      </w:r>
      <w:r>
        <w:rPr>
          <w:rFonts w:hint="eastAsia" w:ascii="宋体" w:hAnsi="宋体" w:cs="宋体"/>
          <w:bCs/>
          <w:color w:val="auto"/>
          <w:sz w:val="24"/>
          <w:highlight w:val="none"/>
        </w:rPr>
        <w:t>，但评标时按开标一览表中价格为准</w:t>
      </w:r>
      <w:r>
        <w:rPr>
          <w:rFonts w:hint="eastAsia" w:ascii="宋体" w:hAnsi="宋体" w:cs="宋体"/>
          <w:b/>
          <w:bCs/>
          <w:color w:val="auto"/>
          <w:sz w:val="24"/>
          <w:highlight w:val="none"/>
        </w:rPr>
        <w:t>。</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r>
        <w:rPr>
          <w:rFonts w:hint="eastAsia" w:ascii="宋体" w:hAnsi="宋体" w:cs="宋体"/>
          <w:b w:val="0"/>
          <w:bCs/>
          <w:color w:val="auto"/>
          <w:highlight w:val="none"/>
        </w:rPr>
        <w:t>16、投标保证金</w:t>
      </w:r>
      <w:bookmarkEnd w:id="110"/>
      <w:bookmarkEnd w:id="111"/>
      <w:r>
        <w:rPr>
          <w:rFonts w:hint="eastAsia" w:ascii="宋体" w:hAnsi="宋体" w:cs="宋体"/>
          <w:b w:val="0"/>
          <w:bCs/>
          <w:color w:val="auto"/>
          <w:highlight w:val="none"/>
        </w:rPr>
        <w:t>（如果收取）</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szCs w:val="24"/>
          <w:highlight w:val="none"/>
        </w:rPr>
      </w:pPr>
      <w:r>
        <w:rPr>
          <w:rFonts w:hint="eastAsia" w:ascii="宋体" w:hAnsi="宋体" w:cs="宋体"/>
          <w:color w:val="auto"/>
          <w:sz w:val="24"/>
          <w:highlight w:val="none"/>
        </w:rPr>
        <w:t>16.1</w:t>
      </w:r>
      <w:r>
        <w:rPr>
          <w:rFonts w:hint="eastAsia" w:ascii="宋体" w:hAnsi="宋体" w:cs="宋体"/>
          <w:bCs/>
          <w:color w:val="auto"/>
          <w:sz w:val="24"/>
          <w:highlight w:val="none"/>
        </w:rPr>
        <w:t>在开标时，未按要求提交投标保证金的投标无效。</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16.2</w:t>
      </w:r>
      <w:r>
        <w:rPr>
          <w:rFonts w:hint="eastAsia" w:ascii="宋体" w:hAnsi="宋体" w:cs="宋体"/>
          <w:bCs/>
          <w:color w:val="auto"/>
          <w:sz w:val="24"/>
          <w:highlight w:val="none"/>
        </w:rPr>
        <w:t>未中标的投标人的投标保证金，将在中标通知书发出之后5日内退还。</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16.3中标人的投标保证金，</w:t>
      </w:r>
      <w:r>
        <w:rPr>
          <w:rFonts w:hint="eastAsia" w:ascii="宋体" w:hAnsi="宋体" w:cs="宋体"/>
          <w:bCs/>
          <w:color w:val="auto"/>
          <w:sz w:val="24"/>
          <w:highlight w:val="none"/>
        </w:rPr>
        <w:t>将在采购合同签订之后5日内</w:t>
      </w:r>
      <w:r>
        <w:rPr>
          <w:rFonts w:hint="eastAsia" w:ascii="宋体" w:hAnsi="宋体" w:cs="宋体"/>
          <w:bCs/>
          <w:color w:val="auto"/>
          <w:sz w:val="24"/>
          <w:highlight w:val="none"/>
          <w:lang w:eastAsia="zh-CN"/>
        </w:rPr>
        <w:t>自动</w:t>
      </w:r>
      <w:r>
        <w:rPr>
          <w:rFonts w:hint="eastAsia" w:ascii="宋体" w:hAnsi="宋体" w:cs="宋体"/>
          <w:bCs/>
          <w:color w:val="auto"/>
          <w:sz w:val="24"/>
          <w:highlight w:val="none"/>
        </w:rPr>
        <w:t>退还。</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16.4</w:t>
      </w:r>
      <w:r>
        <w:rPr>
          <w:rFonts w:hint="eastAsia" w:ascii="宋体" w:hAnsi="宋体" w:cs="宋体"/>
          <w:bCs/>
          <w:color w:val="auto"/>
          <w:sz w:val="24"/>
          <w:highlight w:val="none"/>
        </w:rPr>
        <w:t xml:space="preserve"> 下列任何情况发生时，投标保证金将不予退还：</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bookmarkStart w:id="112" w:name="_Hlt26954734"/>
      <w:bookmarkEnd w:id="112"/>
      <w:bookmarkStart w:id="113" w:name="_Hlt26954850"/>
      <w:bookmarkEnd w:id="113"/>
      <w:bookmarkStart w:id="114" w:name="_Hlt26670489"/>
      <w:bookmarkEnd w:id="114"/>
      <w:bookmarkStart w:id="115" w:name="_Toc49090511"/>
      <w:bookmarkStart w:id="116" w:name="_Toc14577360"/>
      <w:r>
        <w:rPr>
          <w:rFonts w:hint="eastAsia" w:ascii="宋体" w:hAnsi="宋体" w:cs="宋体"/>
          <w:color w:val="auto"/>
          <w:sz w:val="24"/>
          <w:highlight w:val="none"/>
        </w:rPr>
        <w:t>（1）投标人在投标有效期内撤回其投标；</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（2）提供虚假材料谋取中标、成交的；</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（3）采取不正当手段诋毁、排挤其他供应商的；</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（4）与采购人、其他供应商恶意串通的。</w:t>
      </w:r>
    </w:p>
    <w:p>
      <w:pPr>
        <w:pStyle w:val="17"/>
        <w:pageBreakBefore w:val="0"/>
        <w:widowControl w:val="0"/>
        <w:kinsoku/>
        <w:overflowPunct/>
        <w:topLinePunct w:val="0"/>
        <w:bidi w:val="0"/>
        <w:spacing w:line="560" w:lineRule="exact"/>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 xml:space="preserve">16.5 </w:t>
      </w:r>
      <w:r>
        <w:rPr>
          <w:rFonts w:hint="eastAsia" w:ascii="宋体" w:hAnsi="宋体" w:cs="宋体"/>
          <w:color w:val="auto"/>
          <w:sz w:val="24"/>
          <w:szCs w:val="24"/>
          <w:highlight w:val="none"/>
        </w:rPr>
        <w:t>供应商缴纳的投标保证金必须于投标文件（响应文件）接收截止时间前，以供应商的名称，按本采购文件规定的金额缴纳到指定账户（保证金缴纳方式及账户详见第一章投标邀请—其他）。</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r>
        <w:rPr>
          <w:rFonts w:hint="eastAsia" w:ascii="宋体" w:hAnsi="宋体" w:cs="宋体"/>
          <w:b w:val="0"/>
          <w:bCs/>
          <w:color w:val="auto"/>
          <w:highlight w:val="none"/>
        </w:rPr>
        <w:t>17、投标有效期</w:t>
      </w:r>
      <w:bookmarkEnd w:id="115"/>
      <w:bookmarkEnd w:id="116"/>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17.1</w:t>
      </w:r>
      <w:r>
        <w:rPr>
          <w:rFonts w:hint="eastAsia" w:ascii="宋体" w:hAnsi="宋体" w:cs="宋体"/>
          <w:bCs/>
          <w:color w:val="auto"/>
          <w:sz w:val="24"/>
          <w:highlight w:val="none"/>
        </w:rPr>
        <w:t xml:space="preserve"> 投标有效期为交易中心规定的开标之日后</w:t>
      </w:r>
      <w:r>
        <w:rPr>
          <w:rFonts w:hint="eastAsia" w:ascii="宋体" w:hAnsi="宋体" w:cs="宋体"/>
          <w:b/>
          <w:i/>
          <w:iCs/>
          <w:color w:val="auto"/>
          <w:sz w:val="24"/>
          <w:highlight w:val="none"/>
          <w:u w:val="single"/>
        </w:rPr>
        <w:t>120天</w:t>
      </w:r>
      <w:r>
        <w:rPr>
          <w:rFonts w:hint="eastAsia" w:ascii="宋体" w:hAnsi="宋体" w:cs="宋体"/>
          <w:bCs/>
          <w:color w:val="auto"/>
          <w:sz w:val="24"/>
          <w:highlight w:val="none"/>
        </w:rPr>
        <w:t>。投标有效期比规定短的将被视为非响应性投标而予以拒绝。</w:t>
      </w:r>
    </w:p>
    <w:p>
      <w:pPr>
        <w:pStyle w:val="7"/>
        <w:pageBreakBefore w:val="0"/>
        <w:widowControl w:val="0"/>
        <w:kinsoku/>
        <w:overflowPunct/>
        <w:topLinePunct w:val="0"/>
        <w:bidi w:val="0"/>
        <w:spacing w:line="560" w:lineRule="exact"/>
        <w:textAlignment w:val="auto"/>
        <w:rPr>
          <w:rFonts w:ascii="宋体" w:hAnsi="宋体" w:cs="宋体"/>
          <w:b w:val="0"/>
          <w:bCs/>
          <w:color w:val="auto"/>
          <w:highlight w:val="none"/>
        </w:rPr>
      </w:pPr>
      <w:bookmarkStart w:id="117" w:name="_Hlt26954739"/>
      <w:bookmarkEnd w:id="117"/>
      <w:bookmarkStart w:id="118" w:name="_Hlt26954852"/>
      <w:bookmarkEnd w:id="118"/>
      <w:bookmarkStart w:id="119" w:name="_Toc49090512"/>
      <w:bookmarkStart w:id="120" w:name="_Toc14577361"/>
      <w:r>
        <w:rPr>
          <w:rFonts w:hint="eastAsia" w:ascii="宋体" w:hAnsi="宋体" w:cs="宋体"/>
          <w:b w:val="0"/>
          <w:bCs/>
          <w:color w:val="auto"/>
          <w:highlight w:val="none"/>
        </w:rPr>
        <w:t>18、</w:t>
      </w:r>
      <w:bookmarkEnd w:id="119"/>
      <w:bookmarkEnd w:id="120"/>
      <w:r>
        <w:rPr>
          <w:rFonts w:hint="eastAsia" w:ascii="宋体" w:hAnsi="宋体" w:cs="宋体"/>
          <w:b w:val="0"/>
          <w:bCs/>
          <w:color w:val="auto"/>
          <w:highlight w:val="none"/>
        </w:rPr>
        <w:t>投标有效期的延长</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18.1</w:t>
      </w:r>
      <w:r>
        <w:rPr>
          <w:rFonts w:hint="eastAsia" w:ascii="宋体" w:hAnsi="宋体" w:cs="宋体"/>
          <w:bCs/>
          <w:color w:val="auto"/>
          <w:sz w:val="24"/>
          <w:highlight w:val="none"/>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cs="宋体"/>
          <w:color w:val="auto"/>
          <w:sz w:val="24"/>
          <w:szCs w:val="24"/>
          <w:highlight w:val="none"/>
        </w:rPr>
        <w:t>交易中心在接到投标人书面答复后，将在原投标有效期满后</w:t>
      </w:r>
      <w:r>
        <w:rPr>
          <w:rFonts w:hint="eastAsia" w:ascii="宋体" w:hAnsi="宋体" w:cs="宋体"/>
          <w:bCs/>
          <w:color w:val="auto"/>
          <w:sz w:val="24"/>
          <w:szCs w:val="24"/>
          <w:highlight w:val="none"/>
        </w:rPr>
        <w:t>退还其投标保证金</w:t>
      </w:r>
      <w:r>
        <w:rPr>
          <w:rFonts w:hint="eastAsia" w:ascii="宋体" w:hAnsi="宋体" w:cs="宋体"/>
          <w:color w:val="auto"/>
          <w:sz w:val="24"/>
          <w:szCs w:val="24"/>
          <w:highlight w:val="none"/>
        </w:rPr>
        <w:t>。</w:t>
      </w:r>
      <w:r>
        <w:rPr>
          <w:rFonts w:hint="eastAsia" w:ascii="宋体" w:hAnsi="宋体" w:cs="宋体"/>
          <w:bCs/>
          <w:color w:val="auto"/>
          <w:sz w:val="24"/>
          <w:highlight w:val="none"/>
        </w:rPr>
        <w:t>同意延长投标有效期的投标人既不能要求也不允许修改其投标文件。第16条有关投标保证金的规定在延长期内继续有效</w:t>
      </w:r>
      <w:r>
        <w:rPr>
          <w:rFonts w:hint="eastAsia" w:ascii="宋体" w:hAnsi="宋体" w:cs="宋体"/>
          <w:color w:val="auto"/>
          <w:sz w:val="24"/>
          <w:szCs w:val="24"/>
          <w:highlight w:val="none"/>
        </w:rPr>
        <w:t>，同时受投标有效期约束的所有权利与义务均延长至新的有效期</w:t>
      </w:r>
      <w:r>
        <w:rPr>
          <w:rFonts w:hint="eastAsia" w:ascii="宋体" w:hAnsi="宋体" w:cs="宋体"/>
          <w:bCs/>
          <w:color w:val="auto"/>
          <w:sz w:val="24"/>
          <w:highlight w:val="none"/>
        </w:rPr>
        <w:t>。</w:t>
      </w:r>
    </w:p>
    <w:p>
      <w:pPr>
        <w:pStyle w:val="6"/>
        <w:pageBreakBefore w:val="0"/>
        <w:widowControl w:val="0"/>
        <w:kinsoku/>
        <w:overflowPunct/>
        <w:topLinePunct w:val="0"/>
        <w:bidi w:val="0"/>
        <w:spacing w:beforeLines="50" w:afterLines="50" w:line="560" w:lineRule="exact"/>
        <w:ind w:firstLine="481" w:firstLineChars="150"/>
        <w:textAlignment w:val="auto"/>
        <w:rPr>
          <w:rFonts w:ascii="宋体" w:hAnsi="宋体" w:cs="宋体"/>
          <w:color w:val="auto"/>
          <w:highlight w:val="none"/>
        </w:rPr>
      </w:pPr>
      <w:bookmarkStart w:id="121" w:name="_Toc513029224"/>
      <w:bookmarkStart w:id="122" w:name="_Toc534725601"/>
      <w:bookmarkStart w:id="123" w:name="_Toc20823296"/>
      <w:bookmarkStart w:id="124" w:name="_Toc534816630"/>
      <w:bookmarkStart w:id="125" w:name="_Toc120614217"/>
      <w:bookmarkStart w:id="126" w:name="_Toc16938540"/>
      <w:r>
        <w:rPr>
          <w:rFonts w:hint="eastAsia" w:ascii="宋体" w:hAnsi="宋体" w:cs="宋体"/>
          <w:color w:val="auto"/>
          <w:highlight w:val="none"/>
        </w:rPr>
        <w:t>四、投标文件的递交</w:t>
      </w:r>
      <w:bookmarkEnd w:id="121"/>
      <w:bookmarkEnd w:id="122"/>
      <w:bookmarkEnd w:id="123"/>
      <w:bookmarkEnd w:id="124"/>
      <w:bookmarkEnd w:id="125"/>
      <w:bookmarkEnd w:id="126"/>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127" w:name="_Toc20823297"/>
      <w:bookmarkStart w:id="128" w:name="_Toc16938541"/>
      <w:bookmarkStart w:id="129" w:name="_Toc462564084"/>
      <w:bookmarkStart w:id="130" w:name="_Toc513029225"/>
      <w:r>
        <w:rPr>
          <w:rFonts w:hint="eastAsia" w:ascii="宋体" w:hAnsi="宋体" w:cs="宋体"/>
          <w:b w:val="0"/>
          <w:bCs/>
          <w:color w:val="auto"/>
          <w:highlight w:val="none"/>
        </w:rPr>
        <w:t>19、</w:t>
      </w:r>
      <w:bookmarkEnd w:id="127"/>
      <w:bookmarkEnd w:id="128"/>
      <w:bookmarkEnd w:id="129"/>
      <w:bookmarkEnd w:id="130"/>
      <w:r>
        <w:rPr>
          <w:rFonts w:hint="eastAsia" w:ascii="宋体" w:hAnsi="宋体" w:cs="宋体"/>
          <w:b w:val="0"/>
          <w:bCs/>
          <w:color w:val="auto"/>
          <w:highlight w:val="none"/>
        </w:rPr>
        <w:t>投标文件的递交</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19.1</w:t>
      </w:r>
      <w:r>
        <w:rPr>
          <w:rFonts w:hint="eastAsia" w:ascii="宋体" w:hAnsi="宋体" w:cs="宋体"/>
          <w:bCs/>
          <w:color w:val="auto"/>
          <w:sz w:val="24"/>
          <w:highlight w:val="none"/>
        </w:rPr>
        <w:t>电子投标文件的递交</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投标人应当按照采购文件规定，在投标截止时间前制作并上传电子投标文件。</w:t>
      </w:r>
    </w:p>
    <w:p>
      <w:pPr>
        <w:pStyle w:val="7"/>
        <w:pageBreakBefore w:val="0"/>
        <w:widowControl w:val="0"/>
        <w:kinsoku/>
        <w:overflowPunct/>
        <w:topLinePunct w:val="0"/>
        <w:bidi w:val="0"/>
        <w:spacing w:line="560" w:lineRule="exact"/>
        <w:textAlignment w:val="auto"/>
        <w:rPr>
          <w:rFonts w:ascii="宋体" w:hAnsi="宋体" w:cs="宋体"/>
          <w:b w:val="0"/>
          <w:bCs/>
          <w:color w:val="auto"/>
          <w:highlight w:val="none"/>
        </w:rPr>
      </w:pPr>
      <w:bookmarkStart w:id="131" w:name="_Toc20823298"/>
      <w:bookmarkStart w:id="132" w:name="_Toc513029226"/>
      <w:bookmarkStart w:id="133" w:name="_Toc16938542"/>
      <w:r>
        <w:rPr>
          <w:rFonts w:hint="eastAsia" w:ascii="宋体" w:hAnsi="宋体" w:cs="宋体"/>
          <w:b w:val="0"/>
          <w:bCs/>
          <w:color w:val="auto"/>
          <w:highlight w:val="none"/>
        </w:rPr>
        <w:t>20、投标截止</w:t>
      </w:r>
      <w:bookmarkEnd w:id="131"/>
      <w:bookmarkEnd w:id="132"/>
      <w:bookmarkEnd w:id="133"/>
      <w:r>
        <w:rPr>
          <w:rFonts w:hint="eastAsia" w:ascii="宋体" w:hAnsi="宋体" w:cs="宋体"/>
          <w:b w:val="0"/>
          <w:bCs/>
          <w:color w:val="auto"/>
          <w:highlight w:val="none"/>
        </w:rPr>
        <w:t>时间</w:t>
      </w:r>
    </w:p>
    <w:p>
      <w:pPr>
        <w:pageBreakBefore w:val="0"/>
        <w:widowControl w:val="0"/>
        <w:kinsoku/>
        <w:overflowPunct/>
        <w:topLinePunct w:val="0"/>
        <w:bidi w:val="0"/>
        <w:spacing w:line="560" w:lineRule="exact"/>
        <w:ind w:firstLine="480" w:firstLineChars="200"/>
        <w:textAlignment w:val="auto"/>
        <w:rPr>
          <w:rFonts w:ascii="宋体" w:hAnsi="宋体" w:cs="宋体"/>
          <w:bCs/>
          <w:i/>
          <w:color w:val="auto"/>
          <w:sz w:val="24"/>
          <w:highlight w:val="none"/>
          <w:u w:val="single"/>
        </w:rPr>
      </w:pPr>
      <w:r>
        <w:rPr>
          <w:rFonts w:hint="eastAsia" w:ascii="宋体" w:hAnsi="宋体" w:cs="宋体"/>
          <w:i/>
          <w:color w:val="auto"/>
          <w:sz w:val="24"/>
          <w:highlight w:val="none"/>
          <w:u w:val="single"/>
        </w:rPr>
        <w:t>20.1</w:t>
      </w:r>
      <w:r>
        <w:rPr>
          <w:rFonts w:hint="eastAsia" w:ascii="宋体" w:hAnsi="宋体" w:cs="宋体"/>
          <w:bCs/>
          <w:i/>
          <w:color w:val="auto"/>
          <w:sz w:val="24"/>
          <w:highlight w:val="none"/>
          <w:u w:val="single"/>
        </w:rPr>
        <w:t xml:space="preserve"> 投标人上传电子投标文件的时间不得迟于招标公告中规定的投标截止时间。</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bCs/>
          <w:color w:val="auto"/>
          <w:sz w:val="24"/>
          <w:highlight w:val="none"/>
        </w:rPr>
        <w:t>投标人应</w:t>
      </w:r>
      <w:r>
        <w:rPr>
          <w:rFonts w:hint="eastAsia" w:ascii="宋体" w:hAnsi="宋体" w:cs="宋体"/>
          <w:bCs/>
          <w:color w:val="auto"/>
          <w:sz w:val="24"/>
          <w:highlight w:val="none"/>
          <w:lang w:eastAsia="zh-CN"/>
        </w:rPr>
        <w:t>充分考虑到</w:t>
      </w:r>
      <w:r>
        <w:rPr>
          <w:rFonts w:hint="eastAsia" w:ascii="宋体" w:hAnsi="宋体" w:cs="宋体"/>
          <w:bCs/>
          <w:color w:val="auto"/>
          <w:sz w:val="24"/>
          <w:highlight w:val="none"/>
        </w:rPr>
        <w:t>网络环境、网络带宽等风险因素，如因投标人自身原因造成的电子投标文件上传不成功由投标人自行承担全部责任。</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20.2</w:t>
      </w:r>
      <w:r>
        <w:rPr>
          <w:rFonts w:hint="eastAsia" w:ascii="宋体" w:hAnsi="宋体" w:cs="宋体"/>
          <w:bCs/>
          <w:color w:val="auto"/>
          <w:sz w:val="24"/>
          <w:highlight w:val="none"/>
        </w:rPr>
        <w:t xml:space="preserve"> 交易中心可以按照规定，通过修改招标文件酌情延长投标截止时间，在此情况下，投标人的所有权利和义务以及投标人受制的截止时间均应以延长后新的截止时间为准。</w:t>
      </w:r>
    </w:p>
    <w:p>
      <w:pPr>
        <w:pStyle w:val="7"/>
        <w:pageBreakBefore w:val="0"/>
        <w:widowControl w:val="0"/>
        <w:kinsoku/>
        <w:wordWrap/>
        <w:overflowPunct/>
        <w:topLinePunct w:val="0"/>
        <w:autoSpaceDE/>
        <w:autoSpaceDN/>
        <w:bidi w:val="0"/>
        <w:adjustRightInd/>
        <w:snapToGrid/>
        <w:spacing w:line="560" w:lineRule="exact"/>
        <w:textAlignment w:val="auto"/>
        <w:rPr>
          <w:rFonts w:ascii="宋体" w:hAnsi="宋体" w:cs="宋体"/>
          <w:b w:val="0"/>
          <w:bCs/>
          <w:color w:val="auto"/>
          <w:highlight w:val="none"/>
        </w:rPr>
      </w:pPr>
      <w:bookmarkStart w:id="134" w:name="_Toc20823299"/>
      <w:bookmarkStart w:id="135" w:name="_Toc16938543"/>
      <w:bookmarkStart w:id="136" w:name="_Toc513029227"/>
      <w:r>
        <w:rPr>
          <w:rFonts w:hint="eastAsia" w:ascii="宋体" w:hAnsi="宋体" w:cs="宋体"/>
          <w:b w:val="0"/>
          <w:bCs/>
          <w:color w:val="auto"/>
          <w:highlight w:val="none"/>
        </w:rPr>
        <w:t>21、</w:t>
      </w:r>
      <w:bookmarkEnd w:id="134"/>
      <w:bookmarkEnd w:id="135"/>
      <w:bookmarkEnd w:id="136"/>
      <w:r>
        <w:rPr>
          <w:rFonts w:hint="eastAsia" w:ascii="宋体" w:hAnsi="宋体" w:cs="宋体"/>
          <w:b w:val="0"/>
          <w:bCs/>
          <w:color w:val="auto"/>
          <w:highlight w:val="none"/>
        </w:rPr>
        <w:t>投标文件的拒收</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21.1</w:t>
      </w:r>
      <w:r>
        <w:rPr>
          <w:rFonts w:hint="eastAsia" w:ascii="宋体" w:hAnsi="宋体" w:cs="宋体"/>
          <w:bCs/>
          <w:color w:val="auto"/>
          <w:sz w:val="24"/>
          <w:highlight w:val="none"/>
        </w:rPr>
        <w:t>交易中心拒绝接收在其规定的投标截止时间后上传的任何投标文件。</w:t>
      </w:r>
    </w:p>
    <w:p>
      <w:pPr>
        <w:pStyle w:val="7"/>
        <w:pageBreakBefore w:val="0"/>
        <w:widowControl w:val="0"/>
        <w:kinsoku/>
        <w:wordWrap/>
        <w:overflowPunct/>
        <w:topLinePunct w:val="0"/>
        <w:autoSpaceDE/>
        <w:autoSpaceDN/>
        <w:bidi w:val="0"/>
        <w:adjustRightInd/>
        <w:snapToGrid/>
        <w:spacing w:line="560" w:lineRule="exact"/>
        <w:textAlignment w:val="auto"/>
        <w:rPr>
          <w:rFonts w:ascii="宋体" w:hAnsi="宋体" w:cs="宋体"/>
          <w:b w:val="0"/>
          <w:bCs/>
          <w:color w:val="auto"/>
          <w:highlight w:val="none"/>
        </w:rPr>
      </w:pPr>
      <w:bookmarkStart w:id="137" w:name="_Toc16938544"/>
      <w:bookmarkStart w:id="138" w:name="_Toc513029228"/>
      <w:bookmarkStart w:id="139" w:name="_Toc20823300"/>
      <w:r>
        <w:rPr>
          <w:rFonts w:hint="eastAsia" w:ascii="宋体" w:hAnsi="宋体" w:cs="宋体"/>
          <w:b w:val="0"/>
          <w:bCs/>
          <w:color w:val="auto"/>
          <w:highlight w:val="none"/>
        </w:rPr>
        <w:t>22、投标文件的修改和撤回</w:t>
      </w:r>
      <w:bookmarkEnd w:id="137"/>
      <w:bookmarkEnd w:id="138"/>
      <w:bookmarkEnd w:id="139"/>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22.1投标文件的撤回</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22.1.1 电子投标文件的撤回</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投标人可在投标截止时间前，撤回其电子投标文件。</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szCs w:val="24"/>
          <w:highlight w:val="none"/>
        </w:rPr>
        <w:t>22.1.2 投标人撤回电子投标文件，则认为其不再参与本项目投标活动。</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szCs w:val="24"/>
          <w:highlight w:val="none"/>
        </w:rPr>
        <w:t>投标文件的修改</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投标人可在投标截止时间前，对其电子投标文件进行修改。</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22.3</w:t>
      </w:r>
      <w:r>
        <w:rPr>
          <w:rFonts w:hint="eastAsia" w:ascii="宋体" w:hAnsi="宋体" w:cs="宋体"/>
          <w:bCs/>
          <w:color w:val="auto"/>
          <w:sz w:val="24"/>
          <w:highlight w:val="none"/>
        </w:rPr>
        <w:t>在投标截止时间之后，投标人不得对其电子投标文件作任何修改。</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22.4</w:t>
      </w:r>
      <w:r>
        <w:rPr>
          <w:rFonts w:hint="eastAsia" w:ascii="宋体" w:hAnsi="宋体" w:cs="宋体"/>
          <w:bCs/>
          <w:color w:val="auto"/>
          <w:sz w:val="24"/>
          <w:highlight w:val="none"/>
        </w:rPr>
        <w:t>在投标截止时间至招标文件中规定的投标有效期满之间的这段时间内，投标人不得撤回其投标，否则其投标保证金将不予退还。</w:t>
      </w:r>
    </w:p>
    <w:p>
      <w:pPr>
        <w:pStyle w:val="6"/>
        <w:pageBreakBefore w:val="0"/>
        <w:widowControl w:val="0"/>
        <w:kinsoku/>
        <w:overflowPunct/>
        <w:topLinePunct w:val="0"/>
        <w:bidi w:val="0"/>
        <w:spacing w:beforeLines="50" w:afterLines="50" w:line="560" w:lineRule="exact"/>
        <w:ind w:firstLine="481" w:firstLineChars="150"/>
        <w:textAlignment w:val="auto"/>
        <w:rPr>
          <w:rFonts w:ascii="宋体" w:hAnsi="宋体" w:cs="宋体"/>
          <w:color w:val="auto"/>
          <w:highlight w:val="none"/>
        </w:rPr>
      </w:pPr>
      <w:bookmarkStart w:id="140" w:name="_Toc120614218"/>
      <w:bookmarkStart w:id="141" w:name="_Toc534816631"/>
      <w:bookmarkStart w:id="142" w:name="_Toc534725602"/>
      <w:bookmarkStart w:id="143" w:name="_Toc16938545"/>
      <w:bookmarkStart w:id="144" w:name="_Toc513029229"/>
      <w:bookmarkStart w:id="145" w:name="_Toc20823301"/>
      <w:r>
        <w:rPr>
          <w:rFonts w:hint="eastAsia" w:ascii="宋体" w:hAnsi="宋体" w:cs="宋体"/>
          <w:color w:val="auto"/>
          <w:highlight w:val="none"/>
        </w:rPr>
        <w:t>五、开标与评标</w:t>
      </w:r>
      <w:bookmarkEnd w:id="140"/>
      <w:bookmarkEnd w:id="141"/>
      <w:bookmarkEnd w:id="142"/>
      <w:bookmarkEnd w:id="143"/>
      <w:bookmarkEnd w:id="144"/>
      <w:bookmarkEnd w:id="145"/>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146" w:name="_Toc513029230"/>
      <w:bookmarkStart w:id="147" w:name="_Toc16938546"/>
      <w:bookmarkStart w:id="148" w:name="_Toc20823302"/>
      <w:r>
        <w:rPr>
          <w:rFonts w:hint="eastAsia" w:ascii="宋体" w:hAnsi="宋体" w:cs="宋体"/>
          <w:b w:val="0"/>
          <w:bCs/>
          <w:color w:val="auto"/>
          <w:highlight w:val="none"/>
        </w:rPr>
        <w:t>23、开标</w:t>
      </w:r>
      <w:bookmarkEnd w:id="146"/>
      <w:bookmarkEnd w:id="147"/>
      <w:bookmarkEnd w:id="148"/>
    </w:p>
    <w:p>
      <w:pPr>
        <w:pageBreakBefore w:val="0"/>
        <w:widowControl w:val="0"/>
        <w:kinsoku/>
        <w:overflowPunct/>
        <w:topLinePunct w:val="0"/>
        <w:bidi w:val="0"/>
        <w:spacing w:line="560" w:lineRule="exact"/>
        <w:ind w:firstLine="420" w:firstLineChars="175"/>
        <w:textAlignment w:val="auto"/>
        <w:rPr>
          <w:rFonts w:ascii="宋体" w:hAnsi="宋体" w:cs="宋体"/>
          <w:color w:val="auto"/>
          <w:sz w:val="24"/>
          <w:szCs w:val="24"/>
          <w:highlight w:val="none"/>
        </w:rPr>
      </w:pPr>
      <w:r>
        <w:rPr>
          <w:rFonts w:hint="eastAsia" w:ascii="宋体" w:hAnsi="宋体" w:cs="宋体"/>
          <w:color w:val="auto"/>
          <w:sz w:val="24"/>
          <w:highlight w:val="none"/>
        </w:rPr>
        <w:t>23.1</w:t>
      </w:r>
      <w:r>
        <w:rPr>
          <w:rFonts w:hint="eastAsia" w:ascii="宋体" w:hAnsi="宋体" w:cs="宋体"/>
          <w:bCs/>
          <w:color w:val="auto"/>
          <w:sz w:val="24"/>
          <w:highlight w:val="none"/>
        </w:rPr>
        <w:t>交易中心将在招标公告中规定的时间和地点组织线上公开开标</w:t>
      </w:r>
      <w:r>
        <w:rPr>
          <w:rFonts w:hint="eastAsia" w:ascii="宋体" w:hAnsi="宋体" w:cs="宋体"/>
          <w:color w:val="auto"/>
          <w:sz w:val="24"/>
          <w:szCs w:val="24"/>
          <w:highlight w:val="none"/>
        </w:rPr>
        <w:t>。投标人应当参加开标活动。</w:t>
      </w:r>
    </w:p>
    <w:p>
      <w:pPr>
        <w:pageBreakBefore w:val="0"/>
        <w:widowControl w:val="0"/>
        <w:kinsoku/>
        <w:overflowPunct/>
        <w:topLinePunct w:val="0"/>
        <w:bidi w:val="0"/>
        <w:spacing w:line="5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23.2</w:t>
      </w:r>
      <w:r>
        <w:rPr>
          <w:rFonts w:hint="eastAsia" w:ascii="宋体" w:hAnsi="宋体" w:cs="宋体"/>
          <w:color w:val="auto"/>
          <w:sz w:val="24"/>
          <w:szCs w:val="24"/>
          <w:highlight w:val="none"/>
        </w:rPr>
        <w:t>开标过程由交易中心组织。“政采云平台不见面开标大厅”系统将自动对项目进行开标，并公布各投标人的《开标一览表》。</w:t>
      </w:r>
    </w:p>
    <w:p>
      <w:pPr>
        <w:pageBreakBefore w:val="0"/>
        <w:widowControl w:val="0"/>
        <w:kinsoku/>
        <w:overflowPunct/>
        <w:topLinePunct w:val="0"/>
        <w:bidi w:val="0"/>
        <w:spacing w:line="560" w:lineRule="exact"/>
        <w:ind w:firstLine="480" w:firstLineChars="200"/>
        <w:textAlignment w:val="auto"/>
        <w:rPr>
          <w:rFonts w:ascii="宋体" w:hAnsi="宋体" w:cs="宋体"/>
          <w:b/>
          <w:i/>
          <w:color w:val="auto"/>
          <w:sz w:val="24"/>
          <w:szCs w:val="24"/>
          <w:highlight w:val="none"/>
          <w:u w:val="single"/>
        </w:rPr>
      </w:pPr>
      <w:r>
        <w:rPr>
          <w:rFonts w:hint="eastAsia" w:ascii="宋体" w:hAnsi="宋体" w:cs="宋体"/>
          <w:color w:val="auto"/>
          <w:sz w:val="24"/>
          <w:highlight w:val="none"/>
        </w:rPr>
        <w:t>23.3</w:t>
      </w:r>
      <w:r>
        <w:rPr>
          <w:rFonts w:hint="eastAsia" w:ascii="宋体" w:hAnsi="宋体" w:cs="宋体"/>
          <w:bCs/>
          <w:color w:val="auto"/>
          <w:sz w:val="24"/>
          <w:highlight w:val="none"/>
        </w:rPr>
        <w:t>投标人在开标过程中</w:t>
      </w:r>
      <w:r>
        <w:rPr>
          <w:rFonts w:hint="eastAsia" w:ascii="宋体" w:hAnsi="宋体" w:cs="宋体"/>
          <w:bCs/>
          <w:color w:val="auto"/>
          <w:sz w:val="24"/>
          <w:highlight w:val="none"/>
          <w:lang w:eastAsia="zh-CN"/>
        </w:rPr>
        <w:t>涉及到</w:t>
      </w:r>
      <w:r>
        <w:rPr>
          <w:rFonts w:hint="eastAsia" w:ascii="宋体" w:hAnsi="宋体" w:cs="宋体"/>
          <w:bCs/>
          <w:color w:val="auto"/>
          <w:sz w:val="24"/>
          <w:highlight w:val="none"/>
        </w:rPr>
        <w:t>的投标文件解密、开标结果确认等工作，应按照采购文件规定执行。</w:t>
      </w:r>
      <w:r>
        <w:rPr>
          <w:rFonts w:hint="eastAsia" w:ascii="宋体" w:hAnsi="宋体" w:cs="宋体"/>
          <w:color w:val="auto"/>
          <w:sz w:val="24"/>
          <w:szCs w:val="24"/>
          <w:highlight w:val="none"/>
        </w:rPr>
        <w:t xml:space="preserve">    </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149" w:name="_Toc20823303"/>
      <w:bookmarkStart w:id="150" w:name="_Toc16938547"/>
      <w:bookmarkStart w:id="151" w:name="_Toc513029231"/>
      <w:r>
        <w:rPr>
          <w:rFonts w:hint="eastAsia" w:ascii="宋体" w:hAnsi="宋体" w:cs="宋体"/>
          <w:b w:val="0"/>
          <w:bCs/>
          <w:color w:val="auto"/>
          <w:highlight w:val="none"/>
        </w:rPr>
        <w:t>24、评标委员会</w:t>
      </w:r>
    </w:p>
    <w:p>
      <w:pPr>
        <w:pageBreakBefore w:val="0"/>
        <w:widowControl w:val="0"/>
        <w:kinsoku/>
        <w:overflowPunct/>
        <w:topLinePunct w:val="0"/>
        <w:bidi w:val="0"/>
        <w:spacing w:line="56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 xml:space="preserve"> 24.1</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开标后，交易中心将立即组织评标委员会（以下简称评委会）进行评标。</w:t>
      </w:r>
    </w:p>
    <w:p>
      <w:pPr>
        <w:pageBreakBefore w:val="0"/>
        <w:widowControl w:val="0"/>
        <w:kinsoku/>
        <w:overflowPunct/>
        <w:topLinePunct w:val="0"/>
        <w:bidi w:val="0"/>
        <w:spacing w:line="56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 xml:space="preserve"> 24.2 评委会由采购人代表和有关技术、经济等方面的专家组成，且人员构成符合政府采购有关规定。</w:t>
      </w:r>
    </w:p>
    <w:p>
      <w:pPr>
        <w:pageBreakBefore w:val="0"/>
        <w:widowControl w:val="0"/>
        <w:kinsoku/>
        <w:overflowPunct/>
        <w:topLinePunct w:val="0"/>
        <w:bidi w:val="0"/>
        <w:spacing w:line="56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 xml:space="preserve"> 24.3评委会独立工作，负责评审所有投标文件并确定中标</w:t>
      </w:r>
      <w:r>
        <w:rPr>
          <w:rFonts w:hint="eastAsia" w:ascii="宋体" w:hAnsi="宋体" w:cs="宋体"/>
          <w:color w:val="auto"/>
          <w:sz w:val="24"/>
          <w:szCs w:val="24"/>
          <w:highlight w:val="none"/>
          <w:lang w:eastAsia="zh-CN"/>
        </w:rPr>
        <w:t>候选人</w:t>
      </w:r>
      <w:r>
        <w:rPr>
          <w:rFonts w:hint="eastAsia" w:ascii="宋体" w:hAnsi="宋体" w:cs="宋体"/>
          <w:color w:val="auto"/>
          <w:sz w:val="24"/>
          <w:szCs w:val="24"/>
          <w:highlight w:val="none"/>
        </w:rPr>
        <w:t>。</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r>
        <w:rPr>
          <w:rFonts w:hint="eastAsia" w:ascii="宋体" w:hAnsi="宋体" w:cs="宋体"/>
          <w:b w:val="0"/>
          <w:bCs/>
          <w:color w:val="auto"/>
          <w:highlight w:val="none"/>
        </w:rPr>
        <w:t>25．评标过程的保密与公正</w:t>
      </w:r>
    </w:p>
    <w:bookmarkEnd w:id="149"/>
    <w:bookmarkEnd w:id="150"/>
    <w:bookmarkEnd w:id="151"/>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25.1</w:t>
      </w:r>
      <w:r>
        <w:rPr>
          <w:rFonts w:hint="eastAsia" w:ascii="宋体" w:hAnsi="宋体" w:cs="宋体"/>
          <w:bCs/>
          <w:color w:val="auto"/>
          <w:sz w:val="24"/>
          <w:highlight w:val="none"/>
        </w:rPr>
        <w:t>公开开标后，直至向中标的投标人授予合同时止，凡是与审查、澄清、评价和比较投标的有关资料以及授标建议等，采购人、评委、交易中心均不得向投标人或与评标无关的其他人员透露。</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25.2</w:t>
      </w:r>
      <w:r>
        <w:rPr>
          <w:rFonts w:hint="eastAsia" w:ascii="宋体" w:hAnsi="宋体" w:cs="宋体"/>
          <w:color w:val="auto"/>
          <w:sz w:val="24"/>
          <w:szCs w:val="24"/>
          <w:highlight w:val="none"/>
        </w:rPr>
        <w:t>在评标过程中，投标人不得以任何行为影响评标过程，否则其投标文件将被作为无效投标文件。</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25.3</w:t>
      </w:r>
      <w:r>
        <w:rPr>
          <w:rFonts w:hint="eastAsia" w:ascii="宋体" w:hAnsi="宋体" w:cs="宋体"/>
          <w:color w:val="auto"/>
          <w:sz w:val="24"/>
          <w:szCs w:val="24"/>
          <w:highlight w:val="none"/>
        </w:rPr>
        <w:t>在评标期间，交易中心将设专门人员与投标人联系。</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25.4 交易中心和评标委员会不向未中标的投标人解释未中标原因，也不公布评标过程中的相关细节。</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25.5 采用综合评分法的项目，未中标的投标人如需了解自己的评标得分及排序情况，可于中标结果公告期限届满之日起7个工作日内，由其法定代表人或授权代表携带本人有效身份证件到交易中心登记查询，逾期将不予受理。</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152" w:name="_Toc513029232"/>
      <w:bookmarkStart w:id="153" w:name="_Toc20823304"/>
      <w:bookmarkStart w:id="154" w:name="_Toc16938548"/>
      <w:r>
        <w:rPr>
          <w:rFonts w:hint="eastAsia" w:ascii="宋体" w:hAnsi="宋体" w:cs="宋体"/>
          <w:b w:val="0"/>
          <w:bCs/>
          <w:color w:val="auto"/>
          <w:highlight w:val="none"/>
        </w:rPr>
        <w:t>26．投标的澄清</w:t>
      </w:r>
      <w:bookmarkEnd w:id="152"/>
      <w:bookmarkEnd w:id="153"/>
      <w:bookmarkEnd w:id="154"/>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26.1评标期间，为有助于对投标文件的审查、评价和比较，评委会有权以发送电子函件、召开视频会议或</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适当的方式要求投标人对其投标文件进行澄清，但并非对每个投标人都作澄清要求。</w:t>
      </w:r>
    </w:p>
    <w:p>
      <w:pPr>
        <w:pageBreakBefore w:val="0"/>
        <w:widowControl w:val="0"/>
        <w:kinsoku/>
        <w:overflowPunct/>
        <w:topLinePunct w:val="0"/>
        <w:bidi w:val="0"/>
        <w:spacing w:line="5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pageBreakBefore w:val="0"/>
        <w:widowControl w:val="0"/>
        <w:kinsoku/>
        <w:overflowPunct/>
        <w:topLinePunct w:val="0"/>
        <w:bidi w:val="0"/>
        <w:spacing w:line="56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26.3 接到评委会澄清要求的投标人如未按规定</w:t>
      </w:r>
      <w:r>
        <w:rPr>
          <w:rFonts w:hint="eastAsia" w:ascii="宋体" w:hAnsi="宋体" w:cs="宋体"/>
          <w:color w:val="auto"/>
          <w:sz w:val="24"/>
          <w:szCs w:val="24"/>
          <w:highlight w:val="none"/>
          <w:lang w:eastAsia="zh-CN"/>
        </w:rPr>
        <w:t>作出</w:t>
      </w:r>
      <w:r>
        <w:rPr>
          <w:rFonts w:hint="eastAsia" w:ascii="宋体" w:hAnsi="宋体" w:cs="宋体"/>
          <w:color w:val="auto"/>
          <w:sz w:val="24"/>
          <w:szCs w:val="24"/>
          <w:highlight w:val="none"/>
        </w:rPr>
        <w:t>澄清，其风险由投标人自行承担。</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bookmarkStart w:id="155" w:name="_Toc16938549"/>
      <w:bookmarkStart w:id="156" w:name="_Toc20823305"/>
      <w:bookmarkStart w:id="157" w:name="_Toc513029233"/>
      <w:r>
        <w:rPr>
          <w:rFonts w:hint="eastAsia" w:ascii="宋体" w:hAnsi="宋体" w:cs="宋体"/>
          <w:b w:val="0"/>
          <w:bCs/>
          <w:color w:val="auto"/>
          <w:highlight w:val="none"/>
        </w:rPr>
        <w:t>27、对投标文件的初审</w:t>
      </w:r>
      <w:bookmarkEnd w:id="155"/>
      <w:bookmarkEnd w:id="156"/>
      <w:bookmarkEnd w:id="157"/>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27.1</w:t>
      </w:r>
      <w:r>
        <w:rPr>
          <w:rFonts w:hint="eastAsia" w:ascii="宋体" w:hAnsi="宋体" w:cs="宋体"/>
          <w:bCs/>
          <w:color w:val="auto"/>
          <w:sz w:val="24"/>
          <w:highlight w:val="none"/>
        </w:rPr>
        <w:t>投标文件初审分为资格审查和符合性审查。</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27.1.1 资格审查：依据法律法规和招标文件的规定，由采购人对投标文件中的资格证明文件进行审查。资格审查的结论，采购人以书面形式向评委会进行反馈。</w:t>
      </w:r>
    </w:p>
    <w:p>
      <w:pPr>
        <w:pageBreakBefore w:val="0"/>
        <w:widowControl w:val="0"/>
        <w:kinsoku/>
        <w:wordWrap w:val="0"/>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27.1.2 符合性审查：依据招标文件的规定，由评委会从投标文件的有效性、完整性和对招标文件的响应程度进行审查，以确定是否对招标文件的实质性要求作出响应。</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27.1.3 未通过资格审查或符合性审查的投标人，交易中心将向其授权代表告知未通过资格审查或符合性审查的原因，</w:t>
      </w:r>
      <w:r>
        <w:rPr>
          <w:rFonts w:hint="eastAsia" w:ascii="宋体" w:hAnsi="宋体" w:cs="宋体"/>
          <w:bCs/>
          <w:color w:val="auto"/>
          <w:sz w:val="24"/>
          <w:highlight w:val="none"/>
          <w:lang w:eastAsia="en-US"/>
        </w:rPr>
        <w:t>采用综合评分法</w:t>
      </w:r>
      <w:r>
        <w:rPr>
          <w:rFonts w:hint="eastAsia" w:ascii="宋体" w:hAnsi="宋体" w:cs="宋体"/>
          <w:bCs/>
          <w:color w:val="auto"/>
          <w:sz w:val="24"/>
          <w:highlight w:val="none"/>
        </w:rPr>
        <w:t>评标</w:t>
      </w:r>
      <w:r>
        <w:rPr>
          <w:rFonts w:hint="eastAsia" w:ascii="宋体" w:hAnsi="宋体" w:cs="宋体"/>
          <w:bCs/>
          <w:color w:val="auto"/>
          <w:sz w:val="24"/>
          <w:highlight w:val="none"/>
          <w:lang w:eastAsia="en-US"/>
        </w:rPr>
        <w:t>的，还应当告知未中标人本人的</w:t>
      </w:r>
      <w:r>
        <w:rPr>
          <w:rFonts w:hint="eastAsia" w:ascii="宋体" w:hAnsi="宋体" w:cs="宋体"/>
          <w:bCs/>
          <w:color w:val="auto"/>
          <w:sz w:val="24"/>
          <w:highlight w:val="none"/>
        </w:rPr>
        <w:t>评标</w:t>
      </w:r>
      <w:r>
        <w:rPr>
          <w:rFonts w:hint="eastAsia" w:ascii="宋体" w:hAnsi="宋体" w:cs="宋体"/>
          <w:bCs/>
          <w:color w:val="auto"/>
          <w:sz w:val="24"/>
          <w:highlight w:val="none"/>
          <w:lang w:eastAsia="en-US"/>
        </w:rPr>
        <w:t>得分与排序。</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highlight w:val="none"/>
        </w:rPr>
        <w:t>27.2</w:t>
      </w:r>
      <w:r>
        <w:rPr>
          <w:rFonts w:hint="eastAsia" w:ascii="宋体" w:hAnsi="宋体" w:cs="宋体"/>
          <w:color w:val="auto"/>
          <w:sz w:val="24"/>
          <w:szCs w:val="24"/>
          <w:highlight w:val="none"/>
        </w:rPr>
        <w:t>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szCs w:val="24"/>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auto"/>
          <w:sz w:val="24"/>
          <w:highlight w:val="none"/>
        </w:rPr>
        <w:t>评委决定投标文件的响应性只根据投标文件本身的内容，而不寻求外部的证据。</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27.3</w:t>
      </w:r>
      <w:r>
        <w:rPr>
          <w:rFonts w:hint="eastAsia" w:ascii="宋体" w:hAnsi="宋体" w:cs="宋体"/>
          <w:bCs/>
          <w:color w:val="auto"/>
          <w:sz w:val="24"/>
          <w:highlight w:val="none"/>
        </w:rPr>
        <w:t>如果投标文件实质上没有响应招标文件的要求，评委会将予以拒绝，投标人不得通过修改或撤销</w:t>
      </w:r>
      <w:r>
        <w:rPr>
          <w:rFonts w:hint="eastAsia" w:ascii="宋体" w:hAnsi="宋体" w:cs="宋体"/>
          <w:bCs/>
          <w:color w:val="auto"/>
          <w:sz w:val="24"/>
          <w:highlight w:val="none"/>
          <w:lang w:eastAsia="zh-CN"/>
        </w:rPr>
        <w:t>不符</w:t>
      </w:r>
      <w:r>
        <w:rPr>
          <w:rFonts w:hint="eastAsia" w:ascii="宋体" w:hAnsi="宋体" w:cs="宋体"/>
          <w:bCs/>
          <w:color w:val="auto"/>
          <w:sz w:val="24"/>
          <w:highlight w:val="none"/>
        </w:rPr>
        <w:t>合要求的偏离或保留而使其投标成为实质性响应的投标。</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27.4</w:t>
      </w:r>
      <w:r>
        <w:rPr>
          <w:rFonts w:hint="eastAsia" w:ascii="宋体" w:hAnsi="宋体" w:cs="宋体"/>
          <w:bCs/>
          <w:color w:val="auto"/>
          <w:sz w:val="24"/>
          <w:highlight w:val="none"/>
        </w:rPr>
        <w:t>评委会将对确定为实质性响应的投标进行进一步审核，</w:t>
      </w:r>
      <w:r>
        <w:rPr>
          <w:rFonts w:hint="eastAsia" w:ascii="宋体" w:hAnsi="宋体" w:cs="宋体"/>
          <w:bCs/>
          <w:color w:val="auto"/>
          <w:sz w:val="24"/>
          <w:highlight w:val="none"/>
          <w:lang w:eastAsia="en-US"/>
        </w:rPr>
        <w:t>投标文件报价出现前后不一致的，除招标文件另有规定外,按照下列规定修正</w:t>
      </w:r>
      <w:r>
        <w:rPr>
          <w:rFonts w:hint="eastAsia" w:ascii="宋体" w:hAnsi="宋体" w:cs="宋体"/>
          <w:bCs/>
          <w:color w:val="auto"/>
          <w:sz w:val="24"/>
          <w:highlight w:val="none"/>
        </w:rPr>
        <w:t>：</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（1）投标文件中开标一览表内容与投标文件中相应内容不一致的，以开标一览表为准。</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（2）大写金额和小写金额不一致的，以大写金额为准。</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（3）单价金额小数点或者百分比有明显错位的，以开标一览表的总价为准，并修改单价。</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（4）总价金额与按单价汇总金额不一致的，以单价金额计算结果为准。</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同时出现两种以上错误的，按照前款规定的顺序修正。</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27.5</w:t>
      </w:r>
      <w:r>
        <w:rPr>
          <w:rFonts w:hint="eastAsia" w:ascii="宋体" w:hAnsi="宋体" w:cs="宋体"/>
          <w:bCs/>
          <w:color w:val="auto"/>
          <w:sz w:val="24"/>
          <w:highlight w:val="none"/>
        </w:rPr>
        <w:t>评委会将按上述修正错误的方法调整投标文件中的投标报价，并通过</w:t>
      </w:r>
      <w:r>
        <w:rPr>
          <w:rFonts w:hint="eastAsia" w:ascii="宋体" w:hAnsi="宋体" w:cs="宋体"/>
          <w:bCs/>
          <w:color w:val="auto"/>
          <w:sz w:val="24"/>
          <w:highlight w:val="none"/>
          <w:lang w:eastAsia="en-US"/>
        </w:rPr>
        <w:t>书面形式</w:t>
      </w:r>
      <w:r>
        <w:rPr>
          <w:rFonts w:hint="eastAsia" w:ascii="宋体" w:hAnsi="宋体" w:cs="宋体"/>
          <w:bCs/>
          <w:color w:val="auto"/>
          <w:sz w:val="24"/>
          <w:highlight w:val="none"/>
        </w:rPr>
        <w:t>告知投标人，调整后的价格</w:t>
      </w:r>
      <w:r>
        <w:rPr>
          <w:rFonts w:hint="eastAsia" w:ascii="宋体" w:hAnsi="宋体" w:cs="宋体"/>
          <w:bCs/>
          <w:color w:val="auto"/>
          <w:sz w:val="24"/>
          <w:highlight w:val="none"/>
          <w:lang w:eastAsia="zh-CN"/>
        </w:rPr>
        <w:t>应对</w:t>
      </w:r>
      <w:r>
        <w:rPr>
          <w:rFonts w:hint="eastAsia" w:ascii="宋体" w:hAnsi="宋体" w:cs="宋体"/>
          <w:bCs/>
          <w:color w:val="auto"/>
          <w:sz w:val="24"/>
          <w:highlight w:val="none"/>
        </w:rPr>
        <w:t>投标人具有约束力。如果投标人不接受修正后的价格，则其投标将被拒绝，其投标保证金不予退还。</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color w:val="auto"/>
          <w:sz w:val="24"/>
          <w:highlight w:val="none"/>
        </w:rPr>
        <w:t>27.6</w:t>
      </w:r>
      <w:r>
        <w:rPr>
          <w:rFonts w:hint="eastAsia" w:ascii="宋体" w:hAnsi="宋体" w:cs="宋体"/>
          <w:bCs/>
          <w:color w:val="auto"/>
          <w:sz w:val="24"/>
          <w:highlight w:val="none"/>
        </w:rPr>
        <w:t>评委会将允许修正投标文件中不构成重大偏离的、微小的、非正规的、不一致的或不规则的地方，但这些修改不能影响任何投标人相应的名次排列。</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bookmarkStart w:id="158" w:name="_Toc20823306"/>
      <w:bookmarkStart w:id="159" w:name="_Toc513029234"/>
      <w:bookmarkStart w:id="160" w:name="_Toc16938550"/>
      <w:r>
        <w:rPr>
          <w:rFonts w:hint="eastAsia" w:ascii="宋体" w:hAnsi="宋体" w:cs="宋体"/>
          <w:color w:val="auto"/>
          <w:sz w:val="24"/>
          <w:highlight w:val="none"/>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widowControl w:val="0"/>
        <w:kinsoku/>
        <w:overflowPunct/>
        <w:topLinePunct w:val="0"/>
        <w:bidi w:val="0"/>
        <w:spacing w:line="560" w:lineRule="exact"/>
        <w:ind w:firstLine="481" w:firstLineChars="200"/>
        <w:textAlignment w:val="auto"/>
        <w:rPr>
          <w:rFonts w:ascii="宋体" w:hAnsi="宋体" w:cs="宋体"/>
          <w:color w:val="auto"/>
          <w:sz w:val="24"/>
          <w:highlight w:val="none"/>
        </w:rPr>
      </w:pPr>
      <w:r>
        <w:rPr>
          <w:rFonts w:hint="eastAsia" w:ascii="宋体" w:hAnsi="宋体" w:cs="宋体"/>
          <w:b/>
          <w:color w:val="auto"/>
          <w:sz w:val="24"/>
          <w:highlight w:val="none"/>
        </w:rPr>
        <w:t>非单一产品采购项目</w:t>
      </w:r>
      <w:r>
        <w:rPr>
          <w:rFonts w:hint="eastAsia" w:ascii="宋体" w:hAnsi="宋体" w:cs="宋体"/>
          <w:color w:val="auto"/>
          <w:sz w:val="24"/>
          <w:highlight w:val="none"/>
        </w:rPr>
        <w:t>，招标文件中将载明其中的</w:t>
      </w:r>
      <w:r>
        <w:rPr>
          <w:rFonts w:hint="eastAsia" w:ascii="宋体" w:hAnsi="宋体" w:cs="宋体"/>
          <w:b/>
          <w:color w:val="auto"/>
          <w:sz w:val="24"/>
          <w:highlight w:val="none"/>
        </w:rPr>
        <w:t>核心产品</w:t>
      </w:r>
      <w:r>
        <w:rPr>
          <w:rFonts w:hint="eastAsia" w:ascii="宋体" w:hAnsi="宋体" w:cs="宋体"/>
          <w:color w:val="auto"/>
          <w:sz w:val="24"/>
          <w:highlight w:val="none"/>
        </w:rPr>
        <w:t>。多家投标人提供的核心产品品牌相同的，按前两款规定处理。</w:t>
      </w:r>
    </w:p>
    <w:p>
      <w:pPr>
        <w:pStyle w:val="7"/>
        <w:pageBreakBefore w:val="0"/>
        <w:widowControl w:val="0"/>
        <w:kinsoku/>
        <w:overflowPunct/>
        <w:topLinePunct w:val="0"/>
        <w:bidi w:val="0"/>
        <w:spacing w:line="560" w:lineRule="exact"/>
        <w:textAlignment w:val="auto"/>
        <w:rPr>
          <w:rFonts w:ascii="宋体" w:hAnsi="宋体" w:cs="宋体"/>
          <w:b w:val="0"/>
          <w:color w:val="auto"/>
          <w:highlight w:val="none"/>
        </w:rPr>
      </w:pPr>
      <w:r>
        <w:rPr>
          <w:rFonts w:hint="eastAsia" w:ascii="宋体" w:hAnsi="宋体" w:cs="宋体"/>
          <w:b w:val="0"/>
          <w:bCs/>
          <w:color w:val="auto"/>
          <w:highlight w:val="none"/>
        </w:rPr>
        <w:t>28、</w:t>
      </w:r>
      <w:bookmarkEnd w:id="158"/>
      <w:bookmarkEnd w:id="159"/>
      <w:bookmarkEnd w:id="160"/>
      <w:r>
        <w:rPr>
          <w:rFonts w:hint="eastAsia" w:ascii="宋体" w:hAnsi="宋体" w:cs="宋体"/>
          <w:b w:val="0"/>
          <w:bCs/>
          <w:color w:val="auto"/>
          <w:highlight w:val="none"/>
        </w:rPr>
        <w:t>无效投标条款和废标条款</w:t>
      </w:r>
    </w:p>
    <w:p>
      <w:pPr>
        <w:pageBreakBefore w:val="0"/>
        <w:widowControl w:val="0"/>
        <w:kinsoku/>
        <w:overflowPunct/>
        <w:topLinePunct w:val="0"/>
        <w:bidi w:val="0"/>
        <w:spacing w:line="560" w:lineRule="exact"/>
        <w:ind w:left="479" w:leftChars="228"/>
        <w:textAlignment w:val="auto"/>
        <w:rPr>
          <w:rFonts w:ascii="宋体" w:hAnsi="宋体" w:cs="宋体"/>
          <w:bCs/>
          <w:color w:val="auto"/>
          <w:sz w:val="24"/>
          <w:highlight w:val="none"/>
        </w:rPr>
      </w:pPr>
      <w:bookmarkStart w:id="161" w:name="_Toc16938551"/>
      <w:bookmarkStart w:id="162" w:name="_Toc20823307"/>
      <w:bookmarkStart w:id="163" w:name="_Toc513029235"/>
      <w:r>
        <w:rPr>
          <w:rFonts w:hint="eastAsia" w:ascii="宋体" w:hAnsi="宋体" w:cs="宋体"/>
          <w:bCs/>
          <w:color w:val="auto"/>
          <w:sz w:val="24"/>
          <w:highlight w:val="none"/>
        </w:rPr>
        <w:t>28.1无效投标条款</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28.1.1未按要求</w:t>
      </w:r>
      <w:r>
        <w:rPr>
          <w:rFonts w:hint="eastAsia" w:ascii="宋体" w:hAnsi="宋体" w:cs="宋体"/>
          <w:bCs/>
          <w:color w:val="auto"/>
          <w:sz w:val="24"/>
          <w:highlight w:val="none"/>
          <w:lang w:eastAsia="zh-CN"/>
        </w:rPr>
        <w:t>缴纳</w:t>
      </w:r>
      <w:r>
        <w:rPr>
          <w:rFonts w:hint="eastAsia" w:ascii="宋体" w:hAnsi="宋体" w:cs="宋体"/>
          <w:bCs/>
          <w:color w:val="auto"/>
          <w:sz w:val="24"/>
          <w:highlight w:val="none"/>
        </w:rPr>
        <w:t>投标保证金的。</w:t>
      </w:r>
    </w:p>
    <w:p>
      <w:pPr>
        <w:pageBreakBefore w:val="0"/>
        <w:widowControl w:val="0"/>
        <w:kinsoku/>
        <w:overflowPunct/>
        <w:topLinePunct w:val="0"/>
        <w:bidi w:val="0"/>
        <w:spacing w:line="560" w:lineRule="exact"/>
        <w:ind w:firstLine="360" w:firstLineChars="15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28.1.2投标人未成功解密电子投标文件的。</w:t>
      </w:r>
    </w:p>
    <w:p>
      <w:pPr>
        <w:pageBreakBefore w:val="0"/>
        <w:widowControl w:val="0"/>
        <w:kinsoku/>
        <w:overflowPunct/>
        <w:topLinePunct w:val="0"/>
        <w:bidi w:val="0"/>
        <w:spacing w:line="560" w:lineRule="exact"/>
        <w:ind w:left="479" w:leftChars="228"/>
        <w:textAlignment w:val="auto"/>
        <w:rPr>
          <w:rFonts w:ascii="宋体" w:hAnsi="宋体" w:cs="宋体"/>
          <w:bCs/>
          <w:color w:val="auto"/>
          <w:sz w:val="24"/>
          <w:highlight w:val="none"/>
        </w:rPr>
      </w:pPr>
      <w:r>
        <w:rPr>
          <w:rFonts w:hint="eastAsia" w:ascii="宋体" w:hAnsi="宋体" w:cs="宋体"/>
          <w:bCs/>
          <w:color w:val="auto"/>
          <w:sz w:val="24"/>
          <w:highlight w:val="none"/>
        </w:rPr>
        <w:t>28.1.3投标人未按照招标文件要求上传电子投标文件的。</w:t>
      </w:r>
    </w:p>
    <w:p>
      <w:pPr>
        <w:pageBreakBefore w:val="0"/>
        <w:widowControl w:val="0"/>
        <w:kinsoku/>
        <w:overflowPunct/>
        <w:topLinePunct w:val="0"/>
        <w:bidi w:val="0"/>
        <w:spacing w:line="560" w:lineRule="exact"/>
        <w:ind w:left="479" w:leftChars="228"/>
        <w:textAlignment w:val="auto"/>
        <w:rPr>
          <w:rFonts w:ascii="宋体" w:hAnsi="宋体" w:cs="宋体"/>
          <w:bCs/>
          <w:color w:val="auto"/>
          <w:sz w:val="24"/>
          <w:highlight w:val="none"/>
        </w:rPr>
      </w:pPr>
      <w:r>
        <w:rPr>
          <w:rFonts w:hint="eastAsia" w:ascii="宋体" w:hAnsi="宋体" w:cs="宋体"/>
          <w:bCs/>
          <w:color w:val="auto"/>
          <w:sz w:val="24"/>
          <w:highlight w:val="none"/>
        </w:rPr>
        <w:t>28.1.4投标人在报价时采用选择性报价的。</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28.1.5投标人不具备招标文件中规</w:t>
      </w:r>
      <w:r>
        <w:rPr>
          <w:rFonts w:hint="eastAsia" w:ascii="宋体" w:hAnsi="宋体" w:cs="宋体"/>
          <w:bCs/>
          <w:color w:val="auto"/>
          <w:sz w:val="24"/>
          <w:highlight w:val="none"/>
          <w:lang w:eastAsia="zh-CN"/>
        </w:rPr>
        <w:t>定的</w:t>
      </w:r>
      <w:r>
        <w:rPr>
          <w:rFonts w:hint="eastAsia" w:ascii="宋体" w:hAnsi="宋体" w:cs="宋体"/>
          <w:bCs/>
          <w:color w:val="auto"/>
          <w:sz w:val="24"/>
          <w:highlight w:val="none"/>
        </w:rPr>
        <w:t>资格要求的。</w:t>
      </w:r>
    </w:p>
    <w:p>
      <w:pPr>
        <w:pageBreakBefore w:val="0"/>
        <w:widowControl w:val="0"/>
        <w:kinsoku/>
        <w:overflowPunct/>
        <w:topLinePunct w:val="0"/>
        <w:bidi w:val="0"/>
        <w:spacing w:line="560" w:lineRule="exact"/>
        <w:ind w:firstLine="480" w:firstLineChars="200"/>
        <w:textAlignment w:val="auto"/>
        <w:rPr>
          <w:rFonts w:ascii="宋体" w:hAnsi="宋体" w:cs="宋体"/>
          <w:bCs/>
          <w:i/>
          <w:color w:val="auto"/>
          <w:sz w:val="24"/>
          <w:highlight w:val="none"/>
          <w:u w:val="single"/>
        </w:rPr>
      </w:pPr>
      <w:r>
        <w:rPr>
          <w:rFonts w:hint="eastAsia" w:ascii="宋体" w:hAnsi="宋体" w:cs="宋体"/>
          <w:bCs/>
          <w:color w:val="auto"/>
          <w:sz w:val="24"/>
          <w:highlight w:val="none"/>
        </w:rPr>
        <w:t>28.1.6投标人的报价超过了采购预算或最高限价的。</w:t>
      </w:r>
    </w:p>
    <w:p>
      <w:pPr>
        <w:pageBreakBefore w:val="0"/>
        <w:widowControl w:val="0"/>
        <w:kinsoku/>
        <w:overflowPunct/>
        <w:topLinePunct w:val="0"/>
        <w:bidi w:val="0"/>
        <w:spacing w:line="560" w:lineRule="exact"/>
        <w:ind w:firstLine="360" w:firstLineChars="150"/>
        <w:textAlignment w:val="auto"/>
        <w:rPr>
          <w:rFonts w:ascii="宋体" w:hAnsi="宋体" w:cs="宋体"/>
          <w:bCs/>
          <w:i/>
          <w:color w:val="auto"/>
          <w:sz w:val="24"/>
          <w:highlight w:val="none"/>
          <w:u w:val="single"/>
        </w:rPr>
      </w:pPr>
      <w:r>
        <w:rPr>
          <w:rFonts w:hint="eastAsia" w:ascii="宋体" w:hAnsi="宋体" w:cs="宋体"/>
          <w:bCs/>
          <w:color w:val="auto"/>
          <w:sz w:val="24"/>
          <w:highlight w:val="none"/>
        </w:rPr>
        <w:t xml:space="preserve"> 28.1.7未通过符合性检查的。</w:t>
      </w:r>
    </w:p>
    <w:p>
      <w:pPr>
        <w:pageBreakBefore w:val="0"/>
        <w:widowControl w:val="0"/>
        <w:kinsoku/>
        <w:overflowPunct/>
        <w:topLinePunct w:val="0"/>
        <w:bidi w:val="0"/>
        <w:spacing w:line="560" w:lineRule="exact"/>
        <w:ind w:firstLine="480" w:firstLineChars="200"/>
        <w:textAlignment w:val="auto"/>
        <w:rPr>
          <w:rFonts w:ascii="宋体" w:hAnsi="宋体" w:cs="宋体"/>
          <w:bCs/>
          <w:i/>
          <w:color w:val="auto"/>
          <w:sz w:val="24"/>
          <w:highlight w:val="none"/>
          <w:u w:val="single"/>
        </w:rPr>
      </w:pPr>
      <w:r>
        <w:rPr>
          <w:rFonts w:hint="eastAsia" w:ascii="宋体" w:hAnsi="宋体" w:cs="宋体"/>
          <w:bCs/>
          <w:color w:val="auto"/>
          <w:sz w:val="24"/>
          <w:highlight w:val="none"/>
        </w:rPr>
        <w:t>28.1.8不符合招标文件中规定的其他实质性要求和条件的（</w:t>
      </w:r>
      <w:r>
        <w:rPr>
          <w:rFonts w:hint="eastAsia" w:ascii="宋体" w:hAnsi="宋体" w:cs="宋体"/>
          <w:bCs/>
          <w:i/>
          <w:color w:val="auto"/>
          <w:sz w:val="24"/>
          <w:highlight w:val="none"/>
          <w:u w:val="single"/>
        </w:rPr>
        <w:t>本招标文件中斜体且有下划线部分为实质性要求和条件）。</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28.1.9投标人被 “信用中国”网站（www.creditchina.gov.cn）、“中国政府采购网”(www.ccgp.gov.cn)列入失信被执行人或重大税收违法案件当事人名单或政府采购严重失信行为记录名单。</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28.1.10  投标文件含有采购人不能接受的附加条件的。</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28.1.11 评标委员会认为投标人的报价明显低于其他通过符合性审</w:t>
      </w:r>
      <w:r>
        <w:rPr>
          <w:rFonts w:hint="eastAsia" w:ascii="宋体" w:hAnsi="宋体" w:cs="宋体"/>
          <w:bCs/>
          <w:color w:val="auto"/>
          <w:sz w:val="24"/>
          <w:highlight w:val="none"/>
          <w:lang w:eastAsia="zh-CN"/>
        </w:rPr>
        <w:t>查的</w:t>
      </w:r>
      <w:r>
        <w:rPr>
          <w:rFonts w:hint="eastAsia" w:ascii="宋体" w:hAnsi="宋体" w:cs="宋体"/>
          <w:bCs/>
          <w:color w:val="auto"/>
          <w:sz w:val="24"/>
          <w:highlight w:val="none"/>
        </w:rPr>
        <w:t>投标人的报价，有可能影响产品质量或者不能诚信履约的，将要求其在合理的时间内作出说明，必要时提交相关证明材料；投标人不能证明其报价合理性的，评标委员会应当将其作为无效投标处理。</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28.1.12 本项目采购产品被财政部、</w:t>
      </w:r>
      <w:r>
        <w:rPr>
          <w:rFonts w:hint="eastAsia" w:ascii="宋体" w:hAnsi="宋体" w:cs="宋体"/>
          <w:bCs/>
          <w:color w:val="auto"/>
          <w:sz w:val="24"/>
          <w:highlight w:val="none"/>
          <w:lang w:eastAsia="zh-CN"/>
        </w:rPr>
        <w:t>国家发改委</w:t>
      </w:r>
      <w:r>
        <w:rPr>
          <w:rFonts w:hint="eastAsia" w:ascii="宋体" w:hAnsi="宋体" w:cs="宋体"/>
          <w:bCs/>
          <w:color w:val="auto"/>
          <w:sz w:val="24"/>
          <w:highlight w:val="none"/>
        </w:rPr>
        <w:t>、生态环境部等列入“节能产品品目清单</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环境标志产品品目清单”强制采购范围，而投标人所投标产品不在强制采购范围内的。</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28.1.13 投标文件未按照招标文件要求加盖电子签章。</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28.1.14其他</w:t>
      </w:r>
      <w:r>
        <w:rPr>
          <w:rFonts w:hint="eastAsia" w:ascii="宋体" w:hAnsi="宋体" w:cs="宋体"/>
          <w:bCs/>
          <w:color w:val="auto"/>
          <w:sz w:val="24"/>
          <w:highlight w:val="none"/>
          <w:lang w:eastAsia="zh-CN"/>
        </w:rPr>
        <w:t>法律法规</w:t>
      </w:r>
      <w:r>
        <w:rPr>
          <w:rFonts w:hint="eastAsia" w:ascii="宋体" w:hAnsi="宋体" w:cs="宋体"/>
          <w:bCs/>
          <w:color w:val="auto"/>
          <w:sz w:val="24"/>
          <w:highlight w:val="none"/>
        </w:rPr>
        <w:t>及本招标文件规定的属无效投标的情形。</w:t>
      </w:r>
    </w:p>
    <w:p>
      <w:pPr>
        <w:pageBreakBefore w:val="0"/>
        <w:widowControl w:val="0"/>
        <w:kinsoku/>
        <w:overflowPunct/>
        <w:topLinePunct w:val="0"/>
        <w:bidi w:val="0"/>
        <w:spacing w:line="560" w:lineRule="exact"/>
        <w:ind w:left="479" w:leftChars="228"/>
        <w:textAlignment w:val="auto"/>
        <w:rPr>
          <w:rFonts w:ascii="宋体" w:hAnsi="宋体" w:cs="宋体"/>
          <w:bCs/>
          <w:color w:val="auto"/>
          <w:sz w:val="24"/>
          <w:highlight w:val="none"/>
        </w:rPr>
      </w:pPr>
      <w:r>
        <w:rPr>
          <w:rFonts w:hint="eastAsia" w:ascii="宋体" w:hAnsi="宋体" w:cs="宋体"/>
          <w:bCs/>
          <w:color w:val="auto"/>
          <w:sz w:val="24"/>
          <w:highlight w:val="none"/>
        </w:rPr>
        <w:t>28.2废标条款：</w:t>
      </w:r>
    </w:p>
    <w:p>
      <w:pPr>
        <w:pageBreakBefore w:val="0"/>
        <w:widowControl w:val="0"/>
        <w:kinsoku/>
        <w:overflowPunct/>
        <w:topLinePunct w:val="0"/>
        <w:bidi w:val="0"/>
        <w:spacing w:line="560" w:lineRule="exact"/>
        <w:ind w:left="479" w:leftChars="228"/>
        <w:textAlignment w:val="auto"/>
        <w:rPr>
          <w:rFonts w:ascii="宋体" w:hAnsi="宋体" w:cs="宋体"/>
          <w:bCs/>
          <w:color w:val="auto"/>
          <w:sz w:val="24"/>
          <w:highlight w:val="none"/>
        </w:rPr>
      </w:pPr>
      <w:r>
        <w:rPr>
          <w:rFonts w:hint="eastAsia" w:ascii="宋体" w:hAnsi="宋体" w:cs="宋体"/>
          <w:bCs/>
          <w:color w:val="auto"/>
          <w:sz w:val="24"/>
          <w:highlight w:val="none"/>
        </w:rPr>
        <w:t>28.2.1符合专业条件的供应商或者对招标文件作实质响应的供应商不足三家的。28.2.2出现影响采购公正的违法、违规行为的。</w:t>
      </w:r>
    </w:p>
    <w:p>
      <w:pPr>
        <w:pageBreakBefore w:val="0"/>
        <w:widowControl w:val="0"/>
        <w:kinsoku/>
        <w:overflowPunct/>
        <w:topLinePunct w:val="0"/>
        <w:bidi w:val="0"/>
        <w:spacing w:line="560" w:lineRule="exact"/>
        <w:ind w:left="479" w:leftChars="228"/>
        <w:textAlignment w:val="auto"/>
        <w:rPr>
          <w:rFonts w:ascii="宋体" w:hAnsi="宋体" w:cs="宋体"/>
          <w:bCs/>
          <w:color w:val="auto"/>
          <w:sz w:val="24"/>
          <w:highlight w:val="none"/>
        </w:rPr>
      </w:pPr>
      <w:r>
        <w:rPr>
          <w:rFonts w:hint="eastAsia" w:ascii="宋体" w:hAnsi="宋体" w:cs="宋体"/>
          <w:bCs/>
          <w:color w:val="auto"/>
          <w:sz w:val="24"/>
          <w:highlight w:val="none"/>
        </w:rPr>
        <w:t>28.2.3因重大变故，采购任务取消的。</w:t>
      </w:r>
    </w:p>
    <w:p>
      <w:pPr>
        <w:pageBreakBefore w:val="0"/>
        <w:widowControl w:val="0"/>
        <w:kinsoku/>
        <w:overflowPunct/>
        <w:topLinePunct w:val="0"/>
        <w:bidi w:val="0"/>
        <w:spacing w:line="560" w:lineRule="exact"/>
        <w:ind w:left="479" w:leftChars="228"/>
        <w:textAlignment w:val="auto"/>
        <w:rPr>
          <w:rFonts w:ascii="宋体" w:hAnsi="宋体" w:cs="宋体"/>
          <w:bCs/>
          <w:color w:val="auto"/>
          <w:sz w:val="24"/>
          <w:highlight w:val="none"/>
        </w:rPr>
      </w:pPr>
      <w:r>
        <w:rPr>
          <w:rFonts w:hint="eastAsia" w:ascii="宋体" w:hAnsi="宋体" w:cs="宋体"/>
          <w:bCs/>
          <w:color w:val="auto"/>
          <w:sz w:val="24"/>
          <w:highlight w:val="none"/>
        </w:rPr>
        <w:t>28.2.4评标委员会认定招标文件存在歧义、重大缺陷导致评审工作无法进行。</w:t>
      </w:r>
    </w:p>
    <w:p>
      <w:pPr>
        <w:pageBreakBefore w:val="0"/>
        <w:widowControl w:val="0"/>
        <w:kinsoku/>
        <w:overflowPunct/>
        <w:topLinePunct w:val="0"/>
        <w:bidi w:val="0"/>
        <w:spacing w:line="560" w:lineRule="exact"/>
        <w:ind w:left="479" w:leftChars="228"/>
        <w:textAlignment w:val="auto"/>
        <w:rPr>
          <w:rFonts w:ascii="宋体" w:hAnsi="宋体" w:cs="宋体"/>
          <w:bCs/>
          <w:color w:val="auto"/>
          <w:sz w:val="24"/>
          <w:highlight w:val="none"/>
        </w:rPr>
      </w:pPr>
      <w:r>
        <w:rPr>
          <w:rFonts w:hint="eastAsia" w:ascii="宋体" w:hAnsi="宋体" w:cs="宋体"/>
          <w:bCs/>
          <w:color w:val="auto"/>
          <w:sz w:val="24"/>
          <w:highlight w:val="none"/>
        </w:rPr>
        <w:t>28.2.5 因</w:t>
      </w:r>
      <w:r>
        <w:rPr>
          <w:rFonts w:hint="eastAsia" w:ascii="宋体" w:hAnsi="宋体" w:cs="宋体"/>
          <w:color w:val="auto"/>
          <w:sz w:val="24"/>
          <w:szCs w:val="24"/>
          <w:highlight w:val="none"/>
        </w:rPr>
        <w:t>“新疆公共资源交易平台不见面开标大厅”系统</w:t>
      </w:r>
      <w:r>
        <w:rPr>
          <w:rFonts w:hint="eastAsia" w:ascii="宋体" w:hAnsi="宋体" w:cs="宋体"/>
          <w:bCs/>
          <w:color w:val="auto"/>
          <w:sz w:val="24"/>
          <w:highlight w:val="none"/>
        </w:rPr>
        <w:t>故障原因造成开标不成功的。</w:t>
      </w:r>
    </w:p>
    <w:p>
      <w:pPr>
        <w:pageBreakBefore w:val="0"/>
        <w:widowControl w:val="0"/>
        <w:kinsoku/>
        <w:overflowPunct/>
        <w:topLinePunct w:val="0"/>
        <w:bidi w:val="0"/>
        <w:spacing w:line="560" w:lineRule="exact"/>
        <w:ind w:left="479" w:leftChars="228"/>
        <w:textAlignment w:val="auto"/>
        <w:rPr>
          <w:rFonts w:ascii="宋体" w:hAnsi="宋体" w:cs="宋体"/>
          <w:bCs/>
          <w:color w:val="auto"/>
          <w:sz w:val="24"/>
          <w:highlight w:val="none"/>
        </w:rPr>
      </w:pPr>
      <w:r>
        <w:rPr>
          <w:rFonts w:hint="eastAsia" w:ascii="宋体" w:hAnsi="宋体" w:cs="宋体"/>
          <w:bCs/>
          <w:color w:val="auto"/>
          <w:sz w:val="24"/>
          <w:highlight w:val="none"/>
        </w:rPr>
        <w:t>28.3 投标截止时间后参加投标的供应商不足三家的处理：</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28.3.1如出现投标截止时间结束后参加投标的供应商或者在评标期间对招标文件做出实质响应的供应商不足三家情况，按政府采购相关规定执行。</w:t>
      </w:r>
    </w:p>
    <w:p>
      <w:pPr>
        <w:pStyle w:val="6"/>
        <w:pageBreakBefore w:val="0"/>
        <w:widowControl w:val="0"/>
        <w:kinsoku/>
        <w:overflowPunct/>
        <w:topLinePunct w:val="0"/>
        <w:bidi w:val="0"/>
        <w:spacing w:beforeLines="50" w:afterLines="50" w:line="560" w:lineRule="exact"/>
        <w:ind w:firstLine="481" w:firstLineChars="150"/>
        <w:textAlignment w:val="auto"/>
        <w:rPr>
          <w:rFonts w:ascii="宋体" w:hAnsi="宋体" w:cs="宋体"/>
          <w:color w:val="auto"/>
          <w:highlight w:val="none"/>
        </w:rPr>
      </w:pPr>
      <w:bookmarkStart w:id="164" w:name="_Toc534725603"/>
      <w:bookmarkStart w:id="165" w:name="_Toc120614219"/>
      <w:bookmarkStart w:id="166" w:name="_Toc534816632"/>
      <w:r>
        <w:rPr>
          <w:rFonts w:hint="eastAsia" w:ascii="宋体" w:hAnsi="宋体" w:cs="宋体"/>
          <w:color w:val="auto"/>
          <w:highlight w:val="none"/>
        </w:rPr>
        <w:t>六、</w:t>
      </w:r>
      <w:bookmarkEnd w:id="161"/>
      <w:bookmarkEnd w:id="162"/>
      <w:bookmarkEnd w:id="163"/>
      <w:r>
        <w:rPr>
          <w:rFonts w:hint="eastAsia" w:ascii="宋体" w:hAnsi="宋体" w:cs="宋体"/>
          <w:color w:val="auto"/>
          <w:highlight w:val="none"/>
        </w:rPr>
        <w:t>定标</w:t>
      </w:r>
      <w:bookmarkEnd w:id="164"/>
      <w:bookmarkEnd w:id="165"/>
      <w:bookmarkEnd w:id="166"/>
    </w:p>
    <w:p>
      <w:pPr>
        <w:pStyle w:val="7"/>
        <w:pageBreakBefore w:val="0"/>
        <w:widowControl w:val="0"/>
        <w:kinsoku/>
        <w:overflowPunct/>
        <w:topLinePunct w:val="0"/>
        <w:bidi w:val="0"/>
        <w:spacing w:line="560" w:lineRule="exact"/>
        <w:ind w:firstLine="416" w:firstLineChars="139"/>
        <w:textAlignment w:val="auto"/>
        <w:rPr>
          <w:rFonts w:ascii="宋体" w:hAnsi="宋体" w:cs="宋体"/>
          <w:b w:val="0"/>
          <w:color w:val="auto"/>
          <w:sz w:val="30"/>
          <w:szCs w:val="30"/>
          <w:highlight w:val="none"/>
        </w:rPr>
      </w:pPr>
      <w:bookmarkStart w:id="167" w:name="_Toc513029238"/>
      <w:bookmarkStart w:id="168" w:name="_Toc20823310"/>
      <w:bookmarkStart w:id="169" w:name="_Toc16938554"/>
      <w:r>
        <w:rPr>
          <w:rFonts w:hint="eastAsia" w:ascii="宋体" w:hAnsi="宋体" w:cs="宋体"/>
          <w:b w:val="0"/>
          <w:color w:val="auto"/>
          <w:sz w:val="30"/>
          <w:szCs w:val="30"/>
          <w:highlight w:val="none"/>
        </w:rPr>
        <w:t>29、</w:t>
      </w:r>
      <w:bookmarkEnd w:id="167"/>
      <w:r>
        <w:rPr>
          <w:rFonts w:hint="eastAsia" w:ascii="宋体" w:hAnsi="宋体" w:cs="宋体"/>
          <w:b w:val="0"/>
          <w:color w:val="auto"/>
          <w:sz w:val="30"/>
          <w:szCs w:val="30"/>
          <w:highlight w:val="none"/>
        </w:rPr>
        <w:t>确定</w:t>
      </w:r>
      <w:bookmarkEnd w:id="168"/>
      <w:bookmarkEnd w:id="169"/>
      <w:r>
        <w:rPr>
          <w:rFonts w:hint="eastAsia" w:ascii="宋体" w:hAnsi="宋体" w:cs="宋体"/>
          <w:b w:val="0"/>
          <w:color w:val="auto"/>
          <w:sz w:val="30"/>
          <w:szCs w:val="30"/>
          <w:highlight w:val="none"/>
        </w:rPr>
        <w:t>中标单位</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29.1中标候选人的选取原则和数量见招标文件第五章规定。</w:t>
      </w:r>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29.2 采购人应根据评委会推荐的中标候选人确定中标人。</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29.3 </w:t>
      </w:r>
      <w:r>
        <w:rPr>
          <w:rFonts w:hint="eastAsia" w:ascii="宋体" w:hAnsi="宋体" w:cs="宋体"/>
          <w:color w:val="auto"/>
          <w:sz w:val="24"/>
          <w:szCs w:val="24"/>
          <w:highlight w:val="none"/>
        </w:rPr>
        <w:t>交易中心将在“新疆公共资源交易网”和“新疆政府采购网”发布中标公告，公告期限为1个工作日。</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29.4  若有充分证据证明，中标人出现下列情况之一的，一经查实，将被取消中标资格：</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29.4.1提供虚假材料谋取中标的。</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29.4.2向采购人、交易中心行贿或者提供其他不正当利益的。</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29.4.3恶意竞争，投标总报价明显低于其自身合理成本且又无法提供证明的。</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29.4.4属于本文件规定的无效条件，但在评标过程中又未被评委会发现的。</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29.4.5与采购人或者其他供应商恶意串通的。</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29.4.6采取不正当手段诋毁、排挤其他供应商的。</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bookmarkStart w:id="170" w:name="_Toc200451960"/>
      <w:r>
        <w:rPr>
          <w:rFonts w:hint="eastAsia" w:ascii="宋体" w:hAnsi="宋体" w:cs="宋体"/>
          <w:color w:val="auto"/>
          <w:sz w:val="24"/>
          <w:szCs w:val="24"/>
          <w:highlight w:val="none"/>
        </w:rPr>
        <w:t>29.5</w:t>
      </w:r>
      <w:r>
        <w:rPr>
          <w:rFonts w:hint="eastAsia" w:ascii="宋体" w:hAnsi="宋体" w:cs="宋体"/>
          <w:color w:val="auto"/>
          <w:highlight w:val="none"/>
        </w:rPr>
        <w:t xml:space="preserve"> </w:t>
      </w:r>
      <w:r>
        <w:rPr>
          <w:rFonts w:hint="eastAsia" w:ascii="宋体" w:hAnsi="宋体" w:cs="宋体"/>
          <w:color w:val="auto"/>
          <w:kern w:val="0"/>
          <w:sz w:val="24"/>
          <w:szCs w:val="24"/>
          <w:highlight w:val="none"/>
        </w:rPr>
        <w:t>有下列情形之一的，视为投标人串通投标，投标无效：</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29.5.1不同投标人的投标文件由同一单位或者个人编制；</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29.5.2不同投标人委托同一单位或者个人办理投标事宜；</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29.5.3 不同投标人的投标文件载明的项目管理成员或者联系人员为同一人；</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29.5.4不同投标人的投标文件异常一致或者投标报价呈规律性差异；</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29.5.5不同投标人的投标文件相互混装；</w:t>
      </w:r>
    </w:p>
    <w:p>
      <w:pPr>
        <w:pageBreakBefore w:val="0"/>
        <w:widowControl w:val="0"/>
        <w:kinsoku/>
        <w:overflowPunct/>
        <w:topLinePunct w:val="0"/>
        <w:bidi w:val="0"/>
        <w:snapToGrid w:val="0"/>
        <w:spacing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29.5.6不同投标人的投标保证金从同一单位或者个人的账户转出。</w:t>
      </w:r>
    </w:p>
    <w:bookmarkEnd w:id="170"/>
    <w:p>
      <w:pPr>
        <w:pageBreakBefore w:val="0"/>
        <w:widowControl w:val="0"/>
        <w:kinsoku/>
        <w:overflowPunct/>
        <w:topLinePunct w:val="0"/>
        <w:bidi w:val="0"/>
        <w:spacing w:line="560" w:lineRule="exact"/>
        <w:ind w:firstLine="600" w:firstLineChars="200"/>
        <w:textAlignment w:val="auto"/>
        <w:rPr>
          <w:rFonts w:ascii="黑体" w:hAnsi="宋体"/>
          <w:bCs/>
          <w:color w:val="auto"/>
          <w:sz w:val="30"/>
          <w:szCs w:val="30"/>
          <w:highlight w:val="none"/>
        </w:rPr>
      </w:pPr>
      <w:bookmarkStart w:id="171" w:name="_Toc534725604"/>
      <w:bookmarkStart w:id="172" w:name="_Toc534816633"/>
      <w:bookmarkStart w:id="173" w:name="_Toc120614220"/>
      <w:bookmarkStart w:id="174" w:name="_Toc16938552"/>
      <w:bookmarkStart w:id="175" w:name="_Toc513029236"/>
      <w:bookmarkStart w:id="176" w:name="_Toc20823308"/>
      <w:r>
        <w:rPr>
          <w:rFonts w:hint="eastAsia" w:ascii="黑体" w:hAnsi="宋体"/>
          <w:bCs/>
          <w:color w:val="auto"/>
          <w:sz w:val="30"/>
          <w:szCs w:val="30"/>
          <w:highlight w:val="none"/>
        </w:rPr>
        <w:t>30</w:t>
      </w:r>
      <w:r>
        <w:rPr>
          <w:rFonts w:hint="eastAsia" w:ascii="黑体" w:hAnsi="宋体"/>
          <w:bCs/>
          <w:color w:val="auto"/>
          <w:sz w:val="30"/>
          <w:szCs w:val="30"/>
          <w:highlight w:val="none"/>
          <w:lang w:eastAsia="zh-CN"/>
        </w:rPr>
        <w:t>、</w:t>
      </w:r>
      <w:r>
        <w:rPr>
          <w:rFonts w:hint="eastAsia" w:ascii="黑体" w:hAnsi="宋体"/>
          <w:bCs/>
          <w:color w:val="auto"/>
          <w:sz w:val="30"/>
          <w:szCs w:val="30"/>
          <w:highlight w:val="none"/>
        </w:rPr>
        <w:t xml:space="preserve">询问、质疑、投诉 </w:t>
      </w:r>
    </w:p>
    <w:p>
      <w:pPr>
        <w:pageBreakBefore w:val="0"/>
        <w:widowControl w:val="0"/>
        <w:kinsoku/>
        <w:overflowPunct/>
        <w:topLinePunct w:val="0"/>
        <w:bidi w:val="0"/>
        <w:spacing w:line="560" w:lineRule="exact"/>
        <w:ind w:firstLine="480" w:firstLineChars="200"/>
        <w:textAlignment w:val="auto"/>
        <w:rPr>
          <w:color w:val="auto"/>
          <w:sz w:val="24"/>
          <w:szCs w:val="24"/>
          <w:highlight w:val="none"/>
        </w:rPr>
      </w:pPr>
      <w:r>
        <w:rPr>
          <w:rFonts w:hint="eastAsia"/>
          <w:color w:val="auto"/>
          <w:sz w:val="24"/>
          <w:szCs w:val="24"/>
          <w:highlight w:val="none"/>
        </w:rPr>
        <w:t xml:space="preserve">30.1 询问 </w:t>
      </w:r>
    </w:p>
    <w:p>
      <w:pPr>
        <w:pageBreakBefore w:val="0"/>
        <w:widowControl w:val="0"/>
        <w:kinsoku/>
        <w:overflowPunct/>
        <w:topLinePunct w:val="0"/>
        <w:bidi w:val="0"/>
        <w:spacing w:line="560" w:lineRule="exact"/>
        <w:ind w:firstLine="480" w:firstLineChars="200"/>
        <w:textAlignment w:val="auto"/>
        <w:rPr>
          <w:color w:val="auto"/>
          <w:sz w:val="24"/>
          <w:szCs w:val="24"/>
          <w:highlight w:val="none"/>
        </w:rPr>
      </w:pPr>
      <w:r>
        <w:rPr>
          <w:rFonts w:hint="eastAsia"/>
          <w:color w:val="auto"/>
          <w:sz w:val="24"/>
          <w:szCs w:val="24"/>
          <w:highlight w:val="none"/>
        </w:rPr>
        <w:t>30.1.1 供应商对政府采购活动事项（</w:t>
      </w:r>
      <w:r>
        <w:rPr>
          <w:rFonts w:hint="eastAsia"/>
          <w:color w:val="auto"/>
          <w:sz w:val="24"/>
          <w:szCs w:val="24"/>
          <w:highlight w:val="none"/>
          <w:lang w:eastAsia="zh-CN"/>
        </w:rPr>
        <w:t>招标</w:t>
      </w:r>
      <w:r>
        <w:rPr>
          <w:rFonts w:hint="eastAsia"/>
          <w:color w:val="auto"/>
          <w:sz w:val="24"/>
          <w:szCs w:val="24"/>
          <w:highlight w:val="none"/>
        </w:rPr>
        <w:t xml:space="preserve">文件、采购过程、成交或者成交结果）有疑问的，可以向采购人或者新疆维吾尔自治区政务服务和公共资源交易中心提出询问，询问可以口头方式提出，也可以书面方式提出。 </w:t>
      </w:r>
    </w:p>
    <w:p>
      <w:pPr>
        <w:pageBreakBefore w:val="0"/>
        <w:widowControl w:val="0"/>
        <w:kinsoku/>
        <w:overflowPunct/>
        <w:topLinePunct w:val="0"/>
        <w:bidi w:val="0"/>
        <w:spacing w:line="560" w:lineRule="exact"/>
        <w:ind w:firstLine="480" w:firstLineChars="200"/>
        <w:textAlignment w:val="auto"/>
        <w:rPr>
          <w:color w:val="auto"/>
          <w:sz w:val="24"/>
          <w:szCs w:val="24"/>
          <w:highlight w:val="none"/>
        </w:rPr>
      </w:pPr>
      <w:r>
        <w:rPr>
          <w:rFonts w:hint="eastAsia"/>
          <w:color w:val="auto"/>
          <w:sz w:val="24"/>
          <w:szCs w:val="24"/>
          <w:highlight w:val="none"/>
        </w:rPr>
        <w:t xml:space="preserve">30.1.2 采购人或者新疆维吾尔自治区政务服务和公共资源交易中心在三个工作日内对供应商依法提出的询问作出答复。 </w:t>
      </w:r>
    </w:p>
    <w:p>
      <w:pPr>
        <w:pStyle w:val="7"/>
        <w:pageBreakBefore w:val="0"/>
        <w:widowControl w:val="0"/>
        <w:kinsoku/>
        <w:overflowPunct/>
        <w:topLinePunct w:val="0"/>
        <w:bidi w:val="0"/>
        <w:spacing w:line="560" w:lineRule="exact"/>
        <w:ind w:firstLine="480" w:firstLineChars="200"/>
        <w:jc w:val="left"/>
        <w:textAlignment w:val="auto"/>
        <w:rPr>
          <w:rFonts w:ascii="宋体" w:hAnsi="宋体" w:cs="宋体"/>
          <w:b w:val="0"/>
          <w:color w:val="auto"/>
          <w:sz w:val="24"/>
          <w:szCs w:val="24"/>
          <w:highlight w:val="none"/>
          <w:lang w:bidi="zh-CN"/>
        </w:rPr>
      </w:pPr>
      <w:r>
        <w:rPr>
          <w:rFonts w:hint="eastAsia" w:ascii="宋体" w:hAnsi="宋体" w:cs="宋体"/>
          <w:b w:val="0"/>
          <w:color w:val="auto"/>
          <w:sz w:val="24"/>
          <w:szCs w:val="24"/>
          <w:highlight w:val="none"/>
          <w:lang w:bidi="zh-CN"/>
        </w:rPr>
        <w:t>30.2 质疑处理</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30.2.1 提出质疑的供应商应当是参与所质疑项目采购活动的供应商。潜在供应商依法获取其可质疑的采购文件的，可以对采购文件提出质疑。</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30.2.2供应商认为采购文件、采购过程和采购结果使自己的权益受到损害的，可以在知道或应知其权益受到损害之日起七个工作日内，以书面形式向交易中心及采购人提出质疑。上述应知其权益受到损害之日，是指：</w:t>
      </w:r>
    </w:p>
    <w:p>
      <w:pPr>
        <w:pageBreakBefore w:val="0"/>
        <w:widowControl w:val="0"/>
        <w:kinsoku/>
        <w:overflowPunct/>
        <w:topLinePunct w:val="0"/>
        <w:bidi w:val="0"/>
        <w:snapToGrid w:val="0"/>
        <w:spacing w:line="560" w:lineRule="exact"/>
        <w:ind w:firstLine="480" w:firstLineChars="200"/>
        <w:textAlignment w:val="auto"/>
        <w:rPr>
          <w:rFonts w:hAnsi="宋体" w:cs="宋体"/>
          <w:color w:val="auto"/>
          <w:kern w:val="0"/>
          <w:sz w:val="24"/>
          <w:szCs w:val="24"/>
          <w:highlight w:val="none"/>
        </w:rPr>
      </w:pPr>
      <w:r>
        <w:rPr>
          <w:rFonts w:hint="eastAsia" w:ascii="宋体" w:hAnsi="宋体"/>
          <w:color w:val="auto"/>
          <w:sz w:val="24"/>
          <w:szCs w:val="24"/>
          <w:highlight w:val="none"/>
        </w:rPr>
        <w:t>30.2.2.1</w:t>
      </w:r>
      <w:r>
        <w:rPr>
          <w:rFonts w:hint="eastAsia" w:hAnsi="宋体" w:cs="宋体"/>
          <w:color w:val="auto"/>
          <w:kern w:val="0"/>
          <w:sz w:val="24"/>
          <w:szCs w:val="24"/>
          <w:highlight w:val="none"/>
        </w:rPr>
        <w:t>对可以质疑的采购文件提出质疑的，为收到采购文件之日或者采购文件公告期限届满之日；</w:t>
      </w:r>
    </w:p>
    <w:p>
      <w:pPr>
        <w:pageBreakBefore w:val="0"/>
        <w:widowControl w:val="0"/>
        <w:kinsoku/>
        <w:overflowPunct/>
        <w:topLinePunct w:val="0"/>
        <w:bidi w:val="0"/>
        <w:snapToGrid w:val="0"/>
        <w:spacing w:line="560" w:lineRule="exact"/>
        <w:ind w:firstLine="480" w:firstLineChars="200"/>
        <w:textAlignment w:val="auto"/>
        <w:rPr>
          <w:rFonts w:hAnsi="宋体" w:cs="宋体"/>
          <w:color w:val="auto"/>
          <w:kern w:val="0"/>
          <w:sz w:val="24"/>
          <w:szCs w:val="24"/>
          <w:highlight w:val="none"/>
        </w:rPr>
      </w:pPr>
      <w:r>
        <w:rPr>
          <w:rFonts w:hint="eastAsia" w:ascii="宋体" w:hAnsi="宋体"/>
          <w:color w:val="auto"/>
          <w:sz w:val="24"/>
          <w:szCs w:val="24"/>
          <w:highlight w:val="none"/>
        </w:rPr>
        <w:t>30.2.2.2</w:t>
      </w:r>
      <w:r>
        <w:rPr>
          <w:rFonts w:hint="eastAsia" w:hAnsi="宋体" w:cs="宋体"/>
          <w:color w:val="auto"/>
          <w:kern w:val="0"/>
          <w:sz w:val="24"/>
          <w:szCs w:val="24"/>
          <w:highlight w:val="none"/>
        </w:rPr>
        <w:t>对采购过程提出质疑的，为各采购程序环节结束之日；</w:t>
      </w:r>
    </w:p>
    <w:p>
      <w:pPr>
        <w:pageBreakBefore w:val="0"/>
        <w:widowControl w:val="0"/>
        <w:kinsoku/>
        <w:overflowPunct/>
        <w:topLinePunct w:val="0"/>
        <w:bidi w:val="0"/>
        <w:snapToGrid w:val="0"/>
        <w:spacing w:line="560" w:lineRule="exact"/>
        <w:ind w:firstLine="480" w:firstLineChars="200"/>
        <w:textAlignment w:val="auto"/>
        <w:rPr>
          <w:rFonts w:hAnsi="宋体" w:cs="宋体"/>
          <w:color w:val="auto"/>
          <w:kern w:val="0"/>
          <w:sz w:val="24"/>
          <w:szCs w:val="24"/>
          <w:highlight w:val="none"/>
        </w:rPr>
      </w:pPr>
      <w:r>
        <w:rPr>
          <w:rFonts w:hint="eastAsia" w:ascii="宋体" w:hAnsi="宋体"/>
          <w:color w:val="auto"/>
          <w:sz w:val="24"/>
          <w:szCs w:val="24"/>
          <w:highlight w:val="none"/>
        </w:rPr>
        <w:t>30.2.2.3</w:t>
      </w:r>
      <w:r>
        <w:rPr>
          <w:rFonts w:hint="eastAsia" w:hAnsi="宋体" w:cs="宋体"/>
          <w:color w:val="auto"/>
          <w:kern w:val="0"/>
          <w:sz w:val="24"/>
          <w:szCs w:val="24"/>
          <w:highlight w:val="none"/>
        </w:rPr>
        <w:t>对中标或者成交结果提出质疑的，为中标或者成交结果公告期限届满之日。</w:t>
      </w:r>
    </w:p>
    <w:p>
      <w:pPr>
        <w:pageBreakBefore w:val="0"/>
        <w:widowControl w:val="0"/>
        <w:kinsoku/>
        <w:overflowPunct/>
        <w:topLinePunct w:val="0"/>
        <w:bidi w:val="0"/>
        <w:snapToGrid w:val="0"/>
        <w:spacing w:line="560" w:lineRule="exact"/>
        <w:ind w:firstLine="480" w:firstLineChars="200"/>
        <w:textAlignment w:val="auto"/>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30.2.3质疑函必须按照本招标文件中《质疑函范本》要求的格式、内容和要求进行填写。供应商如组成联合体参加投标，则《质疑函范本》中要求签字、盖章、加盖公章之处，联合体各方均须按要求签字、盖章、加盖公章。</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30.2.4 交易中心及采购人只接收以纸质原件形式送达的质疑。</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质疑接收人：自治区政务服务和公共资源交易中心 现场监督部</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联系地址：乌鲁木齐市水磨沟区准格尔街299号益民大厦A417</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联系电话：0991-3551778。 </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30.2.5 以下情形的质疑不予受理</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30.2.5.1 内容不符合《政府采购质疑和投诉办法》第十二条规定的质疑。</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30.2.5.2 超出政府采购法定期限的质疑。</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30.2.5.3 以传真、电子邮件等方式递交的非原件形式的质疑。</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30.2.5.4 未参加投标活动的供应商或在投标活动中自身权益未受到损害的供应商所提出的质疑。</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30.2.5.5供应商组成联合体参加投标，联合体中任何一方或多方未按要求签字、盖章、加盖公章的质疑。</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30.2.5.6无具体质疑事项内容，或未提供有效线索，难以查证的。</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30.2.5.7所质疑事项已进行处理，或正在行政复议、仲裁、诉讼、投诉等其他程序的。</w:t>
      </w:r>
    </w:p>
    <w:p>
      <w:pPr>
        <w:pageBreakBefore w:val="0"/>
        <w:widowControl w:val="0"/>
        <w:kinsoku/>
        <w:overflowPunct/>
        <w:topLinePunct w:val="0"/>
        <w:bidi w:val="0"/>
        <w:snapToGrid w:val="0"/>
        <w:spacing w:line="56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30.2.5.8不属于本中心管辖范围的质疑。</w:t>
      </w:r>
    </w:p>
    <w:p>
      <w:pPr>
        <w:pageBreakBefore w:val="0"/>
        <w:widowControl w:val="0"/>
        <w:kinsoku/>
        <w:overflowPunct/>
        <w:topLinePunct w:val="0"/>
        <w:bidi w:val="0"/>
        <w:snapToGrid w:val="0"/>
        <w:spacing w:line="560" w:lineRule="exact"/>
        <w:ind w:firstLine="468" w:firstLineChars="195"/>
        <w:textAlignment w:val="auto"/>
        <w:rPr>
          <w:color w:val="auto"/>
          <w:highlight w:val="none"/>
        </w:rPr>
      </w:pPr>
      <w:r>
        <w:rPr>
          <w:rFonts w:hint="eastAsia" w:ascii="宋体" w:hAnsi="宋体"/>
          <w:color w:val="auto"/>
          <w:sz w:val="24"/>
          <w:szCs w:val="24"/>
          <w:highlight w:val="none"/>
        </w:rPr>
        <w:t xml:space="preserve">30.2.6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ageBreakBefore w:val="0"/>
        <w:widowControl w:val="0"/>
        <w:kinsoku/>
        <w:overflowPunct/>
        <w:topLinePunct w:val="0"/>
        <w:bidi w:val="0"/>
        <w:spacing w:line="560" w:lineRule="exact"/>
        <w:ind w:firstLine="480" w:firstLineChars="200"/>
        <w:textAlignment w:val="auto"/>
        <w:rPr>
          <w:color w:val="auto"/>
          <w:sz w:val="24"/>
          <w:szCs w:val="24"/>
          <w:highlight w:val="none"/>
        </w:rPr>
      </w:pPr>
      <w:r>
        <w:rPr>
          <w:rFonts w:hint="eastAsia"/>
          <w:color w:val="auto"/>
          <w:sz w:val="24"/>
          <w:szCs w:val="24"/>
          <w:highlight w:val="none"/>
        </w:rPr>
        <w:t xml:space="preserve">30.3 投诉 </w:t>
      </w:r>
    </w:p>
    <w:p>
      <w:pPr>
        <w:pageBreakBefore w:val="0"/>
        <w:widowControl w:val="0"/>
        <w:kinsoku/>
        <w:overflowPunct/>
        <w:topLinePunct w:val="0"/>
        <w:bidi w:val="0"/>
        <w:spacing w:line="560" w:lineRule="exact"/>
        <w:ind w:firstLine="480" w:firstLineChars="200"/>
        <w:textAlignment w:val="auto"/>
        <w:rPr>
          <w:color w:val="auto"/>
          <w:sz w:val="24"/>
          <w:szCs w:val="24"/>
          <w:highlight w:val="none"/>
        </w:rPr>
      </w:pPr>
      <w:r>
        <w:rPr>
          <w:rFonts w:hint="eastAsia"/>
          <w:color w:val="auto"/>
          <w:sz w:val="24"/>
          <w:szCs w:val="24"/>
          <w:highlight w:val="none"/>
        </w:rPr>
        <w:t xml:space="preserve">30.3.1 质疑供应商对新疆维吾尔自治区政务服务和公共资源交易中心的答复不满意，或者新疆维吾尔自治区政务服务和公共资源交易中心未在规定时间内作出答复的，可以在答复期满后十五个工作日内向同级财政部门提起投诉。 </w:t>
      </w:r>
    </w:p>
    <w:p>
      <w:pPr>
        <w:pageBreakBefore w:val="0"/>
        <w:widowControl w:val="0"/>
        <w:kinsoku/>
        <w:overflowPunct/>
        <w:topLinePunct w:val="0"/>
        <w:bidi w:val="0"/>
        <w:spacing w:line="560" w:lineRule="exact"/>
        <w:ind w:firstLine="480" w:firstLineChars="200"/>
        <w:textAlignment w:val="auto"/>
        <w:rPr>
          <w:color w:val="auto"/>
          <w:sz w:val="24"/>
          <w:szCs w:val="24"/>
          <w:highlight w:val="none"/>
        </w:rPr>
      </w:pPr>
      <w:r>
        <w:rPr>
          <w:rFonts w:hint="eastAsia"/>
          <w:color w:val="auto"/>
          <w:sz w:val="24"/>
          <w:szCs w:val="24"/>
          <w:highlight w:val="none"/>
        </w:rPr>
        <w:t xml:space="preserve">30.3.2 投诉人在全国范围12个月内三次以上投诉查无实据的，由财政部门列入不良行为记录名单。 </w:t>
      </w:r>
    </w:p>
    <w:p>
      <w:pPr>
        <w:pageBreakBefore w:val="0"/>
        <w:widowControl w:val="0"/>
        <w:kinsoku/>
        <w:overflowPunct/>
        <w:topLinePunct w:val="0"/>
        <w:bidi w:val="0"/>
        <w:spacing w:line="560" w:lineRule="exact"/>
        <w:ind w:firstLine="480" w:firstLineChars="200"/>
        <w:textAlignment w:val="auto"/>
        <w:rPr>
          <w:color w:val="auto"/>
          <w:sz w:val="24"/>
          <w:szCs w:val="24"/>
          <w:highlight w:val="none"/>
        </w:rPr>
      </w:pPr>
      <w:r>
        <w:rPr>
          <w:rFonts w:hint="eastAsia"/>
          <w:color w:val="auto"/>
          <w:sz w:val="24"/>
          <w:szCs w:val="24"/>
          <w:highlight w:val="none"/>
        </w:rPr>
        <w:t xml:space="preserve">30.3.3 投诉人有下列行为之一的，属于虚假、恶意投诉，由财政部门列入不良行为记录名单，禁止其1至3年内参加政府采购活动： </w:t>
      </w:r>
    </w:p>
    <w:p>
      <w:pPr>
        <w:pageBreakBefore w:val="0"/>
        <w:widowControl w:val="0"/>
        <w:kinsoku/>
        <w:overflowPunct/>
        <w:topLinePunct w:val="0"/>
        <w:bidi w:val="0"/>
        <w:spacing w:line="560" w:lineRule="exact"/>
        <w:ind w:firstLine="480" w:firstLineChars="200"/>
        <w:textAlignment w:val="auto"/>
        <w:rPr>
          <w:color w:val="auto"/>
          <w:sz w:val="24"/>
          <w:szCs w:val="24"/>
          <w:highlight w:val="none"/>
        </w:rPr>
      </w:pPr>
      <w:r>
        <w:rPr>
          <w:rFonts w:hint="eastAsia"/>
          <w:color w:val="auto"/>
          <w:sz w:val="24"/>
          <w:szCs w:val="24"/>
          <w:highlight w:val="none"/>
        </w:rPr>
        <w:t xml:space="preserve">30.3.3.1 捏造事实； </w:t>
      </w:r>
    </w:p>
    <w:p>
      <w:pPr>
        <w:pageBreakBefore w:val="0"/>
        <w:widowControl w:val="0"/>
        <w:kinsoku/>
        <w:overflowPunct/>
        <w:topLinePunct w:val="0"/>
        <w:bidi w:val="0"/>
        <w:spacing w:line="560" w:lineRule="exact"/>
        <w:ind w:firstLine="480" w:firstLineChars="200"/>
        <w:textAlignment w:val="auto"/>
        <w:rPr>
          <w:color w:val="auto"/>
          <w:sz w:val="24"/>
          <w:szCs w:val="24"/>
          <w:highlight w:val="none"/>
        </w:rPr>
      </w:pPr>
      <w:r>
        <w:rPr>
          <w:rFonts w:hint="eastAsia"/>
          <w:color w:val="auto"/>
          <w:sz w:val="24"/>
          <w:szCs w:val="24"/>
          <w:highlight w:val="none"/>
        </w:rPr>
        <w:t xml:space="preserve">30.3.3.2 提供虚假材料； </w:t>
      </w:r>
    </w:p>
    <w:p>
      <w:pPr>
        <w:pStyle w:val="7"/>
        <w:pageBreakBefore w:val="0"/>
        <w:widowControl w:val="0"/>
        <w:kinsoku/>
        <w:overflowPunct/>
        <w:topLinePunct w:val="0"/>
        <w:bidi w:val="0"/>
        <w:spacing w:line="560" w:lineRule="exact"/>
        <w:ind w:firstLine="334" w:firstLineChars="139"/>
        <w:textAlignment w:val="auto"/>
        <w:rPr>
          <w:rFonts w:ascii="宋体" w:hAnsi="宋体" w:cs="宋体"/>
          <w:b w:val="0"/>
          <w:color w:val="auto"/>
          <w:sz w:val="30"/>
          <w:szCs w:val="30"/>
          <w:highlight w:val="none"/>
        </w:rPr>
      </w:pPr>
      <w:r>
        <w:rPr>
          <w:rFonts w:hint="eastAsia"/>
          <w:color w:val="auto"/>
          <w:sz w:val="24"/>
          <w:szCs w:val="24"/>
          <w:highlight w:val="none"/>
        </w:rPr>
        <w:t>30.3.3.3 以非法手段取得证明材料。证据来源的合法性存在明显疑问，投诉人无法证明其取得方式合法的，视为以非法手段取得证明材料。</w:t>
      </w:r>
    </w:p>
    <w:p>
      <w:pPr>
        <w:pStyle w:val="6"/>
        <w:pageBreakBefore w:val="0"/>
        <w:widowControl w:val="0"/>
        <w:kinsoku/>
        <w:overflowPunct/>
        <w:topLinePunct w:val="0"/>
        <w:bidi w:val="0"/>
        <w:spacing w:beforeLines="50" w:afterLines="50" w:line="560" w:lineRule="exact"/>
        <w:ind w:firstLine="420" w:firstLineChars="131"/>
        <w:textAlignment w:val="auto"/>
        <w:rPr>
          <w:rFonts w:ascii="宋体" w:hAnsi="宋体" w:cs="宋体"/>
          <w:color w:val="auto"/>
          <w:highlight w:val="none"/>
        </w:rPr>
      </w:pPr>
      <w:r>
        <w:rPr>
          <w:rFonts w:hint="eastAsia" w:ascii="宋体" w:hAnsi="宋体" w:cs="宋体"/>
          <w:color w:val="auto"/>
          <w:highlight w:val="none"/>
        </w:rPr>
        <w:t>七、授予合同</w:t>
      </w:r>
      <w:bookmarkEnd w:id="171"/>
      <w:bookmarkEnd w:id="172"/>
      <w:bookmarkEnd w:id="173"/>
    </w:p>
    <w:bookmarkEnd w:id="174"/>
    <w:bookmarkEnd w:id="175"/>
    <w:bookmarkEnd w:id="176"/>
    <w:p>
      <w:pPr>
        <w:pStyle w:val="7"/>
        <w:pageBreakBefore w:val="0"/>
        <w:widowControl w:val="0"/>
        <w:kinsoku/>
        <w:overflowPunct/>
        <w:topLinePunct w:val="0"/>
        <w:bidi w:val="0"/>
        <w:spacing w:line="560" w:lineRule="exact"/>
        <w:ind w:firstLine="416" w:firstLineChars="139"/>
        <w:textAlignment w:val="auto"/>
        <w:rPr>
          <w:rFonts w:ascii="宋体" w:hAnsi="宋体" w:cs="宋体"/>
          <w:b w:val="0"/>
          <w:color w:val="auto"/>
          <w:sz w:val="30"/>
          <w:szCs w:val="30"/>
          <w:highlight w:val="none"/>
        </w:rPr>
      </w:pPr>
      <w:bookmarkStart w:id="177" w:name="_Toc16938553"/>
      <w:bookmarkStart w:id="178" w:name="_Toc513029237"/>
      <w:bookmarkStart w:id="179" w:name="_Toc20823309"/>
      <w:r>
        <w:rPr>
          <w:rFonts w:hint="eastAsia" w:ascii="宋体" w:hAnsi="宋体" w:cs="宋体"/>
          <w:b w:val="0"/>
          <w:color w:val="auto"/>
          <w:sz w:val="30"/>
          <w:szCs w:val="30"/>
          <w:highlight w:val="none"/>
        </w:rPr>
        <w:t>31</w:t>
      </w:r>
      <w:r>
        <w:rPr>
          <w:rFonts w:hint="eastAsia" w:ascii="宋体" w:hAnsi="宋体" w:cs="宋体"/>
          <w:b w:val="0"/>
          <w:color w:val="auto"/>
          <w:sz w:val="30"/>
          <w:szCs w:val="30"/>
          <w:highlight w:val="none"/>
          <w:lang w:eastAsia="zh-CN"/>
        </w:rPr>
        <w:t>、</w:t>
      </w:r>
      <w:r>
        <w:rPr>
          <w:rFonts w:hint="eastAsia" w:ascii="宋体" w:hAnsi="宋体" w:cs="宋体"/>
          <w:b w:val="0"/>
          <w:color w:val="auto"/>
          <w:sz w:val="30"/>
          <w:szCs w:val="30"/>
          <w:highlight w:val="none"/>
        </w:rPr>
        <w:t xml:space="preserve"> 签订合同</w:t>
      </w:r>
    </w:p>
    <w:p>
      <w:pPr>
        <w:pageBreakBefore w:val="0"/>
        <w:widowControl w:val="0"/>
        <w:kinsoku/>
        <w:overflowPunct/>
        <w:topLinePunct w:val="0"/>
        <w:bidi w:val="0"/>
        <w:snapToGrid w:val="0"/>
        <w:spacing w:line="560" w:lineRule="exact"/>
        <w:ind w:firstLine="333" w:firstLineChars="139"/>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31</w:t>
      </w:r>
      <w:r>
        <w:rPr>
          <w:rFonts w:hint="eastAsia" w:ascii="宋体" w:hAnsi="宋体" w:cs="宋体"/>
          <w:color w:val="auto"/>
          <w:sz w:val="24"/>
          <w:szCs w:val="24"/>
          <w:highlight w:val="none"/>
        </w:rPr>
        <w:t>.l中标人应当在中标通知书发出之日起三十日内，按照招标文件确定的事项与采购人签订政府采购合同。</w:t>
      </w:r>
    </w:p>
    <w:p>
      <w:pPr>
        <w:pageBreakBefore w:val="0"/>
        <w:widowControl w:val="0"/>
        <w:kinsoku/>
        <w:overflowPunct/>
        <w:topLinePunct w:val="0"/>
        <w:bidi w:val="0"/>
        <w:snapToGrid w:val="0"/>
        <w:spacing w:line="560" w:lineRule="exact"/>
        <w:ind w:firstLine="333" w:firstLineChars="139"/>
        <w:textAlignment w:val="auto"/>
        <w:rPr>
          <w:rFonts w:ascii="宋体" w:hAnsi="宋体" w:cs="宋体"/>
          <w:color w:val="auto"/>
          <w:sz w:val="24"/>
          <w:szCs w:val="24"/>
          <w:highlight w:val="none"/>
        </w:rPr>
      </w:pPr>
      <w:r>
        <w:rPr>
          <w:rFonts w:hint="eastAsia" w:ascii="宋体" w:hAnsi="宋体" w:cs="宋体"/>
          <w:color w:val="auto"/>
          <w:sz w:val="24"/>
          <w:szCs w:val="24"/>
          <w:highlight w:val="none"/>
        </w:rPr>
        <w:t>31.2</w:t>
      </w:r>
      <w:r>
        <w:rPr>
          <w:rFonts w:hint="eastAsia" w:ascii="宋体" w:hAnsi="宋体" w:cs="宋体"/>
          <w:b/>
          <w:color w:val="auto"/>
          <w:sz w:val="24"/>
          <w:szCs w:val="24"/>
          <w:highlight w:val="none"/>
        </w:rPr>
        <w:t xml:space="preserve"> </w:t>
      </w:r>
      <w:r>
        <w:rPr>
          <w:rFonts w:hint="eastAsia" w:ascii="宋体" w:hAnsi="宋体" w:cs="宋体"/>
          <w:color w:val="auto"/>
          <w:sz w:val="24"/>
          <w:szCs w:val="24"/>
          <w:highlight w:val="none"/>
        </w:rPr>
        <w:t>招标文件、中标人的投标文件及招标过程中有关澄清、承诺文件均应作为合同附件。</w:t>
      </w:r>
    </w:p>
    <w:p>
      <w:pPr>
        <w:pageBreakBefore w:val="0"/>
        <w:widowControl w:val="0"/>
        <w:kinsoku/>
        <w:overflowPunct/>
        <w:topLinePunct w:val="0"/>
        <w:bidi w:val="0"/>
        <w:snapToGrid w:val="0"/>
        <w:spacing w:line="560" w:lineRule="exact"/>
        <w:ind w:firstLine="333" w:firstLineChars="139"/>
        <w:textAlignment w:val="auto"/>
        <w:rPr>
          <w:rFonts w:ascii="宋体" w:hAnsi="宋体" w:cs="宋体"/>
          <w:color w:val="auto"/>
          <w:sz w:val="24"/>
          <w:szCs w:val="24"/>
          <w:highlight w:val="none"/>
        </w:rPr>
      </w:pPr>
      <w:r>
        <w:rPr>
          <w:rFonts w:hint="eastAsia" w:ascii="宋体" w:hAnsi="宋体" w:cs="宋体"/>
          <w:color w:val="auto"/>
          <w:sz w:val="24"/>
          <w:szCs w:val="24"/>
          <w:highlight w:val="none"/>
        </w:rPr>
        <w:t>31.3 签订合同后，</w:t>
      </w:r>
      <w:r>
        <w:rPr>
          <w:rFonts w:hint="eastAsia" w:ascii="宋体" w:hAnsi="宋体" w:cs="宋体"/>
          <w:i/>
          <w:color w:val="auto"/>
          <w:sz w:val="24"/>
          <w:szCs w:val="24"/>
          <w:highlight w:val="none"/>
          <w:u w:val="single"/>
        </w:rPr>
        <w:t>中标人不得将货物及其他相关服务进行转包</w:t>
      </w:r>
      <w:r>
        <w:rPr>
          <w:rFonts w:hint="eastAsia" w:ascii="宋体" w:hAnsi="宋体" w:cs="宋体"/>
          <w:color w:val="auto"/>
          <w:sz w:val="24"/>
          <w:szCs w:val="24"/>
          <w:highlight w:val="none"/>
        </w:rPr>
        <w:t>。未经采购人同意，中标人也不得采用分包的形式履行合同，否则采购人有权终止合同。转包或分包造成采购人损失的，中标人应承担相应赔偿责任。</w:t>
      </w:r>
    </w:p>
    <w:p>
      <w:pPr>
        <w:pStyle w:val="7"/>
        <w:pageBreakBefore w:val="0"/>
        <w:widowControl w:val="0"/>
        <w:kinsoku/>
        <w:overflowPunct/>
        <w:topLinePunct w:val="0"/>
        <w:bidi w:val="0"/>
        <w:spacing w:line="560" w:lineRule="exact"/>
        <w:ind w:firstLine="416" w:firstLineChars="139"/>
        <w:textAlignment w:val="auto"/>
        <w:rPr>
          <w:rFonts w:ascii="宋体" w:hAnsi="宋体" w:cs="宋体"/>
          <w:b w:val="0"/>
          <w:color w:val="auto"/>
          <w:sz w:val="30"/>
          <w:szCs w:val="30"/>
          <w:highlight w:val="none"/>
        </w:rPr>
      </w:pPr>
      <w:r>
        <w:rPr>
          <w:rFonts w:hint="eastAsia" w:ascii="宋体" w:hAnsi="宋体" w:cs="宋体"/>
          <w:b w:val="0"/>
          <w:color w:val="auto"/>
          <w:sz w:val="30"/>
          <w:szCs w:val="30"/>
          <w:highlight w:val="none"/>
        </w:rPr>
        <w:t>32、货物和服务的追加、减少和添购。</w:t>
      </w:r>
    </w:p>
    <w:p>
      <w:pPr>
        <w:pageBreakBefore w:val="0"/>
        <w:widowControl w:val="0"/>
        <w:kinsoku/>
        <w:overflowPunct/>
        <w:topLinePunct w:val="0"/>
        <w:bidi w:val="0"/>
        <w:spacing w:line="560" w:lineRule="exact"/>
        <w:ind w:firstLine="333" w:firstLineChars="139"/>
        <w:textAlignment w:val="auto"/>
        <w:rPr>
          <w:rFonts w:ascii="宋体" w:hAnsi="宋体" w:cs="宋体"/>
          <w:color w:val="auto"/>
          <w:sz w:val="24"/>
          <w:szCs w:val="24"/>
          <w:highlight w:val="none"/>
        </w:rPr>
      </w:pPr>
      <w:r>
        <w:rPr>
          <w:rFonts w:hint="eastAsia" w:ascii="宋体" w:hAnsi="宋体" w:cs="宋体"/>
          <w:color w:val="auto"/>
          <w:sz w:val="24"/>
          <w:szCs w:val="24"/>
          <w:highlight w:val="none"/>
        </w:rPr>
        <w:t>32.1政府采购合同履行中，采购人需追加与合同标的相同的货物和服务的，经政府采购管理部门同意后，在不改变合同其他条款的前提下，可以与中标人协商签订补充合同，但所有补充合同的采购金额不超过原合同金</w:t>
      </w:r>
      <w:r>
        <w:rPr>
          <w:rFonts w:hint="eastAsia" w:ascii="宋体" w:hAnsi="宋体" w:cs="宋体"/>
          <w:color w:val="auto"/>
          <w:sz w:val="24"/>
          <w:szCs w:val="24"/>
          <w:highlight w:val="none"/>
          <w:lang w:eastAsia="zh-CN"/>
        </w:rPr>
        <w:t>额的</w:t>
      </w:r>
      <w:r>
        <w:rPr>
          <w:rFonts w:hint="eastAsia" w:ascii="宋体" w:hAnsi="宋体" w:cs="宋体"/>
          <w:color w:val="auto"/>
          <w:sz w:val="24"/>
          <w:szCs w:val="24"/>
          <w:highlight w:val="none"/>
        </w:rPr>
        <w:t>10%。</w:t>
      </w:r>
    </w:p>
    <w:p>
      <w:pPr>
        <w:pageBreakBefore w:val="0"/>
        <w:widowControl w:val="0"/>
        <w:kinsoku/>
        <w:overflowPunct/>
        <w:topLinePunct w:val="0"/>
        <w:bidi w:val="0"/>
        <w:spacing w:line="560" w:lineRule="exact"/>
        <w:ind w:firstLine="333" w:firstLineChars="139"/>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pageBreakBefore w:val="0"/>
        <w:widowControl w:val="0"/>
        <w:kinsoku/>
        <w:overflowPunct/>
        <w:topLinePunct w:val="0"/>
        <w:bidi w:val="0"/>
        <w:spacing w:line="560" w:lineRule="exact"/>
        <w:textAlignment w:val="auto"/>
        <w:rPr>
          <w:rFonts w:ascii="宋体" w:hAnsi="宋体" w:cs="宋体"/>
          <w:color w:val="auto"/>
          <w:highlight w:val="none"/>
        </w:rPr>
      </w:pPr>
    </w:p>
    <w:p>
      <w:pPr>
        <w:pageBreakBefore w:val="0"/>
        <w:widowControl w:val="0"/>
        <w:kinsoku/>
        <w:overflowPunct/>
        <w:topLinePunct w:val="0"/>
        <w:bidi w:val="0"/>
        <w:spacing w:line="560" w:lineRule="exact"/>
        <w:ind w:firstLine="555"/>
        <w:jc w:val="center"/>
        <w:textAlignment w:val="auto"/>
        <w:rPr>
          <w:rFonts w:ascii="宋体" w:hAnsi="宋体" w:cs="宋体"/>
          <w:color w:val="auto"/>
          <w:highlight w:val="none"/>
        </w:rPr>
      </w:pPr>
      <w:r>
        <w:rPr>
          <w:rFonts w:hint="eastAsia" w:ascii="宋体" w:hAnsi="宋体" w:cs="宋体"/>
          <w:color w:val="auto"/>
          <w:highlight w:val="none"/>
        </w:rPr>
        <w:br w:type="page"/>
      </w:r>
      <w:bookmarkStart w:id="180" w:name="_Toc534725606"/>
      <w:bookmarkStart w:id="181" w:name="_Toc534816635"/>
      <w:r>
        <w:rPr>
          <w:rStyle w:val="47"/>
          <w:rFonts w:hint="eastAsia"/>
          <w:color w:val="auto"/>
          <w:highlight w:val="none"/>
        </w:rPr>
        <w:t>第三章  合同</w:t>
      </w:r>
      <w:bookmarkEnd w:id="22"/>
      <w:bookmarkEnd w:id="23"/>
      <w:bookmarkEnd w:id="24"/>
      <w:bookmarkEnd w:id="25"/>
      <w:bookmarkEnd w:id="26"/>
      <w:r>
        <w:rPr>
          <w:rStyle w:val="47"/>
          <w:rFonts w:hint="eastAsia"/>
          <w:color w:val="auto"/>
          <w:highlight w:val="none"/>
        </w:rPr>
        <w:t>文本</w:t>
      </w:r>
      <w:bookmarkEnd w:id="27"/>
      <w:bookmarkEnd w:id="180"/>
      <w:bookmarkEnd w:id="181"/>
    </w:p>
    <w:p>
      <w:pPr>
        <w:pageBreakBefore w:val="0"/>
        <w:widowControl w:val="0"/>
        <w:kinsoku/>
        <w:overflowPunct/>
        <w:topLinePunct w:val="0"/>
        <w:bidi w:val="0"/>
        <w:spacing w:line="560" w:lineRule="exact"/>
        <w:ind w:firstLine="480" w:firstLineChars="200"/>
        <w:textAlignment w:val="auto"/>
        <w:rPr>
          <w:rFonts w:ascii="宋体" w:hAnsi="宋体" w:cs="宋体"/>
          <w:bCs/>
          <w:color w:val="auto"/>
          <w:sz w:val="24"/>
          <w:highlight w:val="none"/>
        </w:rPr>
      </w:pPr>
      <w:bookmarkStart w:id="182" w:name="_Toc513029243"/>
      <w:bookmarkStart w:id="183" w:name="_Toc20823315"/>
      <w:bookmarkStart w:id="184" w:name="_Toc16938559"/>
      <w:r>
        <w:rPr>
          <w:rFonts w:hint="eastAsia" w:ascii="宋体" w:hAnsi="宋体" w:cs="宋体"/>
          <w:bCs/>
          <w:color w:val="auto"/>
          <w:sz w:val="24"/>
          <w:highlight w:val="none"/>
        </w:rPr>
        <w:t>以下为中标后</w:t>
      </w:r>
      <w:r>
        <w:rPr>
          <w:rFonts w:hint="eastAsia" w:ascii="宋体" w:hAnsi="宋体" w:cs="宋体"/>
          <w:bCs/>
          <w:color w:val="auto"/>
          <w:sz w:val="24"/>
          <w:highlight w:val="none"/>
          <w:lang w:eastAsia="zh-CN"/>
        </w:rPr>
        <w:t>签订</w:t>
      </w:r>
      <w:r>
        <w:rPr>
          <w:rFonts w:hint="eastAsia" w:ascii="宋体" w:hAnsi="宋体" w:cs="宋体"/>
          <w:bCs/>
          <w:color w:val="auto"/>
          <w:sz w:val="24"/>
          <w:highlight w:val="none"/>
        </w:rPr>
        <w:t>本项目合同的通用条款，中标人不得提出实质性的修改，关于专用条款将由采购人与中标人结合本项目具体情况协商后签订。</w:t>
      </w:r>
    </w:p>
    <w:p>
      <w:pPr>
        <w:pageBreakBefore w:val="0"/>
        <w:widowControl w:val="0"/>
        <w:kinsoku/>
        <w:overflowPunct/>
        <w:topLinePunct w:val="0"/>
        <w:bidi w:val="0"/>
        <w:spacing w:line="560" w:lineRule="exact"/>
        <w:jc w:val="center"/>
        <w:textAlignment w:val="auto"/>
        <w:rPr>
          <w:rFonts w:ascii="宋体" w:hAnsi="宋体" w:cs="宋体"/>
          <w:b/>
          <w:bCs/>
          <w:color w:val="auto"/>
          <w:sz w:val="30"/>
          <w:szCs w:val="30"/>
          <w:highlight w:val="none"/>
        </w:rPr>
      </w:pPr>
      <w:r>
        <w:rPr>
          <w:rFonts w:hint="eastAsia" w:ascii="宋体" w:hAnsi="宋体" w:cs="宋体"/>
          <w:b/>
          <w:color w:val="auto"/>
          <w:sz w:val="30"/>
          <w:szCs w:val="30"/>
          <w:highlight w:val="none"/>
        </w:rPr>
        <w:t>新疆维吾尔自治区政府采购合同（合同编号）</w:t>
      </w:r>
    </w:p>
    <w:p>
      <w:pPr>
        <w:pStyle w:val="22"/>
        <w:pageBreakBefore w:val="0"/>
        <w:widowControl w:val="0"/>
        <w:kinsoku/>
        <w:overflowPunct/>
        <w:topLinePunct w:val="0"/>
        <w:bidi w:val="0"/>
        <w:snapToGrid w:val="0"/>
        <w:spacing w:before="120" w:after="120" w:line="560" w:lineRule="exact"/>
        <w:textAlignment w:val="auto"/>
        <w:rPr>
          <w:rFonts w:hAnsi="宋体" w:cs="宋体"/>
          <w:color w:val="auto"/>
          <w:sz w:val="24"/>
          <w:szCs w:val="24"/>
          <w:highlight w:val="none"/>
        </w:rPr>
      </w:pPr>
      <w:r>
        <w:rPr>
          <w:rFonts w:hint="eastAsia" w:hAnsi="宋体" w:cs="宋体"/>
          <w:color w:val="auto"/>
          <w:sz w:val="24"/>
          <w:szCs w:val="24"/>
          <w:highlight w:val="none"/>
        </w:rPr>
        <w:t>项目名称：                                       项目编号：</w:t>
      </w:r>
    </w:p>
    <w:p>
      <w:pPr>
        <w:pStyle w:val="22"/>
        <w:pageBreakBefore w:val="0"/>
        <w:widowControl w:val="0"/>
        <w:kinsoku/>
        <w:overflowPunct/>
        <w:topLinePunct w:val="0"/>
        <w:bidi w:val="0"/>
        <w:snapToGrid w:val="0"/>
        <w:spacing w:before="120" w:after="120" w:line="560" w:lineRule="exact"/>
        <w:textAlignment w:val="auto"/>
        <w:rPr>
          <w:rFonts w:hAnsi="宋体" w:cs="宋体"/>
          <w:color w:val="auto"/>
          <w:sz w:val="24"/>
          <w:szCs w:val="24"/>
          <w:highlight w:val="none"/>
        </w:rPr>
      </w:pPr>
      <w:r>
        <w:rPr>
          <w:rFonts w:hint="eastAsia" w:hAnsi="宋体" w:cs="宋体"/>
          <w:color w:val="auto"/>
          <w:sz w:val="24"/>
          <w:szCs w:val="24"/>
          <w:highlight w:val="none"/>
        </w:rPr>
        <w:t>甲方：（买方）_________</w:t>
      </w:r>
    </w:p>
    <w:p>
      <w:pPr>
        <w:pStyle w:val="22"/>
        <w:pageBreakBefore w:val="0"/>
        <w:widowControl w:val="0"/>
        <w:kinsoku/>
        <w:overflowPunct/>
        <w:topLinePunct w:val="0"/>
        <w:bidi w:val="0"/>
        <w:snapToGrid w:val="0"/>
        <w:spacing w:before="120" w:after="120" w:line="560" w:lineRule="exact"/>
        <w:textAlignment w:val="auto"/>
        <w:rPr>
          <w:rFonts w:hAnsi="宋体" w:cs="宋体"/>
          <w:color w:val="auto"/>
          <w:sz w:val="24"/>
          <w:szCs w:val="24"/>
          <w:highlight w:val="none"/>
        </w:rPr>
      </w:pPr>
      <w:r>
        <w:rPr>
          <w:rFonts w:hint="eastAsia" w:hAnsi="宋体" w:cs="宋体"/>
          <w:color w:val="auto"/>
          <w:sz w:val="24"/>
          <w:szCs w:val="24"/>
          <w:highlight w:val="none"/>
        </w:rPr>
        <w:t>乙方：（卖方）_________</w:t>
      </w:r>
    </w:p>
    <w:p>
      <w:pPr>
        <w:pStyle w:val="22"/>
        <w:pageBreakBefore w:val="0"/>
        <w:widowControl w:val="0"/>
        <w:kinsoku/>
        <w:overflowPunct/>
        <w:topLinePunct w:val="0"/>
        <w:bidi w:val="0"/>
        <w:snapToGrid w:val="0"/>
        <w:spacing w:before="120" w:after="120" w:line="560" w:lineRule="exact"/>
        <w:textAlignment w:val="auto"/>
        <w:rPr>
          <w:rFonts w:hAnsi="宋体" w:cs="宋体"/>
          <w:b/>
          <w:color w:val="auto"/>
          <w:sz w:val="24"/>
          <w:szCs w:val="24"/>
          <w:highlight w:val="none"/>
        </w:rPr>
      </w:pPr>
      <w:r>
        <w:rPr>
          <w:rFonts w:hint="eastAsia" w:hAnsi="宋体" w:cs="宋体"/>
          <w:b/>
          <w:color w:val="auto"/>
          <w:sz w:val="24"/>
          <w:szCs w:val="24"/>
          <w:highlight w:val="none"/>
        </w:rPr>
        <w:t xml:space="preserve">   </w:t>
      </w:r>
      <w:r>
        <w:rPr>
          <w:rFonts w:hint="eastAsia" w:hAnsi="宋体" w:cs="宋体"/>
          <w:color w:val="auto"/>
          <w:sz w:val="24"/>
          <w:szCs w:val="24"/>
          <w:highlight w:val="none"/>
        </w:rPr>
        <w:t>甲、乙双方根据新疆维吾尔自治区政务服务和公共资源交易中心</w:t>
      </w:r>
      <w:r>
        <w:rPr>
          <w:rFonts w:hint="eastAsia" w:hAnsi="宋体" w:cs="宋体"/>
          <w:color w:val="auto"/>
          <w:sz w:val="24"/>
          <w:szCs w:val="24"/>
          <w:highlight w:val="none"/>
          <w:u w:val="single"/>
        </w:rPr>
        <w:t xml:space="preserve">                          组织的                                   </w:t>
      </w:r>
      <w:r>
        <w:rPr>
          <w:rFonts w:hint="eastAsia" w:hAnsi="宋体" w:cs="宋体"/>
          <w:color w:val="auto"/>
          <w:sz w:val="24"/>
          <w:szCs w:val="24"/>
          <w:highlight w:val="none"/>
        </w:rPr>
        <w:t>项目公开招标的结果，签署本合同。</w:t>
      </w:r>
    </w:p>
    <w:p>
      <w:pPr>
        <w:pStyle w:val="22"/>
        <w:pageBreakBefore w:val="0"/>
        <w:widowControl w:val="0"/>
        <w:kinsoku/>
        <w:overflowPunct/>
        <w:topLinePunct w:val="0"/>
        <w:bidi w:val="0"/>
        <w:snapToGrid w:val="0"/>
        <w:spacing w:before="120" w:after="120" w:line="560" w:lineRule="exact"/>
        <w:ind w:firstLine="481" w:firstLineChars="200"/>
        <w:textAlignment w:val="auto"/>
        <w:rPr>
          <w:rFonts w:hAnsi="宋体" w:cs="宋体"/>
          <w:b/>
          <w:color w:val="auto"/>
          <w:sz w:val="24"/>
          <w:szCs w:val="24"/>
          <w:highlight w:val="none"/>
        </w:rPr>
      </w:pPr>
      <w:r>
        <w:rPr>
          <w:rFonts w:hint="eastAsia" w:hAnsi="宋体" w:cs="宋体"/>
          <w:b/>
          <w:color w:val="auto"/>
          <w:sz w:val="24"/>
          <w:szCs w:val="24"/>
          <w:highlight w:val="none"/>
        </w:rPr>
        <w:t>一、产品内容</w:t>
      </w:r>
    </w:p>
    <w:p>
      <w:pPr>
        <w:pStyle w:val="22"/>
        <w:pageBreakBefore w:val="0"/>
        <w:widowControl w:val="0"/>
        <w:kinsoku/>
        <w:overflowPunct/>
        <w:topLinePunct w:val="0"/>
        <w:bidi w:val="0"/>
        <w:snapToGrid w:val="0"/>
        <w:spacing w:before="120" w:after="120" w:line="5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1.1 产品名称：</w:t>
      </w:r>
    </w:p>
    <w:p>
      <w:pPr>
        <w:pStyle w:val="22"/>
        <w:pageBreakBefore w:val="0"/>
        <w:widowControl w:val="0"/>
        <w:kinsoku/>
        <w:overflowPunct/>
        <w:topLinePunct w:val="0"/>
        <w:bidi w:val="0"/>
        <w:snapToGrid w:val="0"/>
        <w:spacing w:before="120" w:after="120" w:line="5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1.2 型号规格：</w:t>
      </w:r>
    </w:p>
    <w:p>
      <w:pPr>
        <w:pStyle w:val="22"/>
        <w:pageBreakBefore w:val="0"/>
        <w:widowControl w:val="0"/>
        <w:kinsoku/>
        <w:overflowPunct/>
        <w:topLinePunct w:val="0"/>
        <w:bidi w:val="0"/>
        <w:snapToGrid w:val="0"/>
        <w:spacing w:before="120" w:after="120" w:line="5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1.3 数量（单位）：</w:t>
      </w:r>
    </w:p>
    <w:p>
      <w:pPr>
        <w:pStyle w:val="22"/>
        <w:pageBreakBefore w:val="0"/>
        <w:widowControl w:val="0"/>
        <w:kinsoku/>
        <w:overflowPunct/>
        <w:topLinePunct w:val="0"/>
        <w:bidi w:val="0"/>
        <w:snapToGrid w:val="0"/>
        <w:spacing w:before="120" w:after="120" w:line="560" w:lineRule="exact"/>
        <w:ind w:firstLine="481" w:firstLineChars="200"/>
        <w:textAlignment w:val="auto"/>
        <w:rPr>
          <w:rFonts w:hAnsi="宋体" w:cs="宋体"/>
          <w:b/>
          <w:color w:val="auto"/>
          <w:sz w:val="24"/>
          <w:szCs w:val="24"/>
          <w:highlight w:val="none"/>
        </w:rPr>
      </w:pPr>
      <w:r>
        <w:rPr>
          <w:rFonts w:hint="eastAsia" w:hAnsi="宋体" w:cs="宋体"/>
          <w:b/>
          <w:color w:val="auto"/>
          <w:sz w:val="24"/>
          <w:szCs w:val="24"/>
          <w:highlight w:val="none"/>
        </w:rPr>
        <w:t>二、合同金额</w:t>
      </w:r>
    </w:p>
    <w:p>
      <w:pPr>
        <w:pStyle w:val="22"/>
        <w:pageBreakBefore w:val="0"/>
        <w:widowControl w:val="0"/>
        <w:kinsoku/>
        <w:overflowPunct/>
        <w:topLinePunct w:val="0"/>
        <w:bidi w:val="0"/>
        <w:snapToGrid w:val="0"/>
        <w:spacing w:before="120" w:after="120" w:line="560" w:lineRule="exact"/>
        <w:ind w:left="479" w:leftChars="228" w:firstLine="69" w:firstLineChars="29"/>
        <w:textAlignment w:val="auto"/>
        <w:rPr>
          <w:rFonts w:hAnsi="宋体" w:cs="宋体"/>
          <w:color w:val="auto"/>
          <w:sz w:val="24"/>
          <w:szCs w:val="24"/>
          <w:highlight w:val="none"/>
        </w:rPr>
      </w:pPr>
      <w:r>
        <w:rPr>
          <w:rFonts w:hint="eastAsia" w:hAnsi="宋体" w:cs="宋体"/>
          <w:color w:val="auto"/>
          <w:sz w:val="24"/>
          <w:szCs w:val="24"/>
          <w:highlight w:val="none"/>
        </w:rPr>
        <w:t>2.1 本合同金额为（大写）：____________________________________</w:t>
      </w:r>
      <w:r>
        <w:rPr>
          <w:rFonts w:hint="eastAsia" w:hAnsi="宋体" w:cs="宋体"/>
          <w:color w:val="auto"/>
          <w:sz w:val="24"/>
          <w:szCs w:val="24"/>
          <w:highlight w:val="none"/>
          <w:lang w:eastAsia="zh-CN"/>
        </w:rPr>
        <w:t>元</w:t>
      </w:r>
      <w:r>
        <w:rPr>
          <w:rFonts w:hint="eastAsia" w:hAnsi="宋体" w:cs="宋体"/>
          <w:color w:val="auto"/>
          <w:sz w:val="24"/>
          <w:szCs w:val="24"/>
          <w:highlight w:val="none"/>
        </w:rPr>
        <w:t>（_______________元）人民币或其他币种。</w:t>
      </w:r>
    </w:p>
    <w:p>
      <w:pPr>
        <w:pStyle w:val="22"/>
        <w:pageBreakBefore w:val="0"/>
        <w:widowControl w:val="0"/>
        <w:kinsoku/>
        <w:overflowPunct/>
        <w:topLinePunct w:val="0"/>
        <w:bidi w:val="0"/>
        <w:snapToGrid w:val="0"/>
        <w:spacing w:before="120" w:after="120" w:line="560" w:lineRule="exact"/>
        <w:ind w:firstLine="481" w:firstLineChars="200"/>
        <w:textAlignment w:val="auto"/>
        <w:rPr>
          <w:rFonts w:hAnsi="宋体" w:cs="宋体"/>
          <w:b/>
          <w:color w:val="auto"/>
          <w:sz w:val="24"/>
          <w:szCs w:val="24"/>
          <w:highlight w:val="none"/>
        </w:rPr>
      </w:pPr>
      <w:r>
        <w:rPr>
          <w:rFonts w:hint="eastAsia" w:hAnsi="宋体" w:cs="宋体"/>
          <w:b/>
          <w:color w:val="auto"/>
          <w:sz w:val="24"/>
          <w:szCs w:val="24"/>
          <w:highlight w:val="none"/>
        </w:rPr>
        <w:t>三、技术资料</w:t>
      </w:r>
    </w:p>
    <w:p>
      <w:pPr>
        <w:pStyle w:val="22"/>
        <w:pageBreakBefore w:val="0"/>
        <w:widowControl w:val="0"/>
        <w:kinsoku/>
        <w:overflowPunct/>
        <w:topLinePunct w:val="0"/>
        <w:bidi w:val="0"/>
        <w:snapToGrid w:val="0"/>
        <w:spacing w:before="120" w:after="120" w:line="560" w:lineRule="exact"/>
        <w:ind w:left="479" w:leftChars="228" w:firstLine="69" w:firstLineChars="29"/>
        <w:textAlignment w:val="auto"/>
        <w:rPr>
          <w:rFonts w:hAnsi="宋体" w:cs="宋体"/>
          <w:color w:val="auto"/>
          <w:sz w:val="24"/>
          <w:szCs w:val="24"/>
          <w:highlight w:val="none"/>
        </w:rPr>
      </w:pPr>
      <w:r>
        <w:rPr>
          <w:rFonts w:hint="eastAsia" w:hAnsi="宋体" w:cs="宋体"/>
          <w:color w:val="auto"/>
          <w:sz w:val="24"/>
          <w:szCs w:val="24"/>
          <w:highlight w:val="none"/>
        </w:rPr>
        <w:t>3.1乙方应按招标文件规定的时间向甲方提供使用货物的有关技术资料。</w:t>
      </w:r>
    </w:p>
    <w:p>
      <w:pPr>
        <w:pStyle w:val="22"/>
        <w:pageBreakBefore w:val="0"/>
        <w:widowControl w:val="0"/>
        <w:kinsoku/>
        <w:overflowPunct/>
        <w:topLinePunct w:val="0"/>
        <w:bidi w:val="0"/>
        <w:snapToGrid w:val="0"/>
        <w:spacing w:before="120" w:after="120" w:line="560" w:lineRule="exact"/>
        <w:ind w:left="479" w:leftChars="228" w:firstLine="69" w:firstLineChars="29"/>
        <w:textAlignment w:val="auto"/>
        <w:rPr>
          <w:rFonts w:hAnsi="宋体" w:cs="宋体"/>
          <w:color w:val="auto"/>
          <w:sz w:val="24"/>
          <w:szCs w:val="24"/>
          <w:highlight w:val="none"/>
        </w:rPr>
      </w:pPr>
      <w:r>
        <w:rPr>
          <w:rFonts w:hint="eastAsia" w:hAnsi="宋体" w:cs="宋体"/>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pageBreakBefore w:val="0"/>
        <w:widowControl w:val="0"/>
        <w:kinsoku/>
        <w:overflowPunct/>
        <w:topLinePunct w:val="0"/>
        <w:bidi w:val="0"/>
        <w:snapToGrid w:val="0"/>
        <w:spacing w:before="120" w:after="120" w:line="560" w:lineRule="exact"/>
        <w:ind w:left="479" w:leftChars="228" w:firstLine="69" w:firstLineChars="29"/>
        <w:textAlignment w:val="auto"/>
        <w:rPr>
          <w:rFonts w:hAnsi="宋体" w:cs="宋体"/>
          <w:b/>
          <w:color w:val="auto"/>
          <w:sz w:val="24"/>
          <w:szCs w:val="24"/>
          <w:highlight w:val="none"/>
        </w:rPr>
      </w:pPr>
      <w:r>
        <w:rPr>
          <w:rFonts w:hint="eastAsia" w:hAnsi="宋体" w:cs="宋体"/>
          <w:b/>
          <w:color w:val="auto"/>
          <w:sz w:val="24"/>
          <w:szCs w:val="24"/>
          <w:highlight w:val="none"/>
        </w:rPr>
        <w:t>四、知识产权</w:t>
      </w:r>
    </w:p>
    <w:p>
      <w:pPr>
        <w:pageBreakBefore w:val="0"/>
        <w:widowControl w:val="0"/>
        <w:kinsoku/>
        <w:overflowPunct/>
        <w:topLinePunct w:val="0"/>
        <w:bidi w:val="0"/>
        <w:spacing w:line="5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rPr>
        <w:t>4.1乙</w:t>
      </w:r>
      <w:r>
        <w:rPr>
          <w:rFonts w:hint="eastAsia" w:ascii="宋体" w:hAnsi="宋体" w:cs="宋体"/>
          <w:color w:val="auto"/>
          <w:sz w:val="24"/>
          <w:highlight w:val="none"/>
        </w:rPr>
        <w:t>方应保证甲方在使用、接受本合同货物和服务或其任何一部分时不受第三方提出侵犯其专利权、版权、商标权和工业设计权等知识产权的起诉。一旦出现侵权，由乙方负全部责任。</w:t>
      </w:r>
    </w:p>
    <w:p>
      <w:pPr>
        <w:pStyle w:val="22"/>
        <w:pageBreakBefore w:val="0"/>
        <w:widowControl w:val="0"/>
        <w:kinsoku/>
        <w:overflowPunct/>
        <w:topLinePunct w:val="0"/>
        <w:bidi w:val="0"/>
        <w:snapToGrid w:val="0"/>
        <w:spacing w:before="120" w:after="120" w:line="560" w:lineRule="exact"/>
        <w:ind w:firstLine="481" w:firstLineChars="200"/>
        <w:textAlignment w:val="auto"/>
        <w:rPr>
          <w:rFonts w:hAnsi="宋体" w:cs="宋体"/>
          <w:color w:val="auto"/>
          <w:sz w:val="24"/>
          <w:szCs w:val="24"/>
          <w:highlight w:val="none"/>
          <w:u w:val="single"/>
        </w:rPr>
      </w:pPr>
      <w:r>
        <w:rPr>
          <w:rFonts w:hint="eastAsia" w:hAnsi="宋体" w:cs="宋体"/>
          <w:b/>
          <w:color w:val="auto"/>
          <w:sz w:val="24"/>
          <w:szCs w:val="24"/>
          <w:highlight w:val="none"/>
        </w:rPr>
        <w:t>五、产权担保</w:t>
      </w:r>
    </w:p>
    <w:p>
      <w:pPr>
        <w:pStyle w:val="22"/>
        <w:pageBreakBefore w:val="0"/>
        <w:widowControl w:val="0"/>
        <w:kinsoku/>
        <w:overflowPunct/>
        <w:topLinePunct w:val="0"/>
        <w:bidi w:val="0"/>
        <w:snapToGrid w:val="0"/>
        <w:spacing w:before="120" w:after="120" w:line="560" w:lineRule="exact"/>
        <w:ind w:left="479" w:leftChars="228" w:firstLine="72" w:firstLineChars="30"/>
        <w:textAlignment w:val="auto"/>
        <w:rPr>
          <w:rFonts w:hAnsi="宋体" w:cs="宋体"/>
          <w:color w:val="auto"/>
          <w:sz w:val="24"/>
          <w:szCs w:val="24"/>
          <w:highlight w:val="none"/>
          <w:u w:val="single"/>
        </w:rPr>
      </w:pPr>
      <w:r>
        <w:rPr>
          <w:rFonts w:hint="eastAsia" w:hAnsi="宋体" w:cs="宋体"/>
          <w:color w:val="auto"/>
          <w:sz w:val="24"/>
          <w:szCs w:val="24"/>
          <w:highlight w:val="none"/>
        </w:rPr>
        <w:t>5.1 乙方保证所交付的产品的所有权完全属于乙方且无任何抵押、查封等产权瑕疵。</w:t>
      </w:r>
    </w:p>
    <w:p>
      <w:pPr>
        <w:pageBreakBefore w:val="0"/>
        <w:widowControl w:val="0"/>
        <w:kinsoku/>
        <w:overflowPunct/>
        <w:topLinePunct w:val="0"/>
        <w:bidi w:val="0"/>
        <w:snapToGrid w:val="0"/>
        <w:spacing w:beforeLines="50" w:afterLines="50" w:line="560" w:lineRule="exact"/>
        <w:ind w:firstLine="481"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六、转包或分包</w:t>
      </w:r>
    </w:p>
    <w:p>
      <w:pPr>
        <w:pageBreakBefore w:val="0"/>
        <w:widowControl w:val="0"/>
        <w:kinsoku/>
        <w:overflowPunct/>
        <w:topLinePunct w:val="0"/>
        <w:bidi w:val="0"/>
        <w:snapToGrid w:val="0"/>
        <w:spacing w:beforeLines="50" w:afterLines="50"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6.1本合同范围的产品，应由乙方直接供应，不得转让他人供应；</w:t>
      </w:r>
    </w:p>
    <w:p>
      <w:pPr>
        <w:pageBreakBefore w:val="0"/>
        <w:widowControl w:val="0"/>
        <w:kinsoku/>
        <w:overflowPunct/>
        <w:topLinePunct w:val="0"/>
        <w:bidi w:val="0"/>
        <w:snapToGrid w:val="0"/>
        <w:spacing w:beforeLines="50" w:afterLines="50"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6.2 除非得到甲方的书面同意，乙方不得部分分包给他人供应。</w:t>
      </w:r>
    </w:p>
    <w:p>
      <w:pPr>
        <w:pageBreakBefore w:val="0"/>
        <w:widowControl w:val="0"/>
        <w:kinsoku/>
        <w:overflowPunct/>
        <w:topLinePunct w:val="0"/>
        <w:bidi w:val="0"/>
        <w:snapToGrid w:val="0"/>
        <w:spacing w:beforeLines="50" w:afterLines="50" w:line="5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6.3如有转让和未经甲方同意的分包行为，甲方有权给予终止合同。</w:t>
      </w:r>
    </w:p>
    <w:p>
      <w:pPr>
        <w:pStyle w:val="22"/>
        <w:pageBreakBefore w:val="0"/>
        <w:widowControl w:val="0"/>
        <w:kinsoku/>
        <w:overflowPunct/>
        <w:topLinePunct w:val="0"/>
        <w:bidi w:val="0"/>
        <w:snapToGrid w:val="0"/>
        <w:spacing w:before="120" w:after="120" w:line="560" w:lineRule="exact"/>
        <w:ind w:firstLine="481" w:firstLineChars="200"/>
        <w:textAlignment w:val="auto"/>
        <w:rPr>
          <w:rFonts w:hAnsi="宋体" w:cs="宋体"/>
          <w:color w:val="auto"/>
          <w:sz w:val="24"/>
          <w:szCs w:val="24"/>
          <w:highlight w:val="none"/>
        </w:rPr>
      </w:pPr>
      <w:r>
        <w:rPr>
          <w:rFonts w:hint="eastAsia" w:hAnsi="宋体" w:cs="宋体"/>
          <w:b/>
          <w:color w:val="auto"/>
          <w:sz w:val="24"/>
          <w:szCs w:val="24"/>
          <w:highlight w:val="none"/>
        </w:rPr>
        <w:t>七、质保期</w:t>
      </w:r>
    </w:p>
    <w:p>
      <w:pPr>
        <w:pStyle w:val="22"/>
        <w:pageBreakBefore w:val="0"/>
        <w:widowControl w:val="0"/>
        <w:kinsoku/>
        <w:overflowPunct/>
        <w:topLinePunct w:val="0"/>
        <w:bidi w:val="0"/>
        <w:snapToGrid w:val="0"/>
        <w:spacing w:before="120" w:after="120" w:line="56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8.1 质保期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年。（自交货验收合格之日起计）</w:t>
      </w:r>
    </w:p>
    <w:p>
      <w:pPr>
        <w:pStyle w:val="22"/>
        <w:pageBreakBefore w:val="0"/>
        <w:widowControl w:val="0"/>
        <w:kinsoku/>
        <w:overflowPunct/>
        <w:topLinePunct w:val="0"/>
        <w:bidi w:val="0"/>
        <w:snapToGrid w:val="0"/>
        <w:spacing w:before="120" w:after="120" w:line="560" w:lineRule="exact"/>
        <w:ind w:firstLine="481" w:firstLineChars="200"/>
        <w:textAlignment w:val="auto"/>
        <w:rPr>
          <w:rFonts w:hAnsi="宋体" w:cs="宋体"/>
          <w:b/>
          <w:color w:val="auto"/>
          <w:sz w:val="24"/>
          <w:szCs w:val="24"/>
          <w:highlight w:val="none"/>
        </w:rPr>
      </w:pPr>
      <w:r>
        <w:rPr>
          <w:rFonts w:hint="eastAsia" w:hAnsi="宋体" w:cs="宋体"/>
          <w:b/>
          <w:color w:val="auto"/>
          <w:sz w:val="24"/>
          <w:szCs w:val="24"/>
          <w:highlight w:val="none"/>
        </w:rPr>
        <w:t>八、交货期、交货方式及交货地点</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int="eastAsia" w:hAnsi="宋体" w:cs="宋体"/>
          <w:bCs/>
          <w:color w:val="auto"/>
          <w:sz w:val="24"/>
          <w:szCs w:val="24"/>
          <w:highlight w:val="none"/>
          <w:u w:val="single"/>
          <w:lang w:val="en-US" w:eastAsia="zh-CN"/>
        </w:rPr>
      </w:pPr>
      <w:r>
        <w:rPr>
          <w:rFonts w:hint="eastAsia" w:hAnsi="宋体" w:cs="宋体"/>
          <w:bCs/>
          <w:color w:val="auto"/>
          <w:sz w:val="24"/>
          <w:szCs w:val="24"/>
          <w:highlight w:val="none"/>
        </w:rPr>
        <w:t>8.1 交货期：</w:t>
      </w:r>
      <w:r>
        <w:rPr>
          <w:rFonts w:hint="eastAsia" w:hAnsi="宋体" w:cs="宋体"/>
          <w:color w:val="auto"/>
          <w:sz w:val="24"/>
          <w:szCs w:val="24"/>
          <w:highlight w:val="none"/>
        </w:rPr>
        <w:t>___________</w:t>
      </w:r>
      <w:r>
        <w:rPr>
          <w:rFonts w:hint="eastAsia" w:hAnsi="宋体" w:cs="宋体"/>
          <w:bCs/>
          <w:color w:val="auto"/>
          <w:sz w:val="24"/>
          <w:szCs w:val="24"/>
          <w:highlight w:val="none"/>
          <w:u w:val="single"/>
          <w:lang w:val="en-US" w:eastAsia="zh-CN"/>
        </w:rPr>
        <w:t xml:space="preserve"> </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bCs/>
          <w:color w:val="auto"/>
          <w:sz w:val="24"/>
          <w:szCs w:val="24"/>
          <w:highlight w:val="none"/>
        </w:rPr>
      </w:pPr>
      <w:r>
        <w:rPr>
          <w:rFonts w:hint="eastAsia" w:hAnsi="宋体" w:cs="宋体"/>
          <w:bCs/>
          <w:color w:val="auto"/>
          <w:sz w:val="24"/>
          <w:szCs w:val="24"/>
          <w:highlight w:val="none"/>
        </w:rPr>
        <w:t>8.2 交货方式：</w:t>
      </w:r>
      <w:r>
        <w:rPr>
          <w:rFonts w:hint="eastAsia" w:hAnsi="宋体" w:cs="宋体"/>
          <w:color w:val="auto"/>
          <w:sz w:val="24"/>
          <w:szCs w:val="24"/>
          <w:highlight w:val="none"/>
        </w:rPr>
        <w:t>___________</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int="eastAsia" w:hAnsi="宋体" w:cs="宋体"/>
          <w:b/>
          <w:color w:val="auto"/>
          <w:sz w:val="24"/>
          <w:szCs w:val="24"/>
          <w:highlight w:val="none"/>
        </w:rPr>
      </w:pPr>
      <w:r>
        <w:rPr>
          <w:rFonts w:hint="eastAsia" w:hAnsi="宋体" w:cs="宋体"/>
          <w:bCs/>
          <w:color w:val="auto"/>
          <w:sz w:val="24"/>
          <w:szCs w:val="24"/>
          <w:highlight w:val="none"/>
        </w:rPr>
        <w:t>8.3 交货地点：</w:t>
      </w:r>
      <w:r>
        <w:rPr>
          <w:rFonts w:hint="eastAsia" w:hAnsi="宋体" w:cs="宋体"/>
          <w:color w:val="auto"/>
          <w:sz w:val="24"/>
          <w:szCs w:val="24"/>
          <w:highlight w:val="none"/>
        </w:rPr>
        <w:t>___________</w:t>
      </w:r>
    </w:p>
    <w:p>
      <w:pPr>
        <w:pStyle w:val="22"/>
        <w:pageBreakBefore w:val="0"/>
        <w:widowControl w:val="0"/>
        <w:kinsoku/>
        <w:overflowPunct/>
        <w:topLinePunct w:val="0"/>
        <w:bidi w:val="0"/>
        <w:snapToGrid w:val="0"/>
        <w:spacing w:before="120" w:after="120" w:line="560" w:lineRule="exact"/>
        <w:ind w:firstLine="421" w:firstLineChars="175"/>
        <w:textAlignment w:val="auto"/>
        <w:rPr>
          <w:rFonts w:hAnsi="宋体" w:cs="宋体"/>
          <w:bCs/>
          <w:color w:val="auto"/>
          <w:sz w:val="24"/>
          <w:szCs w:val="24"/>
          <w:highlight w:val="none"/>
        </w:rPr>
      </w:pPr>
      <w:r>
        <w:rPr>
          <w:rFonts w:hint="eastAsia" w:hAnsi="宋体" w:cs="宋体"/>
          <w:b/>
          <w:color w:val="auto"/>
          <w:sz w:val="24"/>
          <w:szCs w:val="24"/>
          <w:highlight w:val="none"/>
        </w:rPr>
        <w:t>九、货款支付</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bCs/>
          <w:color w:val="auto"/>
          <w:sz w:val="24"/>
          <w:szCs w:val="24"/>
          <w:highlight w:val="none"/>
        </w:rPr>
      </w:pPr>
      <w:r>
        <w:rPr>
          <w:rFonts w:hint="eastAsia" w:hAnsi="宋体" w:cs="宋体"/>
          <w:bCs/>
          <w:color w:val="auto"/>
          <w:sz w:val="24"/>
          <w:szCs w:val="24"/>
          <w:highlight w:val="none"/>
        </w:rPr>
        <w:t>9.1 采购资金的支付方式、时间及条件：</w:t>
      </w:r>
      <w:r>
        <w:rPr>
          <w:rFonts w:hint="eastAsia" w:hAnsi="宋体" w:cs="宋体"/>
          <w:color w:val="auto"/>
          <w:sz w:val="24"/>
          <w:szCs w:val="24"/>
          <w:highlight w:val="none"/>
        </w:rPr>
        <w:t>_________</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bCs/>
          <w:color w:val="auto"/>
          <w:sz w:val="24"/>
          <w:szCs w:val="24"/>
          <w:highlight w:val="none"/>
        </w:rPr>
      </w:pPr>
      <w:r>
        <w:rPr>
          <w:rFonts w:hint="eastAsia" w:hAnsi="宋体" w:cs="宋体"/>
          <w:bCs/>
          <w:color w:val="auto"/>
          <w:sz w:val="24"/>
          <w:szCs w:val="24"/>
          <w:highlight w:val="none"/>
        </w:rPr>
        <w:t>9.2</w:t>
      </w:r>
      <w:r>
        <w:rPr>
          <w:rFonts w:hint="eastAsia" w:hAnsi="宋体" w:cs="宋体"/>
          <w:color w:val="auto"/>
          <w:sz w:val="24"/>
          <w:szCs w:val="24"/>
          <w:highlight w:val="none"/>
        </w:rPr>
        <w:t>当采购数量与实际使用数量不一致时，乙方应根据实际使用量供货，合同的最终结算金额按实际使用量乘以成交单价进行计算。</w:t>
      </w:r>
    </w:p>
    <w:p>
      <w:pPr>
        <w:pageBreakBefore w:val="0"/>
        <w:widowControl w:val="0"/>
        <w:kinsoku/>
        <w:overflowPunct/>
        <w:topLinePunct w:val="0"/>
        <w:bidi w:val="0"/>
        <w:snapToGrid w:val="0"/>
        <w:spacing w:beforeLines="50" w:afterLines="50" w:line="560" w:lineRule="exact"/>
        <w:ind w:firstLine="421" w:firstLineChars="175"/>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十、</w:t>
      </w:r>
      <w:r>
        <w:rPr>
          <w:rFonts w:hint="eastAsia" w:ascii="宋体" w:hAnsi="宋体" w:cs="宋体"/>
          <w:b/>
          <w:color w:val="auto"/>
          <w:sz w:val="24"/>
          <w:szCs w:val="24"/>
          <w:highlight w:val="none"/>
        </w:rPr>
        <w:t>税费</w:t>
      </w:r>
    </w:p>
    <w:p>
      <w:pPr>
        <w:pageBreakBefore w:val="0"/>
        <w:widowControl w:val="0"/>
        <w:kinsoku/>
        <w:overflowPunct/>
        <w:topLinePunct w:val="0"/>
        <w:bidi w:val="0"/>
        <w:snapToGrid w:val="0"/>
        <w:spacing w:beforeLines="50" w:afterLines="50" w:line="560" w:lineRule="exact"/>
        <w:ind w:firstLine="420" w:firstLineChars="175"/>
        <w:textAlignment w:val="auto"/>
        <w:rPr>
          <w:rFonts w:ascii="宋体" w:hAnsi="宋体" w:cs="宋体"/>
          <w:color w:val="auto"/>
          <w:sz w:val="24"/>
          <w:szCs w:val="24"/>
          <w:highlight w:val="none"/>
        </w:rPr>
      </w:pPr>
      <w:r>
        <w:rPr>
          <w:rFonts w:hint="eastAsia" w:ascii="宋体" w:hAnsi="宋体" w:cs="宋体"/>
          <w:color w:val="auto"/>
          <w:sz w:val="24"/>
          <w:szCs w:val="24"/>
          <w:highlight w:val="none"/>
        </w:rPr>
        <w:t>10.1本合同执行中相关的一切税费均由乙方负担。</w:t>
      </w:r>
    </w:p>
    <w:p>
      <w:pPr>
        <w:pStyle w:val="22"/>
        <w:pageBreakBefore w:val="0"/>
        <w:widowControl w:val="0"/>
        <w:kinsoku/>
        <w:overflowPunct/>
        <w:topLinePunct w:val="0"/>
        <w:bidi w:val="0"/>
        <w:snapToGrid w:val="0"/>
        <w:spacing w:before="120" w:after="120" w:line="560" w:lineRule="exact"/>
        <w:ind w:firstLine="421" w:firstLineChars="175"/>
        <w:textAlignment w:val="auto"/>
        <w:rPr>
          <w:rFonts w:hAnsi="宋体" w:cs="宋体"/>
          <w:color w:val="auto"/>
          <w:sz w:val="24"/>
          <w:szCs w:val="24"/>
          <w:highlight w:val="none"/>
        </w:rPr>
      </w:pPr>
      <w:r>
        <w:rPr>
          <w:rFonts w:hint="eastAsia" w:hAnsi="宋体" w:cs="宋体"/>
          <w:b/>
          <w:color w:val="auto"/>
          <w:sz w:val="24"/>
          <w:szCs w:val="24"/>
          <w:highlight w:val="none"/>
        </w:rPr>
        <w:t>十一、质量保证及售后服务</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11.1 乙方应按招标文件规定的货物性能、技术要求、质量标准向甲方提供未经使用的全新产品。</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11.2 乙方提供的货物在质保期内因产品本身的质量问题发生故障，乙方应负责免费更换。对达不到技术要求者，根据实际情况，经双方协商，可按以下办法处理：</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⑴更换：由乙方承担所发生的全部费用。</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⑵贬值处理：由甲乙双方合议定价。</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⑶退货处理：乙方应退还甲方支付的合同款，同时应承担该产品的直接费用（运输、保险、检验、货款利息及银行手续费等）。</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11.3 如在使用过程中发生质量问题，乙方在接到甲方通知后在_____小时内到达甲方现场。</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11.4 在质保期内，乙方应对产品出现的质量及安全问题负责处理解决并承担一切费用。</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11.5</w:t>
      </w:r>
      <w:r>
        <w:rPr>
          <w:rFonts w:hint="eastAsia" w:hAnsi="宋体" w:cs="宋体"/>
          <w:color w:val="auto"/>
          <w:sz w:val="24"/>
          <w:szCs w:val="24"/>
          <w:highlight w:val="none"/>
          <w:lang w:eastAsia="zh-CN"/>
        </w:rPr>
        <w:t>上述</w:t>
      </w:r>
      <w:r>
        <w:rPr>
          <w:rFonts w:hint="eastAsia" w:hAnsi="宋体" w:cs="宋体"/>
          <w:color w:val="auto"/>
          <w:sz w:val="24"/>
          <w:szCs w:val="24"/>
          <w:highlight w:val="none"/>
        </w:rPr>
        <w:t>产品的免费保修期为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年，因人为因素出现的故障不在免费保修范围内。超过保修期后，</w:t>
      </w:r>
      <w:r>
        <w:rPr>
          <w:rFonts w:hint="eastAsia" w:hAnsi="宋体" w:cs="宋体"/>
          <w:color w:val="auto"/>
          <w:sz w:val="24"/>
          <w:szCs w:val="24"/>
          <w:highlight w:val="none"/>
          <w:lang w:eastAsia="zh-CN"/>
        </w:rPr>
        <w:t>终生维修</w:t>
      </w:r>
      <w:r>
        <w:rPr>
          <w:rFonts w:hint="eastAsia" w:hAnsi="宋体" w:cs="宋体"/>
          <w:color w:val="auto"/>
          <w:sz w:val="24"/>
          <w:szCs w:val="24"/>
          <w:highlight w:val="none"/>
        </w:rPr>
        <w:t>，维修时只收部件成本费。</w:t>
      </w:r>
    </w:p>
    <w:p>
      <w:pPr>
        <w:pStyle w:val="22"/>
        <w:pageBreakBefore w:val="0"/>
        <w:widowControl w:val="0"/>
        <w:kinsoku/>
        <w:overflowPunct/>
        <w:topLinePunct w:val="0"/>
        <w:bidi w:val="0"/>
        <w:snapToGrid w:val="0"/>
        <w:spacing w:before="120" w:after="120" w:line="560" w:lineRule="exact"/>
        <w:ind w:firstLine="421" w:firstLineChars="175"/>
        <w:textAlignment w:val="auto"/>
        <w:rPr>
          <w:rFonts w:hAnsi="宋体" w:cs="宋体"/>
          <w:b/>
          <w:color w:val="auto"/>
          <w:sz w:val="24"/>
          <w:szCs w:val="24"/>
          <w:highlight w:val="none"/>
        </w:rPr>
      </w:pPr>
      <w:r>
        <w:rPr>
          <w:rFonts w:hint="eastAsia" w:hAnsi="宋体" w:cs="宋体"/>
          <w:b/>
          <w:color w:val="auto"/>
          <w:sz w:val="24"/>
          <w:szCs w:val="24"/>
          <w:highlight w:val="none"/>
        </w:rPr>
        <w:t>十二、调试和验收</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12.2 乙方交货前应对产品作出全面检查和对验收文件进行整理，并列出清单，作为甲方收货验收和使用的技术条件依据，检验的结果应随货物交甲方。</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u w:val="single"/>
        </w:rPr>
      </w:pPr>
      <w:r>
        <w:rPr>
          <w:rFonts w:hint="eastAsia" w:hAnsi="宋体" w:cs="宋体"/>
          <w:color w:val="auto"/>
          <w:sz w:val="24"/>
          <w:szCs w:val="24"/>
          <w:highlight w:val="none"/>
        </w:rPr>
        <w:t>12.3 甲方对乙方提供的货物在使用前进行调试时，乙方需负责安装并培训甲方的使用操作人员，并协助甲方一起调试，直到符合技术要求，甲方才做最终验收。</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12.4 对技术复杂的货物，甲方可请国家认可的专业检测机构参与初步验收及最终验收，并由其出具质量检测报告。</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12.5 验收时乙方必须在现场，验收完毕后作出验收结果报告；验收费用由甲乙双方协商解决。</w:t>
      </w:r>
    </w:p>
    <w:p>
      <w:pPr>
        <w:pStyle w:val="22"/>
        <w:pageBreakBefore w:val="0"/>
        <w:widowControl w:val="0"/>
        <w:kinsoku/>
        <w:overflowPunct/>
        <w:topLinePunct w:val="0"/>
        <w:bidi w:val="0"/>
        <w:snapToGrid w:val="0"/>
        <w:spacing w:before="120" w:after="120" w:line="560" w:lineRule="exact"/>
        <w:ind w:firstLine="421" w:firstLineChars="175"/>
        <w:textAlignment w:val="auto"/>
        <w:rPr>
          <w:rFonts w:hAnsi="宋体" w:cs="宋体"/>
          <w:b/>
          <w:color w:val="auto"/>
          <w:sz w:val="24"/>
          <w:szCs w:val="24"/>
          <w:highlight w:val="none"/>
        </w:rPr>
      </w:pPr>
      <w:r>
        <w:rPr>
          <w:rFonts w:hint="eastAsia" w:hAnsi="宋体" w:cs="宋体"/>
          <w:b/>
          <w:color w:val="auto"/>
          <w:sz w:val="24"/>
          <w:szCs w:val="24"/>
          <w:highlight w:val="none"/>
        </w:rPr>
        <w:t>十三、产品包装、发运及运输</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13.1 乙方应在产品发运前对其进行满足运输距离、防潮、防震、防锈和防破损装卸等要求包装，以保证产品安全运达甲方指定地点。</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13.2 使用说明书、质量检验证明书、随配附件和工具以及清单一并附于产品内。</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13.3 乙方在产品发运手续办理完毕后24小时内或货到甲方48小时前通知甲方，以准备接货。</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13.4 产品在交付甲方前发生的风险均由乙方负责。</w:t>
      </w:r>
    </w:p>
    <w:p>
      <w:pPr>
        <w:pStyle w:val="22"/>
        <w:pageBreakBefore w:val="0"/>
        <w:widowControl w:val="0"/>
        <w:kinsoku/>
        <w:overflowPunct/>
        <w:topLinePunct w:val="0"/>
        <w:bidi w:val="0"/>
        <w:snapToGrid w:val="0"/>
        <w:spacing w:before="156" w:after="156" w:line="560" w:lineRule="exact"/>
        <w:ind w:right="26"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13.5 产品在规定的交付期限内由乙方送达甲方指定的地点视为交付，乙方同时需通知甲方产品已送达。</w:t>
      </w:r>
    </w:p>
    <w:p>
      <w:pPr>
        <w:pStyle w:val="22"/>
        <w:pageBreakBefore w:val="0"/>
        <w:widowControl w:val="0"/>
        <w:kinsoku/>
        <w:overflowPunct/>
        <w:topLinePunct w:val="0"/>
        <w:bidi w:val="0"/>
        <w:snapToGrid w:val="0"/>
        <w:spacing w:before="120" w:after="120" w:line="560" w:lineRule="exact"/>
        <w:ind w:firstLine="421" w:firstLineChars="175"/>
        <w:textAlignment w:val="auto"/>
        <w:rPr>
          <w:rFonts w:hAnsi="宋体" w:cs="宋体"/>
          <w:b/>
          <w:color w:val="auto"/>
          <w:sz w:val="24"/>
          <w:szCs w:val="24"/>
          <w:highlight w:val="none"/>
        </w:rPr>
      </w:pPr>
      <w:r>
        <w:rPr>
          <w:rFonts w:hint="eastAsia" w:hAnsi="宋体" w:cs="宋体"/>
          <w:b/>
          <w:color w:val="auto"/>
          <w:sz w:val="24"/>
          <w:szCs w:val="24"/>
          <w:highlight w:val="none"/>
        </w:rPr>
        <w:t>十四、违约责任</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14.1 甲方无正当理由拒收产品的，甲方向乙方偿付拒收货款总值的</w:t>
      </w:r>
      <w:r>
        <w:rPr>
          <w:rFonts w:hint="eastAsia" w:hAnsi="宋体" w:cs="宋体"/>
          <w:color w:val="auto"/>
          <w:sz w:val="24"/>
          <w:szCs w:val="24"/>
          <w:highlight w:val="none"/>
          <w:lang w:eastAsia="zh-CN"/>
        </w:rPr>
        <w:t>5%</w:t>
      </w:r>
      <w:r>
        <w:rPr>
          <w:rFonts w:hint="eastAsia" w:hAnsi="宋体" w:cs="宋体"/>
          <w:color w:val="auto"/>
          <w:sz w:val="24"/>
          <w:szCs w:val="24"/>
          <w:highlight w:val="none"/>
        </w:rPr>
        <w:t>违约金。</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14.2 甲方无故逾期验收和办理货款支付手续的,甲方应按逾期付款总额每日万分之五向乙方支付违约金。</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 xml:space="preserve">14.3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14.4 乙方所交的货物品种、型号、规格、技术参数、质量不符合合同规定及招标文件规定标准的，甲方有权拒收该货物，乙方愿意更换货物但逾期交货的，按乙方逾期交货处理。乙方拒绝更换产品的，甲方可单方面解除合同。</w:t>
      </w:r>
    </w:p>
    <w:p>
      <w:pPr>
        <w:pStyle w:val="22"/>
        <w:pageBreakBefore w:val="0"/>
        <w:widowControl w:val="0"/>
        <w:kinsoku/>
        <w:overflowPunct/>
        <w:topLinePunct w:val="0"/>
        <w:bidi w:val="0"/>
        <w:snapToGrid w:val="0"/>
        <w:spacing w:before="120" w:after="120" w:line="560" w:lineRule="exact"/>
        <w:ind w:firstLine="421" w:firstLineChars="175"/>
        <w:textAlignment w:val="auto"/>
        <w:rPr>
          <w:rFonts w:hAnsi="宋体" w:cs="宋体"/>
          <w:b/>
          <w:color w:val="auto"/>
          <w:sz w:val="24"/>
          <w:szCs w:val="24"/>
          <w:highlight w:val="none"/>
        </w:rPr>
      </w:pPr>
      <w:r>
        <w:rPr>
          <w:rFonts w:hint="eastAsia" w:hAnsi="宋体" w:cs="宋体"/>
          <w:b/>
          <w:color w:val="auto"/>
          <w:sz w:val="24"/>
          <w:szCs w:val="24"/>
          <w:highlight w:val="none"/>
        </w:rPr>
        <w:t>十五、不可抗力事件处理</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15.1 在合同有效期内，任何一方因不可抗力事件导致不能履行合同，则合同履行期可延长，其延长期与不可抗力影响期相同。</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15.2 不可抗力事件发生后，应立即通知对方，并寄送有关权威机构出具的证明。</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15.3 不可抗力事件延续120天以上，双方应通过友好协商，确定是否继续履行合同。</w:t>
      </w:r>
    </w:p>
    <w:p>
      <w:pPr>
        <w:pStyle w:val="22"/>
        <w:pageBreakBefore w:val="0"/>
        <w:widowControl w:val="0"/>
        <w:kinsoku/>
        <w:overflowPunct/>
        <w:topLinePunct w:val="0"/>
        <w:bidi w:val="0"/>
        <w:snapToGrid w:val="0"/>
        <w:spacing w:before="120" w:after="120" w:line="560" w:lineRule="exact"/>
        <w:ind w:firstLine="421" w:firstLineChars="175"/>
        <w:textAlignment w:val="auto"/>
        <w:rPr>
          <w:rFonts w:hAnsi="宋体" w:cs="宋体"/>
          <w:b/>
          <w:color w:val="auto"/>
          <w:sz w:val="24"/>
          <w:szCs w:val="24"/>
          <w:highlight w:val="none"/>
        </w:rPr>
      </w:pPr>
      <w:r>
        <w:rPr>
          <w:rFonts w:hint="eastAsia" w:hAnsi="宋体" w:cs="宋体"/>
          <w:b/>
          <w:color w:val="auto"/>
          <w:sz w:val="24"/>
          <w:szCs w:val="24"/>
          <w:highlight w:val="none"/>
        </w:rPr>
        <w:t>十六、诉讼</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16.1 双方在执行合同中所发生的一切争议，应通过协商解决。如协商不成，可向合同签订地法院起诉，合同签订地在此约定为</w:t>
      </w:r>
      <w:r>
        <w:rPr>
          <w:rFonts w:hint="eastAsia" w:hAnsi="宋体" w:cs="宋体"/>
          <w:color w:val="auto"/>
          <w:sz w:val="24"/>
          <w:szCs w:val="24"/>
          <w:highlight w:val="none"/>
          <w:u w:val="single"/>
        </w:rPr>
        <w:t>乌鲁木齐市</w:t>
      </w:r>
      <w:r>
        <w:rPr>
          <w:rFonts w:hint="eastAsia" w:hAnsi="宋体" w:cs="宋体"/>
          <w:color w:val="auto"/>
          <w:sz w:val="24"/>
          <w:szCs w:val="24"/>
          <w:highlight w:val="none"/>
        </w:rPr>
        <w:t>。</w:t>
      </w:r>
    </w:p>
    <w:p>
      <w:pPr>
        <w:pStyle w:val="22"/>
        <w:pageBreakBefore w:val="0"/>
        <w:widowControl w:val="0"/>
        <w:kinsoku/>
        <w:overflowPunct/>
        <w:topLinePunct w:val="0"/>
        <w:bidi w:val="0"/>
        <w:snapToGrid w:val="0"/>
        <w:spacing w:before="120" w:after="120" w:line="560" w:lineRule="exact"/>
        <w:ind w:firstLine="421" w:firstLineChars="175"/>
        <w:textAlignment w:val="auto"/>
        <w:rPr>
          <w:rFonts w:hAnsi="宋体" w:cs="宋体"/>
          <w:b/>
          <w:color w:val="auto"/>
          <w:sz w:val="24"/>
          <w:szCs w:val="24"/>
          <w:highlight w:val="none"/>
        </w:rPr>
      </w:pPr>
      <w:r>
        <w:rPr>
          <w:rFonts w:hint="eastAsia" w:hAnsi="宋体" w:cs="宋体"/>
          <w:b/>
          <w:color w:val="auto"/>
          <w:sz w:val="24"/>
          <w:szCs w:val="24"/>
          <w:highlight w:val="none"/>
        </w:rPr>
        <w:t>十七、合同生效及其</w:t>
      </w:r>
      <w:r>
        <w:rPr>
          <w:rFonts w:hint="eastAsia" w:hAnsi="宋体" w:cs="宋体"/>
          <w:b/>
          <w:color w:val="auto"/>
          <w:sz w:val="24"/>
          <w:szCs w:val="24"/>
          <w:highlight w:val="none"/>
          <w:lang w:eastAsia="zh-CN"/>
        </w:rPr>
        <w:t>他</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17.1合同经双方法定代表人或授权委托代表人签字并加盖单位公章后生效。</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17.2本合同未尽事宜，遵照《</w:t>
      </w:r>
      <w:r>
        <w:rPr>
          <w:rFonts w:hint="eastAsia" w:hAnsi="宋体" w:cs="宋体"/>
          <w:color w:val="auto"/>
          <w:sz w:val="24"/>
          <w:szCs w:val="24"/>
          <w:highlight w:val="none"/>
          <w:lang w:eastAsia="zh-CN"/>
        </w:rPr>
        <w:t>中华人民共和国民法典</w:t>
      </w:r>
      <w:r>
        <w:rPr>
          <w:rFonts w:hint="eastAsia" w:hAnsi="宋体" w:cs="宋体"/>
          <w:color w:val="auto"/>
          <w:sz w:val="24"/>
          <w:szCs w:val="24"/>
          <w:highlight w:val="none"/>
        </w:rPr>
        <w:t>》有关条文执行。</w:t>
      </w:r>
    </w:p>
    <w:p>
      <w:pPr>
        <w:pStyle w:val="22"/>
        <w:pageBreakBefore w:val="0"/>
        <w:widowControl w:val="0"/>
        <w:kinsoku/>
        <w:overflowPunct/>
        <w:topLinePunct w:val="0"/>
        <w:bidi w:val="0"/>
        <w:snapToGrid w:val="0"/>
        <w:spacing w:before="120" w:after="120" w:line="560" w:lineRule="exact"/>
        <w:ind w:firstLine="420" w:firstLineChars="175"/>
        <w:textAlignment w:val="auto"/>
        <w:rPr>
          <w:rFonts w:hAnsi="宋体" w:cs="宋体"/>
          <w:color w:val="auto"/>
          <w:sz w:val="24"/>
          <w:szCs w:val="24"/>
          <w:highlight w:val="none"/>
        </w:rPr>
      </w:pPr>
      <w:r>
        <w:rPr>
          <w:rFonts w:hint="eastAsia" w:hAnsi="宋体" w:cs="宋体"/>
          <w:color w:val="auto"/>
          <w:sz w:val="24"/>
          <w:szCs w:val="24"/>
          <w:highlight w:val="none"/>
        </w:rPr>
        <w:t>17.3本合同正本一式三份，具有同等法律效力，甲方、乙方及财政监管部门各执一份。</w:t>
      </w:r>
    </w:p>
    <w:p>
      <w:pPr>
        <w:pStyle w:val="22"/>
        <w:pageBreakBefore w:val="0"/>
        <w:widowControl w:val="0"/>
        <w:kinsoku/>
        <w:overflowPunct/>
        <w:topLinePunct w:val="0"/>
        <w:bidi w:val="0"/>
        <w:snapToGrid w:val="0"/>
        <w:spacing w:before="120" w:after="120" w:line="560" w:lineRule="exact"/>
        <w:ind w:left="480" w:hanging="480" w:hangingChars="200"/>
        <w:textAlignment w:val="auto"/>
        <w:rPr>
          <w:rFonts w:hAnsi="宋体" w:cs="宋体"/>
          <w:color w:val="auto"/>
          <w:sz w:val="24"/>
          <w:szCs w:val="24"/>
          <w:highlight w:val="none"/>
        </w:rPr>
      </w:pPr>
    </w:p>
    <w:p>
      <w:pPr>
        <w:pStyle w:val="22"/>
        <w:pageBreakBefore w:val="0"/>
        <w:widowControl w:val="0"/>
        <w:kinsoku/>
        <w:overflowPunct/>
        <w:topLinePunct w:val="0"/>
        <w:bidi w:val="0"/>
        <w:snapToGrid w:val="0"/>
        <w:spacing w:before="120" w:after="120" w:line="560" w:lineRule="exact"/>
        <w:ind w:left="480" w:hanging="480" w:hangingChars="200"/>
        <w:textAlignment w:val="auto"/>
        <w:rPr>
          <w:rFonts w:hAnsi="宋体" w:cs="宋体"/>
          <w:color w:val="auto"/>
          <w:sz w:val="24"/>
          <w:szCs w:val="24"/>
          <w:highlight w:val="none"/>
        </w:rPr>
      </w:pPr>
    </w:p>
    <w:p>
      <w:pPr>
        <w:pStyle w:val="22"/>
        <w:pageBreakBefore w:val="0"/>
        <w:widowControl w:val="0"/>
        <w:kinsoku/>
        <w:overflowPunct/>
        <w:topLinePunct w:val="0"/>
        <w:bidi w:val="0"/>
        <w:snapToGrid w:val="0"/>
        <w:spacing w:before="120" w:after="120" w:line="560" w:lineRule="exact"/>
        <w:ind w:left="480" w:hanging="480" w:hangingChars="200"/>
        <w:textAlignment w:val="auto"/>
        <w:rPr>
          <w:rFonts w:hAnsi="宋体" w:cs="宋体"/>
          <w:color w:val="auto"/>
          <w:sz w:val="24"/>
          <w:szCs w:val="24"/>
          <w:highlight w:val="none"/>
        </w:rPr>
      </w:pPr>
    </w:p>
    <w:p>
      <w:pPr>
        <w:pStyle w:val="22"/>
        <w:pageBreakBefore w:val="0"/>
        <w:widowControl w:val="0"/>
        <w:kinsoku/>
        <w:overflowPunct/>
        <w:topLinePunct w:val="0"/>
        <w:bidi w:val="0"/>
        <w:snapToGrid w:val="0"/>
        <w:spacing w:before="120" w:after="120" w:line="560" w:lineRule="exact"/>
        <w:ind w:left="480" w:hanging="480" w:hangingChars="200"/>
        <w:textAlignment w:val="auto"/>
        <w:rPr>
          <w:rFonts w:hAnsi="宋体" w:cs="宋体"/>
          <w:color w:val="auto"/>
          <w:sz w:val="24"/>
          <w:szCs w:val="24"/>
          <w:highlight w:val="none"/>
        </w:rPr>
      </w:pPr>
      <w:r>
        <w:rPr>
          <w:rFonts w:hint="eastAsia" w:hAnsi="宋体" w:cs="宋体"/>
          <w:color w:val="auto"/>
          <w:sz w:val="24"/>
          <w:szCs w:val="24"/>
          <w:highlight w:val="none"/>
        </w:rPr>
        <w:t xml:space="preserve">  甲方：                        乙方： </w:t>
      </w:r>
    </w:p>
    <w:p>
      <w:pPr>
        <w:pStyle w:val="22"/>
        <w:pageBreakBefore w:val="0"/>
        <w:widowControl w:val="0"/>
        <w:kinsoku/>
        <w:overflowPunct/>
        <w:topLinePunct w:val="0"/>
        <w:bidi w:val="0"/>
        <w:snapToGrid w:val="0"/>
        <w:spacing w:before="120" w:after="120" w:line="560" w:lineRule="exact"/>
        <w:textAlignment w:val="auto"/>
        <w:rPr>
          <w:rFonts w:hAnsi="宋体" w:cs="宋体"/>
          <w:color w:val="auto"/>
          <w:sz w:val="24"/>
          <w:szCs w:val="24"/>
          <w:highlight w:val="none"/>
        </w:rPr>
      </w:pPr>
      <w:r>
        <w:rPr>
          <w:rFonts w:hint="eastAsia" w:hAnsi="宋体" w:cs="宋体"/>
          <w:color w:val="auto"/>
          <w:sz w:val="24"/>
          <w:szCs w:val="24"/>
          <w:highlight w:val="none"/>
        </w:rPr>
        <w:t xml:space="preserve">  地址：                        地址： </w:t>
      </w:r>
    </w:p>
    <w:p>
      <w:pPr>
        <w:pStyle w:val="22"/>
        <w:pageBreakBefore w:val="0"/>
        <w:widowControl w:val="0"/>
        <w:kinsoku/>
        <w:overflowPunct/>
        <w:topLinePunct w:val="0"/>
        <w:bidi w:val="0"/>
        <w:snapToGrid w:val="0"/>
        <w:spacing w:before="120" w:after="120" w:line="560" w:lineRule="exact"/>
        <w:textAlignment w:val="auto"/>
        <w:rPr>
          <w:rFonts w:hAnsi="宋体" w:cs="宋体"/>
          <w:color w:val="auto"/>
          <w:sz w:val="24"/>
          <w:szCs w:val="24"/>
          <w:highlight w:val="none"/>
        </w:rPr>
      </w:pPr>
      <w:r>
        <w:rPr>
          <w:rFonts w:hint="eastAsia" w:hAnsi="宋体" w:cs="宋体"/>
          <w:color w:val="auto"/>
          <w:sz w:val="24"/>
          <w:szCs w:val="24"/>
          <w:highlight w:val="none"/>
        </w:rPr>
        <w:t xml:space="preserve">  法定代表人或授权代表：        法定代表人或授权代表：</w:t>
      </w:r>
    </w:p>
    <w:p>
      <w:pPr>
        <w:pStyle w:val="22"/>
        <w:pageBreakBefore w:val="0"/>
        <w:widowControl w:val="0"/>
        <w:kinsoku/>
        <w:overflowPunct/>
        <w:topLinePunct w:val="0"/>
        <w:bidi w:val="0"/>
        <w:snapToGrid w:val="0"/>
        <w:spacing w:before="120" w:after="120" w:line="560" w:lineRule="exact"/>
        <w:textAlignment w:val="auto"/>
        <w:rPr>
          <w:rFonts w:hAnsi="宋体" w:cs="宋体"/>
          <w:color w:val="auto"/>
          <w:sz w:val="24"/>
          <w:szCs w:val="24"/>
          <w:highlight w:val="none"/>
        </w:rPr>
      </w:pPr>
      <w:r>
        <w:rPr>
          <w:rFonts w:hint="eastAsia" w:hAnsi="宋体" w:cs="宋体"/>
          <w:color w:val="auto"/>
          <w:sz w:val="24"/>
          <w:szCs w:val="24"/>
          <w:highlight w:val="none"/>
        </w:rPr>
        <w:t xml:space="preserve">  联系电话：                    联系电话：          </w:t>
      </w:r>
    </w:p>
    <w:p>
      <w:pPr>
        <w:pStyle w:val="22"/>
        <w:pageBreakBefore w:val="0"/>
        <w:widowControl w:val="0"/>
        <w:kinsoku/>
        <w:overflowPunct/>
        <w:topLinePunct w:val="0"/>
        <w:bidi w:val="0"/>
        <w:snapToGrid w:val="0"/>
        <w:spacing w:before="120" w:after="120" w:line="560" w:lineRule="exact"/>
        <w:jc w:val="center"/>
        <w:textAlignment w:val="auto"/>
        <w:rPr>
          <w:rFonts w:hAnsi="宋体" w:cs="宋体"/>
          <w:color w:val="auto"/>
          <w:sz w:val="24"/>
          <w:szCs w:val="24"/>
          <w:highlight w:val="none"/>
        </w:rPr>
      </w:pPr>
    </w:p>
    <w:p>
      <w:pPr>
        <w:pStyle w:val="22"/>
        <w:pageBreakBefore w:val="0"/>
        <w:widowControl w:val="0"/>
        <w:kinsoku/>
        <w:overflowPunct/>
        <w:topLinePunct w:val="0"/>
        <w:bidi w:val="0"/>
        <w:snapToGrid w:val="0"/>
        <w:spacing w:before="120" w:after="120" w:line="560" w:lineRule="exact"/>
        <w:jc w:val="center"/>
        <w:textAlignment w:val="auto"/>
        <w:rPr>
          <w:rFonts w:hAnsi="宋体" w:cs="宋体"/>
          <w:color w:val="auto"/>
          <w:highlight w:val="none"/>
        </w:rPr>
      </w:pPr>
      <w:r>
        <w:rPr>
          <w:rFonts w:hint="eastAsia" w:hAnsi="宋体" w:cs="宋体"/>
          <w:color w:val="auto"/>
          <w:highlight w:val="none"/>
        </w:rPr>
        <w:t xml:space="preserve"> 签订日期：      年  月  日</w:t>
      </w:r>
      <w:bookmarkEnd w:id="182"/>
      <w:bookmarkEnd w:id="183"/>
      <w:bookmarkEnd w:id="184"/>
      <w:bookmarkStart w:id="185" w:name="_Hlt16619369"/>
      <w:bookmarkEnd w:id="185"/>
      <w:bookmarkStart w:id="186" w:name="_Hlt16619350"/>
      <w:bookmarkStart w:id="187" w:name="_Toc120614244"/>
      <w:bookmarkStart w:id="188" w:name="_Toc16938590"/>
      <w:bookmarkStart w:id="189" w:name="_Toc20823346"/>
      <w:bookmarkStart w:id="190" w:name="_Toc462564139"/>
      <w:bookmarkStart w:id="191" w:name="_Toc479757211"/>
    </w:p>
    <w:p>
      <w:pPr>
        <w:pStyle w:val="22"/>
        <w:pageBreakBefore w:val="0"/>
        <w:widowControl w:val="0"/>
        <w:kinsoku/>
        <w:overflowPunct/>
        <w:topLinePunct w:val="0"/>
        <w:bidi w:val="0"/>
        <w:snapToGrid w:val="0"/>
        <w:spacing w:before="120" w:after="120" w:line="560" w:lineRule="exact"/>
        <w:jc w:val="center"/>
        <w:textAlignment w:val="auto"/>
        <w:rPr>
          <w:rFonts w:hAnsi="宋体" w:cs="宋体"/>
          <w:color w:val="auto"/>
          <w:highlight w:val="none"/>
        </w:rPr>
      </w:pPr>
    </w:p>
    <w:p>
      <w:pPr>
        <w:pStyle w:val="22"/>
        <w:pageBreakBefore w:val="0"/>
        <w:widowControl w:val="0"/>
        <w:kinsoku/>
        <w:overflowPunct/>
        <w:topLinePunct w:val="0"/>
        <w:bidi w:val="0"/>
        <w:snapToGrid w:val="0"/>
        <w:spacing w:before="120" w:after="120" w:line="560" w:lineRule="exact"/>
        <w:jc w:val="center"/>
        <w:textAlignment w:val="auto"/>
        <w:rPr>
          <w:rFonts w:hAnsi="宋体" w:cs="宋体"/>
          <w:bCs/>
          <w:color w:val="auto"/>
          <w:sz w:val="44"/>
          <w:highlight w:val="none"/>
        </w:rPr>
        <w:sectPr>
          <w:footerReference r:id="rId3" w:type="default"/>
          <w:pgSz w:w="11906" w:h="16838"/>
          <w:pgMar w:top="1418" w:right="1588" w:bottom="1418" w:left="1365" w:header="851" w:footer="907" w:gutter="0"/>
          <w:cols w:space="720" w:num="1"/>
          <w:titlePg/>
          <w:docGrid w:type="lines" w:linePitch="290" w:charSpace="0"/>
        </w:sectPr>
      </w:pPr>
    </w:p>
    <w:p>
      <w:pPr>
        <w:pStyle w:val="5"/>
        <w:pageBreakBefore w:val="0"/>
        <w:widowControl w:val="0"/>
        <w:kinsoku/>
        <w:wordWrap/>
        <w:overflowPunct/>
        <w:topLinePunct w:val="0"/>
        <w:autoSpaceDE/>
        <w:autoSpaceDN/>
        <w:bidi w:val="0"/>
        <w:spacing w:line="560" w:lineRule="exact"/>
        <w:rPr>
          <w:rFonts w:hAnsi="宋体" w:cs="宋体"/>
          <w:color w:val="auto"/>
          <w:sz w:val="24"/>
          <w:szCs w:val="24"/>
          <w:highlight w:val="none"/>
        </w:rPr>
      </w:pPr>
      <w:bookmarkStart w:id="192" w:name="_Toc534725607"/>
      <w:bookmarkStart w:id="193" w:name="_Toc534816636"/>
      <w:bookmarkStart w:id="194" w:name="_Toc494375080"/>
      <w:r>
        <w:rPr>
          <w:rFonts w:hint="eastAsia" w:ascii="宋体" w:hAnsi="宋体" w:eastAsia="宋体" w:cs="宋体"/>
          <w:color w:val="auto"/>
          <w:highlight w:val="none"/>
        </w:rPr>
        <w:t>第</w:t>
      </w:r>
      <w:bookmarkEnd w:id="186"/>
      <w:r>
        <w:rPr>
          <w:rFonts w:hint="eastAsia" w:ascii="宋体" w:hAnsi="宋体" w:eastAsia="宋体" w:cs="宋体"/>
          <w:color w:val="auto"/>
          <w:highlight w:val="none"/>
        </w:rPr>
        <w:t>四章  项目需求</w:t>
      </w:r>
      <w:bookmarkEnd w:id="187"/>
      <w:bookmarkEnd w:id="188"/>
      <w:bookmarkEnd w:id="189"/>
      <w:bookmarkEnd w:id="192"/>
      <w:bookmarkEnd w:id="193"/>
      <w:bookmarkEnd w:id="194"/>
      <w:bookmarkStart w:id="195" w:name="_Toc26554093"/>
      <w:bookmarkStart w:id="196" w:name="_Toc49090575"/>
    </w:p>
    <w:p>
      <w:pPr>
        <w:pStyle w:val="22"/>
        <w:pageBreakBefore w:val="0"/>
        <w:widowControl w:val="0"/>
        <w:kinsoku/>
        <w:wordWrap/>
        <w:overflowPunct/>
        <w:topLinePunct w:val="0"/>
        <w:autoSpaceDE/>
        <w:autoSpaceDN/>
        <w:bidi w:val="0"/>
        <w:snapToGrid w:val="0"/>
        <w:spacing w:before="156" w:after="156" w:line="560" w:lineRule="exact"/>
        <w:ind w:right="26" w:firstLine="490" w:firstLineChars="175"/>
        <w:rPr>
          <w:rFonts w:hint="eastAsia" w:ascii="黑体" w:hAnsi="黑体" w:eastAsia="黑体" w:cs="黑体"/>
          <w:color w:val="auto"/>
          <w:sz w:val="28"/>
          <w:szCs w:val="28"/>
          <w:highlight w:val="none"/>
        </w:rPr>
      </w:pPr>
      <w:bookmarkStart w:id="197" w:name="_Toc534816637"/>
      <w:bookmarkStart w:id="198" w:name="_Toc534725608"/>
      <w:r>
        <w:rPr>
          <w:rFonts w:hint="eastAsia" w:ascii="黑体" w:hAnsi="黑体" w:eastAsia="黑体" w:cs="黑体"/>
          <w:color w:val="auto"/>
          <w:sz w:val="28"/>
          <w:szCs w:val="28"/>
          <w:highlight w:val="none"/>
        </w:rPr>
        <w:t>一、技术需求</w:t>
      </w:r>
      <w:bookmarkEnd w:id="197"/>
      <w:bookmarkEnd w:id="198"/>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rPr>
        <w:t>（一）项目概述及需求（含采购货物的名称，数量等，可以表格形式呈现）</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rPr>
        <w:t>1.图书5</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个品种约</w:t>
      </w:r>
      <w:r>
        <w:rPr>
          <w:rFonts w:hint="eastAsia" w:hAnsi="宋体" w:cs="宋体"/>
          <w:color w:val="auto"/>
          <w:sz w:val="24"/>
          <w:szCs w:val="24"/>
          <w:highlight w:val="none"/>
          <w:lang w:val="en-US" w:eastAsia="zh-CN"/>
        </w:rPr>
        <w:t>380</w:t>
      </w:r>
      <w:r>
        <w:rPr>
          <w:rFonts w:hint="eastAsia" w:hAnsi="宋体" w:cs="宋体"/>
          <w:color w:val="auto"/>
          <w:sz w:val="24"/>
          <w:szCs w:val="24"/>
          <w:highlight w:val="none"/>
        </w:rPr>
        <w:t>万册（秋季3</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个品种，春季</w:t>
      </w:r>
      <w:r>
        <w:rPr>
          <w:rFonts w:hint="eastAsia" w:hAnsi="宋体" w:cs="宋体"/>
          <w:color w:val="auto"/>
          <w:sz w:val="24"/>
          <w:szCs w:val="24"/>
          <w:highlight w:val="none"/>
          <w:lang w:val="en-US" w:eastAsia="zh-CN"/>
        </w:rPr>
        <w:t>19</w:t>
      </w:r>
      <w:r>
        <w:rPr>
          <w:rFonts w:hint="eastAsia" w:hAnsi="宋体" w:cs="宋体"/>
          <w:color w:val="auto"/>
          <w:sz w:val="24"/>
          <w:szCs w:val="24"/>
          <w:highlight w:val="none"/>
        </w:rPr>
        <w:t>个品种</w:t>
      </w:r>
      <w:r>
        <w:rPr>
          <w:rFonts w:hint="eastAsia" w:hAnsi="宋体" w:cs="宋体"/>
          <w:color w:val="auto"/>
          <w:sz w:val="24"/>
          <w:szCs w:val="24"/>
          <w:highlight w:val="none"/>
          <w:lang w:eastAsia="zh-CN"/>
        </w:rPr>
        <w:t>，</w:t>
      </w:r>
      <w:r>
        <w:rPr>
          <w:rFonts w:hint="eastAsia" w:hAnsi="宋体" w:cs="宋体"/>
          <w:color w:val="auto"/>
          <w:sz w:val="24"/>
          <w:szCs w:val="24"/>
          <w:highlight w:val="none"/>
        </w:rPr>
        <w:t>小</w:t>
      </w:r>
      <w:r>
        <w:rPr>
          <w:rFonts w:hint="eastAsia" w:hAnsi="宋体" w:cs="宋体"/>
          <w:color w:val="auto"/>
          <w:sz w:val="24"/>
          <w:szCs w:val="24"/>
          <w:highlight w:val="none"/>
          <w:lang w:eastAsia="zh-CN"/>
        </w:rPr>
        <w:t>、</w:t>
      </w:r>
      <w:r>
        <w:rPr>
          <w:rFonts w:hint="eastAsia" w:hAnsi="宋体" w:cs="宋体"/>
          <w:color w:val="auto"/>
          <w:sz w:val="24"/>
          <w:szCs w:val="24"/>
          <w:highlight w:val="none"/>
        </w:rPr>
        <w:t>中</w:t>
      </w:r>
      <w:r>
        <w:rPr>
          <w:rFonts w:hint="eastAsia" w:hAnsi="宋体" w:cs="宋体"/>
          <w:color w:val="auto"/>
          <w:sz w:val="24"/>
          <w:szCs w:val="24"/>
          <w:highlight w:val="none"/>
          <w:lang w:eastAsia="zh-CN"/>
        </w:rPr>
        <w:t>、</w:t>
      </w:r>
      <w:r>
        <w:rPr>
          <w:rFonts w:hint="eastAsia" w:hAnsi="宋体" w:cs="宋体"/>
          <w:color w:val="auto"/>
          <w:sz w:val="24"/>
          <w:szCs w:val="24"/>
          <w:highlight w:val="none"/>
        </w:rPr>
        <w:t>大班按要求分装）的装卸、分装、打包、运输、配送等；</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幼儿教学资料袋约</w:t>
      </w:r>
      <w:r>
        <w:rPr>
          <w:rFonts w:hint="eastAsia" w:hAnsi="宋体" w:cs="宋体"/>
          <w:color w:val="auto"/>
          <w:sz w:val="24"/>
          <w:szCs w:val="24"/>
          <w:highlight w:val="none"/>
          <w:lang w:val="en-US" w:eastAsia="zh-CN"/>
        </w:rPr>
        <w:t>68</w:t>
      </w:r>
      <w:r>
        <w:rPr>
          <w:rFonts w:hint="eastAsia" w:hAnsi="宋体" w:cs="宋体"/>
          <w:color w:val="auto"/>
          <w:sz w:val="24"/>
          <w:szCs w:val="24"/>
          <w:highlight w:val="none"/>
        </w:rPr>
        <w:t>万袋内装品目约8</w:t>
      </w:r>
      <w:r>
        <w:rPr>
          <w:rFonts w:hint="eastAsia" w:hAnsi="宋体" w:cs="宋体"/>
          <w:color w:val="auto"/>
          <w:sz w:val="24"/>
          <w:szCs w:val="24"/>
          <w:highlight w:val="none"/>
          <w:lang w:val="en-US" w:eastAsia="zh-CN"/>
        </w:rPr>
        <w:t>84</w:t>
      </w:r>
      <w:r>
        <w:rPr>
          <w:rFonts w:hint="eastAsia" w:hAnsi="宋体" w:cs="宋体"/>
          <w:color w:val="auto"/>
          <w:sz w:val="24"/>
          <w:szCs w:val="24"/>
          <w:highlight w:val="none"/>
        </w:rPr>
        <w:t>万个（秋、春季各约3</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万袋，每袋内装约1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个品目，</w:t>
      </w:r>
      <w:r>
        <w:rPr>
          <w:rFonts w:hint="eastAsia" w:hAnsi="宋体" w:cs="宋体"/>
          <w:color w:val="auto"/>
          <w:sz w:val="24"/>
          <w:szCs w:val="24"/>
          <w:highlight w:val="none"/>
          <w:lang w:eastAsia="zh-CN"/>
        </w:rPr>
        <w:t>小、中、大</w:t>
      </w:r>
      <w:r>
        <w:rPr>
          <w:rFonts w:hint="eastAsia" w:hAnsi="宋体" w:cs="宋体"/>
          <w:color w:val="auto"/>
          <w:sz w:val="24"/>
          <w:szCs w:val="24"/>
          <w:highlight w:val="none"/>
        </w:rPr>
        <w:t>班按要求分装）的装卸、分装、打包、运输、配送等；</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rPr>
        <w:t>3.以上需求，按两季配送至全疆14个地（州、市）约90余个县（市、区）</w:t>
      </w:r>
      <w:r>
        <w:rPr>
          <w:rFonts w:hint="eastAsia" w:hAnsi="宋体" w:cs="宋体"/>
          <w:color w:val="auto"/>
          <w:sz w:val="24"/>
          <w:szCs w:val="24"/>
          <w:highlight w:val="none"/>
          <w:lang w:val="en-US" w:eastAsia="zh-CN"/>
        </w:rPr>
        <w:t>5</w:t>
      </w:r>
      <w:r>
        <w:rPr>
          <w:rFonts w:hint="eastAsia" w:hAnsi="宋体" w:cs="宋体"/>
          <w:color w:val="auto"/>
          <w:sz w:val="24"/>
          <w:szCs w:val="24"/>
          <w:highlight w:val="none"/>
        </w:rPr>
        <w:t>000余所农村幼儿园。</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rPr>
        <w:t>（二）项目技术规格及要求（填写货物的技术参数要求等,可以表格形式呈现）</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rPr>
        <w:t>1.图书装卸包括收货仓储、送货上门至收货方指定地点并卸货；分装打包需按各地订单数量分种类分装并打包，包装用防水包装纸自备；图书从收货入库至送货上门需在7日内完毕；所有货物需保质保量安全送达，不得出现漏送、误送、破损等情况。</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rPr>
        <w:t>2.学前手工材料包装卸包括收货仓储、送货上门至收货方指定地点并卸货；分装打包需将内装品目按各地订单数量分大中小班进行分装并装箱，需自备符合运输要求并能保证货品质量安全的包装纸箱；学前手工材料包从内装品目收货入库至送货上门需在20日内完毕；所有货物需保质保量安全送达，不得出现漏送、误送、破损等情况。</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rPr>
        <w:t>3.供应商需提供用于本项目的专用</w:t>
      </w:r>
      <w:r>
        <w:rPr>
          <w:rFonts w:hint="eastAsia" w:hAnsi="宋体" w:cs="宋体"/>
          <w:color w:val="auto"/>
          <w:sz w:val="24"/>
          <w:szCs w:val="24"/>
          <w:highlight w:val="none"/>
          <w:lang w:eastAsia="zh-CN"/>
        </w:rPr>
        <w:t>服务设备及</w:t>
      </w:r>
      <w:r>
        <w:rPr>
          <w:rFonts w:hint="eastAsia" w:hAnsi="宋体" w:cs="宋体"/>
          <w:color w:val="auto"/>
          <w:sz w:val="24"/>
          <w:szCs w:val="24"/>
          <w:highlight w:val="none"/>
        </w:rPr>
        <w:t>库房，</w:t>
      </w:r>
      <w:r>
        <w:rPr>
          <w:rFonts w:hint="eastAsia" w:hAnsi="宋体" w:cs="宋体"/>
          <w:color w:val="auto"/>
          <w:sz w:val="24"/>
          <w:szCs w:val="24"/>
          <w:highlight w:val="none"/>
          <w:lang w:eastAsia="zh-CN"/>
        </w:rPr>
        <w:t>服务设备包括：</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rPr>
        <w:t>打包机、液压车</w:t>
      </w:r>
      <w:r>
        <w:rPr>
          <w:rFonts w:hint="eastAsia" w:hAnsi="宋体" w:cs="宋体"/>
          <w:color w:val="auto"/>
          <w:sz w:val="24"/>
          <w:szCs w:val="24"/>
          <w:highlight w:val="none"/>
          <w:lang w:eastAsia="zh-CN"/>
        </w:rPr>
        <w:t>、</w:t>
      </w:r>
      <w:r>
        <w:rPr>
          <w:rFonts w:hint="eastAsia" w:hAnsi="宋体" w:cs="宋体"/>
          <w:color w:val="auto"/>
          <w:sz w:val="24"/>
          <w:szCs w:val="24"/>
          <w:highlight w:val="none"/>
        </w:rPr>
        <w:t>叉车、托盘</w:t>
      </w:r>
      <w:r>
        <w:rPr>
          <w:rFonts w:hint="eastAsia" w:hAnsi="宋体" w:cs="宋体"/>
          <w:color w:val="auto"/>
          <w:sz w:val="24"/>
          <w:szCs w:val="24"/>
          <w:highlight w:val="none"/>
          <w:lang w:eastAsia="zh-CN"/>
        </w:rPr>
        <w:t>、</w:t>
      </w:r>
      <w:r>
        <w:rPr>
          <w:rFonts w:hint="eastAsia" w:hAnsi="宋体" w:cs="宋体"/>
          <w:color w:val="auto"/>
          <w:sz w:val="24"/>
          <w:szCs w:val="24"/>
          <w:highlight w:val="none"/>
        </w:rPr>
        <w:t>操作台、手拉车等其他设备设施</w:t>
      </w:r>
      <w:r>
        <w:rPr>
          <w:rFonts w:hint="eastAsia" w:hAnsi="宋体" w:cs="宋体"/>
          <w:color w:val="auto"/>
          <w:sz w:val="24"/>
          <w:szCs w:val="24"/>
          <w:highlight w:val="none"/>
          <w:lang w:eastAsia="zh-CN"/>
        </w:rPr>
        <w:t>；</w:t>
      </w:r>
      <w:r>
        <w:rPr>
          <w:rFonts w:hint="eastAsia" w:hAnsi="宋体" w:cs="宋体"/>
          <w:color w:val="auto"/>
          <w:sz w:val="24"/>
          <w:szCs w:val="24"/>
          <w:highlight w:val="none"/>
        </w:rPr>
        <w:t>库房面积至少</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000㎡以上，需能够满足按时完成分装配发要求，投标人须提供物流转运库房证明，提供拥有库房使用权或1年以上租赁合同的相关证明。</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rPr>
        <w:t>供应商须提供有学前发行相关经验的管理人员，所</w:t>
      </w:r>
      <w:r>
        <w:rPr>
          <w:rFonts w:hint="eastAsia" w:hAnsi="宋体" w:cs="宋体"/>
          <w:color w:val="auto"/>
          <w:sz w:val="24"/>
          <w:szCs w:val="24"/>
          <w:highlight w:val="none"/>
          <w:lang w:eastAsia="zh-CN"/>
        </w:rPr>
        <w:t>提供</w:t>
      </w:r>
      <w:r>
        <w:rPr>
          <w:rFonts w:hint="eastAsia" w:hAnsi="宋体" w:cs="宋体"/>
          <w:color w:val="auto"/>
          <w:sz w:val="24"/>
          <w:szCs w:val="24"/>
          <w:highlight w:val="none"/>
        </w:rPr>
        <w:t>人员</w:t>
      </w:r>
      <w:r>
        <w:rPr>
          <w:rFonts w:hint="eastAsia" w:hAnsi="宋体" w:cs="宋体"/>
          <w:color w:val="auto"/>
          <w:sz w:val="24"/>
          <w:szCs w:val="24"/>
          <w:highlight w:val="none"/>
          <w:lang w:eastAsia="zh-CN"/>
        </w:rPr>
        <w:t>应</w:t>
      </w:r>
      <w:r>
        <w:rPr>
          <w:rFonts w:hint="eastAsia" w:hAnsi="宋体" w:cs="宋体"/>
          <w:color w:val="auto"/>
          <w:sz w:val="24"/>
          <w:szCs w:val="24"/>
          <w:highlight w:val="none"/>
        </w:rPr>
        <w:t>具备1</w:t>
      </w:r>
      <w:r>
        <w:rPr>
          <w:rFonts w:hint="eastAsia" w:hAnsi="宋体" w:cs="宋体"/>
          <w:color w:val="auto"/>
          <w:sz w:val="24"/>
          <w:szCs w:val="24"/>
          <w:highlight w:val="none"/>
          <w:lang w:val="en-US" w:eastAsia="zh-CN"/>
        </w:rPr>
        <w:t>-5年</w:t>
      </w:r>
      <w:r>
        <w:rPr>
          <w:rFonts w:hint="eastAsia" w:hAnsi="宋体" w:cs="宋体"/>
          <w:color w:val="auto"/>
          <w:sz w:val="24"/>
          <w:szCs w:val="24"/>
          <w:highlight w:val="none"/>
        </w:rPr>
        <w:t>相关经验</w:t>
      </w:r>
      <w:r>
        <w:rPr>
          <w:rFonts w:hint="eastAsia" w:hAnsi="宋体" w:cs="宋体"/>
          <w:color w:val="auto"/>
          <w:sz w:val="24"/>
          <w:szCs w:val="24"/>
          <w:highlight w:val="none"/>
          <w:lang w:eastAsia="zh-CN"/>
        </w:rPr>
        <w:t>；根据</w:t>
      </w:r>
      <w:r>
        <w:rPr>
          <w:rFonts w:hint="eastAsia" w:hAnsi="宋体" w:cs="宋体"/>
          <w:color w:val="auto"/>
          <w:sz w:val="24"/>
          <w:szCs w:val="24"/>
          <w:highlight w:val="none"/>
          <w:lang w:val="en-US" w:eastAsia="zh-CN"/>
        </w:rPr>
        <w:t>2025年自治区农村学前幼儿入园人数的</w:t>
      </w:r>
      <w:r>
        <w:rPr>
          <w:rFonts w:hint="eastAsia" w:hAnsi="宋体" w:cs="宋体"/>
          <w:color w:val="auto"/>
          <w:sz w:val="24"/>
          <w:szCs w:val="24"/>
          <w:highlight w:val="none"/>
          <w:lang w:eastAsia="zh-CN"/>
        </w:rPr>
        <w:t>服务具体内容、工作量进行（图书</w:t>
      </w:r>
      <w:r>
        <w:rPr>
          <w:rFonts w:hint="eastAsia" w:hAnsi="宋体" w:cs="宋体"/>
          <w:color w:val="auto"/>
          <w:sz w:val="24"/>
          <w:szCs w:val="24"/>
          <w:highlight w:val="none"/>
          <w:lang w:val="en-US" w:eastAsia="zh-CN"/>
        </w:rPr>
        <w:t>54个品种、学前资料13个品种</w:t>
      </w:r>
      <w:r>
        <w:rPr>
          <w:rFonts w:hint="eastAsia" w:hAnsi="宋体" w:cs="宋体"/>
          <w:color w:val="auto"/>
          <w:sz w:val="24"/>
          <w:szCs w:val="24"/>
          <w:highlight w:val="none"/>
          <w:lang w:eastAsia="zh-CN"/>
        </w:rPr>
        <w:t>）的人员配比。</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rPr>
        <w:t>投标人提供详细的：符合实际情况的实施计划</w:t>
      </w:r>
      <w:r>
        <w:rPr>
          <w:rFonts w:hint="eastAsia" w:hAnsi="宋体" w:cs="宋体"/>
          <w:color w:val="auto"/>
          <w:sz w:val="24"/>
          <w:szCs w:val="24"/>
          <w:highlight w:val="none"/>
          <w:lang w:eastAsia="zh-CN"/>
        </w:rPr>
        <w:t>、</w:t>
      </w:r>
      <w:r>
        <w:rPr>
          <w:rFonts w:hint="eastAsia" w:hAnsi="宋体" w:cs="宋体"/>
          <w:color w:val="auto"/>
          <w:sz w:val="24"/>
          <w:szCs w:val="24"/>
          <w:highlight w:val="none"/>
        </w:rPr>
        <w:t>工作流程</w:t>
      </w:r>
      <w:r>
        <w:rPr>
          <w:rFonts w:hint="eastAsia" w:hAnsi="宋体" w:cs="宋体"/>
          <w:color w:val="auto"/>
          <w:sz w:val="24"/>
          <w:szCs w:val="24"/>
          <w:highlight w:val="none"/>
          <w:lang w:eastAsia="zh-CN"/>
        </w:rPr>
        <w:t>、</w:t>
      </w:r>
      <w:r>
        <w:rPr>
          <w:rFonts w:hint="eastAsia" w:hAnsi="宋体" w:cs="宋体"/>
          <w:color w:val="auto"/>
          <w:sz w:val="24"/>
          <w:szCs w:val="24"/>
          <w:highlight w:val="none"/>
        </w:rPr>
        <w:t>质量保障措施</w:t>
      </w:r>
      <w:r>
        <w:rPr>
          <w:rFonts w:hint="eastAsia" w:hAnsi="宋体" w:cs="宋体"/>
          <w:color w:val="auto"/>
          <w:sz w:val="24"/>
          <w:szCs w:val="24"/>
          <w:highlight w:val="none"/>
          <w:lang w:eastAsia="zh-CN"/>
        </w:rPr>
        <w:t>、</w:t>
      </w:r>
      <w:r>
        <w:rPr>
          <w:rFonts w:hint="eastAsia" w:hAnsi="宋体" w:cs="宋体"/>
          <w:color w:val="auto"/>
          <w:sz w:val="24"/>
          <w:szCs w:val="24"/>
          <w:highlight w:val="none"/>
        </w:rPr>
        <w:t>科学有效的管理、运输配送体系</w:t>
      </w:r>
      <w:r>
        <w:rPr>
          <w:rFonts w:hint="eastAsia" w:hAnsi="宋体" w:cs="宋体"/>
          <w:color w:val="auto"/>
          <w:sz w:val="24"/>
          <w:szCs w:val="24"/>
          <w:highlight w:val="none"/>
          <w:lang w:eastAsia="zh-CN"/>
        </w:rPr>
        <w:t>。</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lang w:val="en-US" w:eastAsia="zh-CN"/>
        </w:rPr>
        <w:t>6</w:t>
      </w:r>
      <w:r>
        <w:rPr>
          <w:rFonts w:hint="eastAsia" w:hAnsi="宋体" w:cs="宋体"/>
          <w:color w:val="auto"/>
          <w:sz w:val="24"/>
          <w:szCs w:val="24"/>
          <w:highlight w:val="none"/>
        </w:rPr>
        <w:t>.验收方式：以各县（市、区）教育局确认的收货回执为依据。</w:t>
      </w:r>
    </w:p>
    <w:p>
      <w:pPr>
        <w:pStyle w:val="22"/>
        <w:pageBreakBefore w:val="0"/>
        <w:widowControl w:val="0"/>
        <w:kinsoku/>
        <w:wordWrap/>
        <w:overflowPunct/>
        <w:topLinePunct w:val="0"/>
        <w:autoSpaceDE/>
        <w:autoSpaceDN/>
        <w:bidi w:val="0"/>
        <w:snapToGrid w:val="0"/>
        <w:spacing w:before="156" w:after="156" w:line="560" w:lineRule="exact"/>
        <w:ind w:right="26" w:firstLine="490" w:firstLineChars="175"/>
        <w:rPr>
          <w:rFonts w:hint="eastAsia" w:ascii="黑体" w:hAnsi="黑体" w:eastAsia="黑体" w:cs="黑体"/>
          <w:color w:val="auto"/>
          <w:sz w:val="28"/>
          <w:szCs w:val="28"/>
          <w:highlight w:val="none"/>
        </w:rPr>
      </w:pPr>
      <w:bookmarkStart w:id="199" w:name="_Toc534725609"/>
      <w:bookmarkStart w:id="200" w:name="_Toc534816638"/>
      <w:r>
        <w:rPr>
          <w:rFonts w:hint="eastAsia" w:ascii="黑体" w:hAnsi="黑体" w:eastAsia="黑体" w:cs="黑体"/>
          <w:color w:val="auto"/>
          <w:sz w:val="28"/>
          <w:szCs w:val="28"/>
          <w:highlight w:val="none"/>
        </w:rPr>
        <w:t>二、商务条款</w:t>
      </w:r>
      <w:bookmarkEnd w:id="199"/>
      <w:bookmarkEnd w:id="200"/>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服务期</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服务类项目为服务期</w:t>
      </w:r>
      <w:r>
        <w:rPr>
          <w:rFonts w:hint="eastAsia" w:hAnsi="宋体" w:cs="宋体"/>
          <w:color w:val="auto"/>
          <w:sz w:val="24"/>
          <w:szCs w:val="24"/>
          <w:highlight w:val="none"/>
          <w:lang w:eastAsia="zh-CN"/>
        </w:rPr>
        <w:t>）</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rPr>
        <w:t>免费</w:t>
      </w:r>
      <w:r>
        <w:rPr>
          <w:rFonts w:hint="eastAsia" w:hAnsi="宋体" w:cs="宋体"/>
          <w:color w:val="auto"/>
          <w:sz w:val="24"/>
          <w:szCs w:val="24"/>
          <w:highlight w:val="none"/>
          <w:lang w:val="en-US" w:eastAsia="zh-CN"/>
        </w:rPr>
        <w:t>服务期300个日历日</w:t>
      </w:r>
      <w:r>
        <w:rPr>
          <w:rFonts w:hint="eastAsia" w:hAnsi="宋体" w:cs="宋体"/>
          <w:color w:val="auto"/>
          <w:sz w:val="24"/>
          <w:szCs w:val="24"/>
          <w:highlight w:val="none"/>
        </w:rPr>
        <w:t>。（免费</w:t>
      </w:r>
      <w:r>
        <w:rPr>
          <w:rFonts w:hint="eastAsia" w:hAnsi="宋体" w:cs="宋体"/>
          <w:color w:val="auto"/>
          <w:sz w:val="24"/>
          <w:szCs w:val="24"/>
          <w:highlight w:val="none"/>
          <w:lang w:val="en-US" w:eastAsia="zh-CN"/>
        </w:rPr>
        <w:t>服务期</w:t>
      </w:r>
      <w:r>
        <w:rPr>
          <w:rFonts w:hint="eastAsia" w:hAnsi="宋体" w:cs="宋体"/>
          <w:color w:val="auto"/>
          <w:sz w:val="24"/>
          <w:szCs w:val="24"/>
          <w:highlight w:val="none"/>
        </w:rPr>
        <w:t>自通过甲方验收合格之日起计）</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．交付方式及交付地点</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交付方式：采购人指定。</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 xml:space="preserve"> 交付地点：采购人指定。</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．货款支付</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int="eastAsia"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 第一次付款：</w:t>
      </w:r>
      <w:r>
        <w:rPr>
          <w:rFonts w:hint="eastAsia" w:hAnsi="宋体" w:cs="宋体"/>
          <w:color w:val="auto"/>
          <w:sz w:val="24"/>
          <w:szCs w:val="24"/>
          <w:highlight w:val="none"/>
          <w:lang w:val="en-US" w:eastAsia="zh-CN"/>
        </w:rPr>
        <w:t>签订合同后</w:t>
      </w:r>
      <w:r>
        <w:rPr>
          <w:rFonts w:hint="eastAsia" w:hAnsi="宋体" w:cs="宋体"/>
          <w:color w:val="auto"/>
          <w:sz w:val="24"/>
          <w:szCs w:val="24"/>
          <w:highlight w:val="none"/>
        </w:rPr>
        <w:t>，支付合同金额的</w:t>
      </w:r>
      <w:r>
        <w:rPr>
          <w:rFonts w:hint="eastAsia" w:hAnsi="宋体" w:cs="宋体"/>
          <w:color w:val="auto"/>
          <w:sz w:val="24"/>
          <w:szCs w:val="24"/>
          <w:highlight w:val="none"/>
          <w:lang w:val="en-US" w:eastAsia="zh-CN"/>
        </w:rPr>
        <w:t>60</w:t>
      </w:r>
      <w:r>
        <w:rPr>
          <w:rFonts w:hint="eastAsia" w:hAnsi="宋体" w:cs="宋体"/>
          <w:color w:val="auto"/>
          <w:sz w:val="24"/>
          <w:szCs w:val="24"/>
          <w:highlight w:val="none"/>
        </w:rPr>
        <w:t>%</w:t>
      </w:r>
      <w:r>
        <w:rPr>
          <w:rFonts w:hint="eastAsia" w:hAnsi="宋体" w:cs="宋体"/>
          <w:color w:val="auto"/>
          <w:sz w:val="24"/>
          <w:szCs w:val="24"/>
          <w:highlight w:val="none"/>
          <w:lang w:eastAsia="zh-CN"/>
        </w:rPr>
        <w:t>的</w:t>
      </w:r>
      <w:r>
        <w:rPr>
          <w:rFonts w:hint="eastAsia" w:hAnsi="宋体" w:cs="宋体"/>
          <w:color w:val="auto"/>
          <w:sz w:val="24"/>
          <w:szCs w:val="24"/>
          <w:highlight w:val="none"/>
          <w:lang w:val="en-US" w:eastAsia="zh-CN"/>
        </w:rPr>
        <w:t>预付款</w:t>
      </w:r>
      <w:r>
        <w:rPr>
          <w:rFonts w:hint="eastAsia" w:hAnsi="宋体" w:cs="宋体"/>
          <w:color w:val="auto"/>
          <w:sz w:val="24"/>
          <w:szCs w:val="24"/>
          <w:highlight w:val="none"/>
        </w:rPr>
        <w:t>。</w:t>
      </w:r>
    </w:p>
    <w:p>
      <w:pPr>
        <w:pStyle w:val="22"/>
        <w:pageBreakBefore w:val="0"/>
        <w:widowControl w:val="0"/>
        <w:kinsoku/>
        <w:wordWrap/>
        <w:overflowPunct/>
        <w:topLinePunct w:val="0"/>
        <w:autoSpaceDE/>
        <w:autoSpaceDN/>
        <w:bidi w:val="0"/>
        <w:snapToGrid w:val="0"/>
        <w:spacing w:before="156" w:after="156" w:line="560" w:lineRule="exact"/>
        <w:ind w:right="26" w:firstLine="420" w:firstLineChars="175"/>
        <w:rPr>
          <w:rFonts w:hAnsi="宋体" w:cs="宋体"/>
          <w:b/>
          <w:color w:val="auto"/>
          <w:sz w:val="32"/>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.2 第二次付款：根据甲方内部管理规定，满足终验条件，乙方提交全部验收材料，通过甲方组织的验收后，支付至合同金额的 100%。</w:t>
      </w:r>
      <w:r>
        <w:rPr>
          <w:rFonts w:hint="eastAsia" w:ascii="宋体" w:hAnsi="宋体" w:eastAsia="宋体" w:cs="宋体"/>
          <w:sz w:val="24"/>
          <w:szCs w:val="24"/>
          <w:highlight w:val="none"/>
        </w:rPr>
        <w:br w:type="page"/>
      </w:r>
    </w:p>
    <w:p>
      <w:pPr>
        <w:pStyle w:val="5"/>
        <w:pageBreakBefore w:val="0"/>
        <w:widowControl w:val="0"/>
        <w:kinsoku/>
        <w:wordWrap/>
        <w:overflowPunct/>
        <w:topLinePunct w:val="0"/>
        <w:autoSpaceDE/>
        <w:autoSpaceDN/>
        <w:bidi w:val="0"/>
        <w:spacing w:line="560" w:lineRule="exact"/>
        <w:rPr>
          <w:rFonts w:ascii="宋体" w:hAnsi="宋体" w:eastAsia="宋体" w:cs="宋体"/>
          <w:color w:val="auto"/>
          <w:highlight w:val="none"/>
        </w:rPr>
      </w:pPr>
      <w:bookmarkStart w:id="201" w:name="_Toc534816639"/>
      <w:bookmarkStart w:id="202" w:name="_Toc534725610"/>
      <w:bookmarkStart w:id="203" w:name="_Toc494375081"/>
      <w:bookmarkStart w:id="204" w:name="_Toc120614281"/>
      <w:r>
        <w:rPr>
          <w:rFonts w:hint="eastAsia" w:ascii="宋体" w:hAnsi="宋体" w:eastAsia="宋体" w:cs="宋体"/>
          <w:color w:val="auto"/>
          <w:highlight w:val="none"/>
        </w:rPr>
        <w:t>第五章  评标方法与评标标准</w:t>
      </w:r>
      <w:bookmarkEnd w:id="201"/>
      <w:bookmarkEnd w:id="202"/>
      <w:bookmarkEnd w:id="203"/>
    </w:p>
    <w:p>
      <w:pPr>
        <w:pageBreakBefore w:val="0"/>
        <w:widowControl w:val="0"/>
        <w:kinsoku/>
        <w:wordWrap/>
        <w:overflowPunct/>
        <w:topLinePunct w:val="0"/>
        <w:autoSpaceDE/>
        <w:autoSpaceDN/>
        <w:bidi w:val="0"/>
        <w:spacing w:line="560" w:lineRule="exact"/>
        <w:rPr>
          <w:rFonts w:ascii="宋体" w:hAnsi="宋体" w:cs="宋体"/>
          <w:color w:val="auto"/>
          <w:highlight w:val="none"/>
        </w:rPr>
      </w:pPr>
    </w:p>
    <w:p>
      <w:pPr>
        <w:pStyle w:val="119"/>
        <w:pageBreakBefore w:val="0"/>
        <w:widowControl w:val="0"/>
        <w:kinsoku/>
        <w:wordWrap/>
        <w:overflowPunct/>
        <w:topLinePunct w:val="0"/>
        <w:autoSpaceDE/>
        <w:autoSpaceDN/>
        <w:bidi w:val="0"/>
        <w:spacing w:line="560" w:lineRule="exact"/>
        <w:ind w:firstLine="424" w:firstLineChars="177"/>
        <w:rPr>
          <w:rFonts w:ascii="宋体" w:hAnsi="宋体" w:cs="宋体"/>
          <w:color w:val="auto"/>
          <w:highlight w:val="none"/>
        </w:rPr>
      </w:pPr>
      <w:r>
        <w:rPr>
          <w:rFonts w:hint="eastAsia" w:ascii="宋体" w:hAnsi="宋体" w:cs="宋体"/>
          <w:color w:val="auto"/>
          <w:highlight w:val="none"/>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pStyle w:val="119"/>
        <w:pageBreakBefore w:val="0"/>
        <w:widowControl w:val="0"/>
        <w:kinsoku/>
        <w:wordWrap/>
        <w:overflowPunct/>
        <w:topLinePunct w:val="0"/>
        <w:autoSpaceDE/>
        <w:autoSpaceDN/>
        <w:bidi w:val="0"/>
        <w:spacing w:line="560" w:lineRule="exact"/>
        <w:ind w:firstLine="440" w:firstLineChars="183"/>
        <w:rPr>
          <w:rFonts w:ascii="宋体" w:hAnsi="宋体" w:cs="宋体"/>
          <w:b/>
          <w:color w:val="auto"/>
          <w:kern w:val="2"/>
          <w:highlight w:val="none"/>
        </w:rPr>
      </w:pPr>
      <w:r>
        <w:rPr>
          <w:rFonts w:hint="eastAsia" w:ascii="宋体" w:hAnsi="宋体" w:cs="宋体"/>
          <w:b/>
          <w:color w:val="auto"/>
          <w:kern w:val="2"/>
          <w:highlight w:val="none"/>
        </w:rPr>
        <w:t>一、政府采购政策功能落实</w:t>
      </w:r>
    </w:p>
    <w:p>
      <w:pPr>
        <w:pStyle w:val="119"/>
        <w:pageBreakBefore w:val="0"/>
        <w:widowControl w:val="0"/>
        <w:kinsoku/>
        <w:wordWrap/>
        <w:overflowPunct/>
        <w:topLinePunct w:val="0"/>
        <w:autoSpaceDE/>
        <w:autoSpaceDN/>
        <w:bidi w:val="0"/>
        <w:spacing w:line="560" w:lineRule="exact"/>
        <w:ind w:firstLineChars="200"/>
        <w:rPr>
          <w:rFonts w:ascii="宋体" w:hAnsi="宋体" w:cs="宋体"/>
          <w:color w:val="auto"/>
          <w:kern w:val="2"/>
          <w:highlight w:val="none"/>
        </w:rPr>
      </w:pPr>
      <w:r>
        <w:rPr>
          <w:rFonts w:hint="eastAsia" w:ascii="宋体" w:hAnsi="宋体" w:cs="宋体"/>
          <w:color w:val="auto"/>
          <w:kern w:val="2"/>
          <w:highlight w:val="none"/>
          <w:lang w:val="en-US" w:eastAsia="zh-CN"/>
        </w:rPr>
        <w:t>1</w:t>
      </w:r>
      <w:r>
        <w:rPr>
          <w:rFonts w:hint="eastAsia" w:ascii="宋体" w:hAnsi="宋体" w:cs="宋体"/>
          <w:color w:val="auto"/>
          <w:kern w:val="2"/>
          <w:highlight w:val="none"/>
        </w:rPr>
        <w:t>、残疾人福利单位价格扣除</w:t>
      </w:r>
    </w:p>
    <w:p>
      <w:pPr>
        <w:pStyle w:val="119"/>
        <w:pageBreakBefore w:val="0"/>
        <w:widowControl w:val="0"/>
        <w:kinsoku/>
        <w:wordWrap/>
        <w:overflowPunct/>
        <w:topLinePunct w:val="0"/>
        <w:autoSpaceDE/>
        <w:autoSpaceDN/>
        <w:bidi w:val="0"/>
        <w:spacing w:line="560" w:lineRule="exact"/>
        <w:ind w:left="120" w:leftChars="57" w:firstLine="360" w:firstLineChars="150"/>
        <w:rPr>
          <w:rFonts w:ascii="宋体" w:hAnsi="宋体" w:cs="宋体"/>
          <w:color w:val="auto"/>
          <w:kern w:val="2"/>
          <w:highlight w:val="none"/>
        </w:rPr>
      </w:pPr>
      <w:r>
        <w:rPr>
          <w:rFonts w:hint="eastAsia" w:ascii="宋体" w:hAnsi="宋体" w:cs="宋体"/>
          <w:color w:val="auto"/>
          <w:kern w:val="2"/>
          <w:highlight w:val="none"/>
        </w:rPr>
        <w:t>（1）本项目对残疾人福利性单位视同小型、微型企业，给予</w:t>
      </w:r>
      <w:r>
        <w:rPr>
          <w:rFonts w:hint="eastAsia" w:ascii="宋体" w:hAnsi="宋体" w:cs="宋体"/>
          <w:color w:val="auto"/>
          <w:kern w:val="2"/>
          <w:highlight w:val="none"/>
          <w:lang w:val="en-US" w:eastAsia="zh-CN"/>
        </w:rPr>
        <w:t>10%</w:t>
      </w:r>
      <w:r>
        <w:rPr>
          <w:rFonts w:hint="eastAsia" w:ascii="宋体" w:hAnsi="宋体" w:cs="宋体"/>
          <w:color w:val="auto"/>
          <w:kern w:val="2"/>
          <w:highlight w:val="none"/>
        </w:rPr>
        <w:t>的价格扣除，用扣除后的价格参与评审。</w:t>
      </w:r>
    </w:p>
    <w:p>
      <w:pPr>
        <w:pStyle w:val="119"/>
        <w:pageBreakBefore w:val="0"/>
        <w:widowControl w:val="0"/>
        <w:kinsoku/>
        <w:wordWrap/>
        <w:overflowPunct/>
        <w:topLinePunct w:val="0"/>
        <w:autoSpaceDE/>
        <w:autoSpaceDN/>
        <w:bidi w:val="0"/>
        <w:spacing w:line="560" w:lineRule="exact"/>
        <w:ind w:left="120" w:leftChars="57" w:firstLine="360" w:firstLineChars="150"/>
        <w:rPr>
          <w:rFonts w:ascii="宋体" w:hAnsi="宋体" w:cs="宋体"/>
          <w:color w:val="auto"/>
          <w:kern w:val="2"/>
          <w:highlight w:val="none"/>
        </w:rPr>
      </w:pPr>
      <w:r>
        <w:rPr>
          <w:rFonts w:hint="eastAsia" w:ascii="宋体" w:hAnsi="宋体" w:cs="宋体"/>
          <w:color w:val="auto"/>
          <w:kern w:val="2"/>
          <w:highlight w:val="none"/>
        </w:rPr>
        <w:t>（2）残疾人福利单位需按照采购文件的要求提供《残疾人福利性单位声明函》。</w:t>
      </w:r>
    </w:p>
    <w:p>
      <w:pPr>
        <w:pStyle w:val="119"/>
        <w:pageBreakBefore w:val="0"/>
        <w:widowControl w:val="0"/>
        <w:kinsoku/>
        <w:wordWrap/>
        <w:overflowPunct/>
        <w:topLinePunct w:val="0"/>
        <w:autoSpaceDE/>
        <w:autoSpaceDN/>
        <w:bidi w:val="0"/>
        <w:spacing w:line="560" w:lineRule="exact"/>
        <w:ind w:left="120" w:leftChars="57" w:firstLine="360" w:firstLineChars="150"/>
        <w:rPr>
          <w:rFonts w:ascii="宋体" w:hAnsi="宋体" w:cs="宋体"/>
          <w:color w:val="auto"/>
          <w:kern w:val="2"/>
          <w:highlight w:val="none"/>
        </w:rPr>
      </w:pPr>
      <w:r>
        <w:rPr>
          <w:rFonts w:hint="eastAsia" w:ascii="宋体" w:hAnsi="宋体" w:cs="宋体"/>
          <w:color w:val="auto"/>
          <w:kern w:val="2"/>
          <w:highlight w:val="none"/>
        </w:rPr>
        <w:t>（3）残疾人福利单位标准请参照《关于促进残疾人就业政府采购政策的通知》（财库〔2017〕141号）。</w:t>
      </w:r>
    </w:p>
    <w:p>
      <w:pPr>
        <w:pStyle w:val="119"/>
        <w:pageBreakBefore w:val="0"/>
        <w:widowControl w:val="0"/>
        <w:kinsoku/>
        <w:wordWrap/>
        <w:overflowPunct/>
        <w:topLinePunct w:val="0"/>
        <w:autoSpaceDE/>
        <w:autoSpaceDN/>
        <w:bidi w:val="0"/>
        <w:spacing w:line="560" w:lineRule="exact"/>
        <w:ind w:firstLineChars="200"/>
        <w:rPr>
          <w:rFonts w:ascii="宋体" w:hAnsi="宋体" w:cs="宋体"/>
          <w:color w:val="auto"/>
          <w:kern w:val="2"/>
          <w:highlight w:val="none"/>
        </w:rPr>
      </w:pPr>
      <w:r>
        <w:rPr>
          <w:rFonts w:hint="eastAsia" w:ascii="宋体" w:hAnsi="宋体" w:cs="宋体"/>
          <w:color w:val="auto"/>
          <w:kern w:val="2"/>
          <w:highlight w:val="none"/>
          <w:lang w:val="en-US" w:eastAsia="zh-CN"/>
        </w:rPr>
        <w:t>2</w:t>
      </w:r>
      <w:r>
        <w:rPr>
          <w:rFonts w:hint="eastAsia" w:ascii="宋体" w:hAnsi="宋体" w:cs="宋体"/>
          <w:color w:val="auto"/>
          <w:kern w:val="2"/>
          <w:highlight w:val="none"/>
        </w:rPr>
        <w:t>、监狱和戒毒企业价格扣除</w:t>
      </w:r>
    </w:p>
    <w:p>
      <w:pPr>
        <w:pStyle w:val="119"/>
        <w:pageBreakBefore w:val="0"/>
        <w:widowControl w:val="0"/>
        <w:kinsoku/>
        <w:wordWrap/>
        <w:overflowPunct/>
        <w:topLinePunct w:val="0"/>
        <w:autoSpaceDE/>
        <w:autoSpaceDN/>
        <w:bidi w:val="0"/>
        <w:spacing w:line="560" w:lineRule="exact"/>
        <w:ind w:firstLineChars="200"/>
        <w:rPr>
          <w:rFonts w:ascii="宋体" w:hAnsi="宋体" w:cs="宋体"/>
          <w:color w:val="auto"/>
          <w:kern w:val="2"/>
          <w:highlight w:val="none"/>
        </w:rPr>
      </w:pPr>
      <w:r>
        <w:rPr>
          <w:rFonts w:hint="eastAsia" w:ascii="宋体" w:hAnsi="宋体" w:cs="宋体"/>
          <w:color w:val="auto"/>
          <w:kern w:val="2"/>
          <w:highlight w:val="none"/>
        </w:rPr>
        <w:t>（1）本项目对监狱和戒毒企业（简称监狱企业）视同小型、微型企业，给予</w:t>
      </w:r>
      <w:r>
        <w:rPr>
          <w:rFonts w:hint="eastAsia" w:ascii="宋体" w:hAnsi="宋体" w:cs="宋体"/>
          <w:color w:val="auto"/>
          <w:kern w:val="2"/>
          <w:highlight w:val="none"/>
          <w:lang w:val="en-US" w:eastAsia="zh-CN"/>
        </w:rPr>
        <w:t>10%</w:t>
      </w:r>
      <w:r>
        <w:rPr>
          <w:rFonts w:hint="eastAsia" w:ascii="宋体" w:hAnsi="宋体" w:cs="宋体"/>
          <w:color w:val="auto"/>
          <w:kern w:val="2"/>
          <w:highlight w:val="none"/>
        </w:rPr>
        <w:t>的价格扣除，用扣除后的价格参与评审。</w:t>
      </w:r>
    </w:p>
    <w:p>
      <w:pPr>
        <w:pStyle w:val="119"/>
        <w:pageBreakBefore w:val="0"/>
        <w:widowControl w:val="0"/>
        <w:kinsoku/>
        <w:wordWrap/>
        <w:overflowPunct/>
        <w:topLinePunct w:val="0"/>
        <w:autoSpaceDE/>
        <w:autoSpaceDN/>
        <w:bidi w:val="0"/>
        <w:spacing w:line="560" w:lineRule="exact"/>
        <w:ind w:firstLineChars="200"/>
        <w:rPr>
          <w:rFonts w:ascii="宋体" w:hAnsi="宋体" w:cs="宋体"/>
          <w:color w:val="auto"/>
          <w:kern w:val="2"/>
          <w:highlight w:val="none"/>
        </w:rPr>
      </w:pPr>
      <w:r>
        <w:rPr>
          <w:rFonts w:hint="eastAsia" w:ascii="宋体" w:hAnsi="宋体" w:cs="宋体"/>
          <w:color w:val="auto"/>
          <w:kern w:val="2"/>
          <w:highlight w:val="none"/>
        </w:rPr>
        <w:t>（2）监狱企业参加政府采购活动时，需提供由省级以上监狱管理局、戒毒管理局(含新疆生产建设兵团)出具的属于监狱企业的证明文件。</w:t>
      </w:r>
      <w:r>
        <w:rPr>
          <w:rFonts w:hint="eastAsia" w:ascii="宋体" w:hAnsi="宋体" w:cs="宋体"/>
          <w:color w:val="auto"/>
          <w:highlight w:val="none"/>
        </w:rPr>
        <w:t>供应商如不提供上述证明文件，价格将不做相应扣除</w:t>
      </w:r>
      <w:r>
        <w:rPr>
          <w:rFonts w:hint="eastAsia" w:ascii="宋体" w:hAnsi="宋体" w:cs="宋体"/>
          <w:color w:val="auto"/>
          <w:kern w:val="2"/>
          <w:highlight w:val="none"/>
        </w:rPr>
        <w:t>。</w:t>
      </w:r>
    </w:p>
    <w:p>
      <w:pPr>
        <w:pStyle w:val="119"/>
        <w:pageBreakBefore w:val="0"/>
        <w:widowControl w:val="0"/>
        <w:kinsoku/>
        <w:wordWrap/>
        <w:overflowPunct/>
        <w:topLinePunct w:val="0"/>
        <w:autoSpaceDE/>
        <w:autoSpaceDN/>
        <w:bidi w:val="0"/>
        <w:spacing w:line="560" w:lineRule="exact"/>
        <w:ind w:firstLineChars="200"/>
        <w:rPr>
          <w:rFonts w:ascii="宋体" w:hAnsi="宋体" w:cs="宋体"/>
          <w:color w:val="auto"/>
          <w:kern w:val="2"/>
          <w:highlight w:val="none"/>
        </w:rPr>
      </w:pPr>
      <w:r>
        <w:rPr>
          <w:rFonts w:hint="eastAsia" w:ascii="宋体" w:hAnsi="宋体" w:cs="宋体"/>
          <w:color w:val="auto"/>
          <w:kern w:val="2"/>
          <w:highlight w:val="none"/>
        </w:rPr>
        <w:t>（3）监狱企业标准请参照《关于政府采购支持监狱企业发展有关问题的通知》（财库</w:t>
      </w:r>
      <w:r>
        <w:rPr>
          <w:rFonts w:hint="eastAsia" w:ascii="宋体" w:hAnsi="宋体" w:cs="宋体"/>
          <w:color w:val="auto"/>
          <w:kern w:val="2"/>
          <w:highlight w:val="none"/>
          <w:lang w:eastAsia="zh-CN"/>
        </w:rPr>
        <w:t>〔2014〕68号</w:t>
      </w:r>
      <w:r>
        <w:rPr>
          <w:rFonts w:hint="eastAsia" w:ascii="宋体" w:hAnsi="宋体" w:cs="宋体"/>
          <w:color w:val="auto"/>
          <w:kern w:val="2"/>
          <w:highlight w:val="none"/>
        </w:rPr>
        <w:t>）。</w:t>
      </w:r>
    </w:p>
    <w:p>
      <w:pPr>
        <w:pStyle w:val="119"/>
        <w:pageBreakBefore w:val="0"/>
        <w:widowControl w:val="0"/>
        <w:kinsoku/>
        <w:wordWrap/>
        <w:overflowPunct/>
        <w:topLinePunct w:val="0"/>
        <w:autoSpaceDE/>
        <w:autoSpaceDN/>
        <w:bidi w:val="0"/>
        <w:spacing w:line="560" w:lineRule="exact"/>
        <w:ind w:firstLineChars="200"/>
        <w:rPr>
          <w:rFonts w:ascii="宋体" w:hAnsi="宋体" w:cs="宋体"/>
          <w:b/>
          <w:color w:val="auto"/>
          <w:kern w:val="2"/>
          <w:highlight w:val="none"/>
        </w:rPr>
      </w:pPr>
      <w:r>
        <w:rPr>
          <w:rFonts w:hint="eastAsia" w:ascii="宋体" w:hAnsi="宋体" w:cs="宋体"/>
          <w:color w:val="auto"/>
          <w:kern w:val="2"/>
          <w:highlight w:val="none"/>
          <w:lang w:val="en-US" w:eastAsia="zh-CN"/>
        </w:rPr>
        <w:t>3</w:t>
      </w:r>
      <w:r>
        <w:rPr>
          <w:rFonts w:hint="eastAsia" w:ascii="宋体" w:hAnsi="宋体" w:cs="宋体"/>
          <w:color w:val="auto"/>
          <w:kern w:val="2"/>
          <w:highlight w:val="none"/>
        </w:rPr>
        <w:t>、残疾人福利单位、监狱企业属于小型、微型企业的，不重复享受政策。</w:t>
      </w:r>
    </w:p>
    <w:p>
      <w:pPr>
        <w:pStyle w:val="119"/>
        <w:pageBreakBefore w:val="0"/>
        <w:widowControl w:val="0"/>
        <w:kinsoku/>
        <w:wordWrap/>
        <w:overflowPunct/>
        <w:topLinePunct w:val="0"/>
        <w:autoSpaceDE/>
        <w:autoSpaceDN/>
        <w:bidi w:val="0"/>
        <w:spacing w:line="560" w:lineRule="exact"/>
        <w:ind w:firstLine="481" w:firstLineChars="200"/>
        <w:rPr>
          <w:rFonts w:ascii="宋体" w:hAnsi="宋体" w:cs="宋体"/>
          <w:b/>
          <w:color w:val="auto"/>
          <w:kern w:val="2"/>
          <w:highlight w:val="none"/>
        </w:rPr>
      </w:pPr>
      <w:r>
        <w:rPr>
          <w:rFonts w:hint="eastAsia" w:ascii="宋体" w:hAnsi="宋体" w:cs="宋体"/>
          <w:b/>
          <w:color w:val="auto"/>
          <w:kern w:val="2"/>
          <w:highlight w:val="none"/>
        </w:rPr>
        <w:t>二、评标办法和评标标准</w:t>
      </w:r>
    </w:p>
    <w:bookmarkEnd w:id="190"/>
    <w:bookmarkEnd w:id="191"/>
    <w:bookmarkEnd w:id="195"/>
    <w:bookmarkEnd w:id="196"/>
    <w:bookmarkEnd w:id="204"/>
    <w:tbl>
      <w:tblPr>
        <w:tblStyle w:val="3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00"/>
        <w:gridCol w:w="581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评分项目</w:t>
            </w:r>
          </w:p>
        </w:tc>
        <w:tc>
          <w:tcPr>
            <w:tcW w:w="130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评分因素</w:t>
            </w:r>
          </w:p>
        </w:tc>
        <w:tc>
          <w:tcPr>
            <w:tcW w:w="5814"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评审内容</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3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价格部分（</w:t>
            </w:r>
            <w:r>
              <w:rPr>
                <w:rFonts w:hint="default" w:ascii="Times New Roman" w:hAnsi="Times New Roman" w:eastAsia="方正仿宋_GBK" w:cs="Times New Roman"/>
                <w:color w:val="auto"/>
                <w:kern w:val="0"/>
                <w:sz w:val="24"/>
                <w:szCs w:val="24"/>
                <w:highlight w:val="none"/>
                <w:lang w:val="en-US" w:eastAsia="zh-CN"/>
              </w:rPr>
              <w:t>30</w:t>
            </w:r>
            <w:r>
              <w:rPr>
                <w:rFonts w:hint="default" w:ascii="Times New Roman" w:hAnsi="Times New Roman" w:eastAsia="方正仿宋_GBK" w:cs="Times New Roman"/>
                <w:color w:val="auto"/>
                <w:kern w:val="0"/>
                <w:sz w:val="24"/>
                <w:szCs w:val="24"/>
                <w:highlight w:val="none"/>
              </w:rPr>
              <w:t>分）</w:t>
            </w:r>
          </w:p>
        </w:tc>
        <w:tc>
          <w:tcPr>
            <w:tcW w:w="130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投标报价</w:t>
            </w:r>
          </w:p>
        </w:tc>
        <w:tc>
          <w:tcPr>
            <w:tcW w:w="5814"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价格分采用低价优先法计算，即满足本招标文件要求的最低投标报价为评标基准价，其价格分为满分，其它投标人的价格分统一按照下列公式计算：</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投标报价得分=（评标基准价／投标报价）×价格分分值（精确到小数点后两位）。</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超过了采购项目预算或最高限价的，为无效投标。</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2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商务部分（</w:t>
            </w:r>
            <w:r>
              <w:rPr>
                <w:rFonts w:hint="eastAsia" w:eastAsia="方正仿宋_GBK" w:cs="Times New Roman"/>
                <w:color w:val="auto"/>
                <w:kern w:val="0"/>
                <w:sz w:val="24"/>
                <w:szCs w:val="24"/>
                <w:highlight w:val="none"/>
                <w:lang w:val="en-US" w:eastAsia="zh-CN"/>
              </w:rPr>
              <w:t>25</w:t>
            </w:r>
            <w:r>
              <w:rPr>
                <w:rFonts w:hint="default" w:ascii="Times New Roman" w:hAnsi="Times New Roman" w:eastAsia="方正仿宋_GBK" w:cs="Times New Roman"/>
                <w:color w:val="auto"/>
                <w:kern w:val="0"/>
                <w:sz w:val="24"/>
                <w:szCs w:val="24"/>
                <w:highlight w:val="none"/>
              </w:rPr>
              <w:t>分）</w:t>
            </w:r>
          </w:p>
        </w:tc>
        <w:tc>
          <w:tcPr>
            <w:tcW w:w="130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企业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业绩</w:t>
            </w:r>
          </w:p>
        </w:tc>
        <w:tc>
          <w:tcPr>
            <w:tcW w:w="5814" w:type="dxa"/>
            <w:shd w:val="clear" w:color="auto" w:fill="auto"/>
            <w:vAlign w:val="center"/>
          </w:tcPr>
          <w:p>
            <w:pPr>
              <w:pStyle w:val="129"/>
              <w:keepNext w:val="0"/>
              <w:keepLines w:val="0"/>
              <w:pageBreakBefore w:val="0"/>
              <w:kinsoku/>
              <w:wordWrap/>
              <w:overflowPunct/>
              <w:topLinePunct w:val="0"/>
              <w:autoSpaceDE/>
              <w:autoSpaceDN/>
              <w:bidi w:val="0"/>
              <w:adjustRightInd/>
              <w:snapToGrid/>
              <w:spacing w:line="280" w:lineRule="exact"/>
              <w:ind w:firstLine="0"/>
              <w:textAlignment w:val="auto"/>
              <w:rPr>
                <w:rFonts w:hint="default" w:ascii="Times New Roman" w:hAnsi="Times New Roman" w:eastAsia="方正仿宋_GBK" w:cs="Times New Roman"/>
                <w:color w:val="auto"/>
                <w:szCs w:val="24"/>
                <w:highlight w:val="none"/>
                <w:lang w:eastAsia="zh-CN"/>
              </w:rPr>
            </w:pPr>
            <w:r>
              <w:rPr>
                <w:rFonts w:hint="default" w:ascii="Times New Roman" w:hAnsi="Times New Roman" w:eastAsia="方正仿宋_GBK" w:cs="Times New Roman"/>
                <w:color w:val="auto"/>
                <w:szCs w:val="24"/>
                <w:highlight w:val="none"/>
                <w:lang w:eastAsia="zh-CN"/>
              </w:rPr>
              <w:t>投标人提供的20</w:t>
            </w:r>
            <w:r>
              <w:rPr>
                <w:rFonts w:hint="default" w:ascii="Times New Roman" w:hAnsi="Times New Roman" w:eastAsia="方正仿宋_GBK" w:cs="Times New Roman"/>
                <w:color w:val="auto"/>
                <w:szCs w:val="24"/>
                <w:highlight w:val="none"/>
                <w:lang w:val="en-US" w:eastAsia="zh-CN"/>
              </w:rPr>
              <w:t>22</w:t>
            </w:r>
            <w:r>
              <w:rPr>
                <w:rFonts w:hint="default" w:ascii="Times New Roman" w:hAnsi="Times New Roman" w:eastAsia="方正仿宋_GBK" w:cs="Times New Roman"/>
                <w:color w:val="auto"/>
                <w:szCs w:val="24"/>
                <w:highlight w:val="none"/>
                <w:lang w:eastAsia="zh-CN"/>
              </w:rPr>
              <w:t>年1月1日－至今的类似项目业绩（以合同签订、中标通知书时间为准），每具有1项，得</w:t>
            </w:r>
            <w:r>
              <w:rPr>
                <w:rFonts w:hint="default" w:ascii="Times New Roman" w:hAnsi="Times New Roman" w:eastAsia="方正仿宋_GBK" w:cs="Times New Roman"/>
                <w:color w:val="auto"/>
                <w:szCs w:val="24"/>
                <w:highlight w:val="none"/>
                <w:lang w:val="en-US" w:eastAsia="zh-CN"/>
              </w:rPr>
              <w:t>5</w:t>
            </w:r>
            <w:r>
              <w:rPr>
                <w:rFonts w:hint="default" w:ascii="Times New Roman" w:hAnsi="Times New Roman" w:eastAsia="方正仿宋_GBK" w:cs="Times New Roman"/>
                <w:color w:val="auto"/>
                <w:szCs w:val="24"/>
                <w:highlight w:val="none"/>
                <w:lang w:eastAsia="zh-CN"/>
              </w:rPr>
              <w:t>分</w:t>
            </w:r>
            <w:r>
              <w:rPr>
                <w:rFonts w:hint="eastAsia" w:ascii="Times New Roman" w:hAnsi="Times New Roman" w:eastAsia="方正仿宋_GBK" w:cs="Times New Roman"/>
                <w:kern w:val="0"/>
                <w:sz w:val="24"/>
                <w:szCs w:val="24"/>
                <w:highlight w:val="none"/>
                <w:lang w:val="en-US" w:eastAsia="zh-CN"/>
              </w:rPr>
              <w:t>，共5分</w:t>
            </w:r>
            <w:r>
              <w:rPr>
                <w:rFonts w:hint="default" w:ascii="Times New Roman" w:hAnsi="Times New Roman" w:eastAsia="方正仿宋_GBK" w:cs="Times New Roman"/>
                <w:color w:val="auto"/>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注：须提供中标通知书或合同复印件</w:t>
            </w:r>
            <w:r>
              <w:rPr>
                <w:rFonts w:hint="eastAsia" w:eastAsia="方正仿宋_GBK" w:cs="Times New Roman"/>
                <w:color w:val="auto"/>
                <w:sz w:val="24"/>
                <w:szCs w:val="24"/>
                <w:highlight w:val="none"/>
                <w:lang w:eastAsia="zh-CN"/>
              </w:rPr>
              <w:t>及发票等印证材料</w:t>
            </w:r>
            <w:r>
              <w:rPr>
                <w:rFonts w:hint="default" w:ascii="Times New Roman" w:hAnsi="Times New Roman" w:eastAsia="方正仿宋_GBK" w:cs="Times New Roman"/>
                <w:color w:val="auto"/>
                <w:sz w:val="24"/>
                <w:szCs w:val="24"/>
                <w:highlight w:val="none"/>
              </w:rPr>
              <w:t>。</w:t>
            </w:r>
          </w:p>
        </w:tc>
        <w:tc>
          <w:tcPr>
            <w:tcW w:w="790" w:type="dxa"/>
            <w:shd w:val="clear" w:color="000000" w:fill="FFFFFF"/>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jc w:val="center"/>
        </w:trPr>
        <w:tc>
          <w:tcPr>
            <w:tcW w:w="123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4"/>
                <w:szCs w:val="24"/>
                <w:highlight w:val="none"/>
              </w:rPr>
            </w:pPr>
          </w:p>
        </w:tc>
        <w:tc>
          <w:tcPr>
            <w:tcW w:w="130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履约能力</w:t>
            </w:r>
          </w:p>
        </w:tc>
        <w:tc>
          <w:tcPr>
            <w:tcW w:w="5814"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kern w:val="0"/>
                <w:sz w:val="24"/>
                <w:szCs w:val="24"/>
                <w:highlight w:val="none"/>
              </w:rPr>
            </w:pPr>
            <w:r>
              <w:rPr>
                <w:rFonts w:hint="eastAsia" w:eastAsia="方正仿宋_GBK" w:cs="Times New Roman"/>
                <w:kern w:val="0"/>
                <w:sz w:val="24"/>
                <w:szCs w:val="24"/>
                <w:highlight w:val="none"/>
                <w:lang w:val="en-US" w:eastAsia="zh-CN"/>
              </w:rPr>
              <w:t>1.</w:t>
            </w:r>
            <w:r>
              <w:rPr>
                <w:rFonts w:hint="default" w:ascii="Times New Roman" w:hAnsi="Times New Roman" w:eastAsia="方正仿宋_GBK" w:cs="Times New Roman"/>
                <w:kern w:val="0"/>
                <w:sz w:val="24"/>
                <w:szCs w:val="24"/>
                <w:highlight w:val="none"/>
              </w:rPr>
              <w:t>供应商须提供相匹配的服务设备，包括</w:t>
            </w:r>
          </w:p>
          <w:p>
            <w:pPr>
              <w:keepNext w:val="0"/>
              <w:keepLines w:val="0"/>
              <w:pageBreakBefore w:val="0"/>
              <w:widowControl/>
              <w:numPr>
                <w:ilvl w:val="0"/>
                <w:numId w:val="0"/>
              </w:numPr>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打包机</w:t>
            </w:r>
            <w:r>
              <w:rPr>
                <w:rFonts w:hint="eastAsia" w:eastAsia="方正仿宋_GBK" w:cs="Times New Roman"/>
                <w:kern w:val="0"/>
                <w:sz w:val="24"/>
                <w:szCs w:val="24"/>
                <w:highlight w:val="none"/>
                <w:lang w:eastAsia="zh-CN"/>
              </w:rPr>
              <w:t>和</w:t>
            </w:r>
            <w:r>
              <w:rPr>
                <w:rFonts w:hint="default" w:ascii="Times New Roman" w:hAnsi="Times New Roman" w:eastAsia="方正仿宋_GBK" w:cs="Times New Roman"/>
                <w:kern w:val="0"/>
                <w:sz w:val="24"/>
                <w:szCs w:val="24"/>
                <w:highlight w:val="none"/>
              </w:rPr>
              <w:t>液压车（每种至少提供5台）</w:t>
            </w:r>
            <w:r>
              <w:rPr>
                <w:rFonts w:hint="eastAsia" w:eastAsia="方正仿宋_GBK" w:cs="Times New Roman"/>
                <w:kern w:val="0"/>
                <w:sz w:val="24"/>
                <w:szCs w:val="24"/>
                <w:highlight w:val="none"/>
                <w:lang w:eastAsia="zh-CN"/>
              </w:rPr>
              <w:t>、</w:t>
            </w:r>
            <w:r>
              <w:rPr>
                <w:rFonts w:hint="default" w:ascii="Times New Roman" w:hAnsi="Times New Roman" w:eastAsia="方正仿宋_GBK" w:cs="Times New Roman"/>
                <w:kern w:val="0"/>
                <w:sz w:val="24"/>
                <w:szCs w:val="24"/>
                <w:highlight w:val="none"/>
              </w:rPr>
              <w:t>托盘（至少提供1000个）、手拉车</w:t>
            </w:r>
            <w:r>
              <w:rPr>
                <w:rFonts w:hint="eastAsia" w:eastAsia="方正仿宋_GBK" w:cs="Times New Roman"/>
                <w:kern w:val="0"/>
                <w:sz w:val="24"/>
                <w:szCs w:val="24"/>
                <w:highlight w:val="none"/>
                <w:lang w:eastAsia="zh-CN"/>
              </w:rPr>
              <w:t>和</w:t>
            </w:r>
            <w:r>
              <w:rPr>
                <w:rFonts w:hint="default" w:ascii="Times New Roman" w:hAnsi="Times New Roman" w:eastAsia="方正仿宋_GBK" w:cs="Times New Roman"/>
                <w:kern w:val="0"/>
                <w:sz w:val="24"/>
                <w:szCs w:val="24"/>
                <w:highlight w:val="none"/>
              </w:rPr>
              <w:t>操作台</w:t>
            </w:r>
            <w:r>
              <w:rPr>
                <w:rFonts w:hint="eastAsia" w:eastAsia="方正仿宋_GBK" w:cs="Times New Roman"/>
                <w:kern w:val="0"/>
                <w:sz w:val="24"/>
                <w:szCs w:val="24"/>
                <w:highlight w:val="none"/>
                <w:lang w:eastAsia="zh-CN"/>
              </w:rPr>
              <w:t>（至少提供</w:t>
            </w:r>
            <w:r>
              <w:rPr>
                <w:rFonts w:hint="eastAsia" w:eastAsia="方正仿宋_GBK" w:cs="Times New Roman"/>
                <w:kern w:val="0"/>
                <w:sz w:val="24"/>
                <w:szCs w:val="24"/>
                <w:highlight w:val="none"/>
                <w:lang w:val="en-US" w:eastAsia="zh-CN"/>
              </w:rPr>
              <w:t>5台）</w:t>
            </w:r>
            <w:r>
              <w:rPr>
                <w:rFonts w:hint="eastAsia" w:eastAsia="方正仿宋_GBK" w:cs="Times New Roman"/>
                <w:kern w:val="0"/>
                <w:sz w:val="24"/>
                <w:szCs w:val="24"/>
                <w:highlight w:val="none"/>
                <w:lang w:eastAsia="zh-CN"/>
              </w:rPr>
              <w:t>、</w:t>
            </w:r>
            <w:r>
              <w:rPr>
                <w:rFonts w:hint="default" w:ascii="Times New Roman" w:hAnsi="Times New Roman" w:eastAsia="方正仿宋_GBK" w:cs="Times New Roman"/>
                <w:kern w:val="0"/>
                <w:sz w:val="24"/>
                <w:szCs w:val="24"/>
                <w:highlight w:val="none"/>
              </w:rPr>
              <w:t>叉车（至少提供</w:t>
            </w:r>
            <w:r>
              <w:rPr>
                <w:rFonts w:hint="eastAsia" w:eastAsia="方正仿宋_GBK" w:cs="Times New Roman"/>
                <w:kern w:val="0"/>
                <w:sz w:val="24"/>
                <w:szCs w:val="24"/>
                <w:highlight w:val="none"/>
                <w:lang w:val="en-US" w:eastAsia="zh-CN"/>
              </w:rPr>
              <w:t>1</w:t>
            </w:r>
            <w:r>
              <w:rPr>
                <w:rFonts w:hint="default" w:ascii="Times New Roman" w:hAnsi="Times New Roman" w:eastAsia="方正仿宋_GBK" w:cs="Times New Roman"/>
                <w:kern w:val="0"/>
                <w:sz w:val="24"/>
                <w:szCs w:val="24"/>
                <w:highlight w:val="none"/>
              </w:rPr>
              <w:t>台）等其他设备设施，提供齐全得基础分</w:t>
            </w:r>
            <w:r>
              <w:rPr>
                <w:rFonts w:hint="eastAsia" w:eastAsia="方正仿宋_GBK" w:cs="Times New Roman"/>
                <w:kern w:val="0"/>
                <w:sz w:val="24"/>
                <w:szCs w:val="24"/>
                <w:highlight w:val="none"/>
                <w:lang w:val="en-US" w:eastAsia="zh-CN"/>
              </w:rPr>
              <w:t>8</w:t>
            </w:r>
            <w:r>
              <w:rPr>
                <w:rFonts w:hint="default" w:ascii="Times New Roman" w:hAnsi="Times New Roman" w:eastAsia="方正仿宋_GBK" w:cs="Times New Roman"/>
                <w:kern w:val="0"/>
                <w:sz w:val="24"/>
                <w:szCs w:val="24"/>
                <w:highlight w:val="none"/>
              </w:rPr>
              <w:t>分、少提供任意一种本项（服务设备）不得分</w:t>
            </w:r>
            <w:r>
              <w:rPr>
                <w:rFonts w:hint="eastAsia" w:eastAsia="方正仿宋_GBK" w:cs="Times New Roman"/>
                <w:kern w:val="0"/>
                <w:sz w:val="24"/>
                <w:szCs w:val="24"/>
                <w:highlight w:val="none"/>
                <w:lang w:eastAsia="zh-CN"/>
              </w:rPr>
              <w:t>。</w:t>
            </w:r>
            <w:r>
              <w:rPr>
                <w:rFonts w:hint="default" w:ascii="Times New Roman" w:hAnsi="Times New Roman" w:eastAsia="方正仿宋_GBK" w:cs="Times New Roman"/>
                <w:kern w:val="0"/>
                <w:sz w:val="24"/>
                <w:szCs w:val="24"/>
                <w:highlight w:val="none"/>
              </w:rPr>
              <w:t>其中</w:t>
            </w:r>
            <w:r>
              <w:rPr>
                <w:rFonts w:hint="eastAsia" w:eastAsia="方正仿宋_GBK" w:cs="Times New Roman"/>
                <w:kern w:val="0"/>
                <w:sz w:val="24"/>
                <w:szCs w:val="24"/>
                <w:highlight w:val="none"/>
                <w:lang w:eastAsia="zh-CN"/>
              </w:rPr>
              <w:t>：</w:t>
            </w:r>
            <w:r>
              <w:rPr>
                <w:rFonts w:hint="default" w:ascii="Times New Roman" w:hAnsi="Times New Roman" w:eastAsia="方正仿宋_GBK" w:cs="Times New Roman"/>
                <w:kern w:val="0"/>
                <w:sz w:val="24"/>
                <w:szCs w:val="24"/>
                <w:highlight w:val="none"/>
              </w:rPr>
              <w:t>打包机或液压车每多一台加0.</w:t>
            </w:r>
            <w:r>
              <w:rPr>
                <w:rFonts w:hint="eastAsia" w:eastAsia="方正仿宋_GBK" w:cs="Times New Roman"/>
                <w:kern w:val="0"/>
                <w:sz w:val="24"/>
                <w:szCs w:val="24"/>
                <w:highlight w:val="none"/>
                <w:lang w:val="en-US" w:eastAsia="zh-CN"/>
              </w:rPr>
              <w:t>5</w:t>
            </w:r>
            <w:r>
              <w:rPr>
                <w:rFonts w:hint="default" w:ascii="Times New Roman" w:hAnsi="Times New Roman" w:eastAsia="方正仿宋_GBK" w:cs="Times New Roman"/>
                <w:kern w:val="0"/>
                <w:sz w:val="24"/>
                <w:szCs w:val="24"/>
                <w:highlight w:val="none"/>
              </w:rPr>
              <w:t>分，最多可得</w:t>
            </w:r>
            <w:r>
              <w:rPr>
                <w:rFonts w:hint="eastAsia" w:eastAsia="方正仿宋_GBK" w:cs="Times New Roman"/>
                <w:kern w:val="0"/>
                <w:sz w:val="24"/>
                <w:szCs w:val="24"/>
                <w:highlight w:val="none"/>
                <w:lang w:val="en-US" w:eastAsia="zh-CN"/>
              </w:rPr>
              <w:t>2</w:t>
            </w:r>
            <w:r>
              <w:rPr>
                <w:rFonts w:hint="default" w:ascii="Times New Roman" w:hAnsi="Times New Roman" w:eastAsia="方正仿宋_GBK" w:cs="Times New Roman"/>
                <w:kern w:val="0"/>
                <w:sz w:val="24"/>
                <w:szCs w:val="24"/>
                <w:highlight w:val="none"/>
              </w:rPr>
              <w:t>分，（未提供证明材料或提供不全不得分），共</w:t>
            </w:r>
            <w:r>
              <w:rPr>
                <w:rFonts w:hint="eastAsia" w:eastAsia="方正仿宋_GBK" w:cs="Times New Roman"/>
                <w:kern w:val="0"/>
                <w:sz w:val="24"/>
                <w:szCs w:val="24"/>
                <w:highlight w:val="none"/>
                <w:lang w:val="en-US" w:eastAsia="zh-CN"/>
              </w:rPr>
              <w:t>10</w:t>
            </w:r>
            <w:r>
              <w:rPr>
                <w:rFonts w:hint="default" w:ascii="Times New Roman" w:hAnsi="Times New Roman" w:eastAsia="方正仿宋_GBK" w:cs="Times New Roman"/>
                <w:kern w:val="0"/>
                <w:sz w:val="24"/>
                <w:szCs w:val="24"/>
                <w:highlight w:val="none"/>
              </w:rPr>
              <w:t>分。</w:t>
            </w:r>
          </w:p>
          <w:p>
            <w:pPr>
              <w:pStyle w:val="2"/>
              <w:keepNext w:val="0"/>
              <w:keepLines w:val="0"/>
              <w:pageBreakBefore w:val="0"/>
              <w:numPr>
                <w:ilvl w:val="0"/>
                <w:numId w:val="0"/>
              </w:numPr>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kern w:val="0"/>
                <w:sz w:val="24"/>
                <w:szCs w:val="24"/>
                <w:highlight w:val="none"/>
              </w:rPr>
            </w:pPr>
            <w:r>
              <w:rPr>
                <w:rFonts w:hint="eastAsia" w:ascii="Times New Roman" w:hAnsi="Times New Roman" w:eastAsia="方正仿宋_GBK" w:cs="Times New Roman"/>
                <w:kern w:val="0"/>
                <w:sz w:val="24"/>
                <w:szCs w:val="24"/>
                <w:highlight w:val="none"/>
                <w:lang w:val="en-US" w:eastAsia="zh-CN"/>
              </w:rPr>
              <w:t>2.</w:t>
            </w:r>
            <w:r>
              <w:rPr>
                <w:rFonts w:hint="default" w:ascii="Times New Roman" w:hAnsi="Times New Roman" w:eastAsia="方正仿宋_GBK" w:cs="Times New Roman"/>
                <w:kern w:val="0"/>
                <w:sz w:val="24"/>
                <w:szCs w:val="24"/>
                <w:highlight w:val="none"/>
              </w:rPr>
              <w:t>供应商需提供用于本项目至少</w:t>
            </w:r>
            <w:r>
              <w:rPr>
                <w:rFonts w:hint="default" w:ascii="Times New Roman" w:hAnsi="Times New Roman" w:eastAsia="方正仿宋_GBK" w:cs="Times New Roman"/>
                <w:kern w:val="0"/>
                <w:sz w:val="24"/>
                <w:szCs w:val="24"/>
                <w:highlight w:val="none"/>
                <w:lang w:val="en-US" w:eastAsia="zh-CN"/>
              </w:rPr>
              <w:t>3000</w:t>
            </w:r>
            <w:r>
              <w:rPr>
                <w:rFonts w:hint="default" w:ascii="Times New Roman" w:hAnsi="Times New Roman" w:eastAsia="方正仿宋_GBK" w:cs="Times New Roman"/>
                <w:kern w:val="0"/>
                <w:sz w:val="24"/>
                <w:szCs w:val="24"/>
                <w:highlight w:val="none"/>
              </w:rPr>
              <w:t>㎡以上专用库房的承诺函，承诺内容包括但不限于在签订合同时提供拥有</w:t>
            </w:r>
            <w:r>
              <w:rPr>
                <w:rFonts w:hint="eastAsia" w:ascii="Times New Roman" w:hAnsi="Times New Roman" w:eastAsia="方正仿宋_GBK" w:cs="Times New Roman"/>
                <w:kern w:val="0"/>
                <w:sz w:val="24"/>
                <w:szCs w:val="24"/>
                <w:highlight w:val="none"/>
                <w:lang w:val="en-US" w:eastAsia="zh-CN"/>
              </w:rPr>
              <w:t>1</w:t>
            </w:r>
            <w:r>
              <w:rPr>
                <w:rFonts w:hint="default" w:ascii="Times New Roman" w:hAnsi="Times New Roman" w:eastAsia="方正仿宋_GBK" w:cs="Times New Roman"/>
                <w:kern w:val="0"/>
                <w:sz w:val="24"/>
                <w:szCs w:val="24"/>
                <w:highlight w:val="none"/>
              </w:rPr>
              <w:t>年以上库房使用权或租赁的合同的相关证明</w:t>
            </w:r>
            <w:r>
              <w:rPr>
                <w:rFonts w:hint="eastAsia" w:ascii="Times New Roman" w:hAnsi="Times New Roman" w:eastAsia="方正仿宋_GBK" w:cs="Times New Roman"/>
                <w:kern w:val="0"/>
                <w:sz w:val="24"/>
                <w:szCs w:val="24"/>
                <w:highlight w:val="none"/>
                <w:lang w:eastAsia="zh-CN"/>
              </w:rPr>
              <w:t>以及印证材料</w:t>
            </w:r>
            <w:r>
              <w:rPr>
                <w:rFonts w:hint="default" w:ascii="Times New Roman" w:hAnsi="Times New Roman" w:eastAsia="方正仿宋_GBK" w:cs="Times New Roman"/>
                <w:kern w:val="0"/>
                <w:sz w:val="24"/>
                <w:szCs w:val="24"/>
                <w:highlight w:val="none"/>
              </w:rPr>
              <w:t>，库房面积需能够满足按时完成分装配发要求</w:t>
            </w:r>
            <w:r>
              <w:rPr>
                <w:rFonts w:hint="eastAsia" w:ascii="Times New Roman" w:hAnsi="Times New Roman" w:eastAsia="方正仿宋_GBK" w:cs="Times New Roman"/>
                <w:kern w:val="0"/>
                <w:sz w:val="24"/>
                <w:szCs w:val="24"/>
                <w:highlight w:val="none"/>
                <w:lang w:eastAsia="zh-CN"/>
              </w:rPr>
              <w:t>，</w:t>
            </w:r>
            <w:r>
              <w:rPr>
                <w:rFonts w:hint="default" w:ascii="Times New Roman" w:hAnsi="Times New Roman" w:eastAsia="方正仿宋_GBK" w:cs="Times New Roman"/>
                <w:kern w:val="0"/>
                <w:sz w:val="24"/>
                <w:szCs w:val="24"/>
                <w:highlight w:val="none"/>
              </w:rPr>
              <w:t>提供齐全得基础分</w:t>
            </w:r>
            <w:r>
              <w:rPr>
                <w:rFonts w:hint="eastAsia" w:ascii="Times New Roman" w:hAnsi="Times New Roman" w:eastAsia="方正仿宋_GBK" w:cs="Times New Roman"/>
                <w:kern w:val="0"/>
                <w:sz w:val="24"/>
                <w:szCs w:val="24"/>
                <w:highlight w:val="none"/>
                <w:lang w:val="en-US" w:eastAsia="zh-CN"/>
              </w:rPr>
              <w:t>5</w:t>
            </w:r>
            <w:r>
              <w:rPr>
                <w:rFonts w:hint="default" w:ascii="Times New Roman" w:hAnsi="Times New Roman" w:eastAsia="方正仿宋_GBK" w:cs="Times New Roman"/>
                <w:kern w:val="0"/>
                <w:sz w:val="24"/>
                <w:szCs w:val="24"/>
                <w:highlight w:val="none"/>
              </w:rPr>
              <w:t>分</w:t>
            </w:r>
            <w:r>
              <w:rPr>
                <w:rFonts w:hint="eastAsia" w:eastAsia="方正仿宋_GBK" w:cs="Times New Roman"/>
                <w:kern w:val="0"/>
                <w:sz w:val="24"/>
                <w:szCs w:val="24"/>
                <w:highlight w:val="none"/>
                <w:lang w:eastAsia="zh-CN"/>
              </w:rPr>
              <w:t>。</w:t>
            </w:r>
            <w:r>
              <w:rPr>
                <w:rFonts w:hint="default" w:ascii="Times New Roman" w:hAnsi="Times New Roman" w:eastAsia="方正仿宋_GBK" w:cs="Times New Roman"/>
                <w:kern w:val="0"/>
                <w:sz w:val="24"/>
                <w:szCs w:val="24"/>
                <w:highlight w:val="none"/>
              </w:rPr>
              <w:t>如提供承诺但在签订合同时不能提供相关证明材料，我方将按虚假应标追究责任。</w:t>
            </w:r>
          </w:p>
          <w:p>
            <w:pPr>
              <w:pStyle w:val="2"/>
              <w:keepNext w:val="0"/>
              <w:keepLines w:val="0"/>
              <w:pageBreakBefore w:val="0"/>
              <w:numPr>
                <w:ilvl w:val="0"/>
                <w:numId w:val="0"/>
              </w:numPr>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kern w:val="0"/>
                <w:sz w:val="24"/>
                <w:szCs w:val="24"/>
                <w:highlight w:val="none"/>
                <w:lang w:val="en-US" w:eastAsia="zh-CN"/>
              </w:rPr>
            </w:pPr>
            <w:r>
              <w:rPr>
                <w:rFonts w:hint="eastAsia"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供应商用于本项目</w:t>
            </w:r>
            <w:r>
              <w:rPr>
                <w:rFonts w:hint="eastAsia" w:ascii="Times New Roman" w:hAnsi="Times New Roman" w:eastAsia="方正仿宋_GBK" w:cs="Times New Roman"/>
                <w:kern w:val="0"/>
                <w:sz w:val="24"/>
                <w:szCs w:val="24"/>
                <w:highlight w:val="none"/>
                <w:lang w:eastAsia="zh-CN"/>
              </w:rPr>
              <w:t>的</w:t>
            </w:r>
            <w:r>
              <w:rPr>
                <w:rFonts w:hint="default" w:ascii="Times New Roman" w:hAnsi="Times New Roman" w:eastAsia="方正仿宋_GBK" w:cs="Times New Roman"/>
                <w:kern w:val="0"/>
                <w:sz w:val="24"/>
                <w:szCs w:val="24"/>
                <w:highlight w:val="none"/>
              </w:rPr>
              <w:t>专用库房需</w:t>
            </w:r>
            <w:r>
              <w:rPr>
                <w:rFonts w:hint="eastAsia" w:ascii="Times New Roman" w:hAnsi="Times New Roman" w:eastAsia="方正仿宋_GBK" w:cs="Times New Roman"/>
                <w:kern w:val="0"/>
                <w:sz w:val="24"/>
                <w:szCs w:val="24"/>
                <w:highlight w:val="none"/>
                <w:lang w:eastAsia="zh-CN"/>
              </w:rPr>
              <w:t>具备</w:t>
            </w:r>
            <w:r>
              <w:rPr>
                <w:rFonts w:hint="eastAsia" w:ascii="Times New Roman" w:hAnsi="Times New Roman" w:eastAsia="方正仿宋_GBK" w:cs="Times New Roman"/>
                <w:kern w:val="0"/>
                <w:sz w:val="24"/>
                <w:szCs w:val="24"/>
                <w:highlight w:val="none"/>
                <w:lang w:val="en-US" w:eastAsia="zh-CN"/>
              </w:rPr>
              <w:t>24小时专职保安人员及监控设备（不少于4个联网监控摄像头），需</w:t>
            </w:r>
            <w:r>
              <w:rPr>
                <w:rFonts w:hint="default" w:ascii="Times New Roman" w:hAnsi="Times New Roman" w:eastAsia="方正仿宋_GBK" w:cs="Times New Roman"/>
                <w:kern w:val="0"/>
                <w:sz w:val="24"/>
                <w:szCs w:val="24"/>
                <w:highlight w:val="none"/>
              </w:rPr>
              <w:t>提供</w:t>
            </w:r>
            <w:r>
              <w:rPr>
                <w:rFonts w:hint="eastAsia" w:ascii="Times New Roman" w:hAnsi="Times New Roman" w:eastAsia="方正仿宋_GBK" w:cs="Times New Roman"/>
                <w:kern w:val="0"/>
                <w:sz w:val="24"/>
                <w:szCs w:val="24"/>
                <w:highlight w:val="none"/>
                <w:lang w:eastAsia="zh-CN"/>
              </w:rPr>
              <w:t>监控设备印证材料及保安信息，每具有一项得</w:t>
            </w:r>
            <w:r>
              <w:rPr>
                <w:rFonts w:hint="eastAsia" w:ascii="Times New Roman" w:hAnsi="Times New Roman" w:eastAsia="方正仿宋_GBK" w:cs="Times New Roman"/>
                <w:kern w:val="0"/>
                <w:sz w:val="24"/>
                <w:szCs w:val="24"/>
                <w:highlight w:val="none"/>
                <w:lang w:val="en-US" w:eastAsia="zh-CN"/>
              </w:rPr>
              <w:t>2.5分，少提供一项不得分，共5分。</w:t>
            </w:r>
          </w:p>
        </w:tc>
        <w:tc>
          <w:tcPr>
            <w:tcW w:w="790" w:type="dxa"/>
            <w:shd w:val="clear" w:color="000000" w:fill="FFFFFF"/>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1235"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技术部分(</w:t>
            </w:r>
            <w:r>
              <w:rPr>
                <w:rFonts w:hint="default" w:ascii="Times New Roman" w:hAnsi="Times New Roman" w:eastAsia="方正仿宋_GBK" w:cs="Times New Roman"/>
                <w:color w:val="auto"/>
                <w:kern w:val="0"/>
                <w:sz w:val="24"/>
                <w:szCs w:val="24"/>
                <w:highlight w:val="none"/>
                <w:lang w:val="en-US" w:eastAsia="zh-CN"/>
              </w:rPr>
              <w:t>4</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分)</w:t>
            </w:r>
          </w:p>
        </w:tc>
        <w:tc>
          <w:tcPr>
            <w:tcW w:w="130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color w:val="auto"/>
                <w:kern w:val="0"/>
                <w:sz w:val="24"/>
                <w:szCs w:val="24"/>
                <w:highlight w:val="none"/>
              </w:rPr>
              <w:t>服务保障</w:t>
            </w:r>
          </w:p>
        </w:tc>
        <w:tc>
          <w:tcPr>
            <w:tcW w:w="5814"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供应商须提供有学前发行相关经验的管理人员，所提供管理人员</w:t>
            </w:r>
            <w:r>
              <w:rPr>
                <w:rFonts w:hint="default" w:ascii="Times New Roman" w:hAnsi="Times New Roman" w:eastAsia="方正仿宋_GBK" w:cs="Times New Roman"/>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具备1年相关经验的每有一人得0.</w:t>
            </w:r>
            <w:r>
              <w:rPr>
                <w:rFonts w:hint="default"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rPr>
              <w:t>分，</w:t>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具备3年相关经验的每有一人得</w:t>
            </w:r>
            <w:r>
              <w:rPr>
                <w:rFonts w:hint="default"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rPr>
              <w:t>分，</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sz w:val="24"/>
                <w:szCs w:val="24"/>
                <w:highlight w:val="none"/>
              </w:rPr>
              <w:t>具备5年相关经验的每有一人得</w:t>
            </w:r>
            <w:r>
              <w:rPr>
                <w:rFonts w:hint="default" w:ascii="Times New Roman" w:hAnsi="Times New Roman" w:eastAsia="方正仿宋_GBK" w:cs="Times New Roman"/>
                <w:sz w:val="24"/>
                <w:szCs w:val="24"/>
                <w:highlight w:val="none"/>
                <w:lang w:val="en-US" w:eastAsia="zh-CN"/>
              </w:rPr>
              <w:t>2</w:t>
            </w:r>
            <w:r>
              <w:rPr>
                <w:rFonts w:hint="default" w:ascii="Times New Roman" w:hAnsi="Times New Roman" w:eastAsia="方正仿宋_GBK" w:cs="Times New Roman"/>
                <w:sz w:val="24"/>
                <w:szCs w:val="24"/>
                <w:highlight w:val="none"/>
              </w:rPr>
              <w:t>分，最高可得</w:t>
            </w:r>
            <w:r>
              <w:rPr>
                <w:rFonts w:hint="default" w:ascii="Times New Roman" w:hAnsi="Times New Roman" w:eastAsia="方正仿宋_GBK" w:cs="Times New Roman"/>
                <w:sz w:val="24"/>
                <w:szCs w:val="24"/>
                <w:highlight w:val="none"/>
                <w:lang w:val="en-US" w:eastAsia="zh-CN"/>
              </w:rPr>
              <w:t>20</w:t>
            </w:r>
            <w:r>
              <w:rPr>
                <w:rFonts w:hint="default" w:ascii="Times New Roman" w:hAnsi="Times New Roman" w:eastAsia="方正仿宋_GBK" w:cs="Times New Roman"/>
                <w:sz w:val="24"/>
                <w:szCs w:val="24"/>
                <w:highlight w:val="none"/>
              </w:rPr>
              <w:t>分。（须提供人员花名册</w:t>
            </w:r>
            <w:r>
              <w:rPr>
                <w:rFonts w:hint="default" w:ascii="Times New Roman" w:hAnsi="Times New Roman" w:eastAsia="方正仿宋_GBK" w:cs="Times New Roman"/>
                <w:sz w:val="24"/>
                <w:szCs w:val="24"/>
                <w:highlight w:val="none"/>
                <w:lang w:eastAsia="zh-CN"/>
              </w:rPr>
              <w:t>和</w:t>
            </w:r>
            <w:r>
              <w:rPr>
                <w:rFonts w:hint="default" w:ascii="Times New Roman" w:hAnsi="Times New Roman" w:eastAsia="方正仿宋_GBK" w:cs="Times New Roman"/>
                <w:sz w:val="24"/>
                <w:szCs w:val="24"/>
                <w:highlight w:val="none"/>
              </w:rPr>
              <w:t>身份证扫描件</w:t>
            </w:r>
            <w:r>
              <w:rPr>
                <w:rFonts w:hint="default" w:ascii="Times New Roman" w:hAnsi="Times New Roman" w:eastAsia="方正仿宋_GBK" w:cs="Times New Roman"/>
                <w:sz w:val="24"/>
                <w:szCs w:val="24"/>
                <w:highlight w:val="none"/>
                <w:lang w:eastAsia="zh-CN"/>
              </w:rPr>
              <w:t>及具备</w:t>
            </w:r>
            <w:r>
              <w:rPr>
                <w:rFonts w:hint="default" w:ascii="Times New Roman" w:hAnsi="Times New Roman" w:eastAsia="方正仿宋_GBK" w:cs="Times New Roman"/>
                <w:sz w:val="24"/>
                <w:szCs w:val="24"/>
                <w:highlight w:val="none"/>
                <w:lang w:val="en-US" w:eastAsia="zh-CN"/>
              </w:rPr>
              <w:t>1年、3年、5年</w:t>
            </w:r>
            <w:r>
              <w:rPr>
                <w:rFonts w:hint="eastAsia" w:eastAsia="方正仿宋_GBK" w:cs="Times New Roman"/>
                <w:sz w:val="24"/>
                <w:szCs w:val="24"/>
                <w:highlight w:val="none"/>
                <w:lang w:val="en-US" w:eastAsia="zh-CN"/>
              </w:rPr>
              <w:t>（期间任意一个月即可）</w:t>
            </w:r>
            <w:r>
              <w:rPr>
                <w:rFonts w:hint="default" w:ascii="Times New Roman" w:hAnsi="Times New Roman" w:eastAsia="方正仿宋_GBK" w:cs="Times New Roman"/>
                <w:sz w:val="24"/>
                <w:szCs w:val="24"/>
                <w:highlight w:val="none"/>
                <w:lang w:eastAsia="zh-CN"/>
              </w:rPr>
              <w:t>相关经验人员</w:t>
            </w:r>
            <w:r>
              <w:rPr>
                <w:rFonts w:hint="default" w:ascii="Times New Roman" w:hAnsi="Times New Roman" w:eastAsia="方正仿宋_GBK" w:cs="Times New Roman"/>
                <w:sz w:val="24"/>
                <w:szCs w:val="24"/>
                <w:highlight w:val="none"/>
              </w:rPr>
              <w:t>社保</w:t>
            </w:r>
            <w:r>
              <w:rPr>
                <w:rFonts w:hint="default" w:ascii="Times New Roman" w:hAnsi="Times New Roman" w:eastAsia="方正仿宋_GBK" w:cs="Times New Roman"/>
                <w:sz w:val="24"/>
                <w:szCs w:val="24"/>
                <w:highlight w:val="none"/>
                <w:lang w:eastAsia="zh-CN"/>
              </w:rPr>
              <w:t>参保证明汇总表等材料</w:t>
            </w:r>
            <w:r>
              <w:rPr>
                <w:rFonts w:hint="default" w:ascii="Times New Roman" w:hAnsi="Times New Roman" w:eastAsia="方正仿宋_GBK" w:cs="Times New Roman"/>
                <w:sz w:val="24"/>
                <w:szCs w:val="24"/>
                <w:highlight w:val="none"/>
              </w:rPr>
              <w:t>；</w:t>
            </w:r>
            <w:r>
              <w:rPr>
                <w:rFonts w:hint="default" w:ascii="Times New Roman" w:hAnsi="Times New Roman" w:eastAsia="方正仿宋_GBK" w:cs="Times New Roman"/>
                <w:sz w:val="24"/>
                <w:szCs w:val="24"/>
                <w:highlight w:val="none"/>
                <w:lang w:eastAsia="zh-CN"/>
              </w:rPr>
              <w:t>若</w:t>
            </w:r>
            <w:r>
              <w:rPr>
                <w:rFonts w:hint="default" w:ascii="Times New Roman" w:hAnsi="Times New Roman" w:eastAsia="方正仿宋_GBK" w:cs="Times New Roman"/>
                <w:sz w:val="24"/>
                <w:szCs w:val="24"/>
                <w:highlight w:val="none"/>
              </w:rPr>
              <w:t>花名册、身份证扫描件及社保</w:t>
            </w:r>
            <w:r>
              <w:rPr>
                <w:rFonts w:hint="default" w:ascii="Times New Roman" w:hAnsi="Times New Roman" w:eastAsia="方正仿宋_GBK" w:cs="Times New Roman"/>
                <w:sz w:val="24"/>
                <w:szCs w:val="24"/>
                <w:highlight w:val="none"/>
                <w:lang w:eastAsia="zh-CN"/>
              </w:rPr>
              <w:t>参保证明汇总表</w:t>
            </w:r>
            <w:r>
              <w:rPr>
                <w:rFonts w:hint="default" w:ascii="Times New Roman" w:hAnsi="Times New Roman" w:eastAsia="方正仿宋_GBK" w:cs="Times New Roman"/>
                <w:sz w:val="24"/>
                <w:szCs w:val="24"/>
                <w:highlight w:val="none"/>
              </w:rPr>
              <w:t>未提供或提供不全不得分。）</w:t>
            </w:r>
          </w:p>
        </w:tc>
        <w:tc>
          <w:tcPr>
            <w:tcW w:w="79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3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4"/>
                <w:szCs w:val="24"/>
                <w:highlight w:val="none"/>
              </w:rPr>
            </w:pPr>
          </w:p>
        </w:tc>
        <w:tc>
          <w:tcPr>
            <w:tcW w:w="130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实施方案</w:t>
            </w:r>
          </w:p>
        </w:tc>
        <w:tc>
          <w:tcPr>
            <w:tcW w:w="5814" w:type="dxa"/>
            <w:vAlign w:val="center"/>
          </w:tcPr>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项目实施方案内容包含：</w:t>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①项目需求分析；</w:t>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②项目组织和实施进度计划；</w:t>
            </w:r>
          </w:p>
          <w:p>
            <w:pPr>
              <w:keepNext w:val="0"/>
              <w:keepLines w:val="0"/>
              <w:pageBreakBefore w:val="0"/>
              <w:tabs>
                <w:tab w:val="left" w:pos="5549"/>
              </w:tabs>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lang w:eastAsia="zh-CN"/>
              </w:rPr>
            </w:pPr>
            <w:r>
              <w:rPr>
                <w:rFonts w:hint="default" w:ascii="Times New Roman" w:hAnsi="Times New Roman" w:eastAsia="方正仿宋_GBK" w:cs="Times New Roman"/>
                <w:sz w:val="24"/>
                <w:szCs w:val="24"/>
                <w:shd w:val="clear" w:color="auto" w:fill="FFFFFF" w:themeFill="background1"/>
              </w:rPr>
              <w:t>③质量保证方案；</w:t>
            </w:r>
            <w:r>
              <w:rPr>
                <w:rFonts w:hint="default" w:ascii="Times New Roman" w:hAnsi="Times New Roman" w:eastAsia="方正仿宋_GBK" w:cs="Times New Roman"/>
                <w:sz w:val="24"/>
                <w:szCs w:val="24"/>
                <w:shd w:val="clear" w:color="auto" w:fill="FFFFFF" w:themeFill="background1"/>
                <w:lang w:eastAsia="zh-CN"/>
              </w:rPr>
              <w:tab/>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④安全防护机制方案；</w:t>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lang w:eastAsia="zh-CN"/>
              </w:rPr>
            </w:pPr>
            <w:r>
              <w:rPr>
                <w:rFonts w:hint="default" w:ascii="Times New Roman" w:hAnsi="Times New Roman" w:eastAsia="方正仿宋_GBK" w:cs="Times New Roman"/>
                <w:sz w:val="24"/>
                <w:szCs w:val="24"/>
                <w:shd w:val="clear" w:color="auto" w:fill="FFFFFF" w:themeFill="background1"/>
              </w:rPr>
              <w:t>⑤方法技术规范和解决关键问题；5部分要素</w:t>
            </w:r>
            <w:r>
              <w:rPr>
                <w:rFonts w:hint="default" w:ascii="Times New Roman" w:hAnsi="Times New Roman" w:eastAsia="方正仿宋_GBK" w:cs="Times New Roman"/>
                <w:sz w:val="24"/>
                <w:szCs w:val="24"/>
                <w:shd w:val="clear" w:color="auto" w:fill="FFFFFF" w:themeFill="background1"/>
                <w:lang w:eastAsia="zh-CN"/>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4"/>
                <w:szCs w:val="24"/>
                <w:shd w:val="clear" w:color="auto" w:fill="FFFFFF" w:themeFill="background1"/>
              </w:rPr>
              <w:t>所有要素齐全且完全满足项目要求得</w:t>
            </w:r>
            <w:r>
              <w:rPr>
                <w:rFonts w:hint="default" w:ascii="Times New Roman" w:hAnsi="Times New Roman" w:eastAsia="方正仿宋_GBK" w:cs="Times New Roman"/>
                <w:sz w:val="24"/>
                <w:szCs w:val="24"/>
                <w:shd w:val="clear" w:color="auto" w:fill="FFFFFF" w:themeFill="background1"/>
                <w:lang w:val="en-US" w:eastAsia="zh-CN"/>
              </w:rPr>
              <w:t>10</w:t>
            </w:r>
            <w:r>
              <w:rPr>
                <w:rFonts w:hint="default" w:ascii="Times New Roman" w:hAnsi="Times New Roman" w:eastAsia="方正仿宋_GBK" w:cs="Times New Roman"/>
                <w:sz w:val="24"/>
                <w:szCs w:val="24"/>
                <w:shd w:val="clear" w:color="auto" w:fill="FFFFFF" w:themeFill="background1"/>
              </w:rPr>
              <w:t>分</w:t>
            </w:r>
            <w:r>
              <w:rPr>
                <w:rFonts w:hint="default" w:ascii="Times New Roman" w:hAnsi="Times New Roman" w:eastAsia="方正仿宋_GBK" w:cs="Times New Roman"/>
                <w:sz w:val="24"/>
                <w:szCs w:val="24"/>
                <w:shd w:val="clear" w:color="auto" w:fill="FFFFFF" w:themeFill="background1"/>
                <w:lang w:eastAsia="zh-CN"/>
              </w:rPr>
              <w:t>（</w:t>
            </w:r>
            <w:r>
              <w:rPr>
                <w:rFonts w:hint="default" w:ascii="Times New Roman" w:hAnsi="Times New Roman" w:eastAsia="方正仿宋_GBK" w:cs="Times New Roman"/>
                <w:sz w:val="24"/>
                <w:szCs w:val="24"/>
                <w:shd w:val="clear" w:color="auto" w:fill="FFFFFF" w:themeFill="background1"/>
                <w:lang w:val="en-US" w:eastAsia="zh-CN"/>
              </w:rPr>
              <w:t>每个要素得2分）</w:t>
            </w:r>
            <w:r>
              <w:rPr>
                <w:rFonts w:hint="default" w:ascii="Times New Roman" w:hAnsi="Times New Roman" w:eastAsia="方正仿宋_GBK" w:cs="Times New Roman"/>
                <w:sz w:val="24"/>
                <w:szCs w:val="24"/>
                <w:shd w:val="clear" w:color="auto" w:fill="FFFFFF" w:themeFill="background1"/>
              </w:rPr>
              <w:t>，</w:t>
            </w:r>
            <w:r>
              <w:rPr>
                <w:rFonts w:hint="default" w:ascii="Times New Roman" w:hAnsi="Times New Roman" w:eastAsia="方正仿宋_GBK" w:cs="Times New Roman"/>
                <w:sz w:val="24"/>
                <w:szCs w:val="24"/>
                <w:shd w:val="clear" w:color="auto" w:fill="FFFFFF" w:themeFill="background1"/>
                <w:lang w:val="en-US" w:eastAsia="zh-CN"/>
              </w:rPr>
              <w:t>投标人若未包含采购需求要求的进度计划、</w:t>
            </w:r>
            <w:r>
              <w:rPr>
                <w:rFonts w:hint="eastAsia" w:eastAsia="方正仿宋_GBK" w:cs="Times New Roman"/>
                <w:sz w:val="24"/>
                <w:szCs w:val="24"/>
                <w:shd w:val="clear" w:color="auto" w:fill="FFFFFF" w:themeFill="background1"/>
                <w:lang w:val="en-US" w:eastAsia="zh-CN"/>
              </w:rPr>
              <w:t>分工安排等，</w:t>
            </w:r>
            <w:r>
              <w:rPr>
                <w:rFonts w:hint="default" w:ascii="Times New Roman" w:hAnsi="Times New Roman" w:eastAsia="方正仿宋_GBK" w:cs="Times New Roman"/>
                <w:sz w:val="24"/>
                <w:szCs w:val="24"/>
                <w:shd w:val="clear" w:color="auto" w:fill="FFFFFF" w:themeFill="background1"/>
              </w:rPr>
              <w:t>每缺一个要素扣</w:t>
            </w:r>
            <w:r>
              <w:rPr>
                <w:rFonts w:hint="default" w:ascii="Times New Roman" w:hAnsi="Times New Roman" w:eastAsia="方正仿宋_GBK" w:cs="Times New Roman"/>
                <w:sz w:val="24"/>
                <w:szCs w:val="24"/>
                <w:shd w:val="clear" w:color="auto" w:fill="FFFFFF" w:themeFill="background1"/>
                <w:lang w:val="en-US" w:eastAsia="zh-CN"/>
              </w:rPr>
              <w:t>2</w:t>
            </w:r>
            <w:r>
              <w:rPr>
                <w:rFonts w:hint="default" w:ascii="Times New Roman" w:hAnsi="Times New Roman" w:eastAsia="方正仿宋_GBK" w:cs="Times New Roman"/>
                <w:sz w:val="24"/>
                <w:szCs w:val="24"/>
                <w:shd w:val="clear" w:color="auto" w:fill="FFFFFF" w:themeFill="background1"/>
              </w:rPr>
              <w:t>分，每个要素里每有一处内容</w:t>
            </w:r>
            <w:r>
              <w:rPr>
                <w:rFonts w:hint="default" w:ascii="Times New Roman" w:hAnsi="Times New Roman" w:eastAsia="方正仿宋_GBK" w:cs="Times New Roman"/>
                <w:sz w:val="24"/>
                <w:szCs w:val="24"/>
                <w:shd w:val="clear" w:color="auto" w:fill="FFFFFF" w:themeFill="background1"/>
                <w:lang w:val="en-US" w:eastAsia="zh-CN"/>
              </w:rPr>
              <w:t>缺乏可行性、逻辑</w:t>
            </w:r>
            <w:r>
              <w:rPr>
                <w:rFonts w:hint="default" w:ascii="Times New Roman" w:hAnsi="Times New Roman" w:eastAsia="方正仿宋_GBK" w:cs="Times New Roman"/>
                <w:sz w:val="24"/>
                <w:szCs w:val="24"/>
                <w:shd w:val="clear" w:color="auto" w:fill="FFFFFF" w:themeFill="background1"/>
              </w:rPr>
              <w:t>欠合理的，</w:t>
            </w:r>
            <w:r>
              <w:rPr>
                <w:rFonts w:hint="default" w:ascii="Times New Roman" w:hAnsi="Times New Roman" w:eastAsia="方正仿宋_GBK" w:cs="Times New Roman"/>
                <w:sz w:val="24"/>
                <w:szCs w:val="24"/>
                <w:shd w:val="clear" w:color="auto" w:fill="FFFFFF" w:themeFill="background1"/>
                <w:lang w:val="en-US" w:eastAsia="zh-CN"/>
              </w:rPr>
              <w:t>如人员配置数量与预计工作量不匹配、偏离招标文件中明确的服务周期、技术参数等实质性要求，且未提供合理成本构成说明等，</w:t>
            </w:r>
            <w:r>
              <w:rPr>
                <w:rFonts w:hint="default" w:ascii="Times New Roman" w:hAnsi="Times New Roman" w:eastAsia="方正仿宋_GBK" w:cs="Times New Roman"/>
                <w:sz w:val="24"/>
                <w:szCs w:val="24"/>
                <w:shd w:val="clear" w:color="auto" w:fill="FFFFFF" w:themeFill="background1"/>
              </w:rPr>
              <w:t>扣</w:t>
            </w:r>
            <w:r>
              <w:rPr>
                <w:rFonts w:hint="default" w:ascii="Times New Roman" w:hAnsi="Times New Roman" w:eastAsia="方正仿宋_GBK" w:cs="Times New Roman"/>
                <w:sz w:val="24"/>
                <w:szCs w:val="24"/>
                <w:shd w:val="clear" w:color="auto" w:fill="FFFFFF" w:themeFill="background1"/>
                <w:lang w:val="en-US" w:eastAsia="zh-CN"/>
              </w:rPr>
              <w:t>1</w:t>
            </w:r>
            <w:r>
              <w:rPr>
                <w:rFonts w:hint="default" w:ascii="Times New Roman" w:hAnsi="Times New Roman" w:eastAsia="方正仿宋_GBK" w:cs="Times New Roman"/>
                <w:sz w:val="24"/>
                <w:szCs w:val="24"/>
                <w:shd w:val="clear" w:color="auto" w:fill="FFFFFF" w:themeFill="background1"/>
              </w:rPr>
              <w:t>分（扣完为止）</w:t>
            </w:r>
            <w:r>
              <w:rPr>
                <w:rFonts w:hint="default" w:ascii="Times New Roman" w:hAnsi="Times New Roman" w:eastAsia="方正仿宋_GBK" w:cs="Times New Roman"/>
                <w:sz w:val="24"/>
                <w:szCs w:val="24"/>
                <w:shd w:val="clear" w:color="auto" w:fill="FFFFFF" w:themeFill="background1"/>
                <w:lang w:val="en-US" w:eastAsia="zh-CN"/>
              </w:rPr>
              <w:t>。</w:t>
            </w:r>
          </w:p>
        </w:tc>
        <w:tc>
          <w:tcPr>
            <w:tcW w:w="7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3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4"/>
                <w:szCs w:val="24"/>
                <w:highlight w:val="none"/>
              </w:rPr>
            </w:pPr>
          </w:p>
        </w:tc>
        <w:tc>
          <w:tcPr>
            <w:tcW w:w="130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服务管理流程</w:t>
            </w:r>
          </w:p>
        </w:tc>
        <w:tc>
          <w:tcPr>
            <w:tcW w:w="5814" w:type="dxa"/>
            <w:vAlign w:val="center"/>
          </w:tcPr>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kern w:val="0"/>
                <w:sz w:val="24"/>
                <w:szCs w:val="24"/>
              </w:rPr>
              <w:t>服务管理流程</w:t>
            </w:r>
            <w:r>
              <w:rPr>
                <w:rFonts w:hint="default" w:ascii="Times New Roman" w:hAnsi="Times New Roman" w:eastAsia="方正仿宋_GBK" w:cs="Times New Roman"/>
                <w:sz w:val="24"/>
                <w:szCs w:val="24"/>
                <w:shd w:val="clear" w:color="auto" w:fill="FFFFFF" w:themeFill="background1"/>
              </w:rPr>
              <w:t>内容包含：</w:t>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①阐述服务整体流程；</w:t>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②</w:t>
            </w:r>
            <w:r>
              <w:rPr>
                <w:rFonts w:hint="default" w:ascii="Times New Roman" w:hAnsi="Times New Roman" w:eastAsia="方正仿宋_GBK" w:cs="Times New Roman"/>
                <w:sz w:val="24"/>
                <w:szCs w:val="24"/>
              </w:rPr>
              <w:t>针对服务过程中重点难点的解决流程</w:t>
            </w:r>
            <w:r>
              <w:rPr>
                <w:rFonts w:hint="default" w:ascii="Times New Roman" w:hAnsi="Times New Roman" w:eastAsia="方正仿宋_GBK" w:cs="Times New Roman"/>
                <w:sz w:val="24"/>
                <w:szCs w:val="24"/>
                <w:lang w:eastAsia="zh-CN"/>
              </w:rPr>
              <w:t>及</w:t>
            </w:r>
            <w:r>
              <w:rPr>
                <w:rFonts w:hint="default" w:ascii="Times New Roman" w:hAnsi="Times New Roman" w:eastAsia="方正仿宋_GBK" w:cs="Times New Roman"/>
                <w:sz w:val="24"/>
                <w:szCs w:val="24"/>
              </w:rPr>
              <w:t>备案流程；</w:t>
            </w: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shd w:val="clear" w:color="auto" w:fill="FFFFFF" w:themeFill="background1"/>
              </w:rPr>
              <w:t>部分要素。</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所有要素齐全且完全满足项目要求得</w:t>
            </w:r>
            <w:r>
              <w:rPr>
                <w:rFonts w:hint="default" w:ascii="Times New Roman" w:hAnsi="Times New Roman" w:eastAsia="方正仿宋_GBK" w:cs="Times New Roman"/>
                <w:sz w:val="24"/>
                <w:szCs w:val="24"/>
                <w:shd w:val="clear" w:color="auto" w:fill="FFFFFF" w:themeFill="background1"/>
                <w:lang w:val="en-US" w:eastAsia="zh-CN"/>
              </w:rPr>
              <w:t>5</w:t>
            </w:r>
            <w:r>
              <w:rPr>
                <w:rFonts w:hint="default" w:ascii="Times New Roman" w:hAnsi="Times New Roman" w:eastAsia="方正仿宋_GBK" w:cs="Times New Roman"/>
                <w:sz w:val="24"/>
                <w:szCs w:val="24"/>
                <w:shd w:val="clear" w:color="auto" w:fill="FFFFFF" w:themeFill="background1"/>
              </w:rPr>
              <w:t>分，</w:t>
            </w:r>
          </w:p>
          <w:p>
            <w:pPr>
              <w:pStyle w:val="2"/>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0"/>
                <w:sz w:val="24"/>
                <w:szCs w:val="24"/>
              </w:rPr>
              <w:t>投标人</w:t>
            </w:r>
            <w:r>
              <w:rPr>
                <w:rFonts w:hint="default" w:ascii="Times New Roman" w:hAnsi="Times New Roman" w:eastAsia="方正仿宋_GBK" w:cs="Times New Roman"/>
                <w:sz w:val="24"/>
                <w:szCs w:val="24"/>
                <w:shd w:val="clear" w:color="auto" w:fill="FFFFFF" w:themeFill="background1"/>
                <w:lang w:val="en-US" w:eastAsia="zh-CN"/>
              </w:rPr>
              <w:t>若</w:t>
            </w:r>
            <w:r>
              <w:rPr>
                <w:rFonts w:hint="default" w:ascii="Times New Roman" w:hAnsi="Times New Roman" w:eastAsia="方正仿宋_GBK" w:cs="Times New Roman"/>
                <w:sz w:val="24"/>
                <w:szCs w:val="24"/>
                <w:shd w:val="clear" w:color="auto" w:fill="FFFFFF" w:themeFill="background1"/>
                <w:lang w:eastAsia="zh-CN"/>
              </w:rPr>
              <w:t>未明确各环节责任主体、服务承诺响应时效与实际执行流程存在时间冲突，</w:t>
            </w:r>
            <w:r>
              <w:rPr>
                <w:rFonts w:hint="default" w:ascii="Times New Roman" w:hAnsi="Times New Roman" w:eastAsia="方正仿宋_GBK" w:cs="Times New Roman"/>
                <w:sz w:val="24"/>
                <w:szCs w:val="24"/>
                <w:shd w:val="clear" w:color="auto" w:fill="FFFFFF" w:themeFill="background1"/>
                <w:lang w:val="en-US" w:eastAsia="zh-CN"/>
              </w:rPr>
              <w:t>且</w:t>
            </w:r>
            <w:r>
              <w:rPr>
                <w:rFonts w:hint="default" w:ascii="Times New Roman" w:hAnsi="Times New Roman" w:eastAsia="方正仿宋_GBK" w:cs="Times New Roman"/>
                <w:sz w:val="24"/>
                <w:szCs w:val="24"/>
                <w:shd w:val="clear" w:color="auto" w:fill="FFFFFF" w:themeFill="background1"/>
                <w:lang w:eastAsia="zh-CN"/>
              </w:rPr>
              <w:t>违反《安全生产法》规定的作业流程，未设置安全防护措施</w:t>
            </w:r>
            <w:r>
              <w:rPr>
                <w:rFonts w:hint="default" w:ascii="Times New Roman" w:hAnsi="Times New Roman" w:eastAsia="方正仿宋_GBK" w:cs="Times New Roman"/>
                <w:sz w:val="24"/>
                <w:szCs w:val="24"/>
                <w:shd w:val="clear" w:color="auto" w:fill="FFFFFF" w:themeFill="background1"/>
                <w:lang w:val="en-US" w:eastAsia="zh-CN"/>
              </w:rPr>
              <w:t>及</w:t>
            </w:r>
            <w:r>
              <w:rPr>
                <w:rFonts w:hint="default" w:ascii="Times New Roman" w:hAnsi="Times New Roman" w:eastAsia="方正仿宋_GBK" w:cs="Times New Roman"/>
                <w:sz w:val="24"/>
                <w:szCs w:val="24"/>
                <w:shd w:val="clear" w:color="auto" w:fill="FFFFFF" w:themeFill="background1"/>
                <w:lang w:eastAsia="zh-CN"/>
              </w:rPr>
              <w:t>服务质量监控节点，无法验证流程执行效果</w:t>
            </w:r>
            <w:r>
              <w:rPr>
                <w:rFonts w:hint="default" w:ascii="Times New Roman" w:hAnsi="Times New Roman" w:eastAsia="方正仿宋_GBK" w:cs="Times New Roman"/>
                <w:sz w:val="24"/>
                <w:szCs w:val="24"/>
                <w:shd w:val="clear" w:color="auto" w:fill="FFFFFF" w:themeFill="background1"/>
                <w:lang w:val="en-US" w:eastAsia="zh-CN"/>
              </w:rPr>
              <w:t>的，</w:t>
            </w:r>
            <w:r>
              <w:rPr>
                <w:rFonts w:hint="default" w:ascii="Times New Roman" w:hAnsi="Times New Roman" w:eastAsia="方正仿宋_GBK" w:cs="Times New Roman"/>
                <w:sz w:val="24"/>
                <w:szCs w:val="24"/>
                <w:shd w:val="clear" w:color="auto" w:fill="FFFFFF" w:themeFill="background1"/>
              </w:rPr>
              <w:t>每缺一个要素扣</w:t>
            </w:r>
            <w:r>
              <w:rPr>
                <w:rFonts w:hint="default" w:ascii="Times New Roman" w:hAnsi="Times New Roman" w:eastAsia="方正仿宋_GBK" w:cs="Times New Roman"/>
                <w:sz w:val="24"/>
                <w:szCs w:val="24"/>
                <w:shd w:val="clear" w:color="auto" w:fill="FFFFFF" w:themeFill="background1"/>
                <w:lang w:val="en-US" w:eastAsia="zh-CN"/>
              </w:rPr>
              <w:t>2.5</w:t>
            </w:r>
            <w:r>
              <w:rPr>
                <w:rFonts w:hint="default" w:ascii="Times New Roman" w:hAnsi="Times New Roman" w:eastAsia="方正仿宋_GBK" w:cs="Times New Roman"/>
                <w:sz w:val="24"/>
                <w:szCs w:val="24"/>
                <w:shd w:val="clear" w:color="auto" w:fill="FFFFFF" w:themeFill="background1"/>
              </w:rPr>
              <w:t>分，每个要素里每有一处内容</w:t>
            </w:r>
            <w:r>
              <w:rPr>
                <w:rFonts w:hint="default" w:ascii="Times New Roman" w:hAnsi="Times New Roman" w:eastAsia="方正仿宋_GBK" w:cs="Times New Roman"/>
                <w:sz w:val="24"/>
                <w:szCs w:val="24"/>
                <w:shd w:val="clear" w:color="auto" w:fill="FFFFFF" w:themeFill="background1"/>
                <w:lang w:val="en-US" w:eastAsia="zh-CN"/>
              </w:rPr>
              <w:t>缺乏可行性、逻辑</w:t>
            </w:r>
            <w:r>
              <w:rPr>
                <w:rFonts w:hint="default" w:ascii="Times New Roman" w:hAnsi="Times New Roman" w:eastAsia="方正仿宋_GBK" w:cs="Times New Roman"/>
                <w:sz w:val="24"/>
                <w:szCs w:val="24"/>
                <w:shd w:val="clear" w:color="auto" w:fill="FFFFFF" w:themeFill="background1"/>
              </w:rPr>
              <w:t>欠合理的，扣1分（扣完为止）。</w:t>
            </w:r>
          </w:p>
        </w:tc>
        <w:tc>
          <w:tcPr>
            <w:tcW w:w="7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23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p>
        </w:tc>
        <w:tc>
          <w:tcPr>
            <w:tcW w:w="130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应急保障预案</w:t>
            </w:r>
          </w:p>
        </w:tc>
        <w:tc>
          <w:tcPr>
            <w:tcW w:w="5814" w:type="dxa"/>
            <w:vAlign w:val="center"/>
          </w:tcPr>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应急预案措施内容包含：</w:t>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①应急程序和措施；</w:t>
            </w:r>
          </w:p>
          <w:p>
            <w:pPr>
              <w:keepNext w:val="0"/>
              <w:keepLines w:val="0"/>
              <w:pageBreakBefore w:val="0"/>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②</w:t>
            </w:r>
            <w:r>
              <w:rPr>
                <w:rFonts w:hint="default" w:ascii="Times New Roman" w:hAnsi="Times New Roman" w:eastAsia="方正仿宋_GBK" w:cs="Times New Roman"/>
                <w:kern w:val="0"/>
                <w:sz w:val="24"/>
                <w:szCs w:val="24"/>
              </w:rPr>
              <w:t>应急响应及突发事件的处置</w:t>
            </w:r>
            <w:r>
              <w:rPr>
                <w:rFonts w:hint="default" w:ascii="Times New Roman" w:hAnsi="Times New Roman" w:eastAsia="方正仿宋_GBK" w:cs="Times New Roman"/>
                <w:sz w:val="24"/>
                <w:szCs w:val="24"/>
                <w:shd w:val="clear" w:color="auto" w:fill="FFFFFF" w:themeFill="background1"/>
              </w:rPr>
              <w:t>；2部分要素。</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shd w:val="clear" w:color="auto" w:fill="FFFFFF" w:themeFill="background1"/>
              </w:rPr>
              <w:t>所有要素齐全且完全满足项目要求得</w:t>
            </w:r>
            <w:r>
              <w:rPr>
                <w:rFonts w:hint="default" w:ascii="Times New Roman" w:hAnsi="Times New Roman" w:eastAsia="方正仿宋_GBK" w:cs="Times New Roman"/>
                <w:sz w:val="24"/>
                <w:szCs w:val="24"/>
                <w:shd w:val="clear" w:color="auto" w:fill="FFFFFF" w:themeFill="background1"/>
                <w:lang w:val="en-US" w:eastAsia="zh-CN"/>
              </w:rPr>
              <w:t>5</w:t>
            </w:r>
            <w:r>
              <w:rPr>
                <w:rFonts w:hint="default" w:ascii="Times New Roman" w:hAnsi="Times New Roman" w:eastAsia="方正仿宋_GBK" w:cs="Times New Roman"/>
                <w:sz w:val="24"/>
                <w:szCs w:val="24"/>
                <w:shd w:val="clear" w:color="auto" w:fill="FFFFFF" w:themeFill="background1"/>
              </w:rPr>
              <w:t>分，</w:t>
            </w:r>
          </w:p>
          <w:p>
            <w:pPr>
              <w:pStyle w:val="2"/>
              <w:keepNext w:val="0"/>
              <w:keepLines w:val="0"/>
              <w:pageBreakBefore w:val="0"/>
              <w:kinsoku/>
              <w:wordWrap/>
              <w:overflowPunct/>
              <w:topLinePunct w:val="0"/>
              <w:autoSpaceDE/>
              <w:autoSpaceDN/>
              <w:bidi w:val="0"/>
              <w:adjustRightInd/>
              <w:snapToGrid/>
              <w:spacing w:line="280" w:lineRule="exact"/>
              <w:ind w:left="0" w:leftChars="0" w:firstLine="0" w:firstLineChars="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kern w:val="0"/>
                <w:sz w:val="24"/>
                <w:szCs w:val="24"/>
              </w:rPr>
              <w:t>投标人</w:t>
            </w:r>
            <w:r>
              <w:rPr>
                <w:rFonts w:hint="default" w:ascii="Times New Roman" w:hAnsi="Times New Roman" w:eastAsia="方正仿宋_GBK" w:cs="Times New Roman"/>
                <w:sz w:val="24"/>
                <w:szCs w:val="24"/>
                <w:lang w:val="en-US" w:eastAsia="zh-CN"/>
              </w:rPr>
              <w:t>若</w:t>
            </w:r>
            <w:r>
              <w:rPr>
                <w:rFonts w:hint="default" w:ascii="Times New Roman" w:hAnsi="Times New Roman" w:eastAsia="方正仿宋_GBK" w:cs="Times New Roman"/>
                <w:sz w:val="24"/>
                <w:szCs w:val="24"/>
                <w:lang w:eastAsia="zh-CN"/>
              </w:rPr>
              <w:t>缺失应急响应流程、</w:t>
            </w:r>
            <w:r>
              <w:rPr>
                <w:rFonts w:hint="default" w:ascii="Times New Roman" w:hAnsi="Times New Roman" w:eastAsia="方正仿宋_GBK" w:cs="Times New Roman"/>
                <w:sz w:val="24"/>
                <w:szCs w:val="24"/>
                <w:lang w:val="en-US" w:eastAsia="zh-CN"/>
              </w:rPr>
              <w:t>应急措施无具体执行步骤且</w:t>
            </w:r>
            <w:r>
              <w:rPr>
                <w:rFonts w:hint="default" w:ascii="Times New Roman" w:hAnsi="Times New Roman" w:eastAsia="方正仿宋_GBK" w:cs="Times New Roman"/>
                <w:sz w:val="24"/>
                <w:szCs w:val="24"/>
                <w:lang w:eastAsia="zh-CN"/>
              </w:rPr>
              <w:t>应急处置步骤出现顺序颠倒；应急物资配备不满足《突发事件应对法》强制标准</w:t>
            </w:r>
            <w:r>
              <w:rPr>
                <w:rFonts w:hint="default" w:ascii="Times New Roman" w:hAnsi="Times New Roman" w:eastAsia="方正仿宋_GBK" w:cs="Times New Roman"/>
                <w:sz w:val="24"/>
                <w:szCs w:val="24"/>
                <w:lang w:val="en-US" w:eastAsia="zh-CN"/>
              </w:rPr>
              <w:t>以及</w:t>
            </w:r>
            <w:r>
              <w:rPr>
                <w:rFonts w:hint="default" w:ascii="Times New Roman" w:hAnsi="Times New Roman" w:eastAsia="方正仿宋_GBK" w:cs="Times New Roman"/>
                <w:sz w:val="24"/>
                <w:szCs w:val="24"/>
                <w:lang w:eastAsia="zh-CN"/>
              </w:rPr>
              <w:t>应急</w:t>
            </w:r>
            <w:r>
              <w:rPr>
                <w:rFonts w:hint="default" w:ascii="Times New Roman" w:hAnsi="Times New Roman" w:eastAsia="方正仿宋_GBK" w:cs="Times New Roman"/>
                <w:sz w:val="24"/>
                <w:szCs w:val="24"/>
                <w:lang w:val="en-US" w:eastAsia="zh-CN"/>
              </w:rPr>
              <w:t>保障未明确7×24小时值班机制等具体情形，</w:t>
            </w:r>
            <w:r>
              <w:rPr>
                <w:rFonts w:hint="default" w:ascii="Times New Roman" w:hAnsi="Times New Roman" w:eastAsia="方正仿宋_GBK" w:cs="Times New Roman"/>
                <w:sz w:val="24"/>
                <w:szCs w:val="24"/>
                <w:shd w:val="clear" w:color="auto" w:fill="FFFFFF" w:themeFill="background1"/>
              </w:rPr>
              <w:t>每缺一个要素扣</w:t>
            </w:r>
            <w:r>
              <w:rPr>
                <w:rFonts w:hint="default" w:ascii="Times New Roman" w:hAnsi="Times New Roman" w:eastAsia="方正仿宋_GBK" w:cs="Times New Roman"/>
                <w:sz w:val="24"/>
                <w:szCs w:val="24"/>
                <w:shd w:val="clear" w:color="auto" w:fill="FFFFFF" w:themeFill="background1"/>
                <w:lang w:val="en-US" w:eastAsia="zh-CN"/>
              </w:rPr>
              <w:t>2.5</w:t>
            </w:r>
            <w:r>
              <w:rPr>
                <w:rFonts w:hint="default" w:ascii="Times New Roman" w:hAnsi="Times New Roman" w:eastAsia="方正仿宋_GBK" w:cs="Times New Roman"/>
                <w:sz w:val="24"/>
                <w:szCs w:val="24"/>
                <w:shd w:val="clear" w:color="auto" w:fill="FFFFFF" w:themeFill="background1"/>
              </w:rPr>
              <w:t>分，每个要素里每有一处内容</w:t>
            </w:r>
            <w:r>
              <w:rPr>
                <w:rFonts w:hint="default" w:ascii="Times New Roman" w:hAnsi="Times New Roman" w:eastAsia="方正仿宋_GBK" w:cs="Times New Roman"/>
                <w:sz w:val="24"/>
                <w:szCs w:val="24"/>
                <w:shd w:val="clear" w:color="auto" w:fill="FFFFFF" w:themeFill="background1"/>
                <w:lang w:val="en-US" w:eastAsia="zh-CN"/>
              </w:rPr>
              <w:t>缺乏可行性、逻辑</w:t>
            </w:r>
            <w:r>
              <w:rPr>
                <w:rFonts w:hint="default" w:ascii="Times New Roman" w:hAnsi="Times New Roman" w:eastAsia="方正仿宋_GBK" w:cs="Times New Roman"/>
                <w:sz w:val="24"/>
                <w:szCs w:val="24"/>
                <w:shd w:val="clear" w:color="auto" w:fill="FFFFFF" w:themeFill="background1"/>
              </w:rPr>
              <w:t>欠合理的，扣</w:t>
            </w:r>
            <w:r>
              <w:rPr>
                <w:rFonts w:hint="default" w:ascii="Times New Roman" w:hAnsi="Times New Roman" w:eastAsia="方正仿宋_GBK" w:cs="Times New Roman"/>
                <w:sz w:val="24"/>
                <w:szCs w:val="24"/>
                <w:shd w:val="clear" w:color="auto" w:fill="FFFFFF" w:themeFill="background1"/>
                <w:lang w:val="en-US" w:eastAsia="zh-CN"/>
              </w:rPr>
              <w:t>1</w:t>
            </w:r>
            <w:r>
              <w:rPr>
                <w:rFonts w:hint="default" w:ascii="Times New Roman" w:hAnsi="Times New Roman" w:eastAsia="方正仿宋_GBK" w:cs="Times New Roman"/>
                <w:sz w:val="24"/>
                <w:szCs w:val="24"/>
                <w:shd w:val="clear" w:color="auto" w:fill="FFFFFF" w:themeFill="background1"/>
              </w:rPr>
              <w:t>分（扣完为止）。</w:t>
            </w:r>
          </w:p>
        </w:tc>
        <w:tc>
          <w:tcPr>
            <w:tcW w:w="7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23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rPr>
            </w:pPr>
          </w:p>
        </w:tc>
        <w:tc>
          <w:tcPr>
            <w:tcW w:w="130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售后方案</w:t>
            </w:r>
          </w:p>
        </w:tc>
        <w:tc>
          <w:tcPr>
            <w:tcW w:w="5814" w:type="dxa"/>
            <w:vAlign w:val="center"/>
          </w:tcPr>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供应商针对本项目提供售后</w:t>
            </w:r>
            <w:r>
              <w:rPr>
                <w:rFonts w:hint="default" w:ascii="Times New Roman" w:hAnsi="Times New Roman" w:eastAsia="方正仿宋_GBK" w:cs="Times New Roman"/>
                <w:sz w:val="24"/>
                <w:szCs w:val="24"/>
                <w:lang w:eastAsia="zh-CN"/>
              </w:rPr>
              <w:t>系列保障</w:t>
            </w:r>
            <w:r>
              <w:rPr>
                <w:rFonts w:hint="default" w:ascii="Times New Roman" w:hAnsi="Times New Roman" w:eastAsia="方正仿宋_GBK" w:cs="Times New Roman"/>
                <w:sz w:val="24"/>
                <w:szCs w:val="24"/>
              </w:rPr>
              <w:t>方案（包括但不限于）：</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（1）售后服务方案；</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（2）售后承诺；</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
              </w:rPr>
              <w:t>3</w:t>
            </w:r>
            <w:r>
              <w:rPr>
                <w:rFonts w:hint="default" w:ascii="Times New Roman" w:hAnsi="Times New Roman" w:eastAsia="方正仿宋_GBK" w:cs="Times New Roman"/>
                <w:sz w:val="24"/>
                <w:szCs w:val="24"/>
              </w:rPr>
              <w:t>）售后</w:t>
            </w:r>
            <w:r>
              <w:rPr>
                <w:rFonts w:hint="default" w:ascii="Times New Roman" w:hAnsi="Times New Roman" w:eastAsia="方正仿宋_GBK" w:cs="Times New Roman"/>
                <w:sz w:val="24"/>
                <w:szCs w:val="24"/>
                <w:lang w:eastAsia="zh-CN"/>
              </w:rPr>
              <w:t>响应机制</w:t>
            </w:r>
            <w:r>
              <w:rPr>
                <w:rFonts w:hint="default" w:ascii="Times New Roman" w:hAnsi="Times New Roman" w:eastAsia="方正仿宋_GBK"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）售后</w:t>
            </w:r>
            <w:r>
              <w:rPr>
                <w:rFonts w:hint="default" w:ascii="Times New Roman" w:hAnsi="Times New Roman" w:eastAsia="方正仿宋_GBK" w:cs="Times New Roman"/>
                <w:sz w:val="24"/>
                <w:szCs w:val="24"/>
                <w:lang w:eastAsia="zh-CN"/>
              </w:rPr>
              <w:t>保障</w:t>
            </w:r>
            <w:r>
              <w:rPr>
                <w:rFonts w:hint="default" w:ascii="Times New Roman" w:hAnsi="Times New Roman" w:eastAsia="方正仿宋_GBK" w:cs="Times New Roman"/>
                <w:sz w:val="24"/>
                <w:szCs w:val="24"/>
              </w:rPr>
              <w:t>；</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）售后</w:t>
            </w:r>
            <w:r>
              <w:rPr>
                <w:rFonts w:hint="default" w:ascii="Times New Roman" w:hAnsi="Times New Roman" w:eastAsia="方正仿宋_GBK" w:cs="Times New Roman"/>
                <w:sz w:val="24"/>
                <w:szCs w:val="24"/>
                <w:lang w:eastAsia="zh-CN"/>
              </w:rPr>
              <w:t>团队</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shd w:val="clear" w:color="auto" w:fill="FFFFFF" w:themeFill="background1"/>
                <w:lang w:val="en-US" w:eastAsia="zh-CN"/>
              </w:rPr>
              <w:t>5</w:t>
            </w:r>
            <w:r>
              <w:rPr>
                <w:rFonts w:hint="default" w:ascii="Times New Roman" w:hAnsi="Times New Roman" w:eastAsia="方正仿宋_GBK" w:cs="Times New Roman"/>
                <w:sz w:val="24"/>
                <w:szCs w:val="24"/>
                <w:shd w:val="clear" w:color="auto" w:fill="FFFFFF" w:themeFill="background1"/>
              </w:rPr>
              <w:t>部分要素。</w:t>
            </w: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default" w:ascii="Times New Roman" w:hAnsi="Times New Roman" w:eastAsia="方正仿宋_GBK" w:cs="Times New Roman"/>
                <w:sz w:val="24"/>
                <w:szCs w:val="24"/>
                <w:shd w:val="clear" w:color="auto" w:fill="FFFFFF" w:themeFill="background1"/>
              </w:rPr>
            </w:pPr>
            <w:r>
              <w:rPr>
                <w:rFonts w:hint="default" w:ascii="Times New Roman" w:hAnsi="Times New Roman" w:eastAsia="方正仿宋_GBK" w:cs="Times New Roman"/>
                <w:sz w:val="24"/>
                <w:szCs w:val="24"/>
              </w:rPr>
              <w:t>供应商须提供明确的相应服务措施。内容及承诺达到或优于招标文件要求的得5分，</w:t>
            </w:r>
            <w:r>
              <w:rPr>
                <w:rFonts w:hint="default" w:ascii="Times New Roman" w:hAnsi="Times New Roman" w:eastAsia="方正仿宋_GBK" w:cs="Times New Roman"/>
                <w:kern w:val="0"/>
                <w:sz w:val="24"/>
                <w:szCs w:val="24"/>
              </w:rPr>
              <w:t>投标人对售后服务维护响应，对破损、缺失等不能正常使用的教育资料需无条件调换或补发，具有针对性、完整、科学合理、</w:t>
            </w:r>
            <w:r>
              <w:rPr>
                <w:rFonts w:hint="default" w:ascii="Times New Roman" w:hAnsi="Times New Roman" w:eastAsia="方正仿宋_GBK" w:cs="Times New Roman"/>
                <w:kern w:val="0"/>
                <w:sz w:val="24"/>
                <w:szCs w:val="24"/>
                <w:lang w:val="en-US" w:eastAsia="zh-CN"/>
              </w:rPr>
              <w:t>且</w:t>
            </w:r>
            <w:r>
              <w:rPr>
                <w:rFonts w:hint="default" w:ascii="Times New Roman" w:hAnsi="Times New Roman" w:eastAsia="方正仿宋_GBK" w:cs="Times New Roman"/>
                <w:kern w:val="0"/>
                <w:sz w:val="24"/>
                <w:szCs w:val="24"/>
              </w:rPr>
              <w:t>可行性</w:t>
            </w:r>
            <w:r>
              <w:rPr>
                <w:rFonts w:hint="default" w:ascii="Times New Roman" w:hAnsi="Times New Roman" w:eastAsia="方正仿宋_GBK" w:cs="Times New Roman"/>
                <w:kern w:val="0"/>
                <w:sz w:val="24"/>
                <w:szCs w:val="24"/>
                <w:lang w:val="en-US" w:eastAsia="zh-CN"/>
              </w:rPr>
              <w:t>强的</w:t>
            </w:r>
            <w:r>
              <w:rPr>
                <w:rFonts w:hint="default" w:ascii="Times New Roman" w:hAnsi="Times New Roman" w:eastAsia="方正仿宋_GBK" w:cs="Times New Roman"/>
                <w:sz w:val="24"/>
                <w:szCs w:val="24"/>
              </w:rPr>
              <w:t>详细</w:t>
            </w:r>
            <w:r>
              <w:rPr>
                <w:rFonts w:hint="default" w:ascii="Times New Roman" w:hAnsi="Times New Roman" w:eastAsia="方正仿宋_GBK" w:cs="Times New Roman"/>
                <w:kern w:val="0"/>
                <w:sz w:val="24"/>
                <w:szCs w:val="24"/>
                <w:lang w:val="en-US" w:eastAsia="zh-CN"/>
              </w:rPr>
              <w:t>的</w:t>
            </w:r>
            <w:r>
              <w:rPr>
                <w:rFonts w:hint="default" w:ascii="Times New Roman" w:hAnsi="Times New Roman" w:eastAsia="方正仿宋_GBK" w:cs="Times New Roman"/>
                <w:sz w:val="24"/>
                <w:szCs w:val="24"/>
              </w:rPr>
              <w:t>售后方案，保障措施完善可行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shd w:val="clear" w:color="auto" w:fill="FFFFFF" w:themeFill="background1"/>
                <w:lang w:val="en-US" w:eastAsia="zh-CN"/>
              </w:rPr>
              <w:t>缺乏必须要素的、售后保障不强</w:t>
            </w:r>
            <w:r>
              <w:rPr>
                <w:rFonts w:hint="default" w:ascii="Times New Roman" w:hAnsi="Times New Roman" w:eastAsia="方正仿宋_GBK" w:cs="Times New Roman"/>
                <w:sz w:val="24"/>
                <w:szCs w:val="24"/>
                <w:shd w:val="clear" w:color="auto" w:fill="FFFFFF" w:themeFill="background1"/>
              </w:rPr>
              <w:t>的</w:t>
            </w:r>
            <w:r>
              <w:rPr>
                <w:rFonts w:hint="default" w:ascii="Times New Roman" w:hAnsi="Times New Roman" w:eastAsia="方正仿宋_GBK" w:cs="Times New Roman"/>
                <w:sz w:val="24"/>
                <w:szCs w:val="24"/>
                <w:shd w:val="clear" w:color="auto" w:fill="FFFFFF" w:themeFill="background1"/>
                <w:lang w:eastAsia="zh-CN"/>
              </w:rPr>
              <w:t>，</w:t>
            </w:r>
            <w:r>
              <w:rPr>
                <w:rFonts w:hint="default" w:ascii="Times New Roman" w:hAnsi="Times New Roman" w:eastAsia="方正仿宋_GBK" w:cs="Times New Roman"/>
                <w:kern w:val="0"/>
                <w:sz w:val="24"/>
                <w:szCs w:val="24"/>
              </w:rPr>
              <w:t>每处扣</w:t>
            </w:r>
            <w:r>
              <w:rPr>
                <w:rFonts w:hint="default" w:ascii="Times New Roman" w:hAnsi="Times New Roman" w:eastAsia="方正仿宋_GBK" w:cs="Times New Roman"/>
                <w:kern w:val="0"/>
                <w:sz w:val="24"/>
                <w:szCs w:val="24"/>
                <w:lang w:val="en-US" w:eastAsia="zh-CN"/>
              </w:rPr>
              <w:t>1</w:t>
            </w:r>
            <w:r>
              <w:rPr>
                <w:rFonts w:hint="default" w:ascii="Times New Roman" w:hAnsi="Times New Roman" w:eastAsia="方正仿宋_GBK" w:cs="Times New Roman"/>
                <w:kern w:val="0"/>
                <w:sz w:val="24"/>
                <w:szCs w:val="24"/>
              </w:rPr>
              <w:t>分</w:t>
            </w:r>
            <w:r>
              <w:rPr>
                <w:rFonts w:hint="default" w:ascii="Times New Roman" w:hAnsi="Times New Roman" w:eastAsia="方正仿宋_GBK" w:cs="Times New Roman"/>
                <w:sz w:val="24"/>
                <w:szCs w:val="24"/>
                <w:shd w:val="clear" w:color="auto" w:fill="FFFFFF" w:themeFill="background1"/>
              </w:rPr>
              <w:t>（扣完为止）</w:t>
            </w:r>
            <w:r>
              <w:rPr>
                <w:rFonts w:hint="default" w:ascii="Times New Roman" w:hAnsi="Times New Roman" w:eastAsia="方正仿宋_GBK" w:cs="Times New Roman"/>
                <w:kern w:val="0"/>
                <w:sz w:val="24"/>
                <w:szCs w:val="24"/>
              </w:rPr>
              <w:t>，未提供的不计分。</w:t>
            </w:r>
          </w:p>
        </w:tc>
        <w:tc>
          <w:tcPr>
            <w:tcW w:w="7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5</w:t>
            </w:r>
          </w:p>
        </w:tc>
      </w:tr>
    </w:tbl>
    <w:p>
      <w:pPr>
        <w:pStyle w:val="8"/>
        <w:rPr>
          <w:color w:val="auto"/>
          <w:sz w:val="44"/>
          <w:szCs w:val="44"/>
          <w:highlight w:val="none"/>
        </w:rPr>
      </w:pPr>
    </w:p>
    <w:p>
      <w:pPr>
        <w:pStyle w:val="8"/>
        <w:rPr>
          <w:color w:val="auto"/>
          <w:sz w:val="44"/>
          <w:szCs w:val="44"/>
          <w:highlight w:val="none"/>
        </w:rPr>
      </w:pPr>
    </w:p>
    <w:p>
      <w:pPr>
        <w:pStyle w:val="8"/>
        <w:rPr>
          <w:color w:val="auto"/>
          <w:sz w:val="44"/>
          <w:szCs w:val="44"/>
          <w:highlight w:val="none"/>
        </w:rPr>
      </w:pPr>
    </w:p>
    <w:p>
      <w:pPr>
        <w:pStyle w:val="8"/>
        <w:ind w:left="0" w:leftChars="0" w:firstLine="0" w:firstLineChars="0"/>
        <w:rPr>
          <w:color w:val="auto"/>
          <w:sz w:val="44"/>
          <w:szCs w:val="44"/>
          <w:highlight w:val="none"/>
        </w:rPr>
      </w:pPr>
    </w:p>
    <w:p>
      <w:pPr>
        <w:pStyle w:val="5"/>
        <w:jc w:val="both"/>
        <w:rPr>
          <w:rFonts w:ascii="宋体" w:hAnsi="宋体" w:eastAsia="宋体" w:cs="宋体"/>
          <w:color w:val="auto"/>
          <w:highlight w:val="none"/>
        </w:rPr>
      </w:pPr>
    </w:p>
    <w:p>
      <w:pPr>
        <w:pStyle w:val="5"/>
        <w:rPr>
          <w:rFonts w:ascii="宋体" w:hAnsi="宋体" w:eastAsia="宋体" w:cs="宋体"/>
          <w:color w:val="auto"/>
          <w:highlight w:val="none"/>
        </w:rPr>
      </w:pPr>
      <w:r>
        <w:rPr>
          <w:rFonts w:hint="eastAsia" w:ascii="宋体" w:hAnsi="宋体" w:eastAsia="宋体" w:cs="宋体"/>
          <w:color w:val="auto"/>
          <w:highlight w:val="none"/>
        </w:rPr>
        <w:t xml:space="preserve">第六章  投标文件格式 </w:t>
      </w:r>
    </w:p>
    <w:p>
      <w:pPr>
        <w:jc w:val="center"/>
        <w:rPr>
          <w:rFonts w:ascii="宋体" w:hAnsi="宋体" w:cs="宋体"/>
          <w:b/>
          <w:color w:val="auto"/>
          <w:sz w:val="72"/>
          <w:highlight w:val="none"/>
        </w:rPr>
      </w:pPr>
      <w:bookmarkStart w:id="205" w:name="_Hlt26671244"/>
      <w:bookmarkEnd w:id="205"/>
      <w:bookmarkStart w:id="206" w:name="_Hlt26955039"/>
      <w:bookmarkEnd w:id="206"/>
      <w:bookmarkStart w:id="207" w:name="_Toc49090576"/>
      <w:bookmarkStart w:id="208" w:name="_Toc26554094"/>
      <w:bookmarkStart w:id="209" w:name="_Toc120614282"/>
    </w:p>
    <w:p>
      <w:pPr>
        <w:jc w:val="center"/>
        <w:rPr>
          <w:rFonts w:ascii="宋体" w:hAnsi="宋体" w:cs="宋体"/>
          <w:b/>
          <w:color w:val="auto"/>
          <w:sz w:val="72"/>
          <w:highlight w:val="none"/>
        </w:rPr>
      </w:pPr>
      <w:r>
        <w:rPr>
          <w:rFonts w:hint="eastAsia" w:ascii="宋体" w:hAnsi="宋体" w:cs="宋体"/>
          <w:b/>
          <w:color w:val="auto"/>
          <w:sz w:val="72"/>
          <w:highlight w:val="none"/>
        </w:rPr>
        <w:t>投  标  文  件</w:t>
      </w:r>
    </w:p>
    <w:p>
      <w:pPr>
        <w:jc w:val="center"/>
        <w:rPr>
          <w:rFonts w:ascii="宋体" w:hAnsi="宋体" w:cs="宋体"/>
          <w:b/>
          <w:color w:val="auto"/>
          <w:sz w:val="72"/>
          <w:highlight w:val="none"/>
        </w:rPr>
      </w:pPr>
    </w:p>
    <w:p>
      <w:pPr>
        <w:jc w:val="center"/>
        <w:rPr>
          <w:rFonts w:ascii="宋体" w:hAnsi="宋体" w:cs="宋体"/>
          <w:b/>
          <w:color w:val="auto"/>
          <w:sz w:val="72"/>
          <w:highlight w:val="none"/>
        </w:rPr>
      </w:pPr>
    </w:p>
    <w:p>
      <w:pPr>
        <w:jc w:val="center"/>
        <w:rPr>
          <w:rFonts w:ascii="宋体" w:hAnsi="宋体" w:cs="宋体"/>
          <w:b/>
          <w:color w:val="auto"/>
          <w:sz w:val="36"/>
          <w:highlight w:val="none"/>
        </w:rPr>
      </w:pPr>
    </w:p>
    <w:p>
      <w:pPr>
        <w:jc w:val="center"/>
        <w:rPr>
          <w:rFonts w:ascii="宋体" w:hAnsi="宋体" w:cs="宋体"/>
          <w:b/>
          <w:color w:val="auto"/>
          <w:sz w:val="36"/>
          <w:highlight w:val="none"/>
        </w:rPr>
      </w:pPr>
    </w:p>
    <w:p>
      <w:pPr>
        <w:jc w:val="center"/>
        <w:rPr>
          <w:rFonts w:ascii="宋体" w:hAnsi="宋体" w:cs="宋体"/>
          <w:b/>
          <w:color w:val="auto"/>
          <w:sz w:val="36"/>
          <w:highlight w:val="none"/>
        </w:rPr>
      </w:pPr>
    </w:p>
    <w:p>
      <w:pPr>
        <w:ind w:firstLine="1084" w:firstLineChars="300"/>
        <w:rPr>
          <w:rFonts w:ascii="宋体" w:hAnsi="宋体" w:cs="宋体"/>
          <w:b/>
          <w:color w:val="auto"/>
          <w:sz w:val="36"/>
          <w:highlight w:val="none"/>
        </w:rPr>
      </w:pPr>
      <w:r>
        <w:rPr>
          <w:rFonts w:hint="eastAsia" w:ascii="宋体" w:hAnsi="宋体" w:cs="宋体"/>
          <w:b/>
          <w:color w:val="auto"/>
          <w:sz w:val="36"/>
          <w:highlight w:val="none"/>
        </w:rPr>
        <w:t>项 目 名 称：</w:t>
      </w:r>
      <w:r>
        <w:rPr>
          <w:rFonts w:hint="eastAsia" w:ascii="宋体" w:hAnsi="宋体" w:cs="宋体"/>
          <w:b/>
          <w:color w:val="auto"/>
          <w:sz w:val="36"/>
          <w:highlight w:val="none"/>
          <w:u w:val="single"/>
        </w:rPr>
        <w:t xml:space="preserve">               </w:t>
      </w:r>
    </w:p>
    <w:p>
      <w:pPr>
        <w:ind w:firstLine="1084" w:firstLineChars="300"/>
        <w:rPr>
          <w:rFonts w:ascii="宋体" w:hAnsi="宋体" w:cs="宋体"/>
          <w:b/>
          <w:color w:val="auto"/>
          <w:sz w:val="36"/>
          <w:highlight w:val="none"/>
          <w:u w:val="single"/>
        </w:rPr>
      </w:pPr>
      <w:r>
        <w:rPr>
          <w:rFonts w:hint="eastAsia" w:ascii="宋体" w:hAnsi="宋体" w:cs="宋体"/>
          <w:b/>
          <w:color w:val="auto"/>
          <w:sz w:val="36"/>
          <w:highlight w:val="none"/>
        </w:rPr>
        <w:t>项 目 编 号：</w:t>
      </w:r>
      <w:r>
        <w:rPr>
          <w:rFonts w:hint="eastAsia" w:ascii="宋体" w:hAnsi="宋体" w:cs="宋体"/>
          <w:b/>
          <w:color w:val="auto"/>
          <w:sz w:val="36"/>
          <w:highlight w:val="none"/>
          <w:u w:val="single"/>
        </w:rPr>
        <w:t xml:space="preserve">               </w:t>
      </w:r>
    </w:p>
    <w:p>
      <w:pPr>
        <w:rPr>
          <w:rFonts w:ascii="宋体" w:hAnsi="宋体" w:cs="宋体"/>
          <w:b/>
          <w:color w:val="auto"/>
          <w:sz w:val="36"/>
          <w:highlight w:val="none"/>
          <w:u w:val="single"/>
        </w:rPr>
      </w:pPr>
      <w:r>
        <w:rPr>
          <w:rFonts w:hint="eastAsia" w:ascii="宋体" w:hAnsi="宋体" w:cs="宋体"/>
          <w:b/>
          <w:color w:val="auto"/>
          <w:sz w:val="36"/>
          <w:highlight w:val="none"/>
        </w:rPr>
        <w:t xml:space="preserve">      供应商名称 ：</w:t>
      </w:r>
      <w:r>
        <w:rPr>
          <w:rFonts w:hint="eastAsia" w:ascii="宋体" w:hAnsi="宋体" w:cs="宋体"/>
          <w:b/>
          <w:color w:val="auto"/>
          <w:sz w:val="36"/>
          <w:highlight w:val="none"/>
          <w:u w:val="single"/>
        </w:rPr>
        <w:t>（电子签章）</w:t>
      </w:r>
      <w:r>
        <w:rPr>
          <w:rFonts w:hint="eastAsia" w:ascii="宋体" w:hAnsi="宋体" w:cs="宋体"/>
          <w:b/>
          <w:color w:val="auto"/>
          <w:sz w:val="36"/>
          <w:highlight w:val="none"/>
        </w:rPr>
        <w:t xml:space="preserve">  </w:t>
      </w:r>
      <w:r>
        <w:rPr>
          <w:rFonts w:hint="eastAsia" w:ascii="宋体" w:hAnsi="宋体" w:cs="宋体"/>
          <w:b/>
          <w:color w:val="auto"/>
          <w:sz w:val="36"/>
          <w:highlight w:val="none"/>
          <w:u w:val="single"/>
        </w:rPr>
        <w:t xml:space="preserve">                 </w:t>
      </w:r>
    </w:p>
    <w:p>
      <w:pPr>
        <w:ind w:firstLine="1084" w:firstLineChars="300"/>
        <w:rPr>
          <w:rFonts w:ascii="宋体" w:hAnsi="宋体" w:cs="宋体"/>
          <w:b/>
          <w:color w:val="auto"/>
          <w:sz w:val="36"/>
          <w:highlight w:val="none"/>
        </w:rPr>
      </w:pPr>
      <w:r>
        <w:rPr>
          <w:rFonts w:hint="eastAsia" w:ascii="宋体" w:hAnsi="宋体" w:cs="宋体"/>
          <w:b/>
          <w:color w:val="auto"/>
          <w:sz w:val="36"/>
          <w:highlight w:val="none"/>
        </w:rPr>
        <w:t>日      期 ：</w:t>
      </w:r>
    </w:p>
    <w:p>
      <w:pPr>
        <w:rPr>
          <w:rFonts w:ascii="宋体" w:hAnsi="宋体" w:cs="宋体"/>
          <w:b/>
          <w:color w:val="auto"/>
          <w:sz w:val="36"/>
          <w:highlight w:val="none"/>
        </w:rPr>
      </w:pPr>
      <w:r>
        <w:rPr>
          <w:rFonts w:hint="eastAsia" w:ascii="宋体" w:hAnsi="宋体" w:cs="宋体"/>
          <w:b/>
          <w:color w:val="auto"/>
          <w:sz w:val="36"/>
          <w:highlight w:val="none"/>
          <w:u w:val="single"/>
        </w:rPr>
        <w:t xml:space="preserve">              </w:t>
      </w:r>
    </w:p>
    <w:p>
      <w:pPr>
        <w:spacing w:line="440" w:lineRule="exact"/>
        <w:jc w:val="center"/>
        <w:rPr>
          <w:rFonts w:ascii="宋体" w:hAnsi="宋体" w:cs="宋体"/>
          <w:b/>
          <w:bCs/>
          <w:color w:val="auto"/>
          <w:sz w:val="32"/>
          <w:szCs w:val="32"/>
          <w:highlight w:val="none"/>
        </w:rPr>
      </w:pPr>
    </w:p>
    <w:p>
      <w:pPr>
        <w:spacing w:line="440" w:lineRule="exact"/>
        <w:ind w:firstLine="480" w:firstLineChars="200"/>
        <w:rPr>
          <w:rFonts w:ascii="宋体" w:hAnsi="宋体" w:cs="宋体"/>
          <w:color w:val="auto"/>
          <w:sz w:val="24"/>
          <w:highlight w:val="none"/>
        </w:rPr>
      </w:pPr>
    </w:p>
    <w:p>
      <w:pPr>
        <w:spacing w:line="440" w:lineRule="exact"/>
        <w:rPr>
          <w:rFonts w:ascii="宋体" w:hAnsi="宋体" w:cs="宋体"/>
          <w:color w:val="auto"/>
          <w:sz w:val="24"/>
          <w:highlight w:val="none"/>
        </w:rPr>
      </w:pPr>
      <w:r>
        <w:rPr>
          <w:rFonts w:hint="eastAsia" w:ascii="宋体" w:hAnsi="宋体" w:cs="宋体"/>
          <w:color w:val="auto"/>
          <w:sz w:val="24"/>
          <w:highlight w:val="none"/>
        </w:rPr>
        <w:br w:type="page"/>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评分索引表</w:t>
      </w:r>
    </w:p>
    <w:tbl>
      <w:tblPr>
        <w:tblStyle w:val="37"/>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tcPr>
          <w:p>
            <w:pPr>
              <w:pStyle w:val="76"/>
              <w:shd w:val="clear" w:color="auto" w:fill="FFFFFF"/>
              <w:spacing w:line="265" w:lineRule="atLeast"/>
              <w:ind w:left="420"/>
              <w:jc w:val="center"/>
              <w:rPr>
                <w:rFonts w:ascii="宋体" w:hAnsi="宋体" w:cs="宋体"/>
                <w:b/>
                <w:bCs/>
                <w:color w:val="auto"/>
                <w:highlight w:val="none"/>
                <w:lang w:eastAsia="zh-CN"/>
              </w:rPr>
            </w:pPr>
            <w:r>
              <w:rPr>
                <w:rFonts w:hint="eastAsia" w:ascii="宋体" w:hAnsi="宋体" w:cs="宋体"/>
                <w:b/>
                <w:color w:val="auto"/>
                <w:highlight w:val="none"/>
              </w:rPr>
              <w:t>评分项目</w:t>
            </w:r>
          </w:p>
        </w:tc>
        <w:tc>
          <w:tcPr>
            <w:tcW w:w="3711" w:type="dxa"/>
          </w:tcPr>
          <w:p>
            <w:pPr>
              <w:jc w:val="center"/>
              <w:rPr>
                <w:rFonts w:ascii="宋体" w:hAnsi="宋体" w:cs="宋体"/>
                <w:b/>
                <w:color w:val="auto"/>
                <w:highlight w:val="none"/>
              </w:rPr>
            </w:pPr>
            <w:r>
              <w:rPr>
                <w:rFonts w:hint="eastAsia" w:ascii="宋体" w:hAnsi="宋体" w:cs="宋体"/>
                <w:b/>
                <w:color w:val="auto"/>
                <w:kern w:val="0"/>
                <w:sz w:val="24"/>
                <w:highlight w:val="none"/>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9" w:type="dxa"/>
          </w:tcPr>
          <w:p>
            <w:pPr>
              <w:pStyle w:val="76"/>
              <w:shd w:val="clear" w:color="auto" w:fill="FFFFFF"/>
              <w:spacing w:line="265" w:lineRule="atLeast"/>
              <w:ind w:left="420"/>
              <w:jc w:val="both"/>
              <w:rPr>
                <w:rFonts w:ascii="宋体" w:hAnsi="宋体" w:cs="宋体"/>
                <w:b/>
                <w:color w:val="auto"/>
                <w:highlight w:val="none"/>
                <w:lang w:eastAsia="zh-CN"/>
              </w:rPr>
            </w:pPr>
          </w:p>
        </w:tc>
        <w:tc>
          <w:tcPr>
            <w:tcW w:w="3711" w:type="dxa"/>
          </w:tcPr>
          <w:p>
            <w:pPr>
              <w:rPr>
                <w:rFonts w:ascii="宋体" w:hAnsi="宋体" w:cs="宋体"/>
                <w:b/>
                <w:color w:val="auto"/>
                <w:kern w:val="0"/>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pPr>
              <w:pStyle w:val="76"/>
              <w:shd w:val="clear" w:color="auto" w:fill="FFFFFF"/>
              <w:spacing w:line="265" w:lineRule="atLeast"/>
              <w:ind w:left="420"/>
              <w:jc w:val="both"/>
              <w:rPr>
                <w:rFonts w:ascii="宋体" w:hAnsi="宋体" w:cs="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pPr>
              <w:pStyle w:val="76"/>
              <w:shd w:val="clear" w:color="auto" w:fill="FFFFFF"/>
              <w:spacing w:line="265" w:lineRule="atLeast"/>
              <w:ind w:left="420"/>
              <w:jc w:val="both"/>
              <w:rPr>
                <w:rFonts w:ascii="宋体" w:hAnsi="宋体" w:cs="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pPr>
              <w:pStyle w:val="76"/>
              <w:shd w:val="clear" w:color="auto" w:fill="FFFFFF"/>
              <w:spacing w:line="265" w:lineRule="atLeast"/>
              <w:ind w:left="420"/>
              <w:jc w:val="both"/>
              <w:rPr>
                <w:rFonts w:ascii="宋体" w:hAnsi="宋体" w:cs="宋体"/>
                <w:b/>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tcPr>
          <w:p>
            <w:pPr>
              <w:pStyle w:val="76"/>
              <w:shd w:val="clear" w:color="auto" w:fill="FFFFFF"/>
              <w:spacing w:line="265" w:lineRule="atLeast"/>
              <w:ind w:left="420"/>
              <w:rPr>
                <w:rFonts w:ascii="宋体" w:hAnsi="宋体" w:cs="宋体"/>
                <w:b/>
                <w:bCs/>
                <w:color w:val="auto"/>
                <w:highlight w:val="none"/>
                <w:lang w:eastAsia="zh-CN"/>
              </w:rPr>
            </w:pPr>
          </w:p>
        </w:tc>
        <w:tc>
          <w:tcPr>
            <w:tcW w:w="3711"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tcPr>
          <w:p>
            <w:pPr>
              <w:pStyle w:val="76"/>
              <w:shd w:val="clear" w:color="auto" w:fill="FFFFFF"/>
              <w:spacing w:line="265" w:lineRule="atLeast"/>
              <w:ind w:left="420"/>
              <w:rPr>
                <w:rFonts w:ascii="宋体" w:hAnsi="宋体" w:cs="宋体"/>
                <w:color w:val="auto"/>
                <w:highlight w:val="none"/>
                <w:lang w:eastAsia="zh-CN"/>
              </w:rPr>
            </w:pPr>
          </w:p>
        </w:tc>
        <w:tc>
          <w:tcPr>
            <w:tcW w:w="3711" w:type="dxa"/>
          </w:tcPr>
          <w:p>
            <w:pPr>
              <w:rPr>
                <w:rFonts w:ascii="宋体" w:hAnsi="宋体" w:cs="宋体"/>
                <w:color w:val="auto"/>
                <w:highlight w:val="none"/>
              </w:rPr>
            </w:pPr>
          </w:p>
        </w:tc>
      </w:tr>
    </w:tbl>
    <w:p>
      <w:pPr>
        <w:rPr>
          <w:rFonts w:ascii="宋体" w:hAnsi="宋体" w:cs="宋体"/>
          <w:color w:val="auto"/>
          <w:highlight w:val="none"/>
        </w:rPr>
      </w:pPr>
    </w:p>
    <w:p>
      <w:pPr>
        <w:ind w:firstLine="1084" w:firstLineChars="300"/>
        <w:jc w:val="center"/>
        <w:rPr>
          <w:rFonts w:ascii="宋体" w:hAnsi="宋体" w:cs="宋体"/>
          <w:b/>
          <w:bCs/>
          <w:color w:val="auto"/>
          <w:sz w:val="32"/>
          <w:szCs w:val="32"/>
          <w:highlight w:val="none"/>
        </w:rPr>
      </w:pPr>
      <w:r>
        <w:rPr>
          <w:rFonts w:hint="eastAsia" w:ascii="宋体" w:hAnsi="宋体" w:cs="宋体"/>
          <w:b/>
          <w:color w:val="auto"/>
          <w:sz w:val="36"/>
          <w:highlight w:val="none"/>
          <w:u w:val="single"/>
        </w:rPr>
        <w:br w:type="page"/>
      </w:r>
      <w:r>
        <w:rPr>
          <w:rFonts w:hint="eastAsia" w:ascii="宋体" w:hAnsi="宋体" w:cs="宋体"/>
          <w:b/>
          <w:bCs/>
          <w:color w:val="auto"/>
          <w:sz w:val="32"/>
          <w:szCs w:val="32"/>
          <w:highlight w:val="none"/>
        </w:rPr>
        <w:t>投标主要文件目录</w:t>
      </w:r>
    </w:p>
    <w:p>
      <w:pPr>
        <w:spacing w:line="440" w:lineRule="exact"/>
        <w:jc w:val="center"/>
        <w:rPr>
          <w:rFonts w:ascii="宋体" w:hAnsi="宋体" w:cs="宋体"/>
          <w:b/>
          <w:bCs/>
          <w:color w:val="auto"/>
          <w:sz w:val="32"/>
          <w:szCs w:val="32"/>
          <w:highlight w:val="none"/>
        </w:rPr>
      </w:pPr>
    </w:p>
    <w:p>
      <w:pPr>
        <w:ind w:firstLine="480" w:firstLineChars="200"/>
        <w:rPr>
          <w:rFonts w:ascii="宋体" w:hAnsi="宋体" w:cs="宋体"/>
          <w:color w:val="auto"/>
          <w:sz w:val="24"/>
          <w:highlight w:val="none"/>
        </w:rPr>
      </w:pPr>
      <w:r>
        <w:rPr>
          <w:rFonts w:hint="eastAsia" w:ascii="宋体" w:hAnsi="宋体" w:cs="宋体"/>
          <w:color w:val="auto"/>
          <w:sz w:val="24"/>
          <w:highlight w:val="none"/>
        </w:rPr>
        <w:t>一、资格审查响应对照表</w:t>
      </w:r>
    </w:p>
    <w:p>
      <w:pPr>
        <w:ind w:left="480"/>
        <w:rPr>
          <w:rFonts w:ascii="宋体" w:hAnsi="宋体" w:cs="宋体"/>
          <w:color w:val="auto"/>
          <w:sz w:val="24"/>
          <w:highlight w:val="none"/>
        </w:rPr>
      </w:pPr>
      <w:r>
        <w:rPr>
          <w:rFonts w:hint="eastAsia" w:ascii="宋体" w:hAnsi="宋体" w:cs="宋体"/>
          <w:color w:val="auto"/>
          <w:sz w:val="24"/>
          <w:highlight w:val="none"/>
        </w:rPr>
        <w:t>二、符合性审查响应对照表</w:t>
      </w:r>
    </w:p>
    <w:p>
      <w:pPr>
        <w:ind w:left="480"/>
        <w:rPr>
          <w:rFonts w:ascii="宋体" w:hAnsi="宋体" w:cs="宋体"/>
          <w:color w:val="auto"/>
          <w:sz w:val="24"/>
          <w:highlight w:val="none"/>
        </w:rPr>
      </w:pPr>
      <w:r>
        <w:rPr>
          <w:rFonts w:hint="eastAsia" w:ascii="宋体" w:hAnsi="宋体" w:cs="宋体"/>
          <w:color w:val="auto"/>
          <w:sz w:val="24"/>
          <w:highlight w:val="none"/>
        </w:rPr>
        <w:t>三、非实质性响应对照表</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b/>
          <w:bCs/>
          <w:color w:val="auto"/>
          <w:sz w:val="24"/>
          <w:highlight w:val="none"/>
        </w:rPr>
        <w:t>、</w:t>
      </w:r>
      <w:r>
        <w:rPr>
          <w:rFonts w:hint="eastAsia" w:ascii="宋体" w:hAnsi="宋体" w:cs="宋体"/>
          <w:color w:val="auto"/>
          <w:sz w:val="24"/>
          <w:highlight w:val="none"/>
        </w:rPr>
        <w:t>投标产品配置与分项报价表</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五</w:t>
      </w:r>
      <w:r>
        <w:rPr>
          <w:rFonts w:hint="eastAsia" w:ascii="宋体" w:hAnsi="宋体" w:cs="宋体"/>
          <w:color w:val="auto"/>
          <w:sz w:val="24"/>
          <w:szCs w:val="24"/>
          <w:highlight w:val="none"/>
        </w:rPr>
        <w:t>、技术参数响应及偏离表</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六、商务条款响应及偏离表</w:t>
      </w:r>
    </w:p>
    <w:p>
      <w:pPr>
        <w:ind w:firstLine="480" w:firstLineChars="200"/>
        <w:rPr>
          <w:rFonts w:ascii="宋体" w:hAnsi="宋体" w:cs="宋体"/>
          <w:i/>
          <w:color w:val="auto"/>
          <w:sz w:val="24"/>
          <w:highlight w:val="none"/>
          <w:u w:val="single"/>
        </w:rPr>
      </w:pPr>
      <w:r>
        <w:rPr>
          <w:rFonts w:hint="eastAsia" w:ascii="宋体" w:hAnsi="宋体" w:cs="宋体"/>
          <w:i/>
          <w:color w:val="auto"/>
          <w:sz w:val="24"/>
          <w:highlight w:val="none"/>
          <w:u w:val="single"/>
        </w:rPr>
        <w:t>七、开标一览表</w:t>
      </w:r>
    </w:p>
    <w:p>
      <w:pPr>
        <w:ind w:firstLine="480" w:firstLineChars="200"/>
        <w:rPr>
          <w:rFonts w:ascii="宋体" w:hAnsi="宋体" w:cs="宋体"/>
          <w:color w:val="auto"/>
          <w:highlight w:val="none"/>
        </w:rPr>
      </w:pPr>
      <w:r>
        <w:rPr>
          <w:rFonts w:hint="eastAsia" w:ascii="宋体" w:hAnsi="宋体" w:cs="宋体"/>
          <w:color w:val="auto"/>
          <w:sz w:val="24"/>
          <w:highlight w:val="none"/>
        </w:rPr>
        <w:t>八、供应商认为有必要提供的声明及文件资料</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pStyle w:val="6"/>
        <w:jc w:val="center"/>
        <w:rPr>
          <w:rFonts w:ascii="宋体" w:hAnsi="宋体" w:cs="宋体"/>
          <w:color w:val="auto"/>
          <w:sz w:val="44"/>
          <w:highlight w:val="none"/>
        </w:rPr>
      </w:pPr>
      <w:r>
        <w:rPr>
          <w:rFonts w:hint="eastAsia" w:ascii="宋体" w:hAnsi="宋体" w:cs="宋体"/>
          <w:color w:val="auto"/>
          <w:sz w:val="24"/>
          <w:highlight w:val="none"/>
        </w:rPr>
        <w:br w:type="page"/>
      </w:r>
      <w:bookmarkStart w:id="210" w:name="_Toc534816641"/>
      <w:bookmarkStart w:id="211" w:name="_Toc534725612"/>
      <w:r>
        <w:rPr>
          <w:rFonts w:hint="eastAsia" w:ascii="宋体" w:hAnsi="宋体" w:cs="宋体"/>
          <w:bCs w:val="0"/>
          <w:color w:val="auto"/>
          <w:highlight w:val="none"/>
        </w:rPr>
        <w:t>一、</w:t>
      </w:r>
      <w:bookmarkEnd w:id="210"/>
      <w:bookmarkEnd w:id="211"/>
      <w:r>
        <w:rPr>
          <w:rFonts w:hint="eastAsia" w:ascii="宋体" w:hAnsi="宋体" w:cs="宋体"/>
          <w:bCs w:val="0"/>
          <w:color w:val="auto"/>
          <w:highlight w:val="none"/>
        </w:rPr>
        <w:t>资格审查响应对照表</w:t>
      </w:r>
      <w:bookmarkEnd w:id="207"/>
      <w:bookmarkEnd w:id="208"/>
      <w:bookmarkEnd w:id="209"/>
    </w:p>
    <w:tbl>
      <w:tblPr>
        <w:tblStyle w:val="37"/>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序号</w:t>
            </w:r>
          </w:p>
        </w:tc>
        <w:tc>
          <w:tcPr>
            <w:tcW w:w="5447"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资格审查</w:t>
            </w:r>
            <w:r>
              <w:rPr>
                <w:rFonts w:hint="eastAsia" w:ascii="宋体" w:hAnsi="宋体" w:cs="宋体"/>
                <w:b/>
                <w:color w:val="auto"/>
                <w:highlight w:val="none"/>
                <w:lang w:eastAsia="zh-CN"/>
              </w:rPr>
              <w:t>相应</w:t>
            </w:r>
            <w:r>
              <w:rPr>
                <w:rFonts w:hint="eastAsia" w:ascii="宋体" w:hAnsi="宋体" w:cs="宋体"/>
                <w:b/>
                <w:color w:val="auto"/>
                <w:highlight w:val="none"/>
              </w:rPr>
              <w:t>内容</w:t>
            </w:r>
          </w:p>
        </w:tc>
        <w:tc>
          <w:tcPr>
            <w:tcW w:w="1103"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是否响应</w:t>
            </w:r>
          </w:p>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（填是或否）</w:t>
            </w:r>
          </w:p>
        </w:tc>
        <w:tc>
          <w:tcPr>
            <w:tcW w:w="1916"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12" w:type="dxa"/>
            <w:gridSpan w:val="4"/>
            <w:vAlign w:val="center"/>
          </w:tcPr>
          <w:p>
            <w:pPr>
              <w:rPr>
                <w:rFonts w:ascii="宋体" w:hAnsi="宋体" w:cs="宋体"/>
                <w:b/>
                <w:color w:val="auto"/>
                <w:highlight w:val="none"/>
              </w:rPr>
            </w:pPr>
            <w:r>
              <w:rPr>
                <w:rFonts w:hint="eastAsia" w:ascii="宋体" w:hAnsi="宋体" w:cs="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s="宋体"/>
                <w:b/>
                <w:color w:val="auto"/>
                <w:highlight w:val="none"/>
              </w:rPr>
            </w:pPr>
            <w:r>
              <w:rPr>
                <w:rFonts w:hint="eastAsia" w:ascii="宋体" w:hAnsi="宋体" w:cs="宋体"/>
                <w:b/>
                <w:color w:val="auto"/>
                <w:highlight w:val="none"/>
              </w:rPr>
              <w:t>1</w:t>
            </w:r>
          </w:p>
        </w:tc>
        <w:tc>
          <w:tcPr>
            <w:tcW w:w="5447" w:type="dxa"/>
            <w:vAlign w:val="center"/>
          </w:tcPr>
          <w:p>
            <w:pPr>
              <w:spacing w:line="0" w:lineRule="atLeast"/>
              <w:rPr>
                <w:rFonts w:ascii="宋体" w:hAnsi="宋体" w:cs="宋体"/>
                <w:iCs/>
                <w:color w:val="auto"/>
                <w:sz w:val="24"/>
                <w:szCs w:val="24"/>
                <w:highlight w:val="none"/>
              </w:rPr>
            </w:pPr>
            <w:r>
              <w:rPr>
                <w:rFonts w:hint="eastAsia" w:ascii="宋体" w:hAnsi="宋体" w:cs="宋体"/>
                <w:iCs/>
                <w:color w:val="auto"/>
                <w:sz w:val="24"/>
                <w:szCs w:val="24"/>
                <w:highlight w:val="none"/>
              </w:rPr>
              <w:t>法人或者其他组织的营业执照等证明文件，自然人的身份证明（身份证为正、反面）</w:t>
            </w:r>
          </w:p>
        </w:tc>
        <w:tc>
          <w:tcPr>
            <w:tcW w:w="1103" w:type="dxa"/>
            <w:vAlign w:val="center"/>
          </w:tcPr>
          <w:p>
            <w:pPr>
              <w:rPr>
                <w:rFonts w:ascii="宋体" w:hAnsi="宋体" w:cs="宋体"/>
                <w:b/>
                <w:color w:val="auto"/>
                <w:highlight w:val="none"/>
              </w:rPr>
            </w:pPr>
          </w:p>
        </w:tc>
        <w:tc>
          <w:tcPr>
            <w:tcW w:w="1916" w:type="dxa"/>
            <w:vAlign w:val="center"/>
          </w:tcPr>
          <w:p>
            <w:pPr>
              <w:rPr>
                <w:rFonts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5447" w:type="dxa"/>
            <w:vAlign w:val="center"/>
          </w:tcPr>
          <w:p>
            <w:pPr>
              <w:spacing w:line="0" w:lineRule="atLeast"/>
              <w:rPr>
                <w:rFonts w:ascii="宋体" w:hAnsi="宋体" w:cs="宋体"/>
                <w:iCs/>
                <w:color w:val="auto"/>
                <w:sz w:val="24"/>
                <w:szCs w:val="24"/>
                <w:highlight w:val="none"/>
              </w:rPr>
            </w:pPr>
            <w:r>
              <w:rPr>
                <w:rFonts w:hint="eastAsia" w:ascii="宋体" w:hAnsi="宋体" w:cs="宋体"/>
                <w:iCs/>
                <w:color w:val="auto"/>
                <w:sz w:val="24"/>
                <w:szCs w:val="24"/>
                <w:highlight w:val="none"/>
              </w:rPr>
              <w:t>最近一个年度的财务状况报告（成立不满一年不需提供）</w:t>
            </w:r>
          </w:p>
        </w:tc>
        <w:tc>
          <w:tcPr>
            <w:tcW w:w="1103" w:type="dxa"/>
            <w:vAlign w:val="center"/>
          </w:tcPr>
          <w:p>
            <w:pPr>
              <w:rPr>
                <w:rFonts w:ascii="宋体" w:hAnsi="宋体" w:cs="宋体"/>
                <w:color w:val="auto"/>
                <w:highlight w:val="none"/>
              </w:rPr>
            </w:pPr>
          </w:p>
        </w:tc>
        <w:tc>
          <w:tcPr>
            <w:tcW w:w="1916"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5447" w:type="dxa"/>
            <w:vAlign w:val="center"/>
          </w:tcPr>
          <w:p>
            <w:pPr>
              <w:spacing w:line="0" w:lineRule="atLeast"/>
              <w:rPr>
                <w:rFonts w:ascii="宋体" w:hAnsi="宋体" w:cs="宋体"/>
                <w:iCs/>
                <w:color w:val="auto"/>
                <w:sz w:val="24"/>
                <w:szCs w:val="24"/>
                <w:highlight w:val="none"/>
              </w:rPr>
            </w:pPr>
            <w:r>
              <w:rPr>
                <w:rFonts w:hint="eastAsia" w:ascii="宋体" w:hAnsi="宋体" w:cs="宋体"/>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03" w:type="dxa"/>
            <w:vAlign w:val="center"/>
          </w:tcPr>
          <w:p>
            <w:pPr>
              <w:rPr>
                <w:rFonts w:ascii="宋体" w:hAnsi="宋体" w:cs="宋体"/>
                <w:color w:val="auto"/>
                <w:highlight w:val="none"/>
              </w:rPr>
            </w:pPr>
          </w:p>
        </w:tc>
        <w:tc>
          <w:tcPr>
            <w:tcW w:w="1916"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5447" w:type="dxa"/>
            <w:vAlign w:val="center"/>
          </w:tcPr>
          <w:p>
            <w:pPr>
              <w:spacing w:line="0" w:lineRule="atLeast"/>
              <w:rPr>
                <w:rFonts w:ascii="宋体" w:hAnsi="宋体" w:cs="宋体"/>
                <w:iCs/>
                <w:color w:val="auto"/>
                <w:sz w:val="24"/>
                <w:szCs w:val="24"/>
                <w:highlight w:val="none"/>
              </w:rPr>
            </w:pPr>
            <w:r>
              <w:rPr>
                <w:rFonts w:hint="eastAsia" w:ascii="宋体" w:hAnsi="宋体" w:cs="宋体"/>
                <w:iCs/>
                <w:color w:val="auto"/>
                <w:sz w:val="24"/>
                <w:szCs w:val="24"/>
                <w:highlight w:val="none"/>
              </w:rPr>
              <w:t>具备履行合同所必需的设备和专业技术能力的书面声明</w:t>
            </w:r>
          </w:p>
        </w:tc>
        <w:tc>
          <w:tcPr>
            <w:tcW w:w="1103" w:type="dxa"/>
            <w:vAlign w:val="center"/>
          </w:tcPr>
          <w:p>
            <w:pPr>
              <w:rPr>
                <w:rFonts w:ascii="宋体" w:hAnsi="宋体" w:cs="宋体"/>
                <w:color w:val="auto"/>
                <w:highlight w:val="none"/>
              </w:rPr>
            </w:pPr>
          </w:p>
        </w:tc>
        <w:tc>
          <w:tcPr>
            <w:tcW w:w="1916"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5447" w:type="dxa"/>
            <w:vAlign w:val="center"/>
          </w:tcPr>
          <w:p>
            <w:pPr>
              <w:snapToGrid w:val="0"/>
              <w:spacing w:line="0" w:lineRule="atLeast"/>
              <w:rPr>
                <w:rFonts w:ascii="宋体" w:hAnsi="宋体" w:cs="宋体"/>
                <w:iCs/>
                <w:color w:val="auto"/>
                <w:sz w:val="24"/>
                <w:szCs w:val="24"/>
                <w:highlight w:val="none"/>
              </w:rPr>
            </w:pPr>
            <w:r>
              <w:rPr>
                <w:rFonts w:hint="eastAsia" w:ascii="宋体" w:hAnsi="宋体" w:cs="宋体"/>
                <w:iCs/>
                <w:color w:val="auto"/>
                <w:sz w:val="24"/>
                <w:szCs w:val="24"/>
                <w:highlight w:val="none"/>
              </w:rPr>
              <w:t>参加政府采购活动前 3 年内在经营活动中没有重大违法记录的书面声明</w:t>
            </w:r>
          </w:p>
        </w:tc>
        <w:tc>
          <w:tcPr>
            <w:tcW w:w="1103" w:type="dxa"/>
            <w:vAlign w:val="center"/>
          </w:tcPr>
          <w:p>
            <w:pPr>
              <w:rPr>
                <w:rFonts w:ascii="宋体" w:hAnsi="宋体" w:cs="宋体"/>
                <w:color w:val="auto"/>
                <w:highlight w:val="none"/>
              </w:rPr>
            </w:pPr>
          </w:p>
        </w:tc>
        <w:tc>
          <w:tcPr>
            <w:tcW w:w="1916"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6</w:t>
            </w:r>
          </w:p>
        </w:tc>
        <w:tc>
          <w:tcPr>
            <w:tcW w:w="5447" w:type="dxa"/>
            <w:vAlign w:val="center"/>
          </w:tcPr>
          <w:p>
            <w:pPr>
              <w:snapToGrid w:val="0"/>
              <w:spacing w:line="0" w:lineRule="atLeast"/>
              <w:rPr>
                <w:rFonts w:ascii="宋体" w:hAnsi="宋体" w:cs="宋体"/>
                <w:iCs/>
                <w:color w:val="auto"/>
                <w:sz w:val="24"/>
                <w:szCs w:val="24"/>
                <w:highlight w:val="none"/>
              </w:rPr>
            </w:pPr>
            <w:r>
              <w:rPr>
                <w:rFonts w:hint="eastAsia" w:ascii="宋体" w:hAnsi="宋体" w:cs="宋体"/>
                <w:iCs/>
                <w:color w:val="auto"/>
                <w:sz w:val="24"/>
                <w:szCs w:val="24"/>
                <w:highlight w:val="none"/>
              </w:rPr>
              <w:t>未被“信用中国”网站（www.creditchina.gov.cn）、“中国政府采购网"(www.ccgp.gov.cn)列入失信被执行人、重大税收违法案件当事人名单、政府采购严重失信行为记录名单</w:t>
            </w:r>
            <w:r>
              <w:rPr>
                <w:rFonts w:hint="eastAsia" w:ascii="宋体" w:hAnsi="宋体" w:cs="宋体"/>
                <w:color w:val="auto"/>
                <w:sz w:val="24"/>
                <w:szCs w:val="24"/>
                <w:highlight w:val="none"/>
              </w:rPr>
              <w:t>（提供网页截图）</w:t>
            </w:r>
          </w:p>
        </w:tc>
        <w:tc>
          <w:tcPr>
            <w:tcW w:w="1103" w:type="dxa"/>
            <w:vAlign w:val="center"/>
          </w:tcPr>
          <w:p>
            <w:pPr>
              <w:rPr>
                <w:rFonts w:ascii="宋体" w:hAnsi="宋体" w:cs="宋体"/>
                <w:color w:val="auto"/>
                <w:highlight w:val="none"/>
              </w:rPr>
            </w:pPr>
          </w:p>
        </w:tc>
        <w:tc>
          <w:tcPr>
            <w:tcW w:w="1916"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2" w:type="dxa"/>
            <w:gridSpan w:val="4"/>
            <w:vAlign w:val="center"/>
          </w:tcPr>
          <w:p>
            <w:pPr>
              <w:rPr>
                <w:rFonts w:ascii="宋体" w:hAnsi="宋体" w:cs="宋体"/>
                <w:color w:val="auto"/>
                <w:highlight w:val="none"/>
              </w:rPr>
            </w:pPr>
            <w:r>
              <w:rPr>
                <w:rFonts w:hint="eastAsia" w:ascii="宋体" w:hAnsi="宋体" w:cs="宋体"/>
                <w:b/>
                <w:color w:val="auto"/>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7</w:t>
            </w:r>
          </w:p>
        </w:tc>
        <w:tc>
          <w:tcPr>
            <w:tcW w:w="5447" w:type="dxa"/>
            <w:vAlign w:val="center"/>
          </w:tcPr>
          <w:p>
            <w:pPr>
              <w:snapToGrid w:val="0"/>
              <w:spacing w:line="0" w:lineRule="atLeast"/>
              <w:jc w:val="left"/>
              <w:rPr>
                <w:rFonts w:ascii="宋体" w:hAnsi="宋体" w:cs="宋体"/>
                <w:iCs/>
                <w:color w:val="auto"/>
                <w:sz w:val="24"/>
                <w:szCs w:val="24"/>
                <w:highlight w:val="none"/>
              </w:rPr>
            </w:pPr>
            <w:r>
              <w:rPr>
                <w:rFonts w:hint="eastAsia" w:ascii="宋体" w:hAnsi="宋体" w:cs="宋体"/>
                <w:iCs/>
                <w:color w:val="auto"/>
                <w:sz w:val="24"/>
                <w:szCs w:val="24"/>
                <w:highlight w:val="none"/>
              </w:rPr>
              <w:t>……</w:t>
            </w:r>
          </w:p>
        </w:tc>
        <w:tc>
          <w:tcPr>
            <w:tcW w:w="3019" w:type="dxa"/>
            <w:gridSpan w:val="2"/>
            <w:vAlign w:val="center"/>
          </w:tcPr>
          <w:p>
            <w:pPr>
              <w:rPr>
                <w:rFonts w:ascii="宋体" w:hAnsi="宋体" w:cs="宋体"/>
                <w:color w:val="auto"/>
                <w:highlight w:val="none"/>
              </w:rPr>
            </w:pPr>
            <w:r>
              <w:rPr>
                <w:rFonts w:hint="eastAsia" w:ascii="宋体" w:hAnsi="宋体" w:cs="宋体"/>
                <w:color w:val="auto"/>
                <w:highlight w:val="none"/>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vAlign w:val="center"/>
          </w:tcPr>
          <w:p>
            <w:pPr>
              <w:rPr>
                <w:rFonts w:ascii="宋体" w:hAnsi="宋体" w:cs="宋体"/>
                <w:color w:val="auto"/>
                <w:highlight w:val="none"/>
              </w:rPr>
            </w:pPr>
            <w:r>
              <w:rPr>
                <w:rFonts w:hint="eastAsia" w:ascii="宋体" w:hAnsi="宋体" w:cs="宋体"/>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8</w:t>
            </w:r>
          </w:p>
        </w:tc>
        <w:tc>
          <w:tcPr>
            <w:tcW w:w="5447" w:type="dxa"/>
            <w:vAlign w:val="center"/>
          </w:tcPr>
          <w:p>
            <w:pPr>
              <w:snapToGrid w:val="0"/>
              <w:spacing w:line="0" w:lineRule="atLeast"/>
              <w:jc w:val="left"/>
              <w:rPr>
                <w:rFonts w:ascii="宋体" w:hAnsi="宋体" w:cs="宋体"/>
                <w:iCs/>
                <w:color w:val="auto"/>
                <w:sz w:val="24"/>
                <w:szCs w:val="24"/>
                <w:highlight w:val="none"/>
              </w:rPr>
            </w:pPr>
            <w:r>
              <w:rPr>
                <w:rFonts w:hint="eastAsia" w:ascii="宋体" w:hAnsi="宋体" w:cs="宋体"/>
                <w:iCs/>
                <w:color w:val="auto"/>
                <w:sz w:val="24"/>
                <w:szCs w:val="24"/>
                <w:highlight w:val="none"/>
              </w:rPr>
              <w:t>……</w:t>
            </w:r>
          </w:p>
        </w:tc>
        <w:tc>
          <w:tcPr>
            <w:tcW w:w="3019" w:type="dxa"/>
            <w:gridSpan w:val="2"/>
            <w:vAlign w:val="center"/>
          </w:tcPr>
          <w:p>
            <w:pPr>
              <w:rPr>
                <w:rFonts w:ascii="宋体" w:hAnsi="宋体" w:cs="宋体"/>
                <w:color w:val="auto"/>
                <w:highlight w:val="none"/>
              </w:rPr>
            </w:pPr>
            <w:r>
              <w:rPr>
                <w:rFonts w:hint="eastAsia" w:ascii="宋体" w:hAnsi="宋体" w:cs="宋体"/>
                <w:color w:val="auto"/>
                <w:highlight w:val="none"/>
              </w:rPr>
              <w:t>如该项目设定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12" w:type="dxa"/>
            <w:gridSpan w:val="4"/>
            <w:vAlign w:val="center"/>
          </w:tcPr>
          <w:p>
            <w:pPr>
              <w:rPr>
                <w:rFonts w:ascii="宋体" w:hAnsi="宋体" w:cs="宋体"/>
                <w:color w:val="auto"/>
                <w:highlight w:val="none"/>
              </w:rPr>
            </w:pPr>
            <w:r>
              <w:rPr>
                <w:rFonts w:hint="eastAsia" w:ascii="宋体" w:hAnsi="宋体" w:cs="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9</w:t>
            </w:r>
          </w:p>
        </w:tc>
        <w:tc>
          <w:tcPr>
            <w:tcW w:w="5447" w:type="dxa"/>
            <w:vAlign w:val="center"/>
          </w:tcPr>
          <w:p>
            <w:pPr>
              <w:snapToGrid w:val="0"/>
              <w:spacing w:line="0" w:lineRule="atLeast"/>
              <w:jc w:val="left"/>
              <w:rPr>
                <w:rFonts w:ascii="宋体" w:hAnsi="宋体" w:cs="宋体"/>
                <w:iCs/>
                <w:color w:val="auto"/>
                <w:sz w:val="24"/>
                <w:szCs w:val="24"/>
                <w:highlight w:val="none"/>
              </w:rPr>
            </w:pPr>
            <w:r>
              <w:rPr>
                <w:rFonts w:hint="eastAsia" w:ascii="宋体" w:hAnsi="宋体" w:cs="宋体"/>
                <w:iCs/>
                <w:color w:val="auto"/>
                <w:sz w:val="24"/>
                <w:szCs w:val="24"/>
                <w:highlight w:val="none"/>
              </w:rPr>
              <w:t>法人授权书</w:t>
            </w:r>
          </w:p>
        </w:tc>
        <w:tc>
          <w:tcPr>
            <w:tcW w:w="3019" w:type="dxa"/>
            <w:gridSpan w:val="2"/>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10</w:t>
            </w:r>
          </w:p>
        </w:tc>
        <w:tc>
          <w:tcPr>
            <w:tcW w:w="5447" w:type="dxa"/>
            <w:vAlign w:val="center"/>
          </w:tcPr>
          <w:p>
            <w:pPr>
              <w:snapToGrid w:val="0"/>
              <w:spacing w:line="0" w:lineRule="atLeast"/>
              <w:jc w:val="left"/>
              <w:rPr>
                <w:rFonts w:ascii="宋体" w:hAnsi="宋体" w:cs="宋体"/>
                <w:iCs/>
                <w:color w:val="auto"/>
                <w:sz w:val="24"/>
                <w:szCs w:val="24"/>
                <w:highlight w:val="none"/>
              </w:rPr>
            </w:pPr>
            <w:r>
              <w:rPr>
                <w:rFonts w:hint="eastAsia" w:ascii="宋体" w:hAnsi="宋体" w:cs="宋体"/>
                <w:iCs/>
                <w:color w:val="auto"/>
                <w:sz w:val="24"/>
                <w:szCs w:val="24"/>
                <w:highlight w:val="none"/>
              </w:rPr>
              <w:t>投标保证金缴纳凭证</w:t>
            </w:r>
          </w:p>
        </w:tc>
        <w:tc>
          <w:tcPr>
            <w:tcW w:w="3019" w:type="dxa"/>
            <w:gridSpan w:val="2"/>
            <w:vAlign w:val="center"/>
          </w:tcPr>
          <w:p>
            <w:pPr>
              <w:rPr>
                <w:rFonts w:ascii="宋体" w:hAnsi="宋体" w:cs="宋体"/>
                <w:color w:val="auto"/>
                <w:highlight w:val="none"/>
              </w:rPr>
            </w:pPr>
            <w:r>
              <w:rPr>
                <w:rFonts w:hint="eastAsia" w:ascii="宋体" w:hAnsi="宋体" w:cs="宋体"/>
                <w:color w:val="auto"/>
                <w:highlight w:val="none"/>
              </w:rPr>
              <w:t>如该项目收取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cs="宋体"/>
                <w:color w:val="auto"/>
                <w:highlight w:val="none"/>
              </w:rPr>
            </w:pPr>
          </w:p>
        </w:tc>
        <w:tc>
          <w:tcPr>
            <w:tcW w:w="5447" w:type="dxa"/>
            <w:vAlign w:val="center"/>
          </w:tcPr>
          <w:p>
            <w:pPr>
              <w:snapToGrid w:val="0"/>
              <w:spacing w:line="0" w:lineRule="atLeast"/>
              <w:jc w:val="left"/>
              <w:rPr>
                <w:rFonts w:ascii="宋体" w:hAnsi="宋体" w:cs="宋体"/>
                <w:color w:val="auto"/>
                <w:sz w:val="24"/>
                <w:szCs w:val="24"/>
                <w:highlight w:val="none"/>
              </w:rPr>
            </w:pPr>
          </w:p>
        </w:tc>
        <w:tc>
          <w:tcPr>
            <w:tcW w:w="3019" w:type="dxa"/>
            <w:gridSpan w:val="2"/>
            <w:vAlign w:val="center"/>
          </w:tcPr>
          <w:p>
            <w:pPr>
              <w:rPr>
                <w:rFonts w:ascii="宋体" w:hAnsi="宋体" w:cs="宋体"/>
                <w:color w:val="auto"/>
                <w:highlight w:val="none"/>
              </w:rPr>
            </w:pPr>
          </w:p>
        </w:tc>
      </w:tr>
    </w:tbl>
    <w:p>
      <w:pPr>
        <w:pStyle w:val="2"/>
        <w:ind w:firstLine="600"/>
        <w:rPr>
          <w:rFonts w:ascii="宋体" w:hAnsi="宋体" w:eastAsia="宋体" w:cs="宋体"/>
          <w:color w:val="auto"/>
          <w:highlight w:val="none"/>
        </w:rPr>
        <w:sectPr>
          <w:footerReference r:id="rId4" w:type="first"/>
          <w:pgSz w:w="11906" w:h="16838"/>
          <w:pgMar w:top="1418" w:right="1588" w:bottom="1418" w:left="1365" w:header="851" w:footer="907" w:gutter="0"/>
          <w:cols w:space="720" w:num="1"/>
          <w:titlePg/>
          <w:docGrid w:type="lines" w:linePitch="290" w:charSpace="0"/>
        </w:sect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二、符合性审查响应对照表</w:t>
      </w:r>
    </w:p>
    <w:tbl>
      <w:tblPr>
        <w:tblStyle w:val="3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序号</w:t>
            </w:r>
          </w:p>
        </w:tc>
        <w:tc>
          <w:tcPr>
            <w:tcW w:w="5447"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符合性审查响应内容</w:t>
            </w:r>
          </w:p>
        </w:tc>
        <w:tc>
          <w:tcPr>
            <w:tcW w:w="1680"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是否响应</w:t>
            </w:r>
          </w:p>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（填是或否）</w:t>
            </w:r>
          </w:p>
        </w:tc>
        <w:tc>
          <w:tcPr>
            <w:tcW w:w="1308" w:type="dxa"/>
            <w:vAlign w:val="center"/>
          </w:tcPr>
          <w:p>
            <w:pPr>
              <w:snapToGrid w:val="0"/>
              <w:rPr>
                <w:rFonts w:ascii="宋体" w:hAnsi="宋体" w:cs="宋体"/>
                <w:b/>
                <w:color w:val="auto"/>
                <w:highlight w:val="none"/>
              </w:rPr>
            </w:pPr>
            <w:r>
              <w:rPr>
                <w:rFonts w:hint="eastAsia" w:ascii="宋体" w:hAnsi="宋体" w:cs="宋体"/>
                <w:b/>
                <w:color w:val="auto"/>
                <w:highlight w:val="none"/>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5447" w:type="dxa"/>
            <w:vAlign w:val="center"/>
          </w:tcPr>
          <w:p>
            <w:pPr>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报价未超预算</w:t>
            </w:r>
          </w:p>
        </w:tc>
        <w:tc>
          <w:tcPr>
            <w:tcW w:w="1680" w:type="dxa"/>
            <w:vAlign w:val="center"/>
          </w:tcPr>
          <w:p>
            <w:pPr>
              <w:rPr>
                <w:rFonts w:ascii="宋体" w:hAnsi="宋体" w:cs="宋体"/>
                <w:color w:val="auto"/>
                <w:highlight w:val="none"/>
              </w:rPr>
            </w:pPr>
          </w:p>
        </w:tc>
        <w:tc>
          <w:tcPr>
            <w:tcW w:w="1308"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5447" w:type="dxa"/>
            <w:vAlign w:val="center"/>
          </w:tcPr>
          <w:p>
            <w:pPr>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按照招标文件规定要求签署、盖章</w:t>
            </w:r>
          </w:p>
        </w:tc>
        <w:tc>
          <w:tcPr>
            <w:tcW w:w="1680" w:type="dxa"/>
            <w:vAlign w:val="center"/>
          </w:tcPr>
          <w:p>
            <w:pPr>
              <w:rPr>
                <w:rFonts w:ascii="宋体" w:hAnsi="宋体" w:cs="宋体"/>
                <w:color w:val="auto"/>
                <w:highlight w:val="none"/>
              </w:rPr>
            </w:pPr>
          </w:p>
        </w:tc>
        <w:tc>
          <w:tcPr>
            <w:tcW w:w="1308"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5447" w:type="dxa"/>
            <w:vAlign w:val="center"/>
          </w:tcPr>
          <w:p>
            <w:pPr>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供应商在报价时未采用选择性报价</w:t>
            </w:r>
          </w:p>
          <w:p>
            <w:pPr>
              <w:spacing w:line="0" w:lineRule="atLeast"/>
              <w:rPr>
                <w:rFonts w:ascii="宋体" w:hAnsi="宋体" w:cs="宋体"/>
                <w:color w:val="auto"/>
                <w:sz w:val="24"/>
                <w:szCs w:val="24"/>
                <w:highlight w:val="none"/>
              </w:rPr>
            </w:pPr>
          </w:p>
        </w:tc>
        <w:tc>
          <w:tcPr>
            <w:tcW w:w="1680" w:type="dxa"/>
            <w:vAlign w:val="center"/>
          </w:tcPr>
          <w:p>
            <w:pPr>
              <w:rPr>
                <w:rFonts w:ascii="宋体" w:hAnsi="宋体" w:cs="宋体"/>
                <w:color w:val="auto"/>
                <w:highlight w:val="none"/>
              </w:rPr>
            </w:pPr>
          </w:p>
        </w:tc>
        <w:tc>
          <w:tcPr>
            <w:tcW w:w="1308"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5447" w:type="dxa"/>
            <w:vAlign w:val="center"/>
          </w:tcPr>
          <w:p>
            <w:pPr>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符合招标文件中规定的实质性要求和条件的（本招标文件中斜体且有下划线部分为实质性要求和条件）</w:t>
            </w:r>
          </w:p>
        </w:tc>
        <w:tc>
          <w:tcPr>
            <w:tcW w:w="1680" w:type="dxa"/>
            <w:vAlign w:val="center"/>
          </w:tcPr>
          <w:p>
            <w:pPr>
              <w:rPr>
                <w:rFonts w:ascii="宋体" w:hAnsi="宋体" w:cs="宋体"/>
                <w:color w:val="auto"/>
                <w:highlight w:val="none"/>
              </w:rPr>
            </w:pPr>
          </w:p>
        </w:tc>
        <w:tc>
          <w:tcPr>
            <w:tcW w:w="1308"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5447" w:type="dxa"/>
            <w:vAlign w:val="center"/>
          </w:tcPr>
          <w:p>
            <w:pPr>
              <w:spacing w:line="0" w:lineRule="atLeast"/>
              <w:rPr>
                <w:rFonts w:ascii="宋体" w:hAnsi="宋体" w:cs="宋体"/>
                <w:color w:val="auto"/>
                <w:sz w:val="24"/>
                <w:szCs w:val="24"/>
                <w:highlight w:val="none"/>
              </w:rPr>
            </w:pPr>
            <w:r>
              <w:rPr>
                <w:rFonts w:hint="eastAsia" w:ascii="宋体" w:hAnsi="宋体" w:cs="宋体"/>
                <w:color w:val="auto"/>
                <w:sz w:val="24"/>
                <w:szCs w:val="24"/>
                <w:highlight w:val="none"/>
              </w:rPr>
              <w:t>未含有采购人不能接受的附加条件的</w:t>
            </w:r>
          </w:p>
        </w:tc>
        <w:tc>
          <w:tcPr>
            <w:tcW w:w="1680" w:type="dxa"/>
            <w:vAlign w:val="center"/>
          </w:tcPr>
          <w:p>
            <w:pPr>
              <w:rPr>
                <w:rFonts w:ascii="宋体" w:hAnsi="宋体" w:cs="宋体"/>
                <w:color w:val="auto"/>
                <w:highlight w:val="none"/>
              </w:rPr>
            </w:pPr>
          </w:p>
        </w:tc>
        <w:tc>
          <w:tcPr>
            <w:tcW w:w="1308" w:type="dxa"/>
            <w:vAlign w:val="center"/>
          </w:tcPr>
          <w:p>
            <w:pPr>
              <w:rPr>
                <w:rFonts w:ascii="宋体" w:hAnsi="宋体" w:cs="宋体"/>
                <w:color w:val="auto"/>
                <w:highlight w:val="none"/>
              </w:rPr>
            </w:pPr>
          </w:p>
        </w:tc>
      </w:tr>
    </w:tbl>
    <w:p>
      <w:pPr>
        <w:snapToGrid w:val="0"/>
        <w:spacing w:before="50" w:after="50"/>
        <w:rPr>
          <w:rFonts w:ascii="宋体" w:hAnsi="宋体" w:cs="宋体"/>
          <w:color w:val="auto"/>
          <w:sz w:val="32"/>
          <w:szCs w:val="32"/>
          <w:highlight w:val="none"/>
        </w:rPr>
      </w:pPr>
    </w:p>
    <w:p>
      <w:pPr>
        <w:snapToGrid w:val="0"/>
        <w:spacing w:before="50" w:after="50"/>
        <w:rPr>
          <w:rFonts w:ascii="宋体" w:hAnsi="宋体" w:cs="宋体"/>
          <w:b/>
          <w:color w:val="auto"/>
          <w:sz w:val="24"/>
          <w:highlight w:val="none"/>
        </w:rPr>
      </w:pPr>
      <w:r>
        <w:rPr>
          <w:rFonts w:hint="eastAsia" w:ascii="宋体" w:hAnsi="宋体" w:cs="宋体"/>
          <w:color w:val="auto"/>
          <w:sz w:val="44"/>
          <w:highlight w:val="none"/>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三、非实质性响应对照表</w:t>
      </w:r>
    </w:p>
    <w:tbl>
      <w:tblPr>
        <w:tblStyle w:val="3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序号</w:t>
            </w:r>
          </w:p>
        </w:tc>
        <w:tc>
          <w:tcPr>
            <w:tcW w:w="5447"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非实质性响应内容</w:t>
            </w:r>
          </w:p>
        </w:tc>
        <w:tc>
          <w:tcPr>
            <w:tcW w:w="1680"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是否响应</w:t>
            </w:r>
          </w:p>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（填是或者否）</w:t>
            </w:r>
          </w:p>
        </w:tc>
        <w:tc>
          <w:tcPr>
            <w:tcW w:w="1308" w:type="dxa"/>
            <w:vAlign w:val="center"/>
          </w:tcPr>
          <w:p>
            <w:pPr>
              <w:snapToGrid w:val="0"/>
              <w:spacing w:line="240" w:lineRule="atLeast"/>
              <w:jc w:val="center"/>
              <w:rPr>
                <w:rFonts w:ascii="宋体" w:hAnsi="宋体" w:cs="宋体"/>
                <w:b/>
                <w:color w:val="auto"/>
                <w:highlight w:val="none"/>
              </w:rPr>
            </w:pPr>
            <w:r>
              <w:rPr>
                <w:rFonts w:hint="eastAsia" w:ascii="宋体" w:hAnsi="宋体" w:cs="宋体"/>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s="宋体"/>
                <w:b/>
                <w:color w:val="auto"/>
                <w:highlight w:val="none"/>
              </w:rPr>
            </w:pPr>
            <w:r>
              <w:rPr>
                <w:rFonts w:hint="eastAsia" w:ascii="宋体" w:hAnsi="宋体" w:cs="宋体"/>
                <w:b/>
                <w:color w:val="auto"/>
                <w:highlight w:val="none"/>
              </w:rPr>
              <w:t>1</w:t>
            </w:r>
          </w:p>
        </w:tc>
        <w:tc>
          <w:tcPr>
            <w:tcW w:w="5447" w:type="dxa"/>
            <w:vAlign w:val="center"/>
          </w:tcPr>
          <w:p>
            <w:pPr>
              <w:spacing w:line="0" w:lineRule="atLeast"/>
              <w:rPr>
                <w:rFonts w:ascii="宋体" w:hAnsi="宋体" w:cs="宋体"/>
                <w:iCs/>
                <w:color w:val="auto"/>
                <w:sz w:val="24"/>
                <w:szCs w:val="24"/>
                <w:highlight w:val="none"/>
              </w:rPr>
            </w:pPr>
            <w:r>
              <w:rPr>
                <w:rFonts w:hint="eastAsia" w:ascii="宋体" w:hAnsi="宋体" w:cs="宋体"/>
                <w:color w:val="auto"/>
                <w:sz w:val="24"/>
                <w:szCs w:val="24"/>
                <w:highlight w:val="none"/>
              </w:rPr>
              <w:t>《企业声明函》</w:t>
            </w:r>
          </w:p>
        </w:tc>
        <w:tc>
          <w:tcPr>
            <w:tcW w:w="1680" w:type="dxa"/>
            <w:vAlign w:val="center"/>
          </w:tcPr>
          <w:p>
            <w:pPr>
              <w:rPr>
                <w:rFonts w:ascii="宋体" w:hAnsi="宋体" w:cs="宋体"/>
                <w:b/>
                <w:color w:val="auto"/>
                <w:highlight w:val="none"/>
              </w:rPr>
            </w:pPr>
          </w:p>
        </w:tc>
        <w:tc>
          <w:tcPr>
            <w:tcW w:w="1308" w:type="dxa"/>
            <w:vAlign w:val="center"/>
          </w:tcPr>
          <w:p>
            <w:pPr>
              <w:rPr>
                <w:rFonts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5447" w:type="dxa"/>
            <w:vAlign w:val="center"/>
          </w:tcPr>
          <w:p>
            <w:pPr>
              <w:spacing w:line="0" w:lineRule="atLeast"/>
              <w:rPr>
                <w:rFonts w:ascii="宋体" w:hAnsi="宋体" w:cs="宋体"/>
                <w:iCs/>
                <w:color w:val="auto"/>
                <w:sz w:val="24"/>
                <w:szCs w:val="24"/>
                <w:highlight w:val="none"/>
              </w:rPr>
            </w:pPr>
            <w:r>
              <w:rPr>
                <w:rFonts w:hint="eastAsia" w:ascii="宋体" w:hAnsi="宋体" w:cs="宋体"/>
                <w:color w:val="auto"/>
                <w:sz w:val="24"/>
                <w:szCs w:val="24"/>
                <w:highlight w:val="none"/>
              </w:rPr>
              <w:t>《残疾人福利性单位声明函》</w:t>
            </w:r>
          </w:p>
        </w:tc>
        <w:tc>
          <w:tcPr>
            <w:tcW w:w="1680" w:type="dxa"/>
            <w:vAlign w:val="center"/>
          </w:tcPr>
          <w:p>
            <w:pPr>
              <w:rPr>
                <w:rFonts w:ascii="宋体" w:hAnsi="宋体" w:cs="宋体"/>
                <w:color w:val="auto"/>
                <w:highlight w:val="none"/>
              </w:rPr>
            </w:pPr>
          </w:p>
        </w:tc>
        <w:tc>
          <w:tcPr>
            <w:tcW w:w="1308" w:type="dxa"/>
            <w:vAlign w:val="center"/>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5447" w:type="dxa"/>
            <w:vAlign w:val="center"/>
          </w:tcPr>
          <w:p>
            <w:pPr>
              <w:snapToGrid w:val="0"/>
              <w:spacing w:line="0" w:lineRule="atLeast"/>
              <w:rPr>
                <w:rFonts w:ascii="宋体" w:hAnsi="宋体" w:cs="宋体"/>
                <w:iCs/>
                <w:color w:val="auto"/>
                <w:sz w:val="24"/>
                <w:szCs w:val="24"/>
                <w:highlight w:val="none"/>
              </w:rPr>
            </w:pPr>
            <w:r>
              <w:rPr>
                <w:rFonts w:hint="eastAsia" w:ascii="宋体" w:hAnsi="宋体" w:cs="宋体"/>
                <w:iCs/>
                <w:color w:val="auto"/>
                <w:sz w:val="24"/>
                <w:szCs w:val="24"/>
                <w:highlight w:val="none"/>
              </w:rPr>
              <w:t>……</w:t>
            </w:r>
          </w:p>
        </w:tc>
        <w:tc>
          <w:tcPr>
            <w:tcW w:w="1680" w:type="dxa"/>
            <w:vAlign w:val="center"/>
          </w:tcPr>
          <w:p>
            <w:pPr>
              <w:rPr>
                <w:rFonts w:ascii="宋体" w:hAnsi="宋体" w:cs="宋体"/>
                <w:color w:val="auto"/>
                <w:highlight w:val="none"/>
              </w:rPr>
            </w:pPr>
          </w:p>
        </w:tc>
        <w:tc>
          <w:tcPr>
            <w:tcW w:w="1308" w:type="dxa"/>
            <w:vAlign w:val="center"/>
          </w:tcPr>
          <w:p>
            <w:pPr>
              <w:rPr>
                <w:rFonts w:ascii="宋体" w:hAnsi="宋体" w:cs="宋体"/>
                <w:color w:val="auto"/>
                <w:highlight w:val="none"/>
              </w:rPr>
            </w:pPr>
          </w:p>
        </w:tc>
      </w:tr>
    </w:tbl>
    <w:p>
      <w:pPr>
        <w:snapToGrid w:val="0"/>
        <w:spacing w:before="50" w:after="50"/>
        <w:ind w:firstLine="481" w:firstLineChars="200"/>
        <w:rPr>
          <w:rFonts w:ascii="宋体" w:hAnsi="宋体" w:cs="宋体"/>
          <w:b/>
          <w:bCs/>
          <w:color w:val="auto"/>
          <w:sz w:val="24"/>
          <w:highlight w:val="none"/>
        </w:rPr>
      </w:pPr>
    </w:p>
    <w:p>
      <w:pPr>
        <w:pStyle w:val="8"/>
        <w:ind w:firstLine="0"/>
        <w:jc w:val="center"/>
        <w:rPr>
          <w:rFonts w:ascii="宋体" w:hAnsi="宋体" w:cs="宋体"/>
          <w:b/>
          <w:bCs/>
          <w:color w:val="auto"/>
          <w:sz w:val="30"/>
          <w:szCs w:val="30"/>
          <w:highlight w:val="none"/>
        </w:rPr>
        <w:sectPr>
          <w:pgSz w:w="11906" w:h="16838"/>
          <w:pgMar w:top="1418" w:right="1588" w:bottom="1418" w:left="1365" w:header="851" w:footer="907" w:gutter="0"/>
          <w:cols w:space="720" w:num="1"/>
          <w:titlePg/>
          <w:docGrid w:type="lines" w:linePitch="290" w:charSpace="0"/>
        </w:sectPr>
      </w:pPr>
      <w:bookmarkStart w:id="212" w:name="_Toc534725614"/>
      <w:bookmarkStart w:id="213" w:name="_Toc534816643"/>
      <w:bookmarkStart w:id="214" w:name="_Toc120614284"/>
    </w:p>
    <w:p>
      <w:pPr>
        <w:pStyle w:val="8"/>
        <w:ind w:firstLine="0"/>
        <w:jc w:val="center"/>
        <w:rPr>
          <w:rFonts w:ascii="宋体" w:hAnsi="宋体" w:cs="宋体"/>
          <w:b/>
          <w:bCs/>
          <w:color w:val="auto"/>
          <w:sz w:val="30"/>
          <w:szCs w:val="30"/>
          <w:highlight w:val="none"/>
        </w:rPr>
      </w:pPr>
    </w:p>
    <w:bookmarkEnd w:id="212"/>
    <w:bookmarkEnd w:id="213"/>
    <w:p>
      <w:pPr>
        <w:pStyle w:val="6"/>
        <w:ind w:firstLine="1927" w:firstLineChars="600"/>
        <w:rPr>
          <w:rFonts w:ascii="宋体" w:hAnsi="宋体" w:cs="宋体"/>
          <w:color w:val="auto"/>
          <w:highlight w:val="none"/>
        </w:rPr>
      </w:pPr>
      <w:r>
        <w:rPr>
          <w:rFonts w:hint="eastAsia" w:ascii="宋体" w:hAnsi="宋体" w:cs="宋体"/>
          <w:color w:val="auto"/>
          <w:highlight w:val="none"/>
        </w:rPr>
        <w:t>四、投标产品配置及分项报价表</w:t>
      </w:r>
    </w:p>
    <w:tbl>
      <w:tblPr>
        <w:tblStyle w:val="37"/>
        <w:tblW w:w="14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4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403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标的物名称</w:t>
            </w:r>
          </w:p>
        </w:tc>
        <w:tc>
          <w:tcPr>
            <w:tcW w:w="3217"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品牌、规格、型号</w:t>
            </w:r>
          </w:p>
        </w:tc>
        <w:tc>
          <w:tcPr>
            <w:tcW w:w="993"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708" w:type="dxa"/>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993"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单价</w:t>
            </w:r>
          </w:p>
        </w:tc>
        <w:tc>
          <w:tcPr>
            <w:tcW w:w="113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交付期/服务期</w:t>
            </w:r>
          </w:p>
        </w:tc>
        <w:tc>
          <w:tcPr>
            <w:tcW w:w="113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产地</w:t>
            </w:r>
          </w:p>
        </w:tc>
        <w:tc>
          <w:tcPr>
            <w:tcW w:w="1387"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032" w:type="dxa"/>
            <w:vAlign w:val="center"/>
          </w:tcPr>
          <w:p>
            <w:pPr>
              <w:rPr>
                <w:rFonts w:ascii="宋体" w:hAnsi="宋体" w:cs="宋体"/>
                <w:color w:val="auto"/>
                <w:sz w:val="24"/>
                <w:szCs w:val="24"/>
                <w:highlight w:val="none"/>
              </w:rPr>
            </w:pPr>
          </w:p>
        </w:tc>
        <w:tc>
          <w:tcPr>
            <w:tcW w:w="3217" w:type="dxa"/>
            <w:vAlign w:val="center"/>
          </w:tcPr>
          <w:p>
            <w:pPr>
              <w:jc w:val="center"/>
              <w:rPr>
                <w:rFonts w:ascii="宋体" w:hAnsi="宋体" w:cs="宋体"/>
                <w:color w:val="auto"/>
                <w:sz w:val="24"/>
                <w:szCs w:val="24"/>
                <w:highlight w:val="none"/>
              </w:rPr>
            </w:pPr>
          </w:p>
        </w:tc>
        <w:tc>
          <w:tcPr>
            <w:tcW w:w="993" w:type="dxa"/>
            <w:vAlign w:val="center"/>
          </w:tcPr>
          <w:p>
            <w:pPr>
              <w:rPr>
                <w:rFonts w:ascii="宋体" w:hAnsi="宋体" w:cs="宋体"/>
                <w:color w:val="auto"/>
                <w:sz w:val="24"/>
                <w:szCs w:val="24"/>
                <w:highlight w:val="none"/>
              </w:rPr>
            </w:pPr>
          </w:p>
        </w:tc>
        <w:tc>
          <w:tcPr>
            <w:tcW w:w="708" w:type="dxa"/>
          </w:tcPr>
          <w:p>
            <w:pPr>
              <w:rPr>
                <w:rFonts w:ascii="宋体" w:hAnsi="宋体" w:cs="宋体"/>
                <w:color w:val="auto"/>
                <w:sz w:val="24"/>
                <w:szCs w:val="24"/>
                <w:highlight w:val="none"/>
              </w:rPr>
            </w:pPr>
          </w:p>
        </w:tc>
        <w:tc>
          <w:tcPr>
            <w:tcW w:w="993" w:type="dxa"/>
            <w:vAlign w:val="center"/>
          </w:tcPr>
          <w:p>
            <w:pPr>
              <w:rPr>
                <w:rFonts w:ascii="宋体" w:hAnsi="宋体" w:cs="宋体"/>
                <w:color w:val="auto"/>
                <w:sz w:val="24"/>
                <w:szCs w:val="24"/>
                <w:highlight w:val="none"/>
              </w:rPr>
            </w:pPr>
          </w:p>
        </w:tc>
        <w:tc>
          <w:tcPr>
            <w:tcW w:w="1134" w:type="dxa"/>
            <w:vAlign w:val="center"/>
          </w:tcPr>
          <w:p>
            <w:pPr>
              <w:rPr>
                <w:rFonts w:ascii="宋体" w:hAnsi="宋体" w:cs="宋体"/>
                <w:color w:val="auto"/>
                <w:sz w:val="24"/>
                <w:szCs w:val="24"/>
                <w:highlight w:val="none"/>
              </w:rPr>
            </w:pPr>
          </w:p>
        </w:tc>
        <w:tc>
          <w:tcPr>
            <w:tcW w:w="1134" w:type="dxa"/>
            <w:vAlign w:val="center"/>
          </w:tcPr>
          <w:p>
            <w:pPr>
              <w:rPr>
                <w:rFonts w:ascii="宋体" w:hAnsi="宋体" w:cs="宋体"/>
                <w:color w:val="auto"/>
                <w:sz w:val="24"/>
                <w:szCs w:val="24"/>
                <w:highlight w:val="none"/>
              </w:rPr>
            </w:pPr>
          </w:p>
        </w:tc>
        <w:tc>
          <w:tcPr>
            <w:tcW w:w="1387"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032" w:type="dxa"/>
            <w:vAlign w:val="center"/>
          </w:tcPr>
          <w:p>
            <w:pPr>
              <w:rPr>
                <w:rFonts w:ascii="宋体" w:hAnsi="宋体" w:cs="宋体"/>
                <w:color w:val="auto"/>
                <w:sz w:val="24"/>
                <w:szCs w:val="24"/>
                <w:highlight w:val="none"/>
              </w:rPr>
            </w:pPr>
          </w:p>
        </w:tc>
        <w:tc>
          <w:tcPr>
            <w:tcW w:w="3217" w:type="dxa"/>
            <w:vAlign w:val="center"/>
          </w:tcPr>
          <w:p>
            <w:pPr>
              <w:jc w:val="center"/>
              <w:rPr>
                <w:rFonts w:ascii="宋体" w:hAnsi="宋体" w:cs="宋体"/>
                <w:color w:val="auto"/>
                <w:sz w:val="24"/>
                <w:szCs w:val="24"/>
                <w:highlight w:val="none"/>
              </w:rPr>
            </w:pPr>
          </w:p>
        </w:tc>
        <w:tc>
          <w:tcPr>
            <w:tcW w:w="993" w:type="dxa"/>
            <w:vAlign w:val="center"/>
          </w:tcPr>
          <w:p>
            <w:pPr>
              <w:rPr>
                <w:rFonts w:ascii="宋体" w:hAnsi="宋体" w:cs="宋体"/>
                <w:color w:val="auto"/>
                <w:sz w:val="24"/>
                <w:szCs w:val="24"/>
                <w:highlight w:val="none"/>
              </w:rPr>
            </w:pPr>
          </w:p>
        </w:tc>
        <w:tc>
          <w:tcPr>
            <w:tcW w:w="708" w:type="dxa"/>
          </w:tcPr>
          <w:p>
            <w:pPr>
              <w:rPr>
                <w:rFonts w:ascii="宋体" w:hAnsi="宋体" w:cs="宋体"/>
                <w:color w:val="auto"/>
                <w:sz w:val="24"/>
                <w:szCs w:val="24"/>
                <w:highlight w:val="none"/>
              </w:rPr>
            </w:pPr>
          </w:p>
        </w:tc>
        <w:tc>
          <w:tcPr>
            <w:tcW w:w="993" w:type="dxa"/>
            <w:vAlign w:val="center"/>
          </w:tcPr>
          <w:p>
            <w:pPr>
              <w:rPr>
                <w:rFonts w:ascii="宋体" w:hAnsi="宋体" w:cs="宋体"/>
                <w:color w:val="auto"/>
                <w:sz w:val="24"/>
                <w:szCs w:val="24"/>
                <w:highlight w:val="none"/>
              </w:rPr>
            </w:pPr>
          </w:p>
        </w:tc>
        <w:tc>
          <w:tcPr>
            <w:tcW w:w="1134" w:type="dxa"/>
            <w:vAlign w:val="center"/>
          </w:tcPr>
          <w:p>
            <w:pPr>
              <w:rPr>
                <w:rFonts w:ascii="宋体" w:hAnsi="宋体" w:cs="宋体"/>
                <w:color w:val="auto"/>
                <w:sz w:val="24"/>
                <w:szCs w:val="24"/>
                <w:highlight w:val="none"/>
              </w:rPr>
            </w:pPr>
          </w:p>
        </w:tc>
        <w:tc>
          <w:tcPr>
            <w:tcW w:w="1134" w:type="dxa"/>
            <w:vAlign w:val="center"/>
          </w:tcPr>
          <w:p>
            <w:pPr>
              <w:rPr>
                <w:rFonts w:ascii="宋体" w:hAnsi="宋体" w:cs="宋体"/>
                <w:color w:val="auto"/>
                <w:sz w:val="24"/>
                <w:szCs w:val="24"/>
                <w:highlight w:val="none"/>
              </w:rPr>
            </w:pPr>
          </w:p>
        </w:tc>
        <w:tc>
          <w:tcPr>
            <w:tcW w:w="1387"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4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4032" w:type="dxa"/>
            <w:vAlign w:val="center"/>
          </w:tcPr>
          <w:p>
            <w:pPr>
              <w:rPr>
                <w:rFonts w:ascii="宋体" w:hAnsi="宋体" w:cs="宋体"/>
                <w:color w:val="auto"/>
                <w:sz w:val="24"/>
                <w:szCs w:val="24"/>
                <w:highlight w:val="none"/>
              </w:rPr>
            </w:pPr>
          </w:p>
        </w:tc>
        <w:tc>
          <w:tcPr>
            <w:tcW w:w="3217" w:type="dxa"/>
            <w:vAlign w:val="center"/>
          </w:tcPr>
          <w:p>
            <w:pPr>
              <w:jc w:val="center"/>
              <w:rPr>
                <w:rFonts w:ascii="宋体" w:hAnsi="宋体" w:cs="宋体"/>
                <w:color w:val="auto"/>
                <w:sz w:val="24"/>
                <w:szCs w:val="24"/>
                <w:highlight w:val="none"/>
              </w:rPr>
            </w:pPr>
          </w:p>
        </w:tc>
        <w:tc>
          <w:tcPr>
            <w:tcW w:w="993" w:type="dxa"/>
            <w:vAlign w:val="center"/>
          </w:tcPr>
          <w:p>
            <w:pPr>
              <w:rPr>
                <w:rFonts w:ascii="宋体" w:hAnsi="宋体" w:cs="宋体"/>
                <w:color w:val="auto"/>
                <w:sz w:val="24"/>
                <w:szCs w:val="24"/>
                <w:highlight w:val="none"/>
              </w:rPr>
            </w:pPr>
          </w:p>
        </w:tc>
        <w:tc>
          <w:tcPr>
            <w:tcW w:w="708" w:type="dxa"/>
          </w:tcPr>
          <w:p>
            <w:pPr>
              <w:rPr>
                <w:rFonts w:ascii="宋体" w:hAnsi="宋体" w:cs="宋体"/>
                <w:color w:val="auto"/>
                <w:sz w:val="24"/>
                <w:szCs w:val="24"/>
                <w:highlight w:val="none"/>
              </w:rPr>
            </w:pPr>
          </w:p>
        </w:tc>
        <w:tc>
          <w:tcPr>
            <w:tcW w:w="993" w:type="dxa"/>
            <w:vAlign w:val="center"/>
          </w:tcPr>
          <w:p>
            <w:pPr>
              <w:rPr>
                <w:rFonts w:ascii="宋体" w:hAnsi="宋体" w:cs="宋体"/>
                <w:color w:val="auto"/>
                <w:sz w:val="24"/>
                <w:szCs w:val="24"/>
                <w:highlight w:val="none"/>
              </w:rPr>
            </w:pPr>
          </w:p>
        </w:tc>
        <w:tc>
          <w:tcPr>
            <w:tcW w:w="1134" w:type="dxa"/>
            <w:vAlign w:val="center"/>
          </w:tcPr>
          <w:p>
            <w:pPr>
              <w:rPr>
                <w:rFonts w:ascii="宋体" w:hAnsi="宋体" w:cs="宋体"/>
                <w:color w:val="auto"/>
                <w:sz w:val="24"/>
                <w:szCs w:val="24"/>
                <w:highlight w:val="none"/>
              </w:rPr>
            </w:pPr>
          </w:p>
        </w:tc>
        <w:tc>
          <w:tcPr>
            <w:tcW w:w="1134" w:type="dxa"/>
            <w:vAlign w:val="center"/>
          </w:tcPr>
          <w:p>
            <w:pPr>
              <w:rPr>
                <w:rFonts w:ascii="宋体" w:hAnsi="宋体" w:cs="宋体"/>
                <w:color w:val="auto"/>
                <w:sz w:val="24"/>
                <w:szCs w:val="24"/>
                <w:highlight w:val="none"/>
              </w:rPr>
            </w:pPr>
          </w:p>
        </w:tc>
        <w:tc>
          <w:tcPr>
            <w:tcW w:w="1387"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4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4032" w:type="dxa"/>
            <w:vAlign w:val="center"/>
          </w:tcPr>
          <w:p>
            <w:pPr>
              <w:rPr>
                <w:rFonts w:ascii="宋体" w:hAnsi="宋体" w:cs="宋体"/>
                <w:color w:val="auto"/>
                <w:sz w:val="24"/>
                <w:szCs w:val="24"/>
                <w:highlight w:val="none"/>
              </w:rPr>
            </w:pPr>
          </w:p>
        </w:tc>
        <w:tc>
          <w:tcPr>
            <w:tcW w:w="3217" w:type="dxa"/>
            <w:vAlign w:val="center"/>
          </w:tcPr>
          <w:p>
            <w:pPr>
              <w:jc w:val="center"/>
              <w:rPr>
                <w:rFonts w:ascii="宋体" w:hAnsi="宋体" w:cs="宋体"/>
                <w:color w:val="auto"/>
                <w:sz w:val="24"/>
                <w:szCs w:val="24"/>
                <w:highlight w:val="none"/>
              </w:rPr>
            </w:pPr>
          </w:p>
        </w:tc>
        <w:tc>
          <w:tcPr>
            <w:tcW w:w="993" w:type="dxa"/>
            <w:vAlign w:val="center"/>
          </w:tcPr>
          <w:p>
            <w:pPr>
              <w:rPr>
                <w:rFonts w:ascii="宋体" w:hAnsi="宋体" w:cs="宋体"/>
                <w:color w:val="auto"/>
                <w:sz w:val="24"/>
                <w:szCs w:val="24"/>
                <w:highlight w:val="none"/>
              </w:rPr>
            </w:pPr>
          </w:p>
        </w:tc>
        <w:tc>
          <w:tcPr>
            <w:tcW w:w="708" w:type="dxa"/>
          </w:tcPr>
          <w:p>
            <w:pPr>
              <w:rPr>
                <w:rFonts w:ascii="宋体" w:hAnsi="宋体" w:cs="宋体"/>
                <w:color w:val="auto"/>
                <w:sz w:val="24"/>
                <w:szCs w:val="24"/>
                <w:highlight w:val="none"/>
              </w:rPr>
            </w:pPr>
          </w:p>
        </w:tc>
        <w:tc>
          <w:tcPr>
            <w:tcW w:w="993" w:type="dxa"/>
            <w:vAlign w:val="center"/>
          </w:tcPr>
          <w:p>
            <w:pPr>
              <w:rPr>
                <w:rFonts w:ascii="宋体" w:hAnsi="宋体" w:cs="宋体"/>
                <w:color w:val="auto"/>
                <w:sz w:val="24"/>
                <w:szCs w:val="24"/>
                <w:highlight w:val="none"/>
              </w:rPr>
            </w:pPr>
          </w:p>
        </w:tc>
        <w:tc>
          <w:tcPr>
            <w:tcW w:w="1134" w:type="dxa"/>
            <w:vAlign w:val="center"/>
          </w:tcPr>
          <w:p>
            <w:pPr>
              <w:rPr>
                <w:rFonts w:ascii="宋体" w:hAnsi="宋体" w:cs="宋体"/>
                <w:color w:val="auto"/>
                <w:sz w:val="24"/>
                <w:szCs w:val="24"/>
                <w:highlight w:val="none"/>
              </w:rPr>
            </w:pPr>
          </w:p>
        </w:tc>
        <w:tc>
          <w:tcPr>
            <w:tcW w:w="1134" w:type="dxa"/>
            <w:vAlign w:val="center"/>
          </w:tcPr>
          <w:p>
            <w:pPr>
              <w:rPr>
                <w:rFonts w:ascii="宋体" w:hAnsi="宋体" w:cs="宋体"/>
                <w:color w:val="auto"/>
                <w:sz w:val="24"/>
                <w:szCs w:val="24"/>
                <w:highlight w:val="none"/>
              </w:rPr>
            </w:pPr>
          </w:p>
        </w:tc>
        <w:tc>
          <w:tcPr>
            <w:tcW w:w="1387"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8293" w:type="dxa"/>
            <w:gridSpan w:val="3"/>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合计</w:t>
            </w:r>
          </w:p>
        </w:tc>
        <w:tc>
          <w:tcPr>
            <w:tcW w:w="6349" w:type="dxa"/>
            <w:gridSpan w:val="6"/>
          </w:tcPr>
          <w:p>
            <w:pP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bl>
    <w:p>
      <w:pPr>
        <w:rPr>
          <w:rFonts w:ascii="宋体" w:hAnsi="宋体" w:cs="宋体"/>
          <w:bCs/>
          <w:color w:val="auto"/>
          <w:sz w:val="24"/>
          <w:highlight w:val="none"/>
        </w:rPr>
      </w:pPr>
      <w:r>
        <w:rPr>
          <w:rFonts w:hint="eastAsia" w:ascii="宋体" w:hAnsi="宋体" w:cs="宋体"/>
          <w:bCs/>
          <w:color w:val="auto"/>
          <w:sz w:val="24"/>
          <w:highlight w:val="none"/>
        </w:rPr>
        <w:t>注：</w:t>
      </w:r>
    </w:p>
    <w:p>
      <w:pPr>
        <w:numPr>
          <w:ilvl w:val="0"/>
          <w:numId w:val="5"/>
        </w:numPr>
        <w:rPr>
          <w:rFonts w:ascii="宋体" w:hAnsi="宋体" w:cs="宋体"/>
          <w:bCs/>
          <w:color w:val="auto"/>
          <w:sz w:val="24"/>
          <w:highlight w:val="none"/>
        </w:rPr>
      </w:pPr>
      <w:r>
        <w:rPr>
          <w:rFonts w:hint="eastAsia" w:ascii="宋体" w:hAnsi="宋体" w:cs="宋体"/>
          <w:bCs/>
          <w:color w:val="auto"/>
          <w:sz w:val="24"/>
          <w:highlight w:val="none"/>
        </w:rPr>
        <w:t>单价和总价采用人民币报价，以元为单位。</w:t>
      </w:r>
    </w:p>
    <w:p>
      <w:pPr>
        <w:numPr>
          <w:ilvl w:val="0"/>
          <w:numId w:val="5"/>
        </w:numPr>
        <w:rPr>
          <w:rFonts w:ascii="宋体" w:hAnsi="宋体" w:cs="宋体"/>
          <w:bCs/>
          <w:color w:val="auto"/>
          <w:sz w:val="24"/>
          <w:highlight w:val="none"/>
        </w:rPr>
      </w:pPr>
      <w:r>
        <w:rPr>
          <w:rFonts w:hint="eastAsia" w:ascii="宋体" w:hAnsi="宋体" w:cs="宋体"/>
          <w:bCs/>
          <w:color w:val="auto"/>
          <w:sz w:val="24"/>
          <w:highlight w:val="none"/>
        </w:rPr>
        <w:t>货物项目填写“交付期”，服务项目填写“服务期”，只填写一个期限。</w:t>
      </w:r>
    </w:p>
    <w:p>
      <w:pPr>
        <w:pStyle w:val="2"/>
        <w:ind w:firstLine="0" w:firstLineChars="0"/>
        <w:rPr>
          <w:rFonts w:ascii="宋体" w:hAnsi="宋体" w:eastAsia="宋体" w:cs="宋体"/>
          <w:color w:val="auto"/>
          <w:highlight w:val="none"/>
        </w:rPr>
        <w:sectPr>
          <w:pgSz w:w="16838" w:h="11906" w:orient="landscape"/>
          <w:pgMar w:top="1365" w:right="1418" w:bottom="1588" w:left="1418" w:header="851" w:footer="907" w:gutter="0"/>
          <w:cols w:space="720" w:num="1"/>
          <w:titlePg/>
          <w:docGrid w:type="lines" w:linePitch="290" w:charSpace="0"/>
        </w:sectPr>
      </w:pPr>
    </w:p>
    <w:p>
      <w:pPr>
        <w:pStyle w:val="6"/>
        <w:jc w:val="center"/>
        <w:rPr>
          <w:rFonts w:ascii="宋体" w:hAnsi="宋体" w:cs="宋体"/>
          <w:color w:val="auto"/>
          <w:highlight w:val="none"/>
        </w:rPr>
      </w:pPr>
      <w:bookmarkStart w:id="215" w:name="_Toc534816648"/>
      <w:bookmarkStart w:id="216" w:name="_Toc534725619"/>
      <w:r>
        <w:rPr>
          <w:rFonts w:hint="eastAsia" w:ascii="宋体" w:hAnsi="宋体" w:cs="宋体"/>
          <w:color w:val="auto"/>
          <w:highlight w:val="none"/>
        </w:rPr>
        <w:t>五、技术参数响应及偏离表</w:t>
      </w:r>
      <w:bookmarkEnd w:id="215"/>
      <w:bookmarkEnd w:id="216"/>
    </w:p>
    <w:p>
      <w:pPr>
        <w:jc w:val="center"/>
        <w:rPr>
          <w:rFonts w:ascii="宋体" w:hAnsi="宋体" w:cs="宋体"/>
          <w:color w:val="auto"/>
          <w:sz w:val="24"/>
          <w:szCs w:val="24"/>
          <w:highlight w:val="none"/>
        </w:rPr>
      </w:pPr>
    </w:p>
    <w:tbl>
      <w:tblPr>
        <w:tblStyle w:val="3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85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招标要求</w:t>
            </w:r>
          </w:p>
        </w:tc>
        <w:tc>
          <w:tcPr>
            <w:tcW w:w="2852"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1308"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超出、符合或偏离</w:t>
            </w:r>
          </w:p>
        </w:tc>
        <w:tc>
          <w:tcPr>
            <w:tcW w:w="1173"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852" w:type="dxa"/>
          </w:tcPr>
          <w:p>
            <w:pPr>
              <w:jc w:val="center"/>
              <w:rPr>
                <w:rFonts w:ascii="宋体" w:hAnsi="宋体" w:cs="宋体"/>
                <w:color w:val="auto"/>
                <w:sz w:val="24"/>
                <w:szCs w:val="24"/>
                <w:highlight w:val="none"/>
              </w:rPr>
            </w:pPr>
          </w:p>
        </w:tc>
        <w:tc>
          <w:tcPr>
            <w:tcW w:w="2852" w:type="dxa"/>
          </w:tcPr>
          <w:p>
            <w:pPr>
              <w:jc w:val="center"/>
              <w:rPr>
                <w:rFonts w:ascii="宋体" w:hAnsi="宋体" w:cs="宋体"/>
                <w:color w:val="auto"/>
                <w:sz w:val="24"/>
                <w:szCs w:val="24"/>
                <w:highlight w:val="none"/>
              </w:rPr>
            </w:pPr>
          </w:p>
        </w:tc>
        <w:tc>
          <w:tcPr>
            <w:tcW w:w="1308" w:type="dxa"/>
          </w:tcPr>
          <w:p>
            <w:pPr>
              <w:jc w:val="center"/>
              <w:rPr>
                <w:rFonts w:ascii="宋体" w:hAnsi="宋体" w:cs="宋体"/>
                <w:color w:val="auto"/>
                <w:sz w:val="24"/>
                <w:szCs w:val="24"/>
                <w:highlight w:val="none"/>
              </w:rPr>
            </w:pPr>
          </w:p>
        </w:tc>
        <w:tc>
          <w:tcPr>
            <w:tcW w:w="1173"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852" w:type="dxa"/>
          </w:tcPr>
          <w:p>
            <w:pPr>
              <w:jc w:val="center"/>
              <w:rPr>
                <w:rFonts w:ascii="宋体" w:hAnsi="宋体" w:cs="宋体"/>
                <w:color w:val="auto"/>
                <w:sz w:val="24"/>
                <w:szCs w:val="24"/>
                <w:highlight w:val="none"/>
              </w:rPr>
            </w:pPr>
          </w:p>
        </w:tc>
        <w:tc>
          <w:tcPr>
            <w:tcW w:w="2852" w:type="dxa"/>
          </w:tcPr>
          <w:p>
            <w:pPr>
              <w:jc w:val="center"/>
              <w:rPr>
                <w:rFonts w:ascii="宋体" w:hAnsi="宋体" w:cs="宋体"/>
                <w:color w:val="auto"/>
                <w:sz w:val="24"/>
                <w:szCs w:val="24"/>
                <w:highlight w:val="none"/>
              </w:rPr>
            </w:pPr>
          </w:p>
        </w:tc>
        <w:tc>
          <w:tcPr>
            <w:tcW w:w="1308" w:type="dxa"/>
          </w:tcPr>
          <w:p>
            <w:pPr>
              <w:jc w:val="center"/>
              <w:rPr>
                <w:rFonts w:ascii="宋体" w:hAnsi="宋体" w:cs="宋体"/>
                <w:color w:val="auto"/>
                <w:sz w:val="24"/>
                <w:szCs w:val="24"/>
                <w:highlight w:val="none"/>
              </w:rPr>
            </w:pPr>
          </w:p>
        </w:tc>
        <w:tc>
          <w:tcPr>
            <w:tcW w:w="1173"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852" w:type="dxa"/>
          </w:tcPr>
          <w:p>
            <w:pPr>
              <w:jc w:val="center"/>
              <w:rPr>
                <w:rFonts w:ascii="宋体" w:hAnsi="宋体" w:cs="宋体"/>
                <w:color w:val="auto"/>
                <w:sz w:val="24"/>
                <w:szCs w:val="24"/>
                <w:highlight w:val="none"/>
              </w:rPr>
            </w:pPr>
          </w:p>
        </w:tc>
        <w:tc>
          <w:tcPr>
            <w:tcW w:w="2852" w:type="dxa"/>
          </w:tcPr>
          <w:p>
            <w:pPr>
              <w:jc w:val="center"/>
              <w:rPr>
                <w:rFonts w:ascii="宋体" w:hAnsi="宋体" w:cs="宋体"/>
                <w:color w:val="auto"/>
                <w:sz w:val="24"/>
                <w:szCs w:val="24"/>
                <w:highlight w:val="none"/>
              </w:rPr>
            </w:pPr>
          </w:p>
        </w:tc>
        <w:tc>
          <w:tcPr>
            <w:tcW w:w="1308" w:type="dxa"/>
          </w:tcPr>
          <w:p>
            <w:pPr>
              <w:jc w:val="center"/>
              <w:rPr>
                <w:rFonts w:ascii="宋体" w:hAnsi="宋体" w:cs="宋体"/>
                <w:color w:val="auto"/>
                <w:sz w:val="24"/>
                <w:szCs w:val="24"/>
                <w:highlight w:val="none"/>
              </w:rPr>
            </w:pPr>
          </w:p>
        </w:tc>
        <w:tc>
          <w:tcPr>
            <w:tcW w:w="1173"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852" w:type="dxa"/>
          </w:tcPr>
          <w:p>
            <w:pPr>
              <w:jc w:val="center"/>
              <w:rPr>
                <w:rFonts w:ascii="宋体" w:hAnsi="宋体" w:cs="宋体"/>
                <w:color w:val="auto"/>
                <w:sz w:val="24"/>
                <w:szCs w:val="24"/>
                <w:highlight w:val="none"/>
              </w:rPr>
            </w:pPr>
          </w:p>
        </w:tc>
        <w:tc>
          <w:tcPr>
            <w:tcW w:w="2852" w:type="dxa"/>
          </w:tcPr>
          <w:p>
            <w:pPr>
              <w:jc w:val="center"/>
              <w:rPr>
                <w:rFonts w:ascii="宋体" w:hAnsi="宋体" w:cs="宋体"/>
                <w:color w:val="auto"/>
                <w:sz w:val="24"/>
                <w:szCs w:val="24"/>
                <w:highlight w:val="none"/>
              </w:rPr>
            </w:pPr>
          </w:p>
        </w:tc>
        <w:tc>
          <w:tcPr>
            <w:tcW w:w="1308" w:type="dxa"/>
          </w:tcPr>
          <w:p>
            <w:pPr>
              <w:jc w:val="center"/>
              <w:rPr>
                <w:rFonts w:ascii="宋体" w:hAnsi="宋体" w:cs="宋体"/>
                <w:color w:val="auto"/>
                <w:sz w:val="24"/>
                <w:szCs w:val="24"/>
                <w:highlight w:val="none"/>
              </w:rPr>
            </w:pPr>
          </w:p>
        </w:tc>
        <w:tc>
          <w:tcPr>
            <w:tcW w:w="1173"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852" w:type="dxa"/>
          </w:tcPr>
          <w:p>
            <w:pPr>
              <w:jc w:val="center"/>
              <w:rPr>
                <w:rFonts w:ascii="宋体" w:hAnsi="宋体" w:cs="宋体"/>
                <w:color w:val="auto"/>
                <w:sz w:val="24"/>
                <w:szCs w:val="24"/>
                <w:highlight w:val="none"/>
              </w:rPr>
            </w:pPr>
          </w:p>
        </w:tc>
        <w:tc>
          <w:tcPr>
            <w:tcW w:w="2852" w:type="dxa"/>
          </w:tcPr>
          <w:p>
            <w:pPr>
              <w:jc w:val="center"/>
              <w:rPr>
                <w:rFonts w:ascii="宋体" w:hAnsi="宋体" w:cs="宋体"/>
                <w:color w:val="auto"/>
                <w:sz w:val="24"/>
                <w:szCs w:val="24"/>
                <w:highlight w:val="none"/>
              </w:rPr>
            </w:pPr>
          </w:p>
        </w:tc>
        <w:tc>
          <w:tcPr>
            <w:tcW w:w="1308" w:type="dxa"/>
          </w:tcPr>
          <w:p>
            <w:pPr>
              <w:jc w:val="center"/>
              <w:rPr>
                <w:rFonts w:ascii="宋体" w:hAnsi="宋体" w:cs="宋体"/>
                <w:color w:val="auto"/>
                <w:sz w:val="24"/>
                <w:szCs w:val="24"/>
                <w:highlight w:val="none"/>
              </w:rPr>
            </w:pPr>
          </w:p>
        </w:tc>
        <w:tc>
          <w:tcPr>
            <w:tcW w:w="1173"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852" w:type="dxa"/>
          </w:tcPr>
          <w:p>
            <w:pPr>
              <w:jc w:val="center"/>
              <w:rPr>
                <w:rFonts w:ascii="宋体" w:hAnsi="宋体" w:cs="宋体"/>
                <w:color w:val="auto"/>
                <w:sz w:val="24"/>
                <w:szCs w:val="24"/>
                <w:highlight w:val="none"/>
              </w:rPr>
            </w:pPr>
          </w:p>
        </w:tc>
        <w:tc>
          <w:tcPr>
            <w:tcW w:w="2852" w:type="dxa"/>
          </w:tcPr>
          <w:p>
            <w:pPr>
              <w:jc w:val="center"/>
              <w:rPr>
                <w:rFonts w:ascii="宋体" w:hAnsi="宋体" w:cs="宋体"/>
                <w:color w:val="auto"/>
                <w:sz w:val="24"/>
                <w:szCs w:val="24"/>
                <w:highlight w:val="none"/>
              </w:rPr>
            </w:pPr>
          </w:p>
        </w:tc>
        <w:tc>
          <w:tcPr>
            <w:tcW w:w="1308" w:type="dxa"/>
          </w:tcPr>
          <w:p>
            <w:pPr>
              <w:jc w:val="center"/>
              <w:rPr>
                <w:rFonts w:ascii="宋体" w:hAnsi="宋体" w:cs="宋体"/>
                <w:color w:val="auto"/>
                <w:sz w:val="24"/>
                <w:szCs w:val="24"/>
                <w:highlight w:val="none"/>
              </w:rPr>
            </w:pPr>
          </w:p>
        </w:tc>
        <w:tc>
          <w:tcPr>
            <w:tcW w:w="1173"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852" w:type="dxa"/>
          </w:tcPr>
          <w:p>
            <w:pPr>
              <w:jc w:val="center"/>
              <w:rPr>
                <w:rFonts w:ascii="宋体" w:hAnsi="宋体" w:cs="宋体"/>
                <w:color w:val="auto"/>
                <w:sz w:val="24"/>
                <w:szCs w:val="24"/>
                <w:highlight w:val="none"/>
              </w:rPr>
            </w:pPr>
          </w:p>
        </w:tc>
        <w:tc>
          <w:tcPr>
            <w:tcW w:w="2852" w:type="dxa"/>
          </w:tcPr>
          <w:p>
            <w:pPr>
              <w:jc w:val="center"/>
              <w:rPr>
                <w:rFonts w:ascii="宋体" w:hAnsi="宋体" w:cs="宋体"/>
                <w:color w:val="auto"/>
                <w:sz w:val="24"/>
                <w:szCs w:val="24"/>
                <w:highlight w:val="none"/>
              </w:rPr>
            </w:pPr>
          </w:p>
        </w:tc>
        <w:tc>
          <w:tcPr>
            <w:tcW w:w="1308" w:type="dxa"/>
          </w:tcPr>
          <w:p>
            <w:pPr>
              <w:jc w:val="center"/>
              <w:rPr>
                <w:rFonts w:ascii="宋体" w:hAnsi="宋体" w:cs="宋体"/>
                <w:color w:val="auto"/>
                <w:sz w:val="24"/>
                <w:szCs w:val="24"/>
                <w:highlight w:val="none"/>
              </w:rPr>
            </w:pPr>
          </w:p>
        </w:tc>
        <w:tc>
          <w:tcPr>
            <w:tcW w:w="1173" w:type="dxa"/>
          </w:tcPr>
          <w:p>
            <w:pPr>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852" w:type="dxa"/>
          </w:tcPr>
          <w:p>
            <w:pPr>
              <w:jc w:val="center"/>
              <w:rPr>
                <w:rFonts w:ascii="宋体" w:hAnsi="宋体" w:cs="宋体"/>
                <w:color w:val="auto"/>
                <w:sz w:val="24"/>
                <w:szCs w:val="24"/>
                <w:highlight w:val="none"/>
              </w:rPr>
            </w:pPr>
          </w:p>
        </w:tc>
        <w:tc>
          <w:tcPr>
            <w:tcW w:w="2852" w:type="dxa"/>
          </w:tcPr>
          <w:p>
            <w:pPr>
              <w:jc w:val="center"/>
              <w:rPr>
                <w:rFonts w:ascii="宋体" w:hAnsi="宋体" w:cs="宋体"/>
                <w:color w:val="auto"/>
                <w:sz w:val="24"/>
                <w:szCs w:val="24"/>
                <w:highlight w:val="none"/>
              </w:rPr>
            </w:pPr>
          </w:p>
        </w:tc>
        <w:tc>
          <w:tcPr>
            <w:tcW w:w="1308" w:type="dxa"/>
          </w:tcPr>
          <w:p>
            <w:pPr>
              <w:jc w:val="center"/>
              <w:rPr>
                <w:rFonts w:ascii="宋体" w:hAnsi="宋体" w:cs="宋体"/>
                <w:color w:val="auto"/>
                <w:sz w:val="24"/>
                <w:szCs w:val="24"/>
                <w:highlight w:val="none"/>
              </w:rPr>
            </w:pPr>
          </w:p>
        </w:tc>
        <w:tc>
          <w:tcPr>
            <w:tcW w:w="1173" w:type="dxa"/>
          </w:tcPr>
          <w:p>
            <w:pPr>
              <w:jc w:val="center"/>
              <w:rPr>
                <w:rFonts w:ascii="宋体" w:hAnsi="宋体" w:cs="宋体"/>
                <w:color w:val="auto"/>
                <w:sz w:val="24"/>
                <w:szCs w:val="24"/>
                <w:highlight w:val="none"/>
              </w:rPr>
            </w:pPr>
          </w:p>
        </w:tc>
      </w:tr>
    </w:tbl>
    <w:p>
      <w:pPr>
        <w:rPr>
          <w:rFonts w:ascii="宋体" w:hAnsi="宋体" w:cs="宋体"/>
          <w:color w:val="auto"/>
          <w:sz w:val="24"/>
          <w:szCs w:val="24"/>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t>注：1、按照基本技术要求详细填列。</w:t>
      </w:r>
    </w:p>
    <w:p>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2、行数不够，可自行添加。</w:t>
      </w:r>
    </w:p>
    <w:p>
      <w:pPr>
        <w:rPr>
          <w:rFonts w:ascii="宋体" w:hAnsi="宋体" w:cs="宋体"/>
          <w:color w:val="auto"/>
          <w:sz w:val="32"/>
          <w:highlight w:val="none"/>
        </w:rPr>
        <w:sectPr>
          <w:pgSz w:w="11906" w:h="16838"/>
          <w:pgMar w:top="1418" w:right="1588" w:bottom="1418" w:left="1365" w:header="851" w:footer="907" w:gutter="0"/>
          <w:cols w:space="720" w:num="1"/>
          <w:titlePg/>
          <w:docGrid w:type="lines" w:linePitch="290" w:charSpace="0"/>
        </w:sectPr>
      </w:pPr>
    </w:p>
    <w:bookmarkEnd w:id="214"/>
    <w:p>
      <w:pPr>
        <w:pStyle w:val="6"/>
        <w:jc w:val="center"/>
        <w:rPr>
          <w:rFonts w:ascii="宋体" w:hAnsi="宋体" w:cs="宋体"/>
          <w:color w:val="auto"/>
          <w:highlight w:val="none"/>
        </w:rPr>
      </w:pPr>
      <w:bookmarkStart w:id="217" w:name="_Hlt26955054"/>
      <w:bookmarkEnd w:id="217"/>
      <w:bookmarkStart w:id="218" w:name="_Toc534816649"/>
      <w:bookmarkStart w:id="219" w:name="_Toc534725620"/>
      <w:r>
        <w:rPr>
          <w:rFonts w:hint="eastAsia" w:ascii="宋体" w:hAnsi="宋体" w:cs="宋体"/>
          <w:color w:val="auto"/>
          <w:highlight w:val="none"/>
        </w:rPr>
        <w:t>六、商务条款响应及偏离表</w:t>
      </w:r>
      <w:bookmarkEnd w:id="218"/>
      <w:bookmarkEnd w:id="219"/>
    </w:p>
    <w:tbl>
      <w:tblPr>
        <w:tblStyle w:val="37"/>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r>
              <w:rPr>
                <w:rFonts w:hint="eastAsia" w:ascii="宋体" w:hAnsi="宋体" w:cs="宋体"/>
                <w:color w:val="auto"/>
                <w:sz w:val="24"/>
                <w:highlight w:val="none"/>
              </w:rPr>
              <w:t>项目</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r>
              <w:rPr>
                <w:rFonts w:hint="eastAsia" w:ascii="宋体" w:hAnsi="宋体" w:cs="宋体"/>
                <w:color w:val="auto"/>
                <w:sz w:val="24"/>
                <w:highlight w:val="none"/>
              </w:rPr>
              <w:t>招标文件要求</w:t>
            </w:r>
          </w:p>
        </w:tc>
        <w:tc>
          <w:tcPr>
            <w:tcW w:w="183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r>
              <w:rPr>
                <w:rFonts w:hint="eastAsia" w:ascii="宋体" w:hAnsi="宋体" w:cs="宋体"/>
                <w:color w:val="auto"/>
                <w:sz w:val="24"/>
                <w:highlight w:val="none"/>
              </w:rPr>
              <w:t>是否响应</w:t>
            </w:r>
          </w:p>
        </w:tc>
        <w:tc>
          <w:tcPr>
            <w:tcW w:w="298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r>
              <w:rPr>
                <w:rFonts w:hint="eastAsia" w:ascii="宋体" w:hAnsi="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Lines="50"/>
              <w:ind w:left="43"/>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r>
              <w:rPr>
                <w:rFonts w:hint="eastAsia" w:ascii="宋体" w:hAnsi="宋体" w:cs="宋体"/>
                <w:color w:val="auto"/>
                <w:sz w:val="24"/>
                <w:szCs w:val="20"/>
                <w:highlight w:val="none"/>
              </w:rPr>
              <w:t>……</w:t>
            </w:r>
          </w:p>
        </w:tc>
        <w:tc>
          <w:tcPr>
            <w:tcW w:w="1837"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c>
          <w:tcPr>
            <w:tcW w:w="298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color w:val="auto"/>
                <w:sz w:val="24"/>
                <w:szCs w:val="20"/>
                <w:highlight w:val="none"/>
              </w:rPr>
            </w:pPr>
          </w:p>
        </w:tc>
      </w:tr>
    </w:tbl>
    <w:p>
      <w:pPr>
        <w:jc w:val="center"/>
        <w:rPr>
          <w:rFonts w:ascii="宋体" w:hAnsi="宋体" w:cs="宋体"/>
          <w:color w:val="auto"/>
          <w:sz w:val="24"/>
          <w:szCs w:val="24"/>
          <w:highlight w:val="none"/>
        </w:rPr>
      </w:pPr>
    </w:p>
    <w:p>
      <w:pPr>
        <w:spacing w:line="480" w:lineRule="auto"/>
        <w:rPr>
          <w:rFonts w:ascii="宋体" w:hAnsi="宋体" w:cs="宋体"/>
          <w:color w:val="auto"/>
          <w:sz w:val="24"/>
          <w:highlight w:val="none"/>
        </w:rPr>
      </w:pPr>
      <w:bookmarkStart w:id="220" w:name="_Hlt26671343"/>
      <w:bookmarkEnd w:id="220"/>
      <w:bookmarkStart w:id="221" w:name="_Hlt26580838"/>
      <w:bookmarkEnd w:id="221"/>
      <w:bookmarkStart w:id="222" w:name="_Hlt26955064"/>
      <w:bookmarkEnd w:id="222"/>
      <w:bookmarkStart w:id="223" w:name="_Hlt24879081"/>
      <w:bookmarkEnd w:id="223"/>
      <w:bookmarkStart w:id="224" w:name="_Hlt26782999"/>
      <w:bookmarkEnd w:id="224"/>
      <w:bookmarkStart w:id="225" w:name="_Hlt26609391"/>
      <w:bookmarkEnd w:id="225"/>
      <w:bookmarkStart w:id="226" w:name="_Hlt26671372"/>
      <w:bookmarkEnd w:id="226"/>
      <w:bookmarkStart w:id="227" w:name="_Hlt26955056"/>
      <w:bookmarkEnd w:id="227"/>
    </w:p>
    <w:p>
      <w:pPr>
        <w:pStyle w:val="8"/>
        <w:ind w:firstLine="0"/>
        <w:rPr>
          <w:rFonts w:ascii="宋体" w:hAnsi="宋体" w:cs="宋体"/>
          <w:color w:val="auto"/>
          <w:sz w:val="24"/>
          <w:highlight w:val="none"/>
        </w:rPr>
        <w:sectPr>
          <w:pgSz w:w="11906" w:h="16838"/>
          <w:pgMar w:top="1418" w:right="1588" w:bottom="1418" w:left="1365" w:header="851" w:footer="907" w:gutter="0"/>
          <w:cols w:space="720" w:num="1"/>
          <w:titlePg/>
          <w:docGrid w:type="lines" w:linePitch="290" w:charSpace="0"/>
        </w:sectPr>
      </w:pPr>
      <w:bookmarkStart w:id="228" w:name="_Toc462564146"/>
    </w:p>
    <w:bookmarkEnd w:id="228"/>
    <w:p>
      <w:pPr>
        <w:pStyle w:val="6"/>
        <w:jc w:val="center"/>
        <w:rPr>
          <w:rFonts w:ascii="宋体" w:hAnsi="宋体" w:cs="宋体"/>
          <w:color w:val="auto"/>
          <w:sz w:val="24"/>
          <w:szCs w:val="20"/>
          <w:highlight w:val="none"/>
        </w:rPr>
      </w:pPr>
      <w:bookmarkStart w:id="229" w:name="_格式2__法定代表人授权书"/>
      <w:bookmarkEnd w:id="229"/>
      <w:bookmarkStart w:id="230" w:name="_Toc26554095"/>
      <w:bookmarkStart w:id="231" w:name="_Toc120614283"/>
      <w:bookmarkStart w:id="232" w:name="_Toc49090577"/>
      <w:bookmarkStart w:id="233" w:name="_Toc22356580"/>
      <w:bookmarkStart w:id="234" w:name="_Toc23828478"/>
      <w:bookmarkStart w:id="235" w:name="_Toc460901585"/>
      <w:bookmarkStart w:id="236" w:name="_Toc513029276"/>
      <w:bookmarkStart w:id="237" w:name="_Toc534816650"/>
      <w:bookmarkStart w:id="238" w:name="_Toc534725621"/>
      <w:r>
        <w:rPr>
          <w:rFonts w:hint="eastAsia" w:ascii="宋体" w:hAnsi="宋体" w:cs="宋体"/>
          <w:color w:val="auto"/>
          <w:highlight w:val="none"/>
        </w:rPr>
        <w:t>七、</w:t>
      </w:r>
      <w:bookmarkEnd w:id="230"/>
      <w:bookmarkEnd w:id="231"/>
      <w:bookmarkEnd w:id="232"/>
      <w:bookmarkEnd w:id="233"/>
      <w:bookmarkEnd w:id="234"/>
      <w:bookmarkEnd w:id="235"/>
      <w:bookmarkEnd w:id="236"/>
      <w:r>
        <w:rPr>
          <w:rFonts w:hint="eastAsia" w:ascii="宋体" w:hAnsi="宋体" w:cs="宋体"/>
          <w:color w:val="auto"/>
          <w:highlight w:val="none"/>
        </w:rPr>
        <w:t>开标一览表</w:t>
      </w:r>
      <w:bookmarkEnd w:id="237"/>
      <w:bookmarkEnd w:id="238"/>
    </w:p>
    <w:tbl>
      <w:tblPr>
        <w:tblStyle w:val="37"/>
        <w:tblpPr w:leftFromText="45" w:rightFromText="45" w:vertAnchor="text" w:tblpXSpec="center"/>
        <w:tblW w:w="896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blCellSpacing w:w="0" w:type="dxa"/>
          <w:jc w:val="center"/>
        </w:trPr>
        <w:tc>
          <w:tcPr>
            <w:tcW w:w="2929" w:type="dxa"/>
            <w:vAlign w:val="center"/>
          </w:tcPr>
          <w:p>
            <w:pPr>
              <w:tabs>
                <w:tab w:val="left" w:pos="142"/>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035" w:type="dxa"/>
            <w:vAlign w:val="center"/>
          </w:tcPr>
          <w:p>
            <w:pPr>
              <w:tabs>
                <w:tab w:val="left" w:pos="142"/>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4" w:hRule="atLeast"/>
          <w:tblCellSpacing w:w="0" w:type="dxa"/>
          <w:jc w:val="center"/>
        </w:trPr>
        <w:tc>
          <w:tcPr>
            <w:tcW w:w="2929" w:type="dxa"/>
            <w:vAlign w:val="center"/>
          </w:tcPr>
          <w:p>
            <w:pPr>
              <w:tabs>
                <w:tab w:val="left" w:pos="142"/>
              </w:tabs>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035" w:type="dxa"/>
            <w:vAlign w:val="center"/>
          </w:tcPr>
          <w:p>
            <w:pPr>
              <w:tabs>
                <w:tab w:val="left" w:pos="142"/>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tblCellSpacing w:w="0" w:type="dxa"/>
          <w:jc w:val="center"/>
        </w:trPr>
        <w:tc>
          <w:tcPr>
            <w:tcW w:w="2929" w:type="dxa"/>
            <w:vAlign w:val="center"/>
          </w:tcPr>
          <w:p>
            <w:pPr>
              <w:tabs>
                <w:tab w:val="left" w:pos="142"/>
              </w:tabs>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6035" w:type="dxa"/>
            <w:vAlign w:val="center"/>
          </w:tcPr>
          <w:p>
            <w:pPr>
              <w:tabs>
                <w:tab w:val="left" w:pos="142"/>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w:t>
            </w:r>
          </w:p>
          <w:p>
            <w:pPr>
              <w:tabs>
                <w:tab w:val="left" w:pos="142"/>
              </w:tabs>
              <w:spacing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人民币 (大写):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tblCellSpacing w:w="0" w:type="dxa"/>
          <w:jc w:val="center"/>
        </w:trPr>
        <w:tc>
          <w:tcPr>
            <w:tcW w:w="2929" w:type="dxa"/>
            <w:vAlign w:val="center"/>
          </w:tcPr>
          <w:p>
            <w:pPr>
              <w:tabs>
                <w:tab w:val="left" w:pos="142"/>
              </w:tabs>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交货期限/服务期限</w:t>
            </w:r>
          </w:p>
        </w:tc>
        <w:tc>
          <w:tcPr>
            <w:tcW w:w="6035" w:type="dxa"/>
            <w:vAlign w:val="center"/>
          </w:tcPr>
          <w:p>
            <w:pPr>
              <w:tabs>
                <w:tab w:val="left" w:pos="142"/>
              </w:tabs>
              <w:spacing w:line="5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合同签订后</w:t>
            </w:r>
            <w:r>
              <w:rPr>
                <w:rFonts w:hint="eastAsia" w:ascii="宋体" w:hAnsi="宋体" w:cs="宋体"/>
                <w:color w:val="auto"/>
                <w:sz w:val="24"/>
                <w:szCs w:val="24"/>
                <w:highlight w:val="none"/>
                <w:u w:val="single"/>
              </w:rPr>
              <w:t xml:space="preserve">                  天</w:t>
            </w:r>
          </w:p>
        </w:tc>
      </w:tr>
    </w:tbl>
    <w:p>
      <w:pPr>
        <w:rPr>
          <w:rFonts w:ascii="宋体" w:hAnsi="宋体" w:cs="宋体"/>
          <w:color w:val="auto"/>
          <w:highlight w:val="none"/>
        </w:rPr>
      </w:pPr>
      <w:r>
        <w:rPr>
          <w:rFonts w:hint="eastAsia" w:ascii="宋体" w:hAnsi="宋体" w:cs="宋体"/>
          <w:color w:val="auto"/>
          <w:highlight w:val="none"/>
        </w:rPr>
        <w:t>供应商全称（公章）：        </w:t>
      </w:r>
    </w:p>
    <w:p>
      <w:pPr>
        <w:rPr>
          <w:rFonts w:ascii="宋体" w:hAnsi="宋体" w:cs="宋体"/>
          <w:color w:val="auto"/>
          <w:highlight w:val="none"/>
        </w:rPr>
      </w:pPr>
      <w:r>
        <w:rPr>
          <w:rFonts w:hint="eastAsia" w:ascii="宋体" w:hAnsi="宋体" w:cs="宋体"/>
          <w:color w:val="auto"/>
          <w:highlight w:val="none"/>
        </w:rPr>
        <w:t>法定代表人（授权代表）（签字或盖章）：</w:t>
      </w:r>
    </w:p>
    <w:p>
      <w:pPr>
        <w:rPr>
          <w:rFonts w:ascii="宋体" w:hAnsi="宋体" w:cs="宋体"/>
          <w:color w:val="auto"/>
          <w:highlight w:val="none"/>
        </w:rPr>
      </w:pPr>
      <w:r>
        <w:rPr>
          <w:rFonts w:hint="eastAsia" w:ascii="宋体" w:hAnsi="宋体" w:cs="宋体"/>
          <w:color w:val="auto"/>
          <w:highlight w:val="none"/>
        </w:rPr>
        <w:t>日期：</w:t>
      </w:r>
    </w:p>
    <w:p>
      <w:pPr>
        <w:rPr>
          <w:rFonts w:ascii="宋体" w:hAnsi="宋体" w:cs="宋体"/>
          <w:color w:val="auto"/>
          <w:highlight w:val="none"/>
        </w:rPr>
      </w:pPr>
      <w:r>
        <w:rPr>
          <w:rFonts w:hint="eastAsia" w:ascii="宋体" w:hAnsi="宋体" w:cs="宋体"/>
          <w:color w:val="auto"/>
          <w:highlight w:val="none"/>
        </w:rPr>
        <w:t>   </w:t>
      </w:r>
    </w:p>
    <w:p>
      <w:pPr>
        <w:rPr>
          <w:rFonts w:ascii="宋体" w:hAnsi="宋体" w:cs="宋体"/>
          <w:color w:val="auto"/>
          <w:highlight w:val="none"/>
        </w:rPr>
      </w:pPr>
      <w:r>
        <w:rPr>
          <w:rFonts w:hint="eastAsia" w:ascii="宋体" w:hAnsi="宋体" w:cs="宋体"/>
          <w:color w:val="auto"/>
          <w:highlight w:val="none"/>
        </w:rPr>
        <w:t>注:</w:t>
      </w:r>
    </w:p>
    <w:p>
      <w:pPr>
        <w:rPr>
          <w:rFonts w:ascii="宋体" w:hAnsi="宋体" w:cs="宋体"/>
          <w:color w:val="auto"/>
          <w:szCs w:val="28"/>
          <w:highlight w:val="none"/>
        </w:rPr>
      </w:pPr>
      <w:r>
        <w:rPr>
          <w:rFonts w:hint="eastAsia" w:ascii="宋体" w:hAnsi="宋体" w:cs="宋体"/>
          <w:color w:val="auto"/>
          <w:highlight w:val="none"/>
        </w:rPr>
        <w:t>投标总报价应包含本项目实施期间的所有含税费用。</w:t>
      </w:r>
    </w:p>
    <w:p>
      <w:pPr>
        <w:numPr>
          <w:ilvl w:val="0"/>
          <w:numId w:val="6"/>
        </w:numPr>
        <w:ind w:firstLine="480" w:firstLineChars="200"/>
        <w:jc w:val="center"/>
        <w:rPr>
          <w:rFonts w:ascii="宋体" w:hAnsi="宋体" w:cs="宋体"/>
          <w:b/>
          <w:bCs/>
          <w:color w:val="auto"/>
          <w:sz w:val="32"/>
          <w:szCs w:val="32"/>
          <w:highlight w:val="none"/>
        </w:rPr>
      </w:pPr>
      <w:r>
        <w:rPr>
          <w:rFonts w:hint="eastAsia" w:ascii="宋体" w:hAnsi="宋体" w:cs="宋体"/>
          <w:color w:val="auto"/>
          <w:sz w:val="24"/>
          <w:szCs w:val="24"/>
          <w:highlight w:val="none"/>
        </w:rPr>
        <w:br w:type="page"/>
      </w:r>
      <w:bookmarkStart w:id="239" w:name="_Toc534816652"/>
      <w:bookmarkStart w:id="240" w:name="_Toc534725623"/>
      <w:r>
        <w:rPr>
          <w:rFonts w:hint="eastAsia" w:ascii="宋体" w:hAnsi="宋体" w:cs="宋体"/>
          <w:b/>
          <w:bCs/>
          <w:color w:val="auto"/>
          <w:sz w:val="32"/>
          <w:szCs w:val="32"/>
          <w:highlight w:val="none"/>
        </w:rPr>
        <w:t>供应商认为有必要提供的声明及文件资料</w:t>
      </w:r>
    </w:p>
    <w:p>
      <w:pPr>
        <w:pStyle w:val="3"/>
        <w:jc w:val="center"/>
        <w:rPr>
          <w:rFonts w:ascii="宋体" w:hAnsi="宋体" w:eastAsia="宋体" w:cs="宋体"/>
          <w:color w:val="auto"/>
          <w:highlight w:val="none"/>
        </w:rPr>
      </w:pPr>
      <w:r>
        <w:rPr>
          <w:rFonts w:hint="eastAsia" w:ascii="宋体" w:hAnsi="宋体" w:eastAsia="宋体" w:cs="宋体"/>
          <w:color w:val="auto"/>
          <w:highlight w:val="none"/>
        </w:rPr>
        <w:t>（格式自拟）</w:t>
      </w:r>
    </w:p>
    <w:p>
      <w:pPr>
        <w:pStyle w:val="6"/>
        <w:jc w:val="center"/>
        <w:rPr>
          <w:rFonts w:ascii="宋体" w:hAnsi="宋体" w:cs="宋体"/>
          <w:color w:val="auto"/>
          <w:sz w:val="24"/>
          <w:szCs w:val="24"/>
          <w:highlight w:val="none"/>
        </w:rPr>
      </w:pPr>
    </w:p>
    <w:p>
      <w:pPr>
        <w:rPr>
          <w:rFonts w:ascii="宋体" w:hAnsi="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8"/>
        <w:ind w:firstLine="0"/>
        <w:jc w:val="left"/>
        <w:rPr>
          <w:rFonts w:ascii="宋体" w:hAnsi="宋体" w:cs="宋体"/>
          <w:bCs/>
          <w:color w:val="auto"/>
          <w:sz w:val="24"/>
          <w:highlight w:val="none"/>
        </w:rPr>
      </w:pPr>
      <w:r>
        <w:rPr>
          <w:rFonts w:hint="eastAsia" w:ascii="宋体" w:hAnsi="宋体" w:cs="宋体"/>
          <w:bCs/>
          <w:color w:val="auto"/>
          <w:sz w:val="24"/>
          <w:highlight w:val="none"/>
        </w:rPr>
        <w:t>表一</w:t>
      </w:r>
    </w:p>
    <w:p>
      <w:pPr>
        <w:pStyle w:val="8"/>
        <w:ind w:firstLine="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具备履行合同所必需的设备和专业技术能力的书面声明</w:t>
      </w:r>
    </w:p>
    <w:p>
      <w:pPr>
        <w:pStyle w:val="8"/>
        <w:ind w:firstLine="0"/>
        <w:jc w:val="center"/>
        <w:rPr>
          <w:rFonts w:ascii="宋体" w:hAnsi="宋体" w:cs="宋体"/>
          <w:b/>
          <w:bCs/>
          <w:color w:val="auto"/>
          <w:sz w:val="30"/>
          <w:szCs w:val="30"/>
          <w:highlight w:val="none"/>
        </w:rPr>
      </w:pPr>
    </w:p>
    <w:p>
      <w:pPr>
        <w:spacing w:beforeLines="50" w:afterLines="50" w:line="300" w:lineRule="auto"/>
        <w:ind w:firstLine="492"/>
        <w:rPr>
          <w:rFonts w:ascii="宋体" w:hAnsi="宋体" w:cs="宋体"/>
          <w:bCs/>
          <w:color w:val="auto"/>
          <w:sz w:val="24"/>
          <w:highlight w:val="none"/>
        </w:rPr>
      </w:pPr>
      <w:r>
        <w:rPr>
          <w:rFonts w:hint="eastAsia" w:ascii="宋体" w:hAnsi="宋体" w:cs="宋体"/>
          <w:bCs/>
          <w:color w:val="auto"/>
          <w:sz w:val="24"/>
          <w:highlight w:val="none"/>
        </w:rPr>
        <w:t>我单位郑重声明：我单位具备履行本项采购合同所必需的设备和专业技术能力，为履行本项采购合同我公司具备如下主要设备和主要专业技术能力：</w:t>
      </w:r>
    </w:p>
    <w:p>
      <w:pPr>
        <w:spacing w:beforeLines="50" w:afterLines="50" w:line="300" w:lineRule="auto"/>
        <w:ind w:firstLine="492"/>
        <w:rPr>
          <w:rFonts w:ascii="宋体" w:hAnsi="宋体" w:cs="宋体"/>
          <w:bCs/>
          <w:color w:val="auto"/>
          <w:sz w:val="24"/>
          <w:highlight w:val="none"/>
        </w:rPr>
      </w:pPr>
      <w:r>
        <w:rPr>
          <w:rFonts w:hint="eastAsia" w:ascii="宋体" w:hAnsi="宋体" w:cs="宋体"/>
          <w:bCs/>
          <w:color w:val="auto"/>
          <w:sz w:val="24"/>
          <w:highlight w:val="none"/>
        </w:rPr>
        <w:t>主要设备有：</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pPr>
        <w:spacing w:beforeLines="50" w:afterLines="50" w:line="300" w:lineRule="auto"/>
        <w:ind w:firstLine="492"/>
        <w:rPr>
          <w:rFonts w:ascii="宋体" w:hAnsi="宋体" w:cs="宋体"/>
          <w:bCs/>
          <w:color w:val="auto"/>
          <w:sz w:val="24"/>
          <w:highlight w:val="none"/>
        </w:rPr>
      </w:pPr>
      <w:r>
        <w:rPr>
          <w:rFonts w:hint="eastAsia" w:ascii="宋体" w:hAnsi="宋体" w:cs="宋体"/>
          <w:bCs/>
          <w:color w:val="auto"/>
          <w:sz w:val="24"/>
          <w:highlight w:val="none"/>
        </w:rPr>
        <w:t>主要专业技术能力有：</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pPr>
        <w:pStyle w:val="119"/>
        <w:spacing w:beforeLines="50" w:afterLines="50" w:line="300" w:lineRule="auto"/>
        <w:ind w:left="5760" w:leftChars="2400" w:hanging="720" w:hangingChars="300"/>
        <w:rPr>
          <w:rFonts w:ascii="宋体" w:hAnsi="宋体" w:cs="宋体"/>
          <w:color w:val="auto"/>
          <w:kern w:val="2"/>
          <w:szCs w:val="21"/>
          <w:highlight w:val="none"/>
        </w:rPr>
      </w:pPr>
      <w:r>
        <w:rPr>
          <w:rFonts w:hint="eastAsia" w:ascii="宋体" w:hAnsi="宋体" w:cs="宋体"/>
          <w:bCs/>
          <w:color w:val="auto"/>
          <w:highlight w:val="none"/>
        </w:rPr>
        <w:t xml:space="preserve">                                     </w:t>
      </w:r>
      <w:r>
        <w:rPr>
          <w:rFonts w:hint="eastAsia" w:ascii="宋体" w:hAnsi="宋体" w:cs="宋体"/>
          <w:color w:val="auto"/>
          <w:kern w:val="2"/>
          <w:szCs w:val="21"/>
          <w:highlight w:val="none"/>
        </w:rPr>
        <w:t xml:space="preserve">投标人名称（盖章）： </w:t>
      </w:r>
    </w:p>
    <w:p>
      <w:pPr>
        <w:spacing w:beforeLines="50" w:afterLines="50" w:line="300" w:lineRule="auto"/>
        <w:ind w:firstLine="5775" w:firstLineChars="2750"/>
        <w:rPr>
          <w:rFonts w:ascii="宋体" w:hAnsi="宋体" w:cs="宋体"/>
          <w:bCs/>
          <w:color w:val="auto"/>
          <w:sz w:val="24"/>
          <w:highlight w:val="none"/>
        </w:rPr>
      </w:pPr>
      <w:r>
        <w:rPr>
          <w:rFonts w:hint="eastAsia" w:ascii="宋体" w:hAnsi="宋体" w:cs="宋体"/>
          <w:color w:val="auto"/>
          <w:highlight w:val="none"/>
        </w:rPr>
        <w:t>______年____月____日</w:t>
      </w:r>
    </w:p>
    <w:p>
      <w:pPr>
        <w:spacing w:beforeLines="50" w:afterLines="50" w:line="300" w:lineRule="auto"/>
        <w:rPr>
          <w:rFonts w:ascii="宋体" w:hAnsi="宋体" w:cs="宋体"/>
          <w:bCs/>
          <w:color w:val="auto"/>
          <w:sz w:val="24"/>
          <w:highlight w:val="none"/>
        </w:rPr>
      </w:pPr>
    </w:p>
    <w:p>
      <w:pPr>
        <w:pStyle w:val="8"/>
        <w:ind w:firstLine="0"/>
        <w:jc w:val="left"/>
        <w:rPr>
          <w:rFonts w:ascii="宋体" w:hAnsi="宋体" w:cs="宋体"/>
          <w:color w:val="auto"/>
          <w:sz w:val="30"/>
          <w:szCs w:val="30"/>
          <w:highlight w:val="none"/>
        </w:rPr>
      </w:pPr>
      <w:r>
        <w:rPr>
          <w:rFonts w:hint="eastAsia" w:ascii="宋体" w:hAnsi="宋体" w:cs="宋体"/>
          <w:bCs/>
          <w:color w:val="auto"/>
          <w:sz w:val="24"/>
          <w:highlight w:val="none"/>
        </w:rPr>
        <w:br w:type="page"/>
      </w:r>
      <w:bookmarkStart w:id="241" w:name="_Toc534725615"/>
      <w:bookmarkStart w:id="242" w:name="_Toc534816644"/>
      <w:r>
        <w:rPr>
          <w:rFonts w:hint="eastAsia" w:ascii="宋体" w:hAnsi="宋体" w:cs="宋体"/>
          <w:bCs/>
          <w:color w:val="auto"/>
          <w:sz w:val="24"/>
          <w:highlight w:val="none"/>
        </w:rPr>
        <w:t>表二</w:t>
      </w:r>
    </w:p>
    <w:p>
      <w:pPr>
        <w:spacing w:beforeLines="50" w:afterLines="50" w:line="300" w:lineRule="auto"/>
        <w:rPr>
          <w:rFonts w:ascii="宋体" w:hAnsi="宋体" w:cs="宋体"/>
          <w:bCs/>
          <w:color w:val="auto"/>
          <w:sz w:val="24"/>
          <w:highlight w:val="none"/>
        </w:rPr>
      </w:pPr>
    </w:p>
    <w:p>
      <w:pPr>
        <w:spacing w:beforeLines="50" w:afterLines="50" w:line="30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参加政府采购活动前 3 年内在经营活动中没有重大违法记录的</w:t>
      </w:r>
    </w:p>
    <w:p>
      <w:pPr>
        <w:spacing w:beforeLines="50" w:afterLines="50" w:line="30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书面声明</w:t>
      </w:r>
      <w:bookmarkEnd w:id="241"/>
      <w:bookmarkEnd w:id="242"/>
    </w:p>
    <w:p>
      <w:pPr>
        <w:pStyle w:val="3"/>
        <w:rPr>
          <w:rFonts w:ascii="宋体" w:hAnsi="宋体" w:eastAsia="宋体" w:cs="宋体"/>
          <w:color w:val="auto"/>
          <w:highlight w:val="none"/>
        </w:rPr>
      </w:pPr>
    </w:p>
    <w:p>
      <w:pPr>
        <w:spacing w:beforeLines="50" w:afterLines="50" w:line="300" w:lineRule="auto"/>
        <w:rPr>
          <w:rFonts w:ascii="宋体" w:hAnsi="宋体" w:cs="宋体"/>
          <w:bCs/>
          <w:color w:val="auto"/>
          <w:sz w:val="24"/>
          <w:highlight w:val="none"/>
        </w:rPr>
      </w:pPr>
      <w:r>
        <w:rPr>
          <w:rFonts w:hint="eastAsia" w:ascii="宋体" w:hAnsi="宋体" w:cs="宋体"/>
          <w:b/>
          <w:bCs/>
          <w:color w:val="auto"/>
          <w:sz w:val="24"/>
          <w:highlight w:val="none"/>
        </w:rPr>
        <w:t xml:space="preserve">    </w:t>
      </w:r>
      <w:r>
        <w:rPr>
          <w:rFonts w:hint="eastAsia" w:ascii="宋体" w:hAnsi="宋体" w:cs="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pPr>
        <w:spacing w:beforeLines="50" w:afterLines="50" w:line="300" w:lineRule="auto"/>
        <w:rPr>
          <w:rFonts w:ascii="宋体" w:hAnsi="宋体" w:cs="宋体"/>
          <w:bCs/>
          <w:color w:val="auto"/>
          <w:sz w:val="24"/>
          <w:highlight w:val="none"/>
        </w:rPr>
      </w:pPr>
    </w:p>
    <w:p>
      <w:pPr>
        <w:pStyle w:val="119"/>
        <w:spacing w:beforeLines="50" w:afterLines="50" w:line="300" w:lineRule="auto"/>
        <w:ind w:left="420" w:leftChars="200" w:firstLine="5280" w:firstLineChars="2200"/>
        <w:rPr>
          <w:rFonts w:ascii="宋体" w:hAnsi="宋体" w:cs="宋体"/>
          <w:color w:val="auto"/>
          <w:kern w:val="2"/>
          <w:szCs w:val="21"/>
          <w:highlight w:val="none"/>
        </w:rPr>
      </w:pPr>
      <w:r>
        <w:rPr>
          <w:rFonts w:hint="eastAsia" w:ascii="宋体" w:hAnsi="宋体" w:cs="宋体"/>
          <w:color w:val="auto"/>
          <w:kern w:val="2"/>
          <w:szCs w:val="21"/>
          <w:highlight w:val="none"/>
        </w:rPr>
        <w:t xml:space="preserve">投标人名称（盖章）： </w:t>
      </w:r>
    </w:p>
    <w:p>
      <w:pPr>
        <w:spacing w:beforeLines="50" w:afterLines="50" w:line="300" w:lineRule="auto"/>
        <w:ind w:firstLine="5775" w:firstLineChars="2750"/>
        <w:rPr>
          <w:rFonts w:ascii="宋体" w:hAnsi="宋体" w:cs="宋体"/>
          <w:bCs/>
          <w:color w:val="auto"/>
          <w:sz w:val="24"/>
          <w:highlight w:val="none"/>
        </w:rPr>
      </w:pPr>
      <w:r>
        <w:rPr>
          <w:rFonts w:hint="eastAsia" w:ascii="宋体" w:hAnsi="宋体" w:cs="宋体"/>
          <w:color w:val="auto"/>
          <w:highlight w:val="none"/>
        </w:rPr>
        <w:t>______年____月____日</w:t>
      </w:r>
    </w:p>
    <w:p>
      <w:pPr>
        <w:spacing w:beforeLines="50" w:afterLines="50" w:line="300" w:lineRule="auto"/>
        <w:rPr>
          <w:rFonts w:ascii="宋体" w:hAnsi="宋体" w:cs="宋体"/>
          <w:bCs/>
          <w:color w:val="auto"/>
          <w:sz w:val="24"/>
          <w:highlight w:val="none"/>
        </w:rPr>
      </w:pPr>
    </w:p>
    <w:p>
      <w:pPr>
        <w:pStyle w:val="8"/>
        <w:ind w:firstLine="0"/>
        <w:jc w:val="left"/>
        <w:rPr>
          <w:rFonts w:ascii="宋体" w:hAnsi="宋体" w:cs="宋体"/>
          <w:color w:val="auto"/>
          <w:sz w:val="30"/>
          <w:szCs w:val="30"/>
          <w:highlight w:val="none"/>
        </w:rPr>
      </w:pPr>
      <w:r>
        <w:rPr>
          <w:rFonts w:hint="eastAsia" w:ascii="宋体" w:hAnsi="宋体" w:cs="宋体"/>
          <w:bCs/>
          <w:color w:val="auto"/>
          <w:sz w:val="24"/>
          <w:highlight w:val="none"/>
        </w:rPr>
        <w:br w:type="page"/>
      </w:r>
      <w:bookmarkStart w:id="243" w:name="_Toc534816645"/>
      <w:bookmarkStart w:id="244" w:name="_Toc534725616"/>
      <w:r>
        <w:rPr>
          <w:rFonts w:hint="eastAsia" w:ascii="宋体" w:hAnsi="宋体" w:cs="宋体"/>
          <w:color w:val="auto"/>
          <w:sz w:val="30"/>
          <w:szCs w:val="30"/>
          <w:highlight w:val="none"/>
        </w:rPr>
        <w:t>表三</w:t>
      </w:r>
    </w:p>
    <w:p>
      <w:pPr>
        <w:spacing w:beforeLines="50" w:afterLines="50" w:line="300" w:lineRule="auto"/>
        <w:jc w:val="center"/>
        <w:rPr>
          <w:rFonts w:ascii="宋体" w:hAnsi="宋体" w:cs="宋体"/>
          <w:bCs/>
          <w:color w:val="auto"/>
          <w:sz w:val="24"/>
          <w:highlight w:val="none"/>
        </w:rPr>
      </w:pPr>
    </w:p>
    <w:p>
      <w:pPr>
        <w:spacing w:beforeLines="50" w:afterLines="50" w:line="300" w:lineRule="auto"/>
        <w:jc w:val="center"/>
        <w:rPr>
          <w:rFonts w:ascii="宋体" w:hAnsi="宋体" w:cs="宋体"/>
          <w:color w:val="auto"/>
          <w:sz w:val="24"/>
          <w:szCs w:val="24"/>
          <w:highlight w:val="none"/>
        </w:rPr>
      </w:pPr>
      <w:r>
        <w:rPr>
          <w:rFonts w:hint="eastAsia" w:ascii="宋体" w:hAnsi="宋体" w:cs="宋体"/>
          <w:b/>
          <w:bCs/>
          <w:color w:val="auto"/>
          <w:sz w:val="30"/>
          <w:szCs w:val="30"/>
          <w:highlight w:val="none"/>
        </w:rPr>
        <w:t>法人授权书</w:t>
      </w:r>
      <w:bookmarkEnd w:id="243"/>
      <w:bookmarkEnd w:id="244"/>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本授权委托书声明：注册于</w:t>
      </w:r>
      <w:r>
        <w:rPr>
          <w:rFonts w:hint="eastAsia" w:ascii="宋体" w:hAnsi="宋体" w:cs="宋体"/>
          <w:color w:val="auto"/>
          <w:sz w:val="24"/>
          <w:szCs w:val="24"/>
          <w:highlight w:val="none"/>
          <w:u w:val="single"/>
        </w:rPr>
        <w:t xml:space="preserve"> （供应商地址） </w:t>
      </w:r>
      <w:r>
        <w:rPr>
          <w:rFonts w:hint="eastAsia" w:ascii="宋体" w:hAnsi="宋体" w:cs="宋体"/>
          <w:color w:val="auto"/>
          <w:sz w:val="24"/>
          <w:szCs w:val="24"/>
          <w:highlight w:val="none"/>
        </w:rPr>
        <w:t xml:space="preserve"> 的 </w:t>
      </w:r>
      <w:r>
        <w:rPr>
          <w:rFonts w:hint="eastAsia" w:ascii="宋体" w:hAnsi="宋体" w:cs="宋体"/>
          <w:color w:val="auto"/>
          <w:sz w:val="24"/>
          <w:szCs w:val="24"/>
          <w:highlight w:val="none"/>
          <w:u w:val="single"/>
        </w:rPr>
        <w:t xml:space="preserve"> （供应商名称）    </w:t>
      </w:r>
      <w:r>
        <w:rPr>
          <w:rFonts w:hint="eastAsia" w:ascii="宋体" w:hAnsi="宋体" w:cs="宋体"/>
          <w:color w:val="auto"/>
          <w:sz w:val="24"/>
          <w:szCs w:val="24"/>
          <w:highlight w:val="none"/>
        </w:rPr>
        <w:t>在下面签名的（</w:t>
      </w:r>
      <w:r>
        <w:rPr>
          <w:rFonts w:hint="eastAsia" w:ascii="宋体" w:hAnsi="宋体" w:cs="宋体"/>
          <w:color w:val="auto"/>
          <w:sz w:val="24"/>
          <w:szCs w:val="24"/>
          <w:highlight w:val="none"/>
          <w:u w:val="single"/>
        </w:rPr>
        <w:t>法定代表人姓名、职务</w:t>
      </w:r>
      <w:r>
        <w:rPr>
          <w:rFonts w:hint="eastAsia" w:ascii="宋体" w:hAnsi="宋体" w:cs="宋体"/>
          <w:color w:val="auto"/>
          <w:sz w:val="24"/>
          <w:szCs w:val="24"/>
          <w:highlight w:val="none"/>
        </w:rPr>
        <w:t>），现任我单位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职务，为法定代表人。在此授权（</w:t>
      </w:r>
      <w:r>
        <w:rPr>
          <w:rFonts w:hint="eastAsia" w:ascii="宋体" w:hAnsi="宋体" w:cs="宋体"/>
          <w:color w:val="auto"/>
          <w:sz w:val="24"/>
          <w:szCs w:val="24"/>
          <w:highlight w:val="none"/>
          <w:u w:val="single"/>
        </w:rPr>
        <w:t>被授权人姓名、职务</w:t>
      </w:r>
      <w:r>
        <w:rPr>
          <w:rFonts w:hint="eastAsia" w:ascii="宋体" w:hAnsi="宋体" w:cs="宋体"/>
          <w:color w:val="auto"/>
          <w:sz w:val="24"/>
          <w:szCs w:val="24"/>
          <w:highlight w:val="none"/>
        </w:rPr>
        <w:t>）作为我公司的合法代理人，就（</w:t>
      </w:r>
      <w:r>
        <w:rPr>
          <w:rFonts w:hint="eastAsia" w:ascii="宋体" w:hAnsi="宋体" w:cs="宋体"/>
          <w:color w:val="auto"/>
          <w:sz w:val="24"/>
          <w:szCs w:val="24"/>
          <w:highlight w:val="none"/>
          <w:u w:val="single"/>
        </w:rPr>
        <w:t>采购项目名称、采购项目编号</w:t>
      </w:r>
      <w:r>
        <w:rPr>
          <w:rFonts w:hint="eastAsia" w:ascii="宋体" w:hAnsi="宋体" w:cs="宋体"/>
          <w:color w:val="auto"/>
          <w:sz w:val="24"/>
          <w:szCs w:val="24"/>
          <w:highlight w:val="none"/>
        </w:rPr>
        <w:t xml:space="preserve">）采购活动以我公司的名义处理一切与之有关的事务。 </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被授权人（供应商授权代表）无转委托权限。 </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pStyle w:val="3"/>
                              <w:spacing w:line="211" w:lineRule="exact"/>
                            </w:pPr>
                            <w:r>
                              <w:t xml:space="preserve"> </w:t>
                            </w:r>
                          </w:p>
                        </w:txbxContent>
                      </wps:txbx>
                      <wps:bodyPr lIns="0" tIns="0" rIns="0" bIns="0" upright="1"/>
                    </wps:wsp>
                  </a:graphicData>
                </a:graphic>
              </wp:anchor>
            </w:drawing>
          </mc:Choice>
          <mc:Fallback>
            <w:pict>
              <v:shape id="文本框 10" o:spid="_x0000_s1026" o:spt="202" type="#_x0000_t202" style="position:absolute;left:0pt;margin-left:98.65pt;margin-top:52.2pt;height:10.6pt;width:5.3pt;mso-position-horizontal-relative:page;z-index:-251657216;mso-width-relative:page;mso-height-relative:page;" filled="f" stroked="f" coordsize="21600,21600" o:gfxdata="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BFAy+jZAAAACwEAAA8AAAAAAAAAAQAgAAAAOAAA&#10;AGRycy9kb3ducmV2LnhtbFBLAQIUABQAAAAIAIdO4kC2CHcmuAEAAHEDAAAOAAAAAAAAAAEAIAAA&#10;AD4BAABkcnMvZTJvRG9jLnhtbFBLBQYAAAAABgAGAFkBAABoBQAAAAA=&#10;">
                <v:fill on="f" focussize="0,0"/>
                <v:stroke on="f"/>
                <v:imagedata o:title=""/>
                <o:lock v:ext="edit" aspectratio="f"/>
                <v:textbox inset="0mm,0mm,0mm,0mm">
                  <w:txbxContent>
                    <w:p>
                      <w:pPr>
                        <w:pStyle w:val="3"/>
                        <w:spacing w:line="211" w:lineRule="exact"/>
                      </w:pPr>
                      <w:r>
                        <w:t xml:space="preserve"> </w:t>
                      </w:r>
                    </w:p>
                  </w:txbxContent>
                </v:textbox>
              </v:shape>
            </w:pict>
          </mc:Fallback>
        </mc:AlternateContent>
      </w:r>
      <w:r>
        <w:rPr>
          <w:rFonts w:ascii="宋体" w:hAnsi="宋体" w:cs="宋体"/>
          <w:color w:val="auto"/>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6" name="文本框 11"/>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pPr>
                              <w:pStyle w:val="3"/>
                              <w:rPr>
                                <w:sz w:val="20"/>
                              </w:rPr>
                            </w:pPr>
                          </w:p>
                          <w:p>
                            <w:pPr>
                              <w:pStyle w:val="3"/>
                              <w:rPr>
                                <w:sz w:val="20"/>
                              </w:rPr>
                            </w:pPr>
                          </w:p>
                          <w:p>
                            <w:pPr>
                              <w:pStyle w:val="3"/>
                              <w:spacing w:before="1"/>
                              <w:rPr>
                                <w:sz w:val="16"/>
                              </w:rPr>
                            </w:pPr>
                          </w:p>
                          <w:p>
                            <w:pPr>
                              <w:pStyle w:val="3"/>
                              <w:spacing w:line="278" w:lineRule="auto"/>
                              <w:ind w:left="1091" w:right="1498" w:firstLine="314"/>
                            </w:pPr>
                            <w:r>
                              <w:rPr>
                                <w:spacing w:val="-1"/>
                              </w:rPr>
                              <w:t xml:space="preserve">法定代表人  </w:t>
                            </w:r>
                            <w:r>
                              <w:rPr>
                                <w:spacing w:val="-5"/>
                              </w:rPr>
                              <w:t>居民身份证复印件</w:t>
                            </w:r>
                          </w:p>
                          <w:p>
                            <w:pPr>
                              <w:pStyle w:val="3"/>
                              <w:spacing w:before="4"/>
                              <w:rPr>
                                <w:sz w:val="24"/>
                              </w:rPr>
                            </w:pPr>
                          </w:p>
                          <w:p>
                            <w:pPr>
                              <w:pStyle w:val="3"/>
                              <w:spacing w:before="1"/>
                              <w:ind w:left="1405"/>
                            </w:pPr>
                            <w:r>
                              <w:t>（反面）</w:t>
                            </w:r>
                          </w:p>
                        </w:txbxContent>
                      </wps:txbx>
                      <wps:bodyPr lIns="0" tIns="0" rIns="0" bIns="0" upright="1"/>
                    </wps:wsp>
                  </a:graphicData>
                </a:graphic>
              </wp:anchor>
            </w:drawing>
          </mc:Choice>
          <mc:Fallback>
            <w:pict>
              <v:shape id="文本框 11" o:spid="_x0000_s1026" o:spt="202" type="#_x0000_t202" style="position:absolute;left:0pt;margin-left:283.85pt;margin-top:44.8pt;height:119pt;width:214.45pt;mso-position-horizontal-relative:page;z-index:-251654144;mso-width-relative:page;mso-height-relative:page;" filled="f" stroked="t" coordsize="21600,21600" o:gfxdata="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NVAtZdoAAAAKAQAADwAAAAAAAAABACAAAAA4AAAAZHJzL2Rvd25yZXYueG1sUEsB&#10;AhQAFAAAAAgAh07iQD9Tk3QWAgAAMwQAAA4AAAAAAAAAAQAgAAAAPwEAAGRycy9lMm9Eb2MueG1s&#10;UEsFBgAAAAAGAAYAWQEAAMcFAAAAAA==&#10;">
                <v:fill on="f" focussize="0,0"/>
                <v:stroke color="#000000" joinstyle="miter"/>
                <v:imagedata o:title=""/>
                <o:lock v:ext="edit" aspectratio="f"/>
                <v:textbox inset="0mm,0mm,0mm,0mm">
                  <w:txbxContent>
                    <w:p>
                      <w:pPr>
                        <w:pStyle w:val="3"/>
                        <w:rPr>
                          <w:sz w:val="20"/>
                        </w:rPr>
                      </w:pPr>
                    </w:p>
                    <w:p>
                      <w:pPr>
                        <w:pStyle w:val="3"/>
                        <w:rPr>
                          <w:sz w:val="20"/>
                        </w:rPr>
                      </w:pPr>
                    </w:p>
                    <w:p>
                      <w:pPr>
                        <w:pStyle w:val="3"/>
                        <w:spacing w:before="1"/>
                        <w:rPr>
                          <w:sz w:val="16"/>
                        </w:rPr>
                      </w:pPr>
                    </w:p>
                    <w:p>
                      <w:pPr>
                        <w:pStyle w:val="3"/>
                        <w:spacing w:line="278" w:lineRule="auto"/>
                        <w:ind w:left="1091" w:right="1498" w:firstLine="314"/>
                      </w:pPr>
                      <w:r>
                        <w:rPr>
                          <w:spacing w:val="-1"/>
                        </w:rPr>
                        <w:t xml:space="preserve">法定代表人  </w:t>
                      </w:r>
                      <w:r>
                        <w:rPr>
                          <w:spacing w:val="-5"/>
                        </w:rPr>
                        <w:t>居民身份证复印件</w:t>
                      </w:r>
                    </w:p>
                    <w:p>
                      <w:pPr>
                        <w:pStyle w:val="3"/>
                        <w:spacing w:before="4"/>
                        <w:rPr>
                          <w:sz w:val="24"/>
                        </w:rPr>
                      </w:pPr>
                    </w:p>
                    <w:p>
                      <w:pPr>
                        <w:pStyle w:val="3"/>
                        <w:spacing w:before="1"/>
                        <w:ind w:left="1405"/>
                      </w:pPr>
                      <w:r>
                        <w:t>（反面）</w:t>
                      </w:r>
                    </w:p>
                  </w:txbxContent>
                </v:textbox>
              </v:shape>
            </w:pict>
          </mc:Fallback>
        </mc:AlternateContent>
      </w:r>
      <w:r>
        <w:rPr>
          <w:rFonts w:hint="eastAsia" w:ascii="宋体" w:hAnsi="宋体" w:cs="宋体"/>
          <w:color w:val="auto"/>
          <w:sz w:val="24"/>
          <w:szCs w:val="24"/>
          <w:highlight w:val="none"/>
        </w:rPr>
        <w:t>本授权书自法定代表人签字之日起生效，特此声明。</w:t>
      </w:r>
    </w:p>
    <w:p>
      <w:pPr>
        <w:spacing w:line="440" w:lineRule="exact"/>
        <w:rPr>
          <w:rFonts w:ascii="宋体" w:hAnsi="宋体" w:cs="宋体"/>
          <w:color w:val="auto"/>
          <w:sz w:val="24"/>
          <w:szCs w:val="24"/>
          <w:highlight w:val="none"/>
        </w:rPr>
      </w:pPr>
      <w:r>
        <w:rPr>
          <w:rFonts w:ascii="宋体" w:hAnsi="宋体" w:cs="宋体"/>
          <w:color w:val="auto"/>
          <w:sz w:val="24"/>
          <w:szCs w:val="24"/>
          <w:highlight w:val="none"/>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4445" b="14605"/>
                <wp:wrapNone/>
                <wp:docPr id="5" name="组合 12"/>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3" name="矩形 13"/>
                        <wps:cNvSpPr/>
                        <wps:spPr>
                          <a:xfrm>
                            <a:off x="1222" y="896"/>
                            <a:ext cx="4275" cy="2754"/>
                          </a:xfrm>
                          <a:prstGeom prst="rect">
                            <a:avLst/>
                          </a:prstGeom>
                          <a:solidFill>
                            <a:srgbClr val="FFFFFF"/>
                          </a:solidFill>
                          <a:ln>
                            <a:noFill/>
                          </a:ln>
                        </wps:spPr>
                        <wps:bodyPr upright="1"/>
                      </wps:wsp>
                      <wps:wsp>
                        <wps:cNvPr id="4" name="文本框 14"/>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wps:txbx>
                        <wps:bodyPr lIns="0" tIns="0" rIns="0" bIns="0" upright="1"/>
                      </wps:wsp>
                    </wpg:wgp>
                  </a:graphicData>
                </a:graphic>
              </wp:anchor>
            </w:drawing>
          </mc:Choice>
          <mc:Fallback>
            <w:pict>
              <v:group id="组合 12" o:spid="_x0000_s1026" o:spt="203" style="position:absolute;left:0pt;margin-left:62.2pt;margin-top:21.65pt;height:121.2pt;width:214.5pt;mso-position-horizontal-relative:page;z-index:-251655168;mso-width-relative:page;mso-height-relative:page;" coordorigin="1214,889" coordsize="4290,2769" o:gfxdata="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WAAAAZHJzL1BLAQIU&#10;ABQAAAAIAIdO4kBKEyLB2QAAAAoBAAAPAAAAAAAAAAEAIAAAADgAAABkcnMvZG93bnJldi54bWxQ&#10;SwECFAAUAAAACACHTuJA9Z9efMQCAADlBgAADgAAAAAAAAABACAAAAA+AQAAZHJzL2Uyb0RvYy54&#10;bWxQSwUGAAAAAAYABgBZAQAAdAYAAAAA&#10;">
                <o:lock v:ext="edit" aspectratio="f"/>
                <v:rect id="矩形 13" o:spid="_x0000_s1026" o:spt="1" style="position:absolute;left:1222;top:896;height:2754;width:4275;" fillcolor="#FFFFFF" filled="t" stroked="f" coordsize="21600,21600" o:gfxdata="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NJFzr0AAADaAAAADwAAAAAAAAABACAAAAA4AAAAZHJzL2Rvd25yZXYu&#10;eG1sUEsBAhQAFAAAAAgAh07iQDMvBZ47AAAAOQAAABAAAAAAAAAAAQAgAAAAIgEAAGRycy9zaGFw&#10;ZXhtbC54bWxQSwUGAAAAAAYABgBbAQAAzAMAAAAA&#10;">
                  <v:fill on="t" focussize="0,0"/>
                  <v:stroke on="f"/>
                  <v:imagedata o:title=""/>
                  <o:lock v:ext="edit" aspectratio="f"/>
                </v:rect>
                <v:shape id="文本框 14" o:spid="_x0000_s1026" o:spt="202" type="#_x0000_t202" style="position:absolute;left:1222;top:896;height:2754;width:4275;" filled="f" stroked="t" coordsize="21600,21600" o:gfxdata="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GY25b0AAADaAAAADwAAAAAAAAABACAAAAA4AAAAZHJzL2Rvd25yZXYu&#10;eG1sUEsBAhQAFAAAAAgAh07iQDMvBZ47AAAAOQAAABAAAAAAAAAAAQAgAAAAIgEAAGRycy9zaGFw&#10;ZXhtbC54bWxQSwUGAAAAAAYABgBbAQAAzAMAAAAA&#10;">
                  <v:fill on="f" focussize="0,0"/>
                  <v:stroke color="#000000"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v:textbox>
                </v:shape>
              </v:group>
            </w:pict>
          </mc:Fallback>
        </mc:AlternateContent>
      </w:r>
      <w:r>
        <w:rPr>
          <w:rFonts w:hint="eastAsia" w:ascii="宋体" w:hAnsi="宋体" w:cs="宋体"/>
          <w:b/>
          <w:bCs/>
          <w:color w:val="auto"/>
          <w:sz w:val="24"/>
          <w:szCs w:val="24"/>
          <w:highlight w:val="none"/>
        </w:rPr>
        <w:t>附：法定代表人身份证复印件</w:t>
      </w:r>
      <w:r>
        <w:rPr>
          <w:rFonts w:hint="eastAsia" w:ascii="宋体" w:hAnsi="宋体" w:cs="宋体"/>
          <w:color w:val="auto"/>
          <w:sz w:val="24"/>
          <w:szCs w:val="24"/>
          <w:highlight w:val="none"/>
        </w:rPr>
        <w:t xml:space="preserve"> </w:t>
      </w:r>
    </w:p>
    <w:p>
      <w:pPr>
        <w:spacing w:line="440" w:lineRule="exact"/>
        <w:ind w:firstLine="480" w:firstLineChars="200"/>
        <w:rPr>
          <w:rFonts w:ascii="宋体" w:hAnsi="宋体" w:cs="宋体"/>
          <w:color w:val="auto"/>
          <w:sz w:val="24"/>
          <w:szCs w:val="24"/>
          <w:highlight w:val="none"/>
        </w:rPr>
      </w:pPr>
    </w:p>
    <w:p>
      <w:pPr>
        <w:spacing w:line="440" w:lineRule="exact"/>
        <w:ind w:firstLine="480" w:firstLineChars="200"/>
        <w:rPr>
          <w:rFonts w:ascii="宋体" w:hAnsi="宋体" w:cs="宋体"/>
          <w:color w:val="auto"/>
          <w:sz w:val="24"/>
          <w:szCs w:val="24"/>
          <w:highlight w:val="none"/>
        </w:rPr>
      </w:pPr>
    </w:p>
    <w:p>
      <w:pPr>
        <w:spacing w:line="440" w:lineRule="exact"/>
        <w:ind w:firstLine="480" w:firstLineChars="200"/>
        <w:rPr>
          <w:rFonts w:ascii="宋体" w:hAnsi="宋体" w:cs="宋体"/>
          <w:color w:val="auto"/>
          <w:sz w:val="24"/>
          <w:szCs w:val="24"/>
          <w:highlight w:val="none"/>
        </w:rPr>
      </w:pPr>
    </w:p>
    <w:p>
      <w:pPr>
        <w:spacing w:line="440" w:lineRule="exact"/>
        <w:ind w:firstLine="480" w:firstLineChars="200"/>
        <w:rPr>
          <w:rFonts w:ascii="宋体" w:hAnsi="宋体" w:cs="宋体"/>
          <w:color w:val="auto"/>
          <w:sz w:val="24"/>
          <w:szCs w:val="24"/>
          <w:highlight w:val="none"/>
        </w:rPr>
      </w:pPr>
    </w:p>
    <w:p>
      <w:pPr>
        <w:spacing w:line="440" w:lineRule="exact"/>
        <w:ind w:firstLine="480" w:firstLineChars="2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ascii="宋体" w:hAnsi="宋体" w:cs="宋体"/>
          <w:color w:val="auto"/>
          <w:sz w:val="24"/>
          <w:szCs w:val="24"/>
          <w:highlight w:val="none"/>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0" b="12065"/>
                <wp:wrapTopAndBottom/>
                <wp:docPr id="9" name="组合 15"/>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7" name="矩形 16"/>
                        <wps:cNvSpPr/>
                        <wps:spPr>
                          <a:xfrm>
                            <a:off x="1104" y="469"/>
                            <a:ext cx="4448" cy="2775"/>
                          </a:xfrm>
                          <a:prstGeom prst="rect">
                            <a:avLst/>
                          </a:prstGeom>
                          <a:solidFill>
                            <a:srgbClr val="FFFFFF"/>
                          </a:solidFill>
                          <a:ln>
                            <a:noFill/>
                          </a:ln>
                        </wps:spPr>
                        <wps:bodyPr upright="1"/>
                      </wps:wsp>
                      <wps:wsp>
                        <wps:cNvPr id="8" name="文本框 17"/>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rPr>
                                  <w:rFonts w:ascii="微软雅黑"/>
                                  <w:b/>
                                  <w:sz w:val="20"/>
                                </w:rPr>
                              </w:pPr>
                            </w:p>
                            <w:p>
                              <w:pPr>
                                <w:spacing w:before="1"/>
                                <w:rPr>
                                  <w:rFonts w:ascii="微软雅黑"/>
                                  <w:b/>
                                  <w:sz w:val="19"/>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wps:txbx>
                        <wps:bodyPr lIns="0" tIns="0" rIns="0" bIns="0" upright="1"/>
                      </wps:wsp>
                    </wpg:wgp>
                  </a:graphicData>
                </a:graphic>
              </wp:anchor>
            </w:drawing>
          </mc:Choice>
          <mc:Fallback>
            <w:pict>
              <v:group id="组合 15"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BYAAABkcnMv&#10;UEsBAhQAFAAAAAgAh07iQPbevwnaAAAACgEAAA8AAAAAAAAAAQAgAAAAOAAAAGRycy9kb3ducmV2&#10;LnhtbFBLAQIUABQAAAAIAIdO4kDwe80ryAIAAOUGAAAOAAAAAAAAAAEAIAAAAD8BAABkcnMvZTJv&#10;RG9jLnhtbFBLBQYAAAAABgAGAFkBAAB5BgAAAAA=&#10;">
                <o:lock v:ext="edit" aspectratio="f"/>
                <v:rect id="矩形 16" o:spid="_x0000_s1026" o:spt="1" style="position:absolute;left:1104;top:469;height:2775;width:4448;" fillcolor="#FFFFFF" filled="t" stroked="f" coordsize="21600,21600" o:gfxdata="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6UPNvAAAANoAAAAPAAAAAAAAAAEAIAAAADgAAABkcnMvZG93bnJldi54&#10;bWxQSwECFAAUAAAACACHTuJAMy8FnjsAAAA5AAAAEAAAAAAAAAABACAAAAAhAQAAZHJzL3NoYXBl&#10;eG1sLnhtbFBLBQYAAAAABgAGAFsBAADLAwAAAAA=&#10;">
                  <v:fill on="t" focussize="0,0"/>
                  <v:stroke on="f"/>
                  <v:imagedata o:title=""/>
                  <o:lock v:ext="edit" aspectratio="f"/>
                </v:rect>
                <v:shape id="文本框 17" o:spid="_x0000_s1026" o:spt="202" type="#_x0000_t202" style="position:absolute;left:1104;top:469;height:2775;width:4448;" filled="f" stroked="t" coordsize="21600,21600" o:gfxdata="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Ss84LoAAADaAAAADwAAAAAAAAABACAAAAA4AAAAZHJzL2Rvd25yZXYueG1s&#10;UEsBAhQAFAAAAAgAh07iQDMvBZ47AAAAOQAAABAAAAAAAAAAAQAgAAAAHwEAAGRycy9zaGFwZXht&#10;bC54bWxQSwUGAAAAAAYABgBbAQAAyQMAAAAA&#10;">
                  <v:fill on="f" focussize="0,0"/>
                  <v:stroke color="#000000" joinstyle="miter"/>
                  <v:imagedata o:title=""/>
                  <o:lock v:ext="edit" aspectratio="f"/>
                  <v:textbox inset="0mm,0mm,0mm,0mm">
                    <w:txbxContent>
                      <w:p>
                        <w:pPr>
                          <w:rPr>
                            <w:rFonts w:ascii="微软雅黑"/>
                            <w:b/>
                            <w:sz w:val="20"/>
                          </w:rPr>
                        </w:pPr>
                      </w:p>
                      <w:p>
                        <w:pPr>
                          <w:spacing w:before="1"/>
                          <w:rPr>
                            <w:rFonts w:ascii="微软雅黑"/>
                            <w:b/>
                            <w:sz w:val="19"/>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v:textbox>
                </v:shape>
                <w10:wrap type="topAndBottom"/>
              </v:group>
            </w:pict>
          </mc:Fallback>
        </mc:AlternateContent>
      </w:r>
      <w:r>
        <w:rPr>
          <w:rFonts w:ascii="宋体" w:hAnsi="宋体" w:cs="宋体"/>
          <w:color w:val="auto"/>
          <w:sz w:val="24"/>
          <w:szCs w:val="24"/>
          <w:highlight w:val="none"/>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5715" b="19685"/>
                <wp:wrapTopAndBottom/>
                <wp:docPr id="10" name="文本框 18"/>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pPr>
                              <w:pStyle w:val="3"/>
                              <w:rPr>
                                <w:rFonts w:ascii="微软雅黑"/>
                                <w:b/>
                                <w:sz w:val="20"/>
                              </w:rPr>
                            </w:pPr>
                          </w:p>
                          <w:p>
                            <w:pPr>
                              <w:pStyle w:val="3"/>
                              <w:spacing w:before="1"/>
                              <w:rPr>
                                <w:rFonts w:ascii="微软雅黑"/>
                                <w:b/>
                                <w:sz w:val="19"/>
                              </w:rPr>
                            </w:pPr>
                          </w:p>
                          <w:p>
                            <w:pPr>
                              <w:pStyle w:val="3"/>
                              <w:spacing w:line="278" w:lineRule="auto"/>
                              <w:ind w:left="1168" w:right="1159"/>
                              <w:jc w:val="center"/>
                            </w:pPr>
                            <w:r>
                              <w:t>被授权人（授权代表） 居民身份证复印件</w:t>
                            </w:r>
                          </w:p>
                          <w:p>
                            <w:pPr>
                              <w:pStyle w:val="3"/>
                              <w:spacing w:before="16"/>
                              <w:rPr>
                                <w:rFonts w:ascii="微软雅黑"/>
                                <w:b/>
                                <w:sz w:val="16"/>
                              </w:rPr>
                            </w:pPr>
                          </w:p>
                          <w:p>
                            <w:pPr>
                              <w:pStyle w:val="3"/>
                              <w:spacing w:before="1"/>
                              <w:ind w:left="1165" w:right="1161"/>
                              <w:jc w:val="center"/>
                            </w:pPr>
                            <w:r>
                              <w:t>（反面）</w:t>
                            </w:r>
                          </w:p>
                        </w:txbxContent>
                      </wps:txbx>
                      <wps:bodyPr lIns="0" tIns="0" rIns="0" bIns="0" upright="1"/>
                    </wps:wsp>
                  </a:graphicData>
                </a:graphic>
              </wp:anchor>
            </w:drawing>
          </mc:Choice>
          <mc:Fallback>
            <w:pict>
              <v:shape id="文本框 18"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XnBpw2wAAAAsBAAAPAAAAAAAAAAEAIAAAADgAAABkcnMvZG93bnJldi54bWxQSwEC&#10;FAAUAAAACACHTuJAc1mVNBQCAAA0BAAADgAAAAAAAAABACAAAABAAQAAZHJzL2Uyb0RvYy54bWxQ&#10;SwUGAAAAAAYABgBZAQAAxgUAAAAA&#10;">
                <v:fill on="f" focussize="0,0"/>
                <v:stroke color="#000000" joinstyle="miter"/>
                <v:imagedata o:title=""/>
                <o:lock v:ext="edit" aspectratio="f"/>
                <v:textbox inset="0mm,0mm,0mm,0mm">
                  <w:txbxContent>
                    <w:p>
                      <w:pPr>
                        <w:pStyle w:val="3"/>
                        <w:rPr>
                          <w:rFonts w:ascii="微软雅黑"/>
                          <w:b/>
                          <w:sz w:val="20"/>
                        </w:rPr>
                      </w:pPr>
                    </w:p>
                    <w:p>
                      <w:pPr>
                        <w:pStyle w:val="3"/>
                        <w:spacing w:before="1"/>
                        <w:rPr>
                          <w:rFonts w:ascii="微软雅黑"/>
                          <w:b/>
                          <w:sz w:val="19"/>
                        </w:rPr>
                      </w:pPr>
                    </w:p>
                    <w:p>
                      <w:pPr>
                        <w:pStyle w:val="3"/>
                        <w:spacing w:line="278" w:lineRule="auto"/>
                        <w:ind w:left="1168" w:right="1159"/>
                        <w:jc w:val="center"/>
                      </w:pPr>
                      <w:r>
                        <w:t>被授权人（授权代表） 居民身份证复印件</w:t>
                      </w:r>
                    </w:p>
                    <w:p>
                      <w:pPr>
                        <w:pStyle w:val="3"/>
                        <w:spacing w:before="16"/>
                        <w:rPr>
                          <w:rFonts w:ascii="微软雅黑"/>
                          <w:b/>
                          <w:sz w:val="16"/>
                        </w:rPr>
                      </w:pPr>
                    </w:p>
                    <w:p>
                      <w:pPr>
                        <w:pStyle w:val="3"/>
                        <w:spacing w:before="1"/>
                        <w:ind w:left="1165" w:right="1161"/>
                        <w:jc w:val="center"/>
                      </w:pPr>
                      <w:r>
                        <w:t>（反面）</w:t>
                      </w:r>
                    </w:p>
                  </w:txbxContent>
                </v:textbox>
                <w10:wrap type="topAndBottom"/>
              </v:shape>
            </w:pict>
          </mc:Fallback>
        </mc:AlternateContent>
      </w:r>
      <w:r>
        <w:rPr>
          <w:rFonts w:ascii="宋体" w:hAnsi="宋体" w:cs="宋体"/>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pPr>
                              <w:pStyle w:val="3"/>
                              <w:spacing w:line="241" w:lineRule="exact"/>
                            </w:pPr>
                            <w:r>
                              <w:t xml:space="preserve"> </w:t>
                            </w:r>
                          </w:p>
                          <w:p>
                            <w:pPr>
                              <w:pStyle w:val="3"/>
                              <w:spacing w:before="6"/>
                              <w:rPr>
                                <w:sz w:val="15"/>
                              </w:rPr>
                            </w:pPr>
                          </w:p>
                          <w:p>
                            <w:pPr>
                              <w:pStyle w:val="3"/>
                            </w:pPr>
                            <w:r>
                              <w:t xml:space="preserve"> </w:t>
                            </w:r>
                          </w:p>
                          <w:p>
                            <w:pPr>
                              <w:pStyle w:val="3"/>
                              <w:spacing w:before="7"/>
                              <w:rPr>
                                <w:sz w:val="15"/>
                              </w:rPr>
                            </w:pPr>
                          </w:p>
                          <w:p>
                            <w:pPr>
                              <w:pStyle w:val="3"/>
                            </w:pPr>
                            <w:r>
                              <w:t xml:space="preserve"> </w:t>
                            </w:r>
                          </w:p>
                          <w:p>
                            <w:pPr>
                              <w:pStyle w:val="3"/>
                              <w:spacing w:before="7"/>
                              <w:rPr>
                                <w:sz w:val="15"/>
                              </w:rPr>
                            </w:pPr>
                          </w:p>
                          <w:p>
                            <w:pPr>
                              <w:pStyle w:val="3"/>
                            </w:pPr>
                            <w:r>
                              <w:t xml:space="preserve"> </w:t>
                            </w:r>
                          </w:p>
                          <w:p>
                            <w:pPr>
                              <w:pStyle w:val="3"/>
                              <w:spacing w:before="7"/>
                              <w:rPr>
                                <w:sz w:val="15"/>
                              </w:rPr>
                            </w:pPr>
                          </w:p>
                          <w:p>
                            <w:pPr>
                              <w:pStyle w:val="3"/>
                            </w:pPr>
                            <w:r>
                              <w:t xml:space="preserve"> </w:t>
                            </w:r>
                          </w:p>
                          <w:p>
                            <w:pPr>
                              <w:pStyle w:val="3"/>
                              <w:spacing w:before="6"/>
                              <w:rPr>
                                <w:sz w:val="15"/>
                              </w:rPr>
                            </w:pPr>
                          </w:p>
                          <w:p>
                            <w:pPr>
                              <w:pStyle w:val="3"/>
                              <w:spacing w:line="240" w:lineRule="exact"/>
                            </w:pPr>
                            <w:r>
                              <w:t xml:space="preserve"> </w:t>
                            </w:r>
                          </w:p>
                        </w:txbxContent>
                      </wps:txbx>
                      <wps:bodyPr lIns="0" tIns="0" rIns="0" bIns="0" upright="1"/>
                    </wps:wsp>
                  </a:graphicData>
                </a:graphic>
              </wp:anchor>
            </w:drawing>
          </mc:Choice>
          <mc:Fallback>
            <w:pict>
              <v:shape id="文本框 19" o:spid="_x0000_s1026" o:spt="202" type="#_x0000_t202" style="position:absolute;left:0pt;margin-left:56.6pt;margin-top:28.4pt;height:127.6pt;width:5.3pt;mso-position-horizontal-relative:page;z-index:-251656192;mso-width-relative:page;mso-height-relative:page;" filled="f" stroked="f" coordsize="21600,21600" o:gfxdata="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JnlUMfXAAAACgEAAA8AAAAAAAAAAQAgAAAAOAAA&#10;AGRycy9kb3ducmV2LnhtbFBLAQIUABQAAAAIAIdO4kBNRpfBugEAAHIDAAAOAAAAAAAAAAEAIAAA&#10;ADwBAABkcnMvZTJvRG9jLnhtbFBLBQYAAAAABgAGAFkBAABoBQAAAAA=&#10;">
                <v:fill on="f" focussize="0,0"/>
                <v:stroke on="f"/>
                <v:imagedata o:title=""/>
                <o:lock v:ext="edit" aspectratio="f"/>
                <v:textbox inset="0mm,0mm,0mm,0mm">
                  <w:txbxContent>
                    <w:p>
                      <w:pPr>
                        <w:pStyle w:val="3"/>
                        <w:spacing w:line="241" w:lineRule="exact"/>
                      </w:pPr>
                      <w:r>
                        <w:t xml:space="preserve"> </w:t>
                      </w:r>
                    </w:p>
                    <w:p>
                      <w:pPr>
                        <w:pStyle w:val="3"/>
                        <w:spacing w:before="6"/>
                        <w:rPr>
                          <w:sz w:val="15"/>
                        </w:rPr>
                      </w:pPr>
                    </w:p>
                    <w:p>
                      <w:pPr>
                        <w:pStyle w:val="3"/>
                      </w:pPr>
                      <w:r>
                        <w:t xml:space="preserve"> </w:t>
                      </w:r>
                    </w:p>
                    <w:p>
                      <w:pPr>
                        <w:pStyle w:val="3"/>
                        <w:spacing w:before="7"/>
                        <w:rPr>
                          <w:sz w:val="15"/>
                        </w:rPr>
                      </w:pPr>
                    </w:p>
                    <w:p>
                      <w:pPr>
                        <w:pStyle w:val="3"/>
                      </w:pPr>
                      <w:r>
                        <w:t xml:space="preserve"> </w:t>
                      </w:r>
                    </w:p>
                    <w:p>
                      <w:pPr>
                        <w:pStyle w:val="3"/>
                        <w:spacing w:before="7"/>
                        <w:rPr>
                          <w:sz w:val="15"/>
                        </w:rPr>
                      </w:pPr>
                    </w:p>
                    <w:p>
                      <w:pPr>
                        <w:pStyle w:val="3"/>
                      </w:pPr>
                      <w:r>
                        <w:t xml:space="preserve"> </w:t>
                      </w:r>
                    </w:p>
                    <w:p>
                      <w:pPr>
                        <w:pStyle w:val="3"/>
                        <w:spacing w:before="7"/>
                        <w:rPr>
                          <w:sz w:val="15"/>
                        </w:rPr>
                      </w:pPr>
                    </w:p>
                    <w:p>
                      <w:pPr>
                        <w:pStyle w:val="3"/>
                      </w:pPr>
                      <w:r>
                        <w:t xml:space="preserve"> </w:t>
                      </w:r>
                    </w:p>
                    <w:p>
                      <w:pPr>
                        <w:pStyle w:val="3"/>
                        <w:spacing w:before="6"/>
                        <w:rPr>
                          <w:sz w:val="15"/>
                        </w:rPr>
                      </w:pPr>
                    </w:p>
                    <w:p>
                      <w:pPr>
                        <w:pStyle w:val="3"/>
                        <w:spacing w:line="240" w:lineRule="exact"/>
                      </w:pPr>
                      <w:r>
                        <w:t xml:space="preserve"> </w:t>
                      </w:r>
                    </w:p>
                  </w:txbxContent>
                </v:textbox>
              </v:shape>
            </w:pict>
          </mc:Fallback>
        </mc:AlternateContent>
      </w:r>
      <w:r>
        <w:rPr>
          <w:rFonts w:hint="eastAsia" w:ascii="宋体" w:hAnsi="宋体" w:cs="宋体"/>
          <w:color w:val="auto"/>
          <w:sz w:val="24"/>
          <w:szCs w:val="24"/>
          <w:highlight w:val="none"/>
        </w:rPr>
        <w:t xml:space="preserve">附：被授权代表人身份证复印件 </w:t>
      </w:r>
    </w:p>
    <w:p>
      <w:pPr>
        <w:spacing w:line="440" w:lineRule="exact"/>
        <w:ind w:firstLine="480" w:firstLineChars="200"/>
        <w:rPr>
          <w:rFonts w:ascii="宋体" w:hAnsi="宋体" w:cs="宋体"/>
          <w:color w:val="auto"/>
          <w:sz w:val="24"/>
          <w:szCs w:val="24"/>
          <w:highlight w:val="none"/>
        </w:rPr>
      </w:pP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法定代表人（签名或盖章）：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职务： </w:t>
      </w:r>
      <w:r>
        <w:rPr>
          <w:rFonts w:hint="eastAsia" w:ascii="宋体" w:hAnsi="宋体" w:cs="宋体"/>
          <w:color w:val="auto"/>
          <w:sz w:val="24"/>
          <w:szCs w:val="24"/>
          <w:highlight w:val="none"/>
          <w:u w:val="single"/>
        </w:rPr>
        <w:t xml:space="preserve">            </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被授权人（签名）：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供应商名称（单位盖公章）：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440" w:lineRule="exact"/>
        <w:ind w:firstLine="480" w:firstLineChars="200"/>
        <w:rPr>
          <w:rFonts w:ascii="宋体" w:hAnsi="宋体" w:cs="宋体"/>
          <w:color w:val="auto"/>
          <w:sz w:val="24"/>
          <w:szCs w:val="24"/>
          <w:highlight w:val="none"/>
        </w:rPr>
        <w:sectPr>
          <w:headerReference r:id="rId5" w:type="default"/>
          <w:pgSz w:w="11910" w:h="16840"/>
          <w:pgMar w:top="1984" w:right="1531" w:bottom="2098" w:left="1531" w:header="670" w:footer="1041" w:gutter="0"/>
          <w:cols w:space="720" w:num="1"/>
          <w:docGrid w:linePitch="1" w:charSpace="0"/>
        </w:sectPr>
      </w:pPr>
      <w:r>
        <w:rPr>
          <w:rFonts w:hint="eastAsia" w:ascii="宋体" w:hAnsi="宋体" w:cs="宋体"/>
          <w:color w:val="auto"/>
          <w:sz w:val="24"/>
          <w:szCs w:val="24"/>
          <w:highlight w:val="none"/>
        </w:rPr>
        <w:t xml:space="preserve">日期: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pStyle w:val="121"/>
        <w:spacing w:beforeLines="50" w:afterLines="50" w:line="300" w:lineRule="auto"/>
        <w:ind w:firstLine="0" w:firstLineChars="0"/>
        <w:rPr>
          <w:rFonts w:ascii="宋体" w:hAnsi="宋体" w:cs="宋体"/>
          <w:color w:val="auto"/>
          <w:sz w:val="24"/>
          <w:szCs w:val="24"/>
          <w:highlight w:val="none"/>
          <w:u w:val="single"/>
        </w:rPr>
      </w:pPr>
    </w:p>
    <w:p>
      <w:pPr>
        <w:pStyle w:val="5"/>
        <w:spacing w:beforeLines="50" w:afterLines="50" w:line="240" w:lineRule="auto"/>
        <w:jc w:val="left"/>
        <w:rPr>
          <w:rFonts w:ascii="宋体" w:hAnsi="宋体" w:eastAsia="宋体" w:cs="宋体"/>
          <w:bCs w:val="0"/>
          <w:color w:val="auto"/>
          <w:sz w:val="32"/>
          <w:szCs w:val="32"/>
          <w:highlight w:val="none"/>
        </w:rPr>
      </w:pPr>
      <w:bookmarkStart w:id="245" w:name="_Toc534725617"/>
      <w:bookmarkStart w:id="246" w:name="_Toc534816646"/>
      <w:r>
        <w:rPr>
          <w:rFonts w:hint="eastAsia" w:ascii="宋体" w:hAnsi="宋体" w:eastAsia="宋体" w:cs="宋体"/>
          <w:b w:val="0"/>
          <w:bCs w:val="0"/>
          <w:color w:val="auto"/>
          <w:sz w:val="30"/>
          <w:szCs w:val="30"/>
          <w:highlight w:val="none"/>
        </w:rPr>
        <w:t>表四</w:t>
      </w:r>
    </w:p>
    <w:p>
      <w:pPr>
        <w:pStyle w:val="5"/>
        <w:spacing w:beforeLines="50" w:afterLines="50" w:line="400" w:lineRule="exact"/>
        <w:ind w:firstLine="3373" w:firstLineChars="1050"/>
        <w:jc w:val="both"/>
        <w:rPr>
          <w:rFonts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投标函格式</w:t>
      </w:r>
      <w:bookmarkEnd w:id="245"/>
      <w:bookmarkEnd w:id="246"/>
    </w:p>
    <w:p>
      <w:pPr>
        <w:pStyle w:val="119"/>
        <w:spacing w:beforeLines="50" w:afterLines="50" w:line="400" w:lineRule="exact"/>
        <w:ind w:firstLine="0"/>
        <w:rPr>
          <w:rFonts w:ascii="宋体" w:hAnsi="宋体" w:cs="宋体"/>
          <w:color w:val="auto"/>
          <w:kern w:val="2"/>
          <w:szCs w:val="21"/>
          <w:highlight w:val="none"/>
        </w:rPr>
      </w:pPr>
      <w:r>
        <w:rPr>
          <w:rFonts w:hint="eastAsia" w:ascii="宋体" w:hAnsi="宋体" w:cs="宋体"/>
          <w:color w:val="auto"/>
          <w:kern w:val="2"/>
          <w:szCs w:val="21"/>
          <w:highlight w:val="none"/>
        </w:rPr>
        <w:t>致：新疆维吾尔自治区政务服务和公共资源交易中心</w:t>
      </w:r>
    </w:p>
    <w:p>
      <w:pPr>
        <w:pStyle w:val="119"/>
        <w:spacing w:beforeLines="50" w:afterLines="50" w:line="400" w:lineRule="exact"/>
        <w:ind w:firstLineChars="200"/>
        <w:rPr>
          <w:rFonts w:ascii="宋体" w:hAnsi="宋体" w:cs="宋体"/>
          <w:color w:val="auto"/>
          <w:kern w:val="2"/>
          <w:szCs w:val="21"/>
          <w:highlight w:val="none"/>
        </w:rPr>
      </w:pPr>
      <w:r>
        <w:rPr>
          <w:rFonts w:hint="eastAsia" w:ascii="宋体" w:hAnsi="宋体" w:cs="宋体"/>
          <w:color w:val="auto"/>
          <w:kern w:val="2"/>
          <w:szCs w:val="21"/>
          <w:highlight w:val="none"/>
        </w:rPr>
        <w:t>根据贵方的GK</w:t>
      </w:r>
      <w:r>
        <w:rPr>
          <w:rFonts w:hint="eastAsia" w:ascii="宋体" w:hAnsi="宋体" w:cs="宋体"/>
          <w:b/>
          <w:color w:val="auto"/>
          <w:sz w:val="36"/>
          <w:highlight w:val="none"/>
          <w:u w:val="single"/>
        </w:rPr>
        <w:t xml:space="preserve">            </w:t>
      </w:r>
      <w:r>
        <w:rPr>
          <w:rFonts w:hint="eastAsia" w:ascii="宋体" w:hAnsi="宋体" w:cs="宋体"/>
          <w:color w:val="auto"/>
          <w:kern w:val="2"/>
          <w:szCs w:val="21"/>
          <w:highlight w:val="none"/>
        </w:rPr>
        <w:t>号招标文件，正式授权下述签字人_________________(姓名)代表我方______________（投标人的名称），全权处理本次项目投标的有关事宜。</w:t>
      </w:r>
    </w:p>
    <w:p>
      <w:pPr>
        <w:pStyle w:val="119"/>
        <w:spacing w:beforeLines="50" w:afterLines="50" w:line="400" w:lineRule="exact"/>
        <w:ind w:firstLineChars="200"/>
        <w:rPr>
          <w:rFonts w:ascii="宋体" w:hAnsi="宋体" w:cs="宋体"/>
          <w:color w:val="auto"/>
          <w:kern w:val="2"/>
          <w:szCs w:val="21"/>
          <w:highlight w:val="none"/>
        </w:rPr>
      </w:pPr>
      <w:r>
        <w:rPr>
          <w:rFonts w:hint="eastAsia" w:ascii="宋体" w:hAnsi="宋体" w:cs="宋体"/>
          <w:color w:val="auto"/>
          <w:kern w:val="2"/>
          <w:szCs w:val="21"/>
          <w:highlight w:val="none"/>
        </w:rPr>
        <w:t>据此函，__________签字人兹宣布同意如下：</w:t>
      </w:r>
    </w:p>
    <w:p>
      <w:pPr>
        <w:pStyle w:val="119"/>
        <w:spacing w:beforeLines="50" w:afterLines="50" w:line="400" w:lineRule="exact"/>
        <w:rPr>
          <w:rFonts w:ascii="宋体" w:hAnsi="宋体" w:cs="宋体"/>
          <w:color w:val="auto"/>
          <w:kern w:val="2"/>
          <w:szCs w:val="21"/>
          <w:highlight w:val="none"/>
        </w:rPr>
      </w:pPr>
      <w:r>
        <w:rPr>
          <w:rFonts w:hint="eastAsia" w:ascii="宋体" w:hAnsi="宋体" w:cs="宋体"/>
          <w:color w:val="auto"/>
          <w:kern w:val="2"/>
          <w:szCs w:val="21"/>
          <w:highlight w:val="none"/>
        </w:rPr>
        <w:t>1.</w:t>
      </w:r>
      <w:r>
        <w:rPr>
          <w:rFonts w:hint="eastAsia" w:ascii="宋体" w:hAnsi="宋体" w:cs="宋体"/>
          <w:color w:val="auto"/>
          <w:kern w:val="2"/>
          <w:szCs w:val="21"/>
          <w:highlight w:val="none"/>
          <w:lang w:eastAsia="zh-CN"/>
        </w:rPr>
        <w:t>按照</w:t>
      </w:r>
      <w:r>
        <w:rPr>
          <w:rFonts w:hint="eastAsia" w:ascii="宋体" w:hAnsi="宋体" w:cs="宋体"/>
          <w:color w:val="auto"/>
          <w:kern w:val="2"/>
          <w:szCs w:val="21"/>
          <w:highlight w:val="none"/>
        </w:rPr>
        <w:t>招标文件规定的各项要求，向买方提供所需货物与服务。</w:t>
      </w:r>
    </w:p>
    <w:p>
      <w:pPr>
        <w:pStyle w:val="119"/>
        <w:spacing w:beforeLines="50" w:afterLines="50" w:line="400" w:lineRule="exact"/>
        <w:ind w:firstLineChars="200"/>
        <w:rPr>
          <w:rFonts w:ascii="宋体" w:hAnsi="宋体" w:cs="宋体"/>
          <w:color w:val="auto"/>
          <w:kern w:val="2"/>
          <w:szCs w:val="21"/>
          <w:highlight w:val="none"/>
        </w:rPr>
      </w:pPr>
      <w:r>
        <w:rPr>
          <w:rFonts w:hint="eastAsia" w:ascii="宋体" w:hAnsi="宋体" w:cs="宋体"/>
          <w:color w:val="auto"/>
          <w:kern w:val="2"/>
          <w:szCs w:val="21"/>
          <w:highlight w:val="none"/>
        </w:rPr>
        <w:t>2.我们完全理解贵方不一定将合同授予报价最低的投标人。</w:t>
      </w:r>
    </w:p>
    <w:p>
      <w:pPr>
        <w:pStyle w:val="119"/>
        <w:spacing w:beforeLines="50" w:afterLines="50" w:line="400" w:lineRule="exact"/>
        <w:ind w:firstLineChars="200"/>
        <w:rPr>
          <w:rFonts w:ascii="宋体" w:hAnsi="宋体" w:cs="宋体"/>
          <w:color w:val="auto"/>
          <w:kern w:val="2"/>
          <w:szCs w:val="21"/>
          <w:highlight w:val="none"/>
        </w:rPr>
      </w:pPr>
      <w:r>
        <w:rPr>
          <w:rFonts w:hint="eastAsia" w:ascii="宋体" w:hAnsi="宋体" w:cs="宋体"/>
          <w:color w:val="auto"/>
          <w:kern w:val="2"/>
          <w:szCs w:val="21"/>
          <w:highlight w:val="none"/>
        </w:rPr>
        <w:t>3.我们已详细审核全部招标文件及其有效补充文件，我们知道必须放弃提出含糊不清或误解问题的权利。</w:t>
      </w:r>
    </w:p>
    <w:p>
      <w:pPr>
        <w:pStyle w:val="119"/>
        <w:spacing w:beforeLines="50" w:afterLines="50" w:line="400" w:lineRule="exact"/>
        <w:rPr>
          <w:rFonts w:ascii="宋体" w:hAnsi="宋体" w:cs="宋体"/>
          <w:color w:val="auto"/>
          <w:kern w:val="2"/>
          <w:szCs w:val="21"/>
          <w:highlight w:val="none"/>
        </w:rPr>
      </w:pPr>
      <w:r>
        <w:rPr>
          <w:rFonts w:hint="eastAsia" w:ascii="宋体" w:hAnsi="宋体" w:cs="宋体"/>
          <w:color w:val="auto"/>
          <w:kern w:val="2"/>
          <w:szCs w:val="21"/>
          <w:highlight w:val="none"/>
        </w:rPr>
        <w:t>4.我们同意从规定的开标时间起遵循本投标文件，并在规定的投标有效期期满之前均具有约束力。</w:t>
      </w:r>
    </w:p>
    <w:p>
      <w:pPr>
        <w:pStyle w:val="119"/>
        <w:spacing w:beforeLines="50" w:afterLines="50" w:line="400" w:lineRule="exact"/>
        <w:rPr>
          <w:rFonts w:ascii="宋体" w:hAnsi="宋体" w:cs="宋体"/>
          <w:color w:val="auto"/>
          <w:kern w:val="2"/>
          <w:szCs w:val="21"/>
          <w:highlight w:val="none"/>
        </w:rPr>
      </w:pPr>
      <w:r>
        <w:rPr>
          <w:rFonts w:hint="eastAsia" w:ascii="宋体" w:hAnsi="宋体" w:cs="宋体"/>
          <w:color w:val="auto"/>
          <w:kern w:val="2"/>
          <w:szCs w:val="21"/>
          <w:highlight w:val="none"/>
        </w:rPr>
        <w:t>5.如果在开标后规定的投标有效期内撤回投标或中标后拒绝签订合同，我们的投标保证金可不予退还。</w:t>
      </w:r>
    </w:p>
    <w:p>
      <w:pPr>
        <w:pStyle w:val="119"/>
        <w:spacing w:beforeLines="50" w:afterLines="50" w:line="400" w:lineRule="exact"/>
        <w:rPr>
          <w:rFonts w:ascii="宋体" w:hAnsi="宋体" w:cs="宋体"/>
          <w:color w:val="auto"/>
          <w:kern w:val="2"/>
          <w:szCs w:val="21"/>
          <w:highlight w:val="none"/>
        </w:rPr>
      </w:pPr>
      <w:r>
        <w:rPr>
          <w:rFonts w:hint="eastAsia" w:ascii="宋体" w:hAnsi="宋体" w:cs="宋体"/>
          <w:color w:val="auto"/>
          <w:kern w:val="2"/>
          <w:szCs w:val="21"/>
          <w:highlight w:val="none"/>
        </w:rPr>
        <w:t>6.同意向贵方提供贵方可能另外要求的与投标有关的任何证据或资料，并保证我方已提供和将要提供的文件是真实的、准确的。</w:t>
      </w:r>
    </w:p>
    <w:p>
      <w:pPr>
        <w:pStyle w:val="119"/>
        <w:spacing w:beforeLines="50" w:afterLines="50" w:line="400" w:lineRule="exact"/>
        <w:rPr>
          <w:rFonts w:ascii="宋体" w:hAnsi="宋体" w:cs="宋体"/>
          <w:color w:val="auto"/>
          <w:kern w:val="2"/>
          <w:szCs w:val="21"/>
          <w:highlight w:val="none"/>
        </w:rPr>
      </w:pPr>
      <w:r>
        <w:rPr>
          <w:rFonts w:hint="eastAsia" w:ascii="宋体" w:hAnsi="宋体" w:cs="宋体"/>
          <w:color w:val="auto"/>
          <w:kern w:val="2"/>
          <w:szCs w:val="21"/>
          <w:highlight w:val="none"/>
        </w:rPr>
        <w:t>7.一旦我方中标,我方将根据招标文件的规定，严格履行合同的责任和义务,并保证在招标文件规定的时间完成项目，交付买方验收、使用。</w:t>
      </w:r>
    </w:p>
    <w:p>
      <w:pPr>
        <w:pStyle w:val="119"/>
        <w:spacing w:beforeLines="50" w:afterLines="50" w:line="400" w:lineRule="exact"/>
        <w:ind w:left="425" w:firstLine="0"/>
        <w:rPr>
          <w:rFonts w:ascii="宋体" w:hAnsi="宋体" w:cs="宋体"/>
          <w:color w:val="auto"/>
          <w:kern w:val="2"/>
          <w:szCs w:val="21"/>
          <w:highlight w:val="none"/>
        </w:rPr>
      </w:pPr>
      <w:r>
        <w:rPr>
          <w:rFonts w:hint="eastAsia" w:ascii="宋体" w:hAnsi="宋体" w:cs="宋体"/>
          <w:color w:val="auto"/>
          <w:kern w:val="2"/>
          <w:szCs w:val="21"/>
          <w:highlight w:val="none"/>
        </w:rPr>
        <w:t>8.与本投标有关的正式通讯地址为：</w:t>
      </w:r>
    </w:p>
    <w:p>
      <w:pPr>
        <w:tabs>
          <w:tab w:val="left" w:pos="360"/>
        </w:tabs>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地 址：                         邮 编：</w:t>
      </w:r>
    </w:p>
    <w:p>
      <w:pPr>
        <w:tabs>
          <w:tab w:val="left" w:pos="360"/>
        </w:tabs>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电 话：                         传 真：</w:t>
      </w:r>
    </w:p>
    <w:p>
      <w:pPr>
        <w:tabs>
          <w:tab w:val="left" w:pos="360"/>
        </w:tabs>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供应商开户行：                  账 户： </w:t>
      </w:r>
    </w:p>
    <w:p>
      <w:pPr>
        <w:tabs>
          <w:tab w:val="left" w:pos="360"/>
        </w:tabs>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授权代表人（签字）：            联系电话：</w:t>
      </w:r>
    </w:p>
    <w:p>
      <w:pPr>
        <w:tabs>
          <w:tab w:val="left" w:pos="360"/>
        </w:tabs>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投标人名称（公章）：            </w:t>
      </w:r>
    </w:p>
    <w:p>
      <w:pPr>
        <w:spacing w:line="400" w:lineRule="exact"/>
        <w:jc w:val="center"/>
        <w:rPr>
          <w:rFonts w:ascii="宋体" w:hAnsi="宋体" w:cs="宋体"/>
          <w:color w:val="auto"/>
          <w:highlight w:val="none"/>
        </w:rPr>
        <w:sectPr>
          <w:footerReference r:id="rId7" w:type="first"/>
          <w:footerReference r:id="rId6" w:type="default"/>
          <w:pgSz w:w="11906" w:h="16838"/>
          <w:pgMar w:top="1015" w:right="1196" w:bottom="868" w:left="1259" w:header="851" w:footer="907" w:gutter="0"/>
          <w:cols w:space="720" w:num="1"/>
          <w:titlePg/>
          <w:docGrid w:type="lines" w:linePitch="286" w:charSpace="0"/>
        </w:sectPr>
      </w:pPr>
      <w:r>
        <w:rPr>
          <w:rFonts w:hint="eastAsia" w:ascii="宋体" w:hAnsi="宋体" w:cs="宋体"/>
          <w:color w:val="auto"/>
          <w:highlight w:val="none"/>
        </w:rPr>
        <w:t>日 期：________年____月____</w:t>
      </w:r>
    </w:p>
    <w:p>
      <w:pPr>
        <w:spacing w:beforeLines="50" w:afterLines="50" w:line="300" w:lineRule="auto"/>
        <w:ind w:firstLine="300" w:firstLineChars="100"/>
        <w:jc w:val="left"/>
        <w:rPr>
          <w:rFonts w:ascii="宋体" w:hAnsi="宋体" w:cs="宋体"/>
          <w:color w:val="auto"/>
          <w:sz w:val="30"/>
          <w:szCs w:val="30"/>
          <w:highlight w:val="none"/>
        </w:rPr>
      </w:pPr>
      <w:r>
        <w:rPr>
          <w:rFonts w:hint="eastAsia" w:ascii="宋体" w:hAnsi="宋体" w:cs="宋体"/>
          <w:color w:val="auto"/>
          <w:sz w:val="30"/>
          <w:szCs w:val="30"/>
          <w:highlight w:val="none"/>
        </w:rPr>
        <w:t>表五</w:t>
      </w:r>
    </w:p>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color w:val="auto"/>
          <w:sz w:val="36"/>
          <w:highlight w:val="none"/>
        </w:rPr>
      </w:pPr>
      <w:r>
        <w:rPr>
          <w:rFonts w:hint="eastAsia" w:ascii="宋体" w:hAnsi="宋体" w:cs="宋体"/>
          <w:b/>
          <w:color w:val="auto"/>
          <w:sz w:val="32"/>
          <w:szCs w:val="32"/>
          <w:highlight w:val="none"/>
        </w:rPr>
        <w:t xml:space="preserve"> </w:t>
      </w:r>
      <w:r>
        <w:rPr>
          <w:rFonts w:hint="eastAsia" w:ascii="宋体" w:hAnsi="宋体" w:cs="宋体"/>
          <w:b/>
          <w:bCs/>
          <w:color w:val="auto"/>
          <w:sz w:val="36"/>
          <w:highlight w:val="none"/>
        </w:rPr>
        <w:t>中小企业声明函（货</w:t>
      </w:r>
      <w:r>
        <w:rPr>
          <w:rFonts w:hint="eastAsia" w:ascii="宋体" w:hAnsi="宋体" w:cs="宋体"/>
          <w:color w:val="auto"/>
          <w:sz w:val="36"/>
          <w:highlight w:val="none"/>
        </w:rPr>
        <w:t>物）</w:t>
      </w:r>
    </w:p>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ascii="宋体" w:hAnsi="宋体" w:cs="宋体"/>
          <w:color w:val="auto"/>
          <w:sz w:val="36"/>
          <w:highlight w:val="none"/>
        </w:rPr>
      </w:pPr>
    </w:p>
    <w:p>
      <w:pPr>
        <w:keepNext w:val="0"/>
        <w:keepLines w:val="0"/>
        <w:pageBreakBefore w:val="0"/>
        <w:kinsoku/>
        <w:wordWrap/>
        <w:overflowPunct/>
        <w:topLinePunct w:val="0"/>
        <w:autoSpaceDE/>
        <w:autoSpaceDN/>
        <w:bidi w:val="0"/>
        <w:adjustRightInd/>
        <w:snapToGrid/>
        <w:spacing w:beforeLines="50" w:afterLines="50" w:line="200" w:lineRule="atLeas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 号）的规定，本公司（联合体）参加（</w:t>
      </w:r>
      <w:r>
        <w:rPr>
          <w:rFonts w:hint="eastAsia" w:ascii="宋体" w:hAnsi="宋体" w:cs="宋体"/>
          <w:bCs/>
          <w:i/>
          <w:i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i/>
          <w:iCs/>
          <w:color w:val="auto"/>
          <w:sz w:val="24"/>
          <w:highlight w:val="none"/>
          <w:u w:val="single"/>
        </w:rPr>
        <w:t>项目名称</w:t>
      </w:r>
      <w:r>
        <w:rPr>
          <w:rFonts w:hint="eastAsia" w:ascii="宋体" w:hAnsi="宋体" w:cs="宋体"/>
          <w:bCs/>
          <w:color w:val="auto"/>
          <w:sz w:val="24"/>
          <w:highlight w:val="none"/>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autoSpaceDE/>
        <w:autoSpaceDN/>
        <w:bidi w:val="0"/>
        <w:adjustRightInd/>
        <w:snapToGrid/>
        <w:spacing w:beforeLines="50" w:afterLines="50" w:line="200" w:lineRule="atLeas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i/>
          <w:iCs/>
          <w:color w:val="auto"/>
          <w:sz w:val="24"/>
          <w:highlight w:val="none"/>
          <w:u w:val="single"/>
        </w:rPr>
        <w:t>标的名称</w:t>
      </w:r>
      <w:r>
        <w:rPr>
          <w:rFonts w:hint="eastAsia" w:ascii="宋体" w:hAnsi="宋体" w:cs="宋体"/>
          <w:bCs/>
          <w:color w:val="auto"/>
          <w:sz w:val="24"/>
          <w:highlight w:val="none"/>
        </w:rPr>
        <w:t>） ，属于（</w:t>
      </w:r>
      <w:r>
        <w:rPr>
          <w:rFonts w:hint="eastAsia" w:ascii="宋体" w:hAnsi="宋体" w:cs="宋体"/>
          <w:bCs/>
          <w:i/>
          <w:i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i/>
          <w:i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i/>
          <w:iCs/>
          <w:color w:val="auto"/>
          <w:sz w:val="24"/>
          <w:highlight w:val="none"/>
          <w:u w:val="single"/>
        </w:rPr>
        <w:t>中型企业、小型企业、微型企业</w:t>
      </w:r>
      <w:r>
        <w:rPr>
          <w:rFonts w:hint="eastAsia" w:ascii="宋体" w:hAnsi="宋体" w:cs="宋体"/>
          <w:bCs/>
          <w:color w:val="auto"/>
          <w:sz w:val="24"/>
          <w:highlight w:val="none"/>
        </w:rPr>
        <w:t>）；</w:t>
      </w:r>
    </w:p>
    <w:p>
      <w:pPr>
        <w:keepNext w:val="0"/>
        <w:keepLines w:val="0"/>
        <w:pageBreakBefore w:val="0"/>
        <w:kinsoku/>
        <w:wordWrap/>
        <w:overflowPunct/>
        <w:topLinePunct w:val="0"/>
        <w:autoSpaceDE/>
        <w:autoSpaceDN/>
        <w:bidi w:val="0"/>
        <w:adjustRightInd/>
        <w:snapToGrid/>
        <w:spacing w:beforeLines="50" w:afterLines="50" w:line="200" w:lineRule="atLeas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i/>
          <w:iCs/>
          <w:color w:val="auto"/>
          <w:sz w:val="24"/>
          <w:highlight w:val="none"/>
          <w:u w:val="single"/>
        </w:rPr>
        <w:t>标的名称</w:t>
      </w:r>
      <w:r>
        <w:rPr>
          <w:rFonts w:hint="eastAsia" w:ascii="宋体" w:hAnsi="宋体" w:cs="宋体"/>
          <w:bCs/>
          <w:color w:val="auto"/>
          <w:sz w:val="24"/>
          <w:highlight w:val="none"/>
        </w:rPr>
        <w:t>） ，属于（</w:t>
      </w:r>
      <w:r>
        <w:rPr>
          <w:rFonts w:hint="eastAsia" w:ascii="宋体" w:hAnsi="宋体" w:cs="宋体"/>
          <w:bCs/>
          <w:i/>
          <w:iCs/>
          <w:color w:val="auto"/>
          <w:sz w:val="24"/>
          <w:highlight w:val="none"/>
          <w:u w:val="single"/>
        </w:rPr>
        <w:t>采购文件中明确的所属行业</w:t>
      </w:r>
      <w:r>
        <w:rPr>
          <w:rFonts w:hint="eastAsia" w:ascii="宋体" w:hAnsi="宋体" w:cs="宋体"/>
          <w:bCs/>
          <w:color w:val="auto"/>
          <w:sz w:val="24"/>
          <w:highlight w:val="none"/>
        </w:rPr>
        <w:t>）行业；制造商为（</w:t>
      </w:r>
      <w:r>
        <w:rPr>
          <w:rFonts w:hint="eastAsia" w:ascii="宋体" w:hAnsi="宋体" w:cs="宋体"/>
          <w:bCs/>
          <w:i/>
          <w:i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i/>
          <w:iCs/>
          <w:color w:val="auto"/>
          <w:sz w:val="24"/>
          <w:highlight w:val="none"/>
          <w:u w:val="single"/>
        </w:rPr>
        <w:t>中型企业、小型企业、微型企业</w:t>
      </w:r>
      <w:r>
        <w:rPr>
          <w:rFonts w:hint="eastAsia" w:ascii="宋体" w:hAnsi="宋体" w:cs="宋体"/>
          <w:bCs/>
          <w:color w:val="auto"/>
          <w:sz w:val="24"/>
          <w:highlight w:val="none"/>
        </w:rPr>
        <w:t>）；</w:t>
      </w:r>
    </w:p>
    <w:p>
      <w:pPr>
        <w:keepNext w:val="0"/>
        <w:keepLines w:val="0"/>
        <w:pageBreakBefore w:val="0"/>
        <w:kinsoku/>
        <w:wordWrap/>
        <w:overflowPunct/>
        <w:topLinePunct w:val="0"/>
        <w:autoSpaceDE/>
        <w:autoSpaceDN/>
        <w:bidi w:val="0"/>
        <w:adjustRightInd/>
        <w:snapToGrid/>
        <w:spacing w:beforeLines="50" w:afterLines="50" w:line="200" w:lineRule="atLeas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w:t>
      </w:r>
    </w:p>
    <w:p>
      <w:pPr>
        <w:keepNext w:val="0"/>
        <w:keepLines w:val="0"/>
        <w:pageBreakBefore w:val="0"/>
        <w:kinsoku/>
        <w:wordWrap/>
        <w:overflowPunct/>
        <w:topLinePunct w:val="0"/>
        <w:autoSpaceDE/>
        <w:autoSpaceDN/>
        <w:bidi w:val="0"/>
        <w:adjustRightInd/>
        <w:snapToGrid/>
        <w:spacing w:beforeLines="50" w:afterLines="50" w:line="200" w:lineRule="atLeas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beforeLines="50" w:afterLines="50" w:line="200" w:lineRule="atLeast"/>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本企业对上述声明内容的真实性负责。如有虚假，将依法承担相应责任。</w:t>
      </w:r>
    </w:p>
    <w:p>
      <w:pPr>
        <w:keepNext w:val="0"/>
        <w:keepLines w:val="0"/>
        <w:pageBreakBefore w:val="0"/>
        <w:kinsoku/>
        <w:wordWrap/>
        <w:overflowPunct/>
        <w:topLinePunct w:val="0"/>
        <w:autoSpaceDE/>
        <w:autoSpaceDN/>
        <w:bidi w:val="0"/>
        <w:adjustRightInd/>
        <w:snapToGrid/>
        <w:spacing w:beforeLines="50" w:afterLines="50" w:line="200" w:lineRule="atLeast"/>
        <w:ind w:firstLine="4080" w:firstLineChars="1700"/>
        <w:textAlignment w:val="auto"/>
        <w:rPr>
          <w:rFonts w:ascii="宋体" w:hAnsi="宋体" w:cs="宋体"/>
          <w:bCs/>
          <w:color w:val="auto"/>
          <w:sz w:val="24"/>
          <w:highlight w:val="none"/>
        </w:rPr>
      </w:pPr>
      <w:r>
        <w:rPr>
          <w:rFonts w:hint="eastAsia" w:ascii="宋体" w:hAnsi="宋体" w:cs="宋体"/>
          <w:bCs/>
          <w:color w:val="auto"/>
          <w:sz w:val="24"/>
          <w:highlight w:val="none"/>
        </w:rPr>
        <w:t>企业名称（盖章）：</w:t>
      </w:r>
    </w:p>
    <w:p>
      <w:pPr>
        <w:keepNext w:val="0"/>
        <w:keepLines w:val="0"/>
        <w:pageBreakBefore w:val="0"/>
        <w:kinsoku/>
        <w:wordWrap/>
        <w:overflowPunct/>
        <w:topLinePunct w:val="0"/>
        <w:autoSpaceDE/>
        <w:autoSpaceDN/>
        <w:bidi w:val="0"/>
        <w:adjustRightInd/>
        <w:snapToGrid/>
        <w:spacing w:beforeLines="50" w:afterLines="50" w:line="200" w:lineRule="atLeast"/>
        <w:ind w:firstLine="4080" w:firstLineChars="1700"/>
        <w:textAlignment w:val="auto"/>
        <w:rPr>
          <w:rFonts w:ascii="宋体" w:hAnsi="宋体" w:cs="宋体"/>
          <w:color w:val="auto"/>
          <w:highlight w:val="none"/>
        </w:rPr>
      </w:pPr>
      <w:r>
        <w:rPr>
          <w:rFonts w:hint="eastAsia" w:ascii="宋体" w:hAnsi="宋体" w:cs="宋体"/>
          <w:bCs/>
          <w:color w:val="auto"/>
          <w:sz w:val="24"/>
          <w:highlight w:val="none"/>
        </w:rPr>
        <w:t>日期：</w:t>
      </w:r>
    </w:p>
    <w:p>
      <w:pPr>
        <w:keepNext w:val="0"/>
        <w:keepLines w:val="0"/>
        <w:pageBreakBefore w:val="0"/>
        <w:widowControl/>
        <w:kinsoku/>
        <w:wordWrap/>
        <w:overflowPunct/>
        <w:topLinePunct w:val="0"/>
        <w:autoSpaceDE/>
        <w:autoSpaceDN/>
        <w:bidi w:val="0"/>
        <w:adjustRightInd/>
        <w:snapToGrid/>
        <w:spacing w:line="200" w:lineRule="atLeast"/>
        <w:textAlignment w:val="auto"/>
        <w:rPr>
          <w:rFonts w:ascii="宋体" w:hAnsi="宋体" w:cs="宋体"/>
          <w:b/>
          <w:bCs/>
          <w:color w:val="auto"/>
          <w:sz w:val="18"/>
          <w:highlight w:val="none"/>
        </w:rPr>
      </w:pPr>
      <w:r>
        <w:rPr>
          <w:rFonts w:hint="eastAsia" w:ascii="宋体" w:hAnsi="宋体" w:cs="宋体"/>
          <w:b/>
          <w:bCs/>
          <w:color w:val="auto"/>
          <w:sz w:val="18"/>
          <w:highlight w:val="none"/>
        </w:rPr>
        <w:t>备注：1、从业人员、营业收入、资产总额填报上一年度数据，无上一年度数据的新成立企业可不填报。</w:t>
      </w:r>
    </w:p>
    <w:p>
      <w:pPr>
        <w:keepNext w:val="0"/>
        <w:keepLines w:val="0"/>
        <w:pageBreakBefore w:val="0"/>
        <w:widowControl/>
        <w:numPr>
          <w:ilvl w:val="0"/>
          <w:numId w:val="7"/>
        </w:numPr>
        <w:kinsoku/>
        <w:wordWrap/>
        <w:overflowPunct/>
        <w:topLinePunct w:val="0"/>
        <w:autoSpaceDE/>
        <w:autoSpaceDN/>
        <w:bidi w:val="0"/>
        <w:adjustRightInd/>
        <w:snapToGrid/>
        <w:spacing w:line="200" w:lineRule="atLeast"/>
        <w:ind w:firstLine="542" w:firstLineChars="300"/>
        <w:textAlignment w:val="auto"/>
        <w:rPr>
          <w:rFonts w:ascii="宋体" w:hAnsi="宋体" w:cs="宋体"/>
          <w:b/>
          <w:bCs/>
          <w:color w:val="auto"/>
          <w:sz w:val="18"/>
          <w:szCs w:val="22"/>
          <w:highlight w:val="none"/>
        </w:rPr>
      </w:pPr>
      <w:r>
        <w:rPr>
          <w:rFonts w:hint="eastAsia" w:ascii="宋体" w:hAnsi="宋体" w:cs="宋体"/>
          <w:b/>
          <w:bCs/>
          <w:color w:val="auto"/>
          <w:sz w:val="18"/>
          <w:szCs w:val="22"/>
          <w:highlight w:val="none"/>
        </w:rPr>
        <w:t>投标人为中小企业时需提供本声明函，并完整填写从业人员、营业收入、资产总额等内容，否则评审时不能享受相应的价格扣除。</w:t>
      </w:r>
    </w:p>
    <w:p>
      <w:pPr>
        <w:pStyle w:val="17"/>
        <w:keepNext w:val="0"/>
        <w:keepLines w:val="0"/>
        <w:pageBreakBefore w:val="0"/>
        <w:kinsoku/>
        <w:wordWrap/>
        <w:overflowPunct/>
        <w:topLinePunct w:val="0"/>
        <w:autoSpaceDE/>
        <w:autoSpaceDN/>
        <w:bidi w:val="0"/>
        <w:adjustRightInd/>
        <w:snapToGrid/>
        <w:spacing w:line="200" w:lineRule="atLeast"/>
        <w:ind w:left="0"/>
        <w:textAlignment w:val="auto"/>
        <w:rPr>
          <w:rFonts w:ascii="宋体" w:hAnsi="宋体" w:cs="宋体"/>
          <w:color w:val="auto"/>
          <w:highlight w:val="none"/>
        </w:rPr>
      </w:pPr>
    </w:p>
    <w:p>
      <w:pPr>
        <w:keepNext w:val="0"/>
        <w:keepLines w:val="0"/>
        <w:pageBreakBefore w:val="0"/>
        <w:kinsoku/>
        <w:wordWrap/>
        <w:overflowPunct/>
        <w:topLinePunct w:val="0"/>
        <w:autoSpaceDE/>
        <w:autoSpaceDN/>
        <w:bidi w:val="0"/>
        <w:adjustRightInd/>
        <w:snapToGrid/>
        <w:spacing w:line="200" w:lineRule="atLeast"/>
        <w:textAlignment w:val="auto"/>
        <w:rPr>
          <w:rFonts w:ascii="宋体" w:hAnsi="宋体" w:cs="宋体"/>
          <w:color w:val="auto"/>
          <w:highlight w:val="none"/>
        </w:rPr>
      </w:pPr>
    </w:p>
    <w:p>
      <w:pPr>
        <w:pStyle w:val="17"/>
        <w:keepNext w:val="0"/>
        <w:keepLines w:val="0"/>
        <w:pageBreakBefore w:val="0"/>
        <w:kinsoku/>
        <w:wordWrap/>
        <w:overflowPunct/>
        <w:topLinePunct w:val="0"/>
        <w:autoSpaceDE/>
        <w:autoSpaceDN/>
        <w:bidi w:val="0"/>
        <w:adjustRightInd/>
        <w:snapToGrid/>
        <w:spacing w:line="200" w:lineRule="atLeast"/>
        <w:textAlignment w:val="auto"/>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200" w:lineRule="atLeast"/>
        <w:jc w:val="left"/>
        <w:textAlignment w:val="auto"/>
        <w:rPr>
          <w:rFonts w:ascii="宋体" w:hAnsi="宋体" w:cs="宋体"/>
          <w:b/>
          <w:bCs/>
          <w:color w:val="auto"/>
          <w:sz w:val="36"/>
          <w:szCs w:val="22"/>
          <w:highlight w:val="none"/>
        </w:rPr>
      </w:pPr>
      <w:r>
        <w:rPr>
          <w:rFonts w:hint="eastAsia" w:ascii="宋体" w:hAnsi="宋体" w:cs="宋体"/>
          <w:b/>
          <w:bCs/>
          <w:color w:val="auto"/>
          <w:sz w:val="36"/>
          <w:szCs w:val="22"/>
          <w:highlight w:val="none"/>
        </w:rPr>
        <w:br w:type="page"/>
      </w:r>
      <w:r>
        <w:rPr>
          <w:rFonts w:hint="eastAsia" w:ascii="宋体" w:hAnsi="宋体" w:cs="宋体"/>
          <w:color w:val="auto"/>
          <w:sz w:val="30"/>
          <w:szCs w:val="30"/>
          <w:highlight w:val="none"/>
        </w:rPr>
        <w:t>表六</w:t>
      </w:r>
    </w:p>
    <w:p>
      <w:pPr>
        <w:widowControl/>
        <w:spacing w:line="400" w:lineRule="exact"/>
        <w:jc w:val="center"/>
        <w:rPr>
          <w:rFonts w:ascii="宋体" w:hAnsi="宋体" w:cs="宋体"/>
          <w:color w:val="auto"/>
          <w:sz w:val="36"/>
          <w:szCs w:val="22"/>
          <w:highlight w:val="none"/>
        </w:rPr>
      </w:pPr>
      <w:r>
        <w:rPr>
          <w:rFonts w:hint="eastAsia" w:ascii="宋体" w:hAnsi="宋体" w:cs="宋体"/>
          <w:b/>
          <w:bCs/>
          <w:color w:val="auto"/>
          <w:sz w:val="36"/>
          <w:szCs w:val="22"/>
          <w:highlight w:val="none"/>
        </w:rPr>
        <w:t>中小企业声明函（工程、服务）</w:t>
      </w:r>
    </w:p>
    <w:p>
      <w:pPr>
        <w:widowControl/>
        <w:spacing w:line="400" w:lineRule="exact"/>
        <w:jc w:val="center"/>
        <w:rPr>
          <w:rFonts w:ascii="宋体" w:hAnsi="宋体" w:cs="宋体"/>
          <w:color w:val="auto"/>
          <w:sz w:val="36"/>
          <w:szCs w:val="22"/>
          <w:highlight w:val="none"/>
        </w:rPr>
      </w:pPr>
    </w:p>
    <w:p>
      <w:pPr>
        <w:spacing w:beforeLines="50" w:afterLines="50" w:line="30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 号）的规定，本公司（联合体）参加（</w:t>
      </w:r>
      <w:r>
        <w:rPr>
          <w:rFonts w:hint="eastAsia" w:ascii="宋体" w:hAnsi="宋体" w:cs="宋体"/>
          <w:bCs/>
          <w:i/>
          <w:i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i/>
          <w:i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beforeLines="50" w:afterLines="50" w:line="30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 （</w:t>
      </w:r>
      <w:r>
        <w:rPr>
          <w:rFonts w:hint="eastAsia" w:ascii="宋体" w:hAnsi="宋体" w:cs="宋体"/>
          <w:bCs/>
          <w:i/>
          <w:iCs/>
          <w:color w:val="auto"/>
          <w:sz w:val="24"/>
          <w:highlight w:val="none"/>
          <w:u w:val="single"/>
        </w:rPr>
        <w:t>标的名称</w:t>
      </w:r>
      <w:r>
        <w:rPr>
          <w:rFonts w:hint="eastAsia" w:ascii="宋体" w:hAnsi="宋体" w:cs="宋体"/>
          <w:bCs/>
          <w:color w:val="auto"/>
          <w:sz w:val="24"/>
          <w:highlight w:val="none"/>
        </w:rPr>
        <w:t>） ，属于（</w:t>
      </w:r>
      <w:r>
        <w:rPr>
          <w:rFonts w:hint="eastAsia" w:ascii="宋体" w:hAnsi="宋体" w:cs="宋体"/>
          <w:bCs/>
          <w:i/>
          <w:i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i/>
          <w:i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i/>
          <w:iCs/>
          <w:color w:val="auto"/>
          <w:sz w:val="24"/>
          <w:highlight w:val="none"/>
          <w:u w:val="single"/>
        </w:rPr>
        <w:t>中型企业、小型企业、微型企业</w:t>
      </w:r>
      <w:r>
        <w:rPr>
          <w:rFonts w:hint="eastAsia" w:ascii="宋体" w:hAnsi="宋体" w:cs="宋体"/>
          <w:bCs/>
          <w:color w:val="auto"/>
          <w:sz w:val="24"/>
          <w:highlight w:val="none"/>
        </w:rPr>
        <w:t>）；</w:t>
      </w:r>
    </w:p>
    <w:p>
      <w:pPr>
        <w:spacing w:beforeLines="50" w:afterLines="50" w:line="30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 （</w:t>
      </w:r>
      <w:r>
        <w:rPr>
          <w:rFonts w:hint="eastAsia" w:ascii="宋体" w:hAnsi="宋体" w:cs="宋体"/>
          <w:bCs/>
          <w:i/>
          <w:iCs/>
          <w:color w:val="auto"/>
          <w:sz w:val="24"/>
          <w:highlight w:val="none"/>
          <w:u w:val="single"/>
        </w:rPr>
        <w:t>标的名称</w:t>
      </w:r>
      <w:r>
        <w:rPr>
          <w:rFonts w:hint="eastAsia" w:ascii="宋体" w:hAnsi="宋体" w:cs="宋体"/>
          <w:bCs/>
          <w:color w:val="auto"/>
          <w:sz w:val="24"/>
          <w:highlight w:val="none"/>
        </w:rPr>
        <w:t>） ，属于（</w:t>
      </w:r>
      <w:r>
        <w:rPr>
          <w:rFonts w:hint="eastAsia" w:ascii="宋体" w:hAnsi="宋体" w:cs="宋体"/>
          <w:bCs/>
          <w:i/>
          <w:i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i/>
          <w:i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i/>
          <w:iCs/>
          <w:color w:val="auto"/>
          <w:sz w:val="24"/>
          <w:highlight w:val="none"/>
          <w:u w:val="single"/>
        </w:rPr>
        <w:t>中型企业、小型企业、微型企业</w:t>
      </w:r>
      <w:r>
        <w:rPr>
          <w:rFonts w:hint="eastAsia" w:ascii="宋体" w:hAnsi="宋体" w:cs="宋体"/>
          <w:bCs/>
          <w:color w:val="auto"/>
          <w:sz w:val="24"/>
          <w:highlight w:val="none"/>
        </w:rPr>
        <w:t>）；</w:t>
      </w:r>
    </w:p>
    <w:p>
      <w:pPr>
        <w:spacing w:beforeLines="50" w:afterLines="50" w:line="300" w:lineRule="auto"/>
        <w:rPr>
          <w:rFonts w:ascii="宋体" w:hAnsi="宋体" w:cs="宋体"/>
          <w:bCs/>
          <w:color w:val="auto"/>
          <w:sz w:val="24"/>
          <w:highlight w:val="none"/>
        </w:rPr>
      </w:pPr>
      <w:r>
        <w:rPr>
          <w:rFonts w:hint="eastAsia" w:ascii="宋体" w:hAnsi="宋体" w:cs="宋体"/>
          <w:bCs/>
          <w:color w:val="auto"/>
          <w:sz w:val="24"/>
          <w:highlight w:val="none"/>
        </w:rPr>
        <w:t>……</w:t>
      </w:r>
    </w:p>
    <w:p>
      <w:pPr>
        <w:spacing w:beforeLines="50" w:afterLines="50" w:line="30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pPr>
        <w:spacing w:beforeLines="50" w:afterLines="50" w:line="30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本企业对上述声明内容的真实性负责。如有虚假，将依法承担相应责任。</w:t>
      </w:r>
    </w:p>
    <w:p>
      <w:pPr>
        <w:spacing w:beforeLines="50" w:afterLines="50" w:line="300" w:lineRule="auto"/>
        <w:rPr>
          <w:rFonts w:ascii="宋体" w:hAnsi="宋体" w:cs="宋体"/>
          <w:bCs/>
          <w:color w:val="auto"/>
          <w:sz w:val="24"/>
          <w:highlight w:val="none"/>
        </w:rPr>
      </w:pPr>
    </w:p>
    <w:p>
      <w:pPr>
        <w:spacing w:beforeLines="50" w:afterLines="50" w:line="300" w:lineRule="auto"/>
        <w:rPr>
          <w:rFonts w:ascii="宋体" w:hAnsi="宋体" w:cs="宋体"/>
          <w:bCs/>
          <w:color w:val="auto"/>
          <w:sz w:val="24"/>
          <w:highlight w:val="none"/>
        </w:rPr>
      </w:pPr>
    </w:p>
    <w:p>
      <w:pPr>
        <w:spacing w:beforeLines="50" w:afterLines="50" w:line="300" w:lineRule="auto"/>
        <w:ind w:firstLine="4320" w:firstLineChars="1800"/>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beforeLines="50" w:afterLines="50" w:line="300" w:lineRule="auto"/>
        <w:ind w:firstLine="4320" w:firstLineChars="1800"/>
        <w:rPr>
          <w:rFonts w:ascii="宋体" w:hAnsi="宋体" w:cs="宋体"/>
          <w:bCs/>
          <w:color w:val="auto"/>
          <w:sz w:val="24"/>
          <w:highlight w:val="none"/>
        </w:rPr>
      </w:pPr>
      <w:r>
        <w:rPr>
          <w:rFonts w:hint="eastAsia" w:ascii="宋体" w:hAnsi="宋体" w:cs="宋体"/>
          <w:bCs/>
          <w:color w:val="auto"/>
          <w:sz w:val="24"/>
          <w:highlight w:val="none"/>
        </w:rPr>
        <w:t>日期：</w:t>
      </w:r>
    </w:p>
    <w:p>
      <w:pPr>
        <w:pStyle w:val="17"/>
        <w:ind w:left="0"/>
        <w:rPr>
          <w:rFonts w:ascii="宋体" w:hAnsi="宋体" w:cs="宋体"/>
          <w:color w:val="auto"/>
          <w:highlight w:val="none"/>
        </w:rPr>
      </w:pPr>
    </w:p>
    <w:p>
      <w:pPr>
        <w:rPr>
          <w:rFonts w:ascii="宋体" w:hAnsi="宋体" w:cs="宋体"/>
          <w:color w:val="auto"/>
          <w:highlight w:val="none"/>
        </w:rPr>
      </w:pPr>
    </w:p>
    <w:p>
      <w:pPr>
        <w:widowControl/>
        <w:spacing w:line="400" w:lineRule="exact"/>
        <w:rPr>
          <w:rFonts w:ascii="宋体" w:hAnsi="宋体" w:cs="宋体"/>
          <w:b/>
          <w:bCs/>
          <w:color w:val="auto"/>
          <w:sz w:val="18"/>
          <w:highlight w:val="none"/>
        </w:rPr>
      </w:pPr>
      <w:r>
        <w:rPr>
          <w:rFonts w:hint="eastAsia" w:ascii="宋体" w:hAnsi="宋体" w:cs="宋体"/>
          <w:b/>
          <w:bCs/>
          <w:color w:val="auto"/>
          <w:sz w:val="18"/>
          <w:highlight w:val="none"/>
        </w:rPr>
        <w:t>备注：1、从业人员、营业收入、资产总额填报上一年度数据，无上一年度数据的新成立企业可不填报。</w:t>
      </w:r>
    </w:p>
    <w:p>
      <w:pPr>
        <w:widowControl/>
        <w:spacing w:line="400" w:lineRule="exact"/>
        <w:ind w:firstLine="542" w:firstLineChars="300"/>
        <w:rPr>
          <w:rFonts w:ascii="宋体" w:hAnsi="宋体" w:cs="宋体"/>
          <w:b/>
          <w:bCs/>
          <w:color w:val="auto"/>
          <w:sz w:val="18"/>
          <w:szCs w:val="22"/>
          <w:highlight w:val="none"/>
        </w:rPr>
      </w:pPr>
      <w:r>
        <w:rPr>
          <w:rFonts w:hint="eastAsia" w:ascii="宋体" w:hAnsi="宋体" w:cs="宋体"/>
          <w:b/>
          <w:bCs/>
          <w:color w:val="auto"/>
          <w:sz w:val="18"/>
          <w:szCs w:val="22"/>
          <w:highlight w:val="none"/>
        </w:rPr>
        <w:t>2、投标人为中小企业时需提供本声明函，并完整填写从业人员、营业收入、资产总额等内容，否则评审时不能享受相应的价格扣除。</w:t>
      </w:r>
    </w:p>
    <w:p>
      <w:pPr>
        <w:widowControl/>
        <w:spacing w:line="400" w:lineRule="exact"/>
        <w:ind w:firstLine="542" w:firstLineChars="300"/>
        <w:rPr>
          <w:rFonts w:ascii="宋体" w:hAnsi="宋体" w:cs="宋体"/>
          <w:b/>
          <w:bCs/>
          <w:color w:val="auto"/>
          <w:sz w:val="18"/>
          <w:szCs w:val="22"/>
          <w:highlight w:val="none"/>
        </w:rPr>
      </w:pPr>
    </w:p>
    <w:p>
      <w:pPr>
        <w:spacing w:beforeLines="50" w:afterLines="50" w:line="300" w:lineRule="auto"/>
        <w:rPr>
          <w:rFonts w:ascii="宋体" w:hAnsi="宋体" w:cs="宋体"/>
          <w:bCs/>
          <w:color w:val="auto"/>
          <w:sz w:val="24"/>
          <w:highlight w:val="none"/>
        </w:rPr>
      </w:pPr>
    </w:p>
    <w:p>
      <w:pPr>
        <w:pStyle w:val="17"/>
        <w:rPr>
          <w:rFonts w:ascii="宋体" w:hAnsi="宋体" w:cs="宋体"/>
          <w:bCs/>
          <w:color w:val="auto"/>
          <w:sz w:val="24"/>
          <w:highlight w:val="none"/>
        </w:rPr>
      </w:pPr>
    </w:p>
    <w:p>
      <w:pPr>
        <w:rPr>
          <w:rFonts w:ascii="宋体" w:hAnsi="宋体" w:cs="宋体"/>
          <w:bCs/>
          <w:color w:val="auto"/>
          <w:sz w:val="24"/>
          <w:highlight w:val="none"/>
        </w:rPr>
      </w:pPr>
    </w:p>
    <w:p>
      <w:pPr>
        <w:pStyle w:val="17"/>
        <w:rPr>
          <w:rFonts w:ascii="宋体" w:hAnsi="宋体" w:cs="宋体"/>
          <w:color w:val="auto"/>
          <w:highlight w:val="none"/>
        </w:rPr>
      </w:pPr>
    </w:p>
    <w:p>
      <w:pPr>
        <w:spacing w:beforeLines="50" w:afterLines="50" w:line="300" w:lineRule="auto"/>
        <w:ind w:firstLine="300" w:firstLineChars="100"/>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表七</w:t>
      </w:r>
    </w:p>
    <w:p>
      <w:pPr>
        <w:spacing w:beforeLines="50" w:afterLines="50"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pPr>
        <w:spacing w:beforeLines="50" w:afterLines="50" w:line="300" w:lineRule="auto"/>
        <w:ind w:firstLine="624" w:firstLineChars="200"/>
        <w:rPr>
          <w:rFonts w:ascii="宋体" w:hAnsi="宋体" w:cs="宋体"/>
          <w:color w:val="auto"/>
          <w:spacing w:val="6"/>
          <w:sz w:val="30"/>
          <w:szCs w:val="30"/>
          <w:highlight w:val="none"/>
        </w:rPr>
      </w:pPr>
    </w:p>
    <w:p>
      <w:pPr>
        <w:spacing w:beforeLines="50" w:after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）的规定，本单位为符合条件的残疾人福利性单位，且本单位参加______单位的采购文件编号为______的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pPr>
        <w:spacing w:beforeLines="50" w:after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本单位在本次政府采购活动中提供的残疾人福利单位产品报价合计为人民币（大写）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元</w:t>
      </w:r>
      <w:r>
        <w:rPr>
          <w:rFonts w:hint="eastAsia" w:ascii="宋体" w:hAnsi="宋体" w:cs="宋体"/>
          <w:color w:val="auto"/>
          <w:sz w:val="24"/>
          <w:highlight w:val="none"/>
        </w:rPr>
        <w:t>整（￥：     ）。</w:t>
      </w:r>
    </w:p>
    <w:p>
      <w:pPr>
        <w:spacing w:beforeLines="50" w:after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beforeLines="50" w:afterLines="50" w:line="300" w:lineRule="auto"/>
        <w:ind w:firstLine="480" w:firstLineChars="200"/>
        <w:rPr>
          <w:rFonts w:ascii="宋体" w:hAnsi="宋体" w:cs="宋体"/>
          <w:color w:val="auto"/>
          <w:sz w:val="24"/>
          <w:highlight w:val="none"/>
        </w:rPr>
      </w:pPr>
    </w:p>
    <w:p>
      <w:pPr>
        <w:spacing w:beforeLines="50" w:afterLines="50"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（备注：1、供应商如不提供此声明函，价格将不做相应扣除。2、中标供应商为残疾人福利单位的，此声明函将随中标结果同时公告，接受社会监督）</w:t>
      </w:r>
    </w:p>
    <w:p>
      <w:pPr>
        <w:spacing w:beforeLines="50" w:afterLines="50" w:line="300" w:lineRule="auto"/>
        <w:ind w:firstLine="624" w:firstLineChars="200"/>
        <w:rPr>
          <w:rFonts w:ascii="宋体" w:hAnsi="宋体" w:cs="宋体"/>
          <w:color w:val="auto"/>
          <w:spacing w:val="6"/>
          <w:sz w:val="30"/>
          <w:szCs w:val="30"/>
          <w:highlight w:val="none"/>
        </w:rPr>
      </w:pPr>
    </w:p>
    <w:p>
      <w:pPr>
        <w:tabs>
          <w:tab w:val="left" w:pos="4860"/>
        </w:tabs>
        <w:spacing w:beforeLines="50" w:afterLines="50" w:line="300" w:lineRule="auto"/>
        <w:ind w:right="1560" w:firstLine="624" w:firstLineChars="200"/>
        <w:jc w:val="center"/>
        <w:rPr>
          <w:rFonts w:ascii="宋体" w:hAnsi="宋体" w:cs="宋体"/>
          <w:color w:val="auto"/>
          <w:sz w:val="24"/>
          <w:highlight w:val="none"/>
        </w:rPr>
      </w:pPr>
      <w:r>
        <w:rPr>
          <w:rFonts w:hint="eastAsia" w:ascii="宋体" w:hAnsi="宋体" w:cs="宋体"/>
          <w:color w:val="auto"/>
          <w:spacing w:val="6"/>
          <w:sz w:val="30"/>
          <w:szCs w:val="30"/>
          <w:highlight w:val="none"/>
        </w:rPr>
        <w:t xml:space="preserve">             </w:t>
      </w:r>
      <w:r>
        <w:rPr>
          <w:rFonts w:hint="eastAsia" w:ascii="宋体" w:hAnsi="宋体" w:cs="宋体"/>
          <w:color w:val="auto"/>
          <w:sz w:val="24"/>
          <w:highlight w:val="none"/>
        </w:rPr>
        <w:t xml:space="preserve">                     供应商全称（盖章）：</w:t>
      </w:r>
    </w:p>
    <w:p>
      <w:pPr>
        <w:tabs>
          <w:tab w:val="left" w:pos="4860"/>
        </w:tabs>
        <w:spacing w:beforeLines="50" w:afterLines="50" w:line="30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beforeLines="50" w:afterLines="50" w:line="300" w:lineRule="auto"/>
        <w:rPr>
          <w:rFonts w:ascii="宋体" w:hAnsi="宋体" w:cs="宋体"/>
          <w:b/>
          <w:bCs/>
          <w:color w:val="auto"/>
          <w:sz w:val="24"/>
          <w:highlight w:val="none"/>
        </w:rPr>
      </w:pPr>
      <w:r>
        <w:rPr>
          <w:rFonts w:hint="eastAsia" w:ascii="宋体" w:hAnsi="宋体" w:cs="宋体"/>
          <w:b/>
          <w:bCs/>
          <w:color w:val="auto"/>
          <w:sz w:val="24"/>
          <w:highlight w:val="none"/>
        </w:rPr>
        <w:t>（备注：投标人如未提供此声明函，价格将不做相应扣除，但投标不会被拒绝；如未如实声明，需承担相应法律责任）</w:t>
      </w: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p>
      <w:pPr>
        <w:pStyle w:val="3"/>
        <w:rPr>
          <w:rFonts w:ascii="宋体" w:hAnsi="宋体" w:eastAsia="宋体" w:cs="宋体"/>
          <w:color w:val="auto"/>
          <w:sz w:val="24"/>
          <w:szCs w:val="24"/>
          <w:highlight w:val="none"/>
        </w:rPr>
      </w:pPr>
    </w:p>
    <w:bookmarkEnd w:id="239"/>
    <w:bookmarkEnd w:id="240"/>
    <w:p>
      <w:pPr>
        <w:jc w:val="left"/>
        <w:rPr>
          <w:rFonts w:ascii="宋体" w:hAnsi="宋体" w:cs="宋体"/>
          <w:color w:val="auto"/>
          <w:sz w:val="30"/>
          <w:szCs w:val="30"/>
          <w:highlight w:val="none"/>
        </w:rPr>
      </w:pPr>
      <w:r>
        <w:rPr>
          <w:rFonts w:hint="eastAsia" w:ascii="宋体" w:hAnsi="宋体" w:cs="宋体"/>
          <w:color w:val="auto"/>
          <w:sz w:val="30"/>
          <w:szCs w:val="30"/>
          <w:highlight w:val="none"/>
        </w:rPr>
        <w:t>表八</w:t>
      </w:r>
    </w:p>
    <w:p>
      <w:pPr>
        <w:pStyle w:val="34"/>
        <w:shd w:val="clear" w:color="auto" w:fill="FFFFFF"/>
        <w:spacing w:before="0" w:beforeAutospacing="0" w:after="0" w:afterAutospacing="0" w:line="600" w:lineRule="atLeast"/>
        <w:ind w:firstLine="645"/>
        <w:jc w:val="center"/>
        <w:rPr>
          <w:rFonts w:eastAsia="方正小标宋简体"/>
          <w:color w:val="auto"/>
          <w:sz w:val="21"/>
          <w:szCs w:val="21"/>
          <w:highlight w:val="none"/>
        </w:rPr>
      </w:pPr>
      <w:r>
        <w:rPr>
          <w:rFonts w:ascii="方正小标宋简体" w:hAnsi="方正小标宋简体" w:eastAsia="方正小标宋简体" w:cs="方正小标宋简体"/>
          <w:color w:val="auto"/>
          <w:sz w:val="43"/>
          <w:szCs w:val="43"/>
          <w:highlight w:val="none"/>
          <w:shd w:val="clear" w:color="auto" w:fill="FFFFFF"/>
        </w:rPr>
        <w:t>质疑函</w:t>
      </w:r>
      <w:r>
        <w:rPr>
          <w:rFonts w:hint="eastAsia" w:ascii="方正小标宋简体" w:hAnsi="方正小标宋简体" w:eastAsia="方正小标宋简体" w:cs="方正小标宋简体"/>
          <w:color w:val="auto"/>
          <w:sz w:val="43"/>
          <w:szCs w:val="43"/>
          <w:highlight w:val="none"/>
          <w:shd w:val="clear" w:color="auto" w:fill="FFFFFF"/>
        </w:rPr>
        <w:t>范本</w:t>
      </w:r>
    </w:p>
    <w:tbl>
      <w:tblPr>
        <w:tblStyle w:val="37"/>
        <w:tblW w:w="8516" w:type="dxa"/>
        <w:tblInd w:w="0" w:type="dxa"/>
        <w:shd w:val="clear" w:color="auto" w:fill="FFFFFF"/>
        <w:tblLayout w:type="fixed"/>
        <w:tblCellMar>
          <w:top w:w="0" w:type="dxa"/>
          <w:left w:w="0" w:type="dxa"/>
          <w:bottom w:w="0" w:type="dxa"/>
          <w:right w:w="0" w:type="dxa"/>
        </w:tblCellMar>
      </w:tblPr>
      <w:tblGrid>
        <w:gridCol w:w="846"/>
        <w:gridCol w:w="1200"/>
        <w:gridCol w:w="650"/>
        <w:gridCol w:w="1315"/>
        <w:gridCol w:w="1952"/>
        <w:gridCol w:w="1055"/>
        <w:gridCol w:w="1498"/>
      </w:tblGrid>
      <w:tr>
        <w:tblPrEx>
          <w:shd w:val="clear" w:color="auto" w:fill="FFFFFF"/>
          <w:tblCellMar>
            <w:top w:w="0" w:type="dxa"/>
            <w:left w:w="0" w:type="dxa"/>
            <w:bottom w:w="0" w:type="dxa"/>
            <w:right w:w="0" w:type="dxa"/>
          </w:tblCellMar>
        </w:tblPrEx>
        <w:trPr>
          <w:trHeight w:val="390" w:hRule="atLeast"/>
        </w:trPr>
        <w:tc>
          <w:tcPr>
            <w:tcW w:w="84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质疑项目</w:t>
            </w:r>
          </w:p>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基本情况</w:t>
            </w: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项目名称</w:t>
            </w:r>
          </w:p>
        </w:tc>
        <w:tc>
          <w:tcPr>
            <w:tcW w:w="196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14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r>
      <w:tr>
        <w:tblPrEx>
          <w:shd w:val="clear" w:color="auto" w:fill="FFFFFF"/>
          <w:tblCellMar>
            <w:top w:w="0" w:type="dxa"/>
            <w:left w:w="0" w:type="dxa"/>
            <w:bottom w:w="0" w:type="dxa"/>
            <w:right w:w="0" w:type="dxa"/>
          </w:tblCellMar>
        </w:tblPrEx>
        <w:trPr>
          <w:trHeight w:val="390" w:hRule="atLeast"/>
        </w:trPr>
        <w:tc>
          <w:tcPr>
            <w:tcW w:w="84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项目编号</w:t>
            </w:r>
          </w:p>
        </w:tc>
        <w:tc>
          <w:tcPr>
            <w:tcW w:w="196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包  号</w:t>
            </w:r>
          </w:p>
        </w:tc>
        <w:tc>
          <w:tcPr>
            <w:tcW w:w="14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r>
      <w:tr>
        <w:tblPrEx>
          <w:shd w:val="clear" w:color="auto" w:fill="FFFFFF"/>
          <w:tblCellMar>
            <w:top w:w="0" w:type="dxa"/>
            <w:left w:w="0" w:type="dxa"/>
            <w:bottom w:w="0" w:type="dxa"/>
            <w:right w:w="0" w:type="dxa"/>
          </w:tblCellMar>
        </w:tblPrEx>
        <w:trPr>
          <w:trHeight w:val="390" w:hRule="atLeast"/>
        </w:trPr>
        <w:tc>
          <w:tcPr>
            <w:tcW w:w="84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采购人名称</w:t>
            </w:r>
          </w:p>
        </w:tc>
        <w:tc>
          <w:tcPr>
            <w:tcW w:w="6470"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r>
      <w:tr>
        <w:tblPrEx>
          <w:shd w:val="clear" w:color="auto" w:fill="FFFFFF"/>
          <w:tblCellMar>
            <w:top w:w="0" w:type="dxa"/>
            <w:left w:w="0" w:type="dxa"/>
            <w:bottom w:w="0" w:type="dxa"/>
            <w:right w:w="0" w:type="dxa"/>
          </w:tblCellMar>
        </w:tblPrEx>
        <w:trPr>
          <w:trHeight w:val="390" w:hRule="atLeast"/>
        </w:trPr>
        <w:tc>
          <w:tcPr>
            <w:tcW w:w="84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采购公告时间</w:t>
            </w:r>
          </w:p>
        </w:tc>
        <w:tc>
          <w:tcPr>
            <w:tcW w:w="196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年</w:t>
            </w: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月</w:t>
            </w: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日</w:t>
            </w: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中标（成交）公告时间</w:t>
            </w:r>
          </w:p>
        </w:tc>
        <w:tc>
          <w:tcPr>
            <w:tcW w:w="14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年</w:t>
            </w: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月</w:t>
            </w: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日</w:t>
            </w:r>
          </w:p>
        </w:tc>
      </w:tr>
      <w:tr>
        <w:tblPrEx>
          <w:tblCellMar>
            <w:top w:w="0" w:type="dxa"/>
            <w:left w:w="0" w:type="dxa"/>
            <w:bottom w:w="0" w:type="dxa"/>
            <w:right w:w="0" w:type="dxa"/>
          </w:tblCellMar>
        </w:tblPrEx>
        <w:trPr>
          <w:trHeight w:val="390" w:hRule="atLeast"/>
        </w:trPr>
        <w:tc>
          <w:tcPr>
            <w:tcW w:w="84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line="300" w:lineRule="atLeast"/>
              <w:jc w:val="center"/>
              <w:rPr>
                <w:color w:val="auto"/>
                <w:highlight w:val="none"/>
              </w:rPr>
            </w:pPr>
            <w:r>
              <w:rPr>
                <w:rFonts w:ascii="方正仿宋简体" w:hAnsi="方正仿宋简体" w:eastAsia="方正仿宋简体" w:cs="方正仿宋简体"/>
                <w:color w:val="auto"/>
                <w:sz w:val="21"/>
                <w:szCs w:val="21"/>
                <w:highlight w:val="none"/>
              </w:rPr>
              <w:t>更正公告时间</w:t>
            </w:r>
          </w:p>
          <w:p>
            <w:pPr>
              <w:pStyle w:val="34"/>
              <w:spacing w:before="0" w:beforeAutospacing="0" w:after="0" w:afterAutospacing="0" w:line="300" w:lineRule="atLeast"/>
              <w:jc w:val="center"/>
              <w:rPr>
                <w:color w:val="auto"/>
                <w:highlight w:val="none"/>
              </w:rPr>
            </w:pPr>
            <w:r>
              <w:rPr>
                <w:rFonts w:ascii="方正仿宋简体" w:hAnsi="方正仿宋简体" w:eastAsia="方正仿宋简体" w:cs="方正仿宋简体"/>
                <w:color w:val="auto"/>
                <w:sz w:val="21"/>
                <w:szCs w:val="21"/>
                <w:highlight w:val="none"/>
              </w:rPr>
              <w:t>（包含采购文件和采购结果更正公告）</w:t>
            </w:r>
          </w:p>
        </w:tc>
        <w:tc>
          <w:tcPr>
            <w:tcW w:w="196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年</w:t>
            </w: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月</w:t>
            </w: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日</w:t>
            </w: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终止公告时间（包含废标和采购任务取消）</w:t>
            </w:r>
          </w:p>
        </w:tc>
        <w:tc>
          <w:tcPr>
            <w:tcW w:w="14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年</w:t>
            </w: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月</w:t>
            </w:r>
            <w:r>
              <w:rPr>
                <w:rFonts w:ascii="方正仿宋简体" w:hAnsi="方正仿宋简体" w:eastAsia="方正仿宋简体" w:cs="方正仿宋简体"/>
                <w:color w:val="auto"/>
                <w:sz w:val="21"/>
                <w:szCs w:val="21"/>
                <w:highlight w:val="none"/>
                <w:u w:val="single"/>
              </w:rPr>
              <w:t>  </w:t>
            </w:r>
            <w:r>
              <w:rPr>
                <w:rFonts w:ascii="方正仿宋简体" w:hAnsi="方正仿宋简体" w:eastAsia="方正仿宋简体" w:cs="方正仿宋简体"/>
                <w:color w:val="auto"/>
                <w:sz w:val="21"/>
                <w:szCs w:val="21"/>
                <w:highlight w:val="none"/>
              </w:rPr>
              <w:t>日</w:t>
            </w:r>
          </w:p>
        </w:tc>
      </w:tr>
      <w:tr>
        <w:tblPrEx>
          <w:tblCellMar>
            <w:top w:w="0" w:type="dxa"/>
            <w:left w:w="0" w:type="dxa"/>
            <w:bottom w:w="0" w:type="dxa"/>
            <w:right w:w="0" w:type="dxa"/>
          </w:tblCellMar>
        </w:tblPrEx>
        <w:trPr>
          <w:trHeight w:val="390" w:hRule="atLeast"/>
        </w:trPr>
        <w:tc>
          <w:tcPr>
            <w:tcW w:w="84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质疑供应商基本信息</w:t>
            </w: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单位名称</w:t>
            </w:r>
          </w:p>
        </w:tc>
        <w:tc>
          <w:tcPr>
            <w:tcW w:w="6470"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r>
      <w:tr>
        <w:tblPrEx>
          <w:shd w:val="clear" w:color="auto" w:fill="FFFFFF"/>
          <w:tblCellMar>
            <w:top w:w="0" w:type="dxa"/>
            <w:left w:w="0" w:type="dxa"/>
            <w:bottom w:w="0" w:type="dxa"/>
            <w:right w:w="0" w:type="dxa"/>
          </w:tblCellMar>
        </w:tblPrEx>
        <w:trPr>
          <w:trHeight w:val="390" w:hRule="atLeast"/>
        </w:trPr>
        <w:tc>
          <w:tcPr>
            <w:tcW w:w="84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地址</w:t>
            </w:r>
          </w:p>
        </w:tc>
        <w:tc>
          <w:tcPr>
            <w:tcW w:w="196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邮编</w:t>
            </w:r>
          </w:p>
        </w:tc>
        <w:tc>
          <w:tcPr>
            <w:tcW w:w="14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r>
      <w:tr>
        <w:tblPrEx>
          <w:shd w:val="clear" w:color="auto" w:fill="FFFFFF"/>
          <w:tblCellMar>
            <w:top w:w="0" w:type="dxa"/>
            <w:left w:w="0" w:type="dxa"/>
            <w:bottom w:w="0" w:type="dxa"/>
            <w:right w:w="0" w:type="dxa"/>
          </w:tblCellMar>
        </w:tblPrEx>
        <w:trPr>
          <w:trHeight w:val="390" w:hRule="atLeast"/>
        </w:trPr>
        <w:tc>
          <w:tcPr>
            <w:tcW w:w="84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联系人</w:t>
            </w:r>
          </w:p>
        </w:tc>
        <w:tc>
          <w:tcPr>
            <w:tcW w:w="196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联系电话</w:t>
            </w:r>
          </w:p>
        </w:tc>
        <w:tc>
          <w:tcPr>
            <w:tcW w:w="14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r>
      <w:tr>
        <w:tblPrEx>
          <w:shd w:val="clear" w:color="auto" w:fill="FFFFFF"/>
          <w:tblCellMar>
            <w:top w:w="0" w:type="dxa"/>
            <w:left w:w="0" w:type="dxa"/>
            <w:bottom w:w="0" w:type="dxa"/>
            <w:right w:w="0" w:type="dxa"/>
          </w:tblCellMar>
        </w:tblPrEx>
        <w:trPr>
          <w:trHeight w:val="390" w:hRule="atLeast"/>
        </w:trPr>
        <w:tc>
          <w:tcPr>
            <w:tcW w:w="84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line="240" w:lineRule="atLeast"/>
              <w:jc w:val="center"/>
              <w:rPr>
                <w:color w:val="auto"/>
                <w:highlight w:val="none"/>
              </w:rPr>
            </w:pPr>
            <w:r>
              <w:rPr>
                <w:rFonts w:ascii="方正仿宋简体" w:hAnsi="方正仿宋简体" w:eastAsia="方正仿宋简体" w:cs="方正仿宋简体"/>
                <w:color w:val="auto"/>
                <w:sz w:val="21"/>
                <w:szCs w:val="21"/>
                <w:highlight w:val="none"/>
              </w:rPr>
              <w:t>授权代表</w:t>
            </w:r>
          </w:p>
        </w:tc>
        <w:tc>
          <w:tcPr>
            <w:tcW w:w="196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300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联系电话</w:t>
            </w:r>
          </w:p>
        </w:tc>
        <w:tc>
          <w:tcPr>
            <w:tcW w:w="14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r>
      <w:tr>
        <w:tblPrEx>
          <w:shd w:val="clear" w:color="auto" w:fill="FFFFFF"/>
          <w:tblCellMar>
            <w:top w:w="0" w:type="dxa"/>
            <w:left w:w="0" w:type="dxa"/>
            <w:bottom w:w="0" w:type="dxa"/>
            <w:right w:w="0" w:type="dxa"/>
          </w:tblCellMar>
        </w:tblPrEx>
        <w:tc>
          <w:tcPr>
            <w:tcW w:w="84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质疑事项及相关请求（纸张不够另附）</w:t>
            </w:r>
          </w:p>
        </w:tc>
        <w:tc>
          <w:tcPr>
            <w:tcW w:w="12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分    类</w:t>
            </w:r>
          </w:p>
        </w:tc>
        <w:tc>
          <w:tcPr>
            <w:tcW w:w="6470"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pPr>
              <w:pStyle w:val="34"/>
              <w:spacing w:before="0" w:beforeAutospacing="0" w:after="0" w:afterAutospacing="0"/>
              <w:jc w:val="both"/>
              <w:rPr>
                <w:color w:val="auto"/>
                <w:highlight w:val="none"/>
              </w:rPr>
            </w:pPr>
            <w:r>
              <w:rPr>
                <w:rFonts w:ascii="方正仿宋简体" w:hAnsi="方正仿宋简体" w:eastAsia="方正仿宋简体" w:cs="方正仿宋简体"/>
                <w:color w:val="auto"/>
                <w:sz w:val="21"/>
                <w:szCs w:val="21"/>
                <w:highlight w:val="none"/>
              </w:rPr>
              <w:t>□ 采购文件 □ 采购过程 □ 中标或成交结果</w:t>
            </w:r>
          </w:p>
        </w:tc>
      </w:tr>
      <w:tr>
        <w:tblPrEx>
          <w:tblCellMar>
            <w:top w:w="0" w:type="dxa"/>
            <w:left w:w="0" w:type="dxa"/>
            <w:bottom w:w="0" w:type="dxa"/>
            <w:right w:w="0" w:type="dxa"/>
          </w:tblCellMar>
        </w:tblPrEx>
        <w:trPr>
          <w:trHeight w:val="1125" w:hRule="atLeast"/>
        </w:trPr>
        <w:tc>
          <w:tcPr>
            <w:tcW w:w="84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7670" w:type="dxa"/>
            <w:gridSpan w:val="6"/>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pPr>
              <w:pStyle w:val="34"/>
              <w:spacing w:before="0" w:beforeAutospacing="0" w:after="0" w:afterAutospacing="0"/>
              <w:rPr>
                <w:color w:val="auto"/>
                <w:highlight w:val="none"/>
              </w:rPr>
            </w:pPr>
            <w:r>
              <w:rPr>
                <w:rFonts w:ascii="方正仿宋简体" w:hAnsi="方正仿宋简体" w:eastAsia="方正仿宋简体" w:cs="方正仿宋简体"/>
                <w:color w:val="auto"/>
                <w:sz w:val="21"/>
                <w:szCs w:val="21"/>
                <w:highlight w:val="none"/>
              </w:rPr>
              <w:t>请逐条列明质疑事项、事实依据和法律依据，并提供必要的证明材料。</w:t>
            </w:r>
          </w:p>
          <w:p>
            <w:pPr>
              <w:pStyle w:val="34"/>
              <w:spacing w:before="0" w:beforeAutospacing="0" w:after="0" w:afterAutospacing="0"/>
              <w:rPr>
                <w:color w:val="auto"/>
                <w:highlight w:val="none"/>
              </w:rPr>
            </w:pPr>
            <w:r>
              <w:rPr>
                <w:rFonts w:ascii="方正仿宋简体" w:hAnsi="方正仿宋简体" w:eastAsia="方正仿宋简体" w:cs="方正仿宋简体"/>
                <w:color w:val="auto"/>
                <w:sz w:val="21"/>
                <w:szCs w:val="21"/>
                <w:highlight w:val="none"/>
              </w:rPr>
              <w:t>质疑事项</w:t>
            </w:r>
            <w:r>
              <w:rPr>
                <w:rFonts w:hint="eastAsia"/>
                <w:color w:val="auto"/>
                <w:sz w:val="21"/>
                <w:szCs w:val="21"/>
                <w:highlight w:val="none"/>
              </w:rPr>
              <w:t>1</w:t>
            </w:r>
            <w:r>
              <w:rPr>
                <w:rFonts w:ascii="方正仿宋简体" w:hAnsi="方正仿宋简体" w:eastAsia="方正仿宋简体" w:cs="方正仿宋简体"/>
                <w:color w:val="auto"/>
                <w:sz w:val="21"/>
                <w:szCs w:val="21"/>
                <w:highlight w:val="none"/>
              </w:rPr>
              <w:t>：</w:t>
            </w:r>
          </w:p>
          <w:p>
            <w:pPr>
              <w:pStyle w:val="34"/>
              <w:spacing w:before="0" w:beforeAutospacing="0" w:after="0" w:afterAutospacing="0"/>
              <w:rPr>
                <w:color w:val="auto"/>
                <w:highlight w:val="none"/>
              </w:rPr>
            </w:pPr>
            <w:r>
              <w:rPr>
                <w:rFonts w:ascii="方正仿宋简体" w:hAnsi="方正仿宋简体" w:eastAsia="方正仿宋简体" w:cs="方正仿宋简体"/>
                <w:color w:val="auto"/>
                <w:sz w:val="21"/>
                <w:szCs w:val="21"/>
                <w:highlight w:val="none"/>
              </w:rPr>
              <w:t>事实依据：</w:t>
            </w:r>
          </w:p>
          <w:p>
            <w:pPr>
              <w:pStyle w:val="34"/>
              <w:spacing w:before="0" w:beforeAutospacing="0" w:after="0" w:afterAutospacing="0"/>
              <w:rPr>
                <w:color w:val="auto"/>
                <w:highlight w:val="none"/>
              </w:rPr>
            </w:pPr>
            <w:r>
              <w:rPr>
                <w:rFonts w:ascii="方正仿宋简体" w:hAnsi="方正仿宋简体" w:eastAsia="方正仿宋简体" w:cs="方正仿宋简体"/>
                <w:color w:val="auto"/>
                <w:sz w:val="21"/>
                <w:szCs w:val="21"/>
                <w:highlight w:val="none"/>
              </w:rPr>
              <w:t>法律依据：</w:t>
            </w:r>
          </w:p>
          <w:p>
            <w:pPr>
              <w:pStyle w:val="34"/>
              <w:spacing w:before="0" w:beforeAutospacing="0" w:after="0" w:afterAutospacing="0"/>
              <w:rPr>
                <w:color w:val="auto"/>
                <w:highlight w:val="none"/>
              </w:rPr>
            </w:pPr>
            <w:r>
              <w:rPr>
                <w:rFonts w:ascii="方正仿宋简体" w:hAnsi="方正仿宋简体" w:eastAsia="方正仿宋简体" w:cs="方正仿宋简体"/>
                <w:color w:val="auto"/>
                <w:sz w:val="21"/>
                <w:szCs w:val="21"/>
                <w:highlight w:val="none"/>
              </w:rPr>
              <w:t>相关请求：</w:t>
            </w:r>
          </w:p>
          <w:p>
            <w:pPr>
              <w:pStyle w:val="34"/>
              <w:spacing w:before="0" w:beforeAutospacing="0" w:after="0" w:afterAutospacing="0"/>
              <w:rPr>
                <w:color w:val="auto"/>
                <w:highlight w:val="none"/>
              </w:rPr>
            </w:pPr>
            <w:r>
              <w:rPr>
                <w:rFonts w:ascii="方正仿宋简体" w:hAnsi="方正仿宋简体" w:eastAsia="方正仿宋简体" w:cs="方正仿宋简体"/>
                <w:color w:val="auto"/>
                <w:sz w:val="21"/>
                <w:szCs w:val="21"/>
                <w:highlight w:val="none"/>
              </w:rPr>
              <w:t>质疑事项</w:t>
            </w:r>
            <w:r>
              <w:rPr>
                <w:rFonts w:hint="eastAsia"/>
                <w:color w:val="auto"/>
                <w:sz w:val="21"/>
                <w:szCs w:val="21"/>
                <w:highlight w:val="none"/>
              </w:rPr>
              <w:t>2</w:t>
            </w:r>
          </w:p>
          <w:p>
            <w:pPr>
              <w:pStyle w:val="34"/>
              <w:spacing w:before="0" w:beforeAutospacing="0" w:after="0" w:afterAutospacing="0"/>
              <w:rPr>
                <w:color w:val="auto"/>
                <w:highlight w:val="none"/>
              </w:rPr>
            </w:pPr>
            <w:r>
              <w:rPr>
                <w:rFonts w:hint="eastAsia" w:ascii="方正仿宋简体" w:hAnsi="方正仿宋简体" w:eastAsia="方正仿宋简体" w:cs="方正仿宋简体"/>
                <w:color w:val="auto"/>
                <w:sz w:val="21"/>
                <w:szCs w:val="21"/>
                <w:highlight w:val="none"/>
                <w:lang w:eastAsia="zh-CN"/>
              </w:rPr>
              <w:t>……</w:t>
            </w:r>
          </w:p>
        </w:tc>
      </w:tr>
      <w:tr>
        <w:tblPrEx>
          <w:tblCellMar>
            <w:top w:w="0" w:type="dxa"/>
            <w:left w:w="0" w:type="dxa"/>
            <w:bottom w:w="0" w:type="dxa"/>
            <w:right w:w="0" w:type="dxa"/>
          </w:tblCellMar>
        </w:tblPrEx>
        <w:trPr>
          <w:trHeight w:val="435" w:hRule="atLeast"/>
        </w:trPr>
        <w:tc>
          <w:tcPr>
            <w:tcW w:w="84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签字</w:t>
            </w:r>
          </w:p>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或盖人名章</w:t>
            </w:r>
          </w:p>
        </w:tc>
        <w:tc>
          <w:tcPr>
            <w:tcW w:w="1850" w:type="dxa"/>
            <w:gridSpan w:val="2"/>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326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公章</w:t>
            </w:r>
          </w:p>
        </w:tc>
        <w:tc>
          <w:tcPr>
            <w:tcW w:w="2553"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pPr>
              <w:rPr>
                <w:rFonts w:ascii="宋体" w:hAnsi="宋体" w:cs="宋体"/>
                <w:color w:val="auto"/>
                <w:highlight w:val="none"/>
              </w:rPr>
            </w:pPr>
          </w:p>
        </w:tc>
      </w:tr>
      <w:tr>
        <w:tblPrEx>
          <w:shd w:val="clear" w:color="auto" w:fill="FFFFFF"/>
          <w:tblCellMar>
            <w:top w:w="0" w:type="dxa"/>
            <w:left w:w="0" w:type="dxa"/>
            <w:bottom w:w="0" w:type="dxa"/>
            <w:right w:w="0" w:type="dxa"/>
          </w:tblCellMar>
        </w:tblPrEx>
        <w:trPr>
          <w:trHeight w:val="360" w:hRule="atLeast"/>
        </w:trPr>
        <w:tc>
          <w:tcPr>
            <w:tcW w:w="84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1850"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c>
          <w:tcPr>
            <w:tcW w:w="3267"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jc w:val="center"/>
              <w:rPr>
                <w:color w:val="auto"/>
                <w:highlight w:val="none"/>
              </w:rPr>
            </w:pPr>
            <w:r>
              <w:rPr>
                <w:rFonts w:ascii="方正仿宋简体" w:hAnsi="方正仿宋简体" w:eastAsia="方正仿宋简体" w:cs="方正仿宋简体"/>
                <w:color w:val="auto"/>
                <w:sz w:val="21"/>
                <w:szCs w:val="21"/>
                <w:highlight w:val="none"/>
              </w:rPr>
              <w:t>日期</w:t>
            </w:r>
          </w:p>
        </w:tc>
        <w:tc>
          <w:tcPr>
            <w:tcW w:w="2553"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cs="宋体"/>
                <w:color w:val="auto"/>
                <w:highlight w:val="none"/>
              </w:rPr>
            </w:pPr>
          </w:p>
        </w:tc>
      </w:tr>
      <w:tr>
        <w:tblPrEx>
          <w:shd w:val="clear" w:color="auto" w:fill="FFFFFF"/>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4"/>
              <w:spacing w:before="0" w:beforeAutospacing="0" w:after="0" w:afterAutospacing="0" w:line="400" w:lineRule="exact"/>
              <w:rPr>
                <w:color w:val="auto"/>
                <w:highlight w:val="none"/>
              </w:rPr>
            </w:pPr>
            <w:r>
              <w:rPr>
                <w:rFonts w:ascii="方正仿宋简体" w:hAnsi="方正仿宋简体" w:eastAsia="方正仿宋简体" w:cs="方正仿宋简体"/>
                <w:color w:val="auto"/>
                <w:sz w:val="21"/>
                <w:szCs w:val="21"/>
                <w:highlight w:val="none"/>
              </w:rPr>
              <w:t>质疑函制作说明：</w:t>
            </w:r>
          </w:p>
          <w:p>
            <w:pPr>
              <w:pStyle w:val="34"/>
              <w:spacing w:before="0" w:beforeAutospacing="0" w:after="0" w:afterAutospacing="0" w:line="400" w:lineRule="exact"/>
              <w:ind w:firstLine="420" w:firstLineChars="200"/>
              <w:rPr>
                <w:rFonts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1.</w:t>
            </w:r>
            <w:r>
              <w:rPr>
                <w:rFonts w:ascii="方正仿宋简体" w:hAnsi="方正仿宋简体" w:eastAsia="方正仿宋简体" w:cs="方正仿宋简体"/>
                <w:color w:val="auto"/>
                <w:sz w:val="21"/>
                <w:szCs w:val="21"/>
                <w:highlight w:val="none"/>
              </w:rPr>
              <w:t>供应商提出质疑时，应提交质疑函和必要的证明材料</w:t>
            </w:r>
            <w:r>
              <w:rPr>
                <w:rFonts w:hint="eastAsia" w:ascii="方正仿宋简体" w:hAnsi="方正仿宋简体" w:eastAsia="方正仿宋简体" w:cs="方正仿宋简体"/>
                <w:color w:val="auto"/>
                <w:sz w:val="21"/>
                <w:szCs w:val="21"/>
                <w:highlight w:val="none"/>
              </w:rPr>
              <w:t>或有效线索</w:t>
            </w:r>
            <w:r>
              <w:rPr>
                <w:rFonts w:ascii="方正仿宋简体" w:hAnsi="方正仿宋简体" w:eastAsia="方正仿宋简体" w:cs="方正仿宋简体"/>
                <w:color w:val="auto"/>
                <w:sz w:val="21"/>
                <w:szCs w:val="21"/>
                <w:highlight w:val="none"/>
              </w:rPr>
              <w:t>；质疑函存在《</w:t>
            </w:r>
            <w:r>
              <w:rPr>
                <w:rFonts w:hint="eastAsia" w:ascii="方正仿宋简体" w:hAnsi="方正仿宋简体" w:eastAsia="方正仿宋简体" w:cs="方正仿宋简体"/>
                <w:color w:val="auto"/>
                <w:sz w:val="21"/>
                <w:szCs w:val="21"/>
                <w:highlight w:val="none"/>
              </w:rPr>
              <w:t>自治区政务服务和公共资源交易中心公共资源交易质疑异议投诉举报处理实施细则</w:t>
            </w:r>
            <w:r>
              <w:rPr>
                <w:rFonts w:ascii="方正仿宋简体" w:hAnsi="方正仿宋简体" w:eastAsia="方正仿宋简体" w:cs="方正仿宋简体"/>
                <w:color w:val="auto"/>
                <w:sz w:val="21"/>
                <w:szCs w:val="21"/>
                <w:highlight w:val="none"/>
              </w:rPr>
              <w:t>》（新政资内发〔202</w:t>
            </w:r>
            <w:r>
              <w:rPr>
                <w:rFonts w:hint="eastAsia" w:ascii="方正仿宋简体" w:hAnsi="方正仿宋简体" w:eastAsia="方正仿宋简体" w:cs="方正仿宋简体"/>
                <w:color w:val="auto"/>
                <w:sz w:val="21"/>
                <w:szCs w:val="21"/>
                <w:highlight w:val="none"/>
              </w:rPr>
              <w:t>2</w:t>
            </w:r>
            <w:r>
              <w:rPr>
                <w:rFonts w:ascii="方正仿宋简体" w:hAnsi="方正仿宋简体" w:eastAsia="方正仿宋简体" w:cs="方正仿宋简体"/>
                <w:color w:val="auto"/>
                <w:sz w:val="21"/>
                <w:szCs w:val="21"/>
                <w:highlight w:val="none"/>
              </w:rPr>
              <w:t>〕</w:t>
            </w:r>
            <w:r>
              <w:rPr>
                <w:rFonts w:hint="eastAsia" w:ascii="方正仿宋简体" w:hAnsi="方正仿宋简体" w:eastAsia="方正仿宋简体" w:cs="方正仿宋简体"/>
                <w:color w:val="auto"/>
                <w:sz w:val="21"/>
                <w:szCs w:val="21"/>
                <w:highlight w:val="none"/>
              </w:rPr>
              <w:t>12</w:t>
            </w:r>
            <w:r>
              <w:rPr>
                <w:rFonts w:ascii="方正仿宋简体" w:hAnsi="方正仿宋简体" w:eastAsia="方正仿宋简体" w:cs="方正仿宋简体"/>
                <w:color w:val="auto"/>
                <w:sz w:val="21"/>
                <w:szCs w:val="21"/>
                <w:highlight w:val="none"/>
              </w:rPr>
              <w:t>号）第十</w:t>
            </w:r>
            <w:r>
              <w:rPr>
                <w:rFonts w:hint="eastAsia" w:ascii="方正仿宋简体" w:hAnsi="方正仿宋简体" w:eastAsia="方正仿宋简体" w:cs="方正仿宋简体"/>
                <w:color w:val="auto"/>
                <w:sz w:val="21"/>
                <w:szCs w:val="21"/>
                <w:highlight w:val="none"/>
              </w:rPr>
              <w:t>四</w:t>
            </w:r>
            <w:r>
              <w:rPr>
                <w:rFonts w:ascii="方正仿宋简体" w:hAnsi="方正仿宋简体" w:eastAsia="方正仿宋简体" w:cs="方正仿宋简体"/>
                <w:color w:val="auto"/>
                <w:sz w:val="21"/>
                <w:szCs w:val="21"/>
                <w:highlight w:val="none"/>
              </w:rPr>
              <w:t>条所列情形的，</w:t>
            </w:r>
            <w:r>
              <w:rPr>
                <w:rFonts w:hint="eastAsia" w:ascii="方正仿宋简体" w:hAnsi="方正仿宋简体" w:eastAsia="方正仿宋简体" w:cs="方正仿宋简体"/>
                <w:color w:val="auto"/>
                <w:sz w:val="21"/>
                <w:szCs w:val="21"/>
                <w:highlight w:val="none"/>
              </w:rPr>
              <w:t>交易</w:t>
            </w:r>
            <w:r>
              <w:rPr>
                <w:rFonts w:ascii="方正仿宋简体" w:hAnsi="方正仿宋简体" w:eastAsia="方正仿宋简体" w:cs="方正仿宋简体"/>
                <w:color w:val="auto"/>
                <w:sz w:val="21"/>
                <w:szCs w:val="21"/>
                <w:highlight w:val="none"/>
              </w:rPr>
              <w:t>中心不予受理。</w:t>
            </w:r>
          </w:p>
          <w:p>
            <w:pPr>
              <w:pStyle w:val="34"/>
              <w:shd w:val="clear" w:color="auto" w:fill="FFFFFF"/>
              <w:spacing w:before="0" w:beforeAutospacing="0" w:after="0" w:afterAutospacing="0" w:line="400" w:lineRule="exact"/>
              <w:ind w:firstLine="420" w:firstLineChars="200"/>
              <w:jc w:val="both"/>
              <w:rPr>
                <w:rFonts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2.</w:t>
            </w:r>
            <w:r>
              <w:rPr>
                <w:rFonts w:ascii="方正仿宋简体" w:hAnsi="方正仿宋简体" w:eastAsia="方正仿宋简体" w:cs="方正仿宋简体"/>
                <w:color w:val="auto"/>
                <w:sz w:val="21"/>
                <w:szCs w:val="21"/>
                <w:highlight w:val="none"/>
              </w:rPr>
              <w:t>质疑函的质疑事项应具体、明确，并有必要的事实依据和法律依据</w:t>
            </w:r>
            <w:r>
              <w:rPr>
                <w:rFonts w:hint="eastAsia" w:ascii="方正仿宋简体" w:hAnsi="方正仿宋简体" w:eastAsia="方正仿宋简体" w:cs="方正仿宋简体"/>
                <w:color w:val="auto"/>
                <w:sz w:val="21"/>
                <w:szCs w:val="21"/>
                <w:highlight w:val="none"/>
              </w:rPr>
              <w:t>。</w:t>
            </w:r>
          </w:p>
          <w:p>
            <w:pPr>
              <w:pStyle w:val="34"/>
              <w:spacing w:before="0" w:beforeAutospacing="0" w:after="0" w:afterAutospacing="0" w:line="400" w:lineRule="exact"/>
              <w:ind w:firstLine="420" w:firstLineChars="200"/>
              <w:rPr>
                <w:rFonts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3.</w:t>
            </w:r>
            <w:r>
              <w:rPr>
                <w:rFonts w:ascii="方正仿宋简体" w:hAnsi="方正仿宋简体" w:eastAsia="方正仿宋简体" w:cs="方正仿宋简体"/>
                <w:color w:val="auto"/>
                <w:sz w:val="21"/>
                <w:szCs w:val="21"/>
                <w:highlight w:val="none"/>
              </w:rPr>
              <w:t>质疑函的质疑请求应与质疑事项相关。</w:t>
            </w:r>
          </w:p>
          <w:p>
            <w:pPr>
              <w:pStyle w:val="34"/>
              <w:spacing w:before="0" w:beforeAutospacing="0" w:after="0" w:afterAutospacing="0" w:line="400" w:lineRule="exact"/>
              <w:ind w:firstLine="420" w:firstLineChars="200"/>
              <w:rPr>
                <w:rFonts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4.一份质疑函只能针对一个项目提出质疑，且针对同一交易程序环节的质疑应当一次性提出。质疑对一个项目的不同包提出质疑的，应当将各包质疑事项集中在一份质疑函中提出，并在质疑函中列明具体分包号。</w:t>
            </w:r>
          </w:p>
          <w:p>
            <w:pPr>
              <w:pStyle w:val="34"/>
              <w:spacing w:before="0" w:beforeAutospacing="0" w:after="0" w:afterAutospacing="0" w:line="400" w:lineRule="exact"/>
              <w:ind w:firstLine="420" w:firstLineChars="200"/>
              <w:rPr>
                <w:rFonts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t>5.</w:t>
            </w:r>
            <w:r>
              <w:rPr>
                <w:rFonts w:ascii="方正仿宋简体" w:hAnsi="方正仿宋简体" w:eastAsia="方正仿宋简体" w:cs="方正仿宋简体"/>
                <w:color w:val="auto"/>
                <w:sz w:val="21"/>
                <w:szCs w:val="21"/>
                <w:highlight w:val="none"/>
              </w:rPr>
              <w:t>质疑供应商若委托代理人进行质疑的，质疑函应按要求列明</w:t>
            </w:r>
            <w:r>
              <w:rPr>
                <w:rFonts w:hint="eastAsia" w:ascii="方正仿宋简体" w:hAnsi="方正仿宋简体" w:eastAsia="方正仿宋简体" w:cs="方正仿宋简体"/>
                <w:color w:val="auto"/>
                <w:sz w:val="21"/>
                <w:szCs w:val="21"/>
                <w:highlight w:val="none"/>
              </w:rPr>
              <w:t>“</w:t>
            </w:r>
            <w:r>
              <w:rPr>
                <w:rFonts w:ascii="方正仿宋简体" w:hAnsi="方正仿宋简体" w:eastAsia="方正仿宋简体" w:cs="方正仿宋简体"/>
                <w:color w:val="auto"/>
                <w:sz w:val="21"/>
                <w:szCs w:val="21"/>
                <w:highlight w:val="none"/>
              </w:rPr>
              <w:t>授权代表”的有关内容，并在附件中提交由质疑供应商签署的授权委托书。授权委托书应载明代理人的姓名或者名称、代理事项、具体权限、期限和相关事项。</w:t>
            </w:r>
          </w:p>
          <w:p>
            <w:pPr>
              <w:pStyle w:val="34"/>
              <w:spacing w:before="0" w:beforeAutospacing="0" w:after="0" w:afterAutospacing="0" w:line="400" w:lineRule="exact"/>
              <w:ind w:firstLine="420" w:firstLineChars="200"/>
              <w:rPr>
                <w:rFonts w:ascii="方正仿宋简体" w:hAnsi="方正仿宋简体" w:eastAsia="方正仿宋简体" w:cs="方正仿宋简体"/>
                <w:color w:val="auto"/>
                <w:sz w:val="21"/>
                <w:szCs w:val="21"/>
                <w:highlight w:val="none"/>
              </w:rPr>
            </w:pPr>
            <w:r>
              <w:rPr>
                <w:rFonts w:hint="eastAsia"/>
                <w:color w:val="auto"/>
                <w:sz w:val="21"/>
                <w:szCs w:val="21"/>
                <w:highlight w:val="none"/>
              </w:rPr>
              <w:t>6.</w:t>
            </w:r>
            <w:r>
              <w:rPr>
                <w:rFonts w:ascii="方正仿宋简体" w:hAnsi="方正仿宋简体" w:eastAsia="方正仿宋简体" w:cs="方正仿宋简体"/>
                <w:color w:val="auto"/>
                <w:sz w:val="21"/>
                <w:szCs w:val="21"/>
                <w:highlight w:val="none"/>
              </w:rPr>
              <w:t>质疑供应商为自然人的，质疑函应由本人签字</w:t>
            </w:r>
            <w:r>
              <w:rPr>
                <w:rFonts w:hint="eastAsia" w:ascii="方正仿宋简体" w:hAnsi="方正仿宋简体" w:eastAsia="方正仿宋简体" w:cs="方正仿宋简体"/>
                <w:color w:val="auto"/>
                <w:sz w:val="21"/>
                <w:szCs w:val="21"/>
                <w:highlight w:val="none"/>
              </w:rPr>
              <w:t>，提供本人及代理人身份证复印件，并在复印件上签字</w:t>
            </w:r>
            <w:r>
              <w:rPr>
                <w:rFonts w:ascii="方正仿宋简体" w:hAnsi="方正仿宋简体" w:eastAsia="方正仿宋简体" w:cs="方正仿宋简体"/>
                <w:color w:val="auto"/>
                <w:sz w:val="21"/>
                <w:szCs w:val="21"/>
                <w:highlight w:val="none"/>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color w:val="auto"/>
                <w:sz w:val="21"/>
                <w:szCs w:val="21"/>
                <w:highlight w:val="none"/>
              </w:rPr>
              <w:t>，同时提供法人证书（营业执照）复印件、代理人身份证复印件并加盖法人公章</w:t>
            </w:r>
            <w:r>
              <w:rPr>
                <w:rFonts w:ascii="方正仿宋简体" w:hAnsi="方正仿宋简体" w:eastAsia="方正仿宋简体" w:cs="方正仿宋简体"/>
                <w:color w:val="auto"/>
                <w:sz w:val="21"/>
                <w:szCs w:val="21"/>
                <w:highlight w:val="none"/>
              </w:rPr>
              <w:t>。</w:t>
            </w:r>
          </w:p>
          <w:p>
            <w:pPr>
              <w:widowControl/>
              <w:spacing w:line="400" w:lineRule="exact"/>
              <w:ind w:firstLine="421" w:firstLineChars="200"/>
              <w:jc w:val="left"/>
              <w:rPr>
                <w:rFonts w:ascii="方正仿宋简体" w:hAnsi="方正仿宋简体" w:eastAsia="方正仿宋简体" w:cs="方正仿宋简体"/>
                <w:color w:val="auto"/>
                <w:highlight w:val="none"/>
              </w:rPr>
            </w:pPr>
            <w:r>
              <w:rPr>
                <w:rFonts w:hint="eastAsia" w:ascii="方正仿宋简体" w:hAnsi="方正仿宋简体" w:eastAsia="方正仿宋简体" w:cs="方正仿宋简体"/>
                <w:b/>
                <w:bCs/>
                <w:color w:val="auto"/>
                <w:kern w:val="0"/>
                <w:highlight w:val="none"/>
              </w:rPr>
              <w:t>7.质疑函份数要求：一式四份</w:t>
            </w:r>
            <w:r>
              <w:rPr>
                <w:rFonts w:hint="eastAsia" w:ascii="方正仿宋简体" w:hAnsi="方正仿宋简体" w:eastAsia="方正仿宋简体" w:cs="方正仿宋简体"/>
                <w:color w:val="auto"/>
                <w:kern w:val="0"/>
                <w:highlight w:val="none"/>
              </w:rPr>
              <w:t>。</w:t>
            </w:r>
          </w:p>
        </w:tc>
      </w:tr>
    </w:tbl>
    <w:p>
      <w:pPr>
        <w:pStyle w:val="17"/>
        <w:ind w:left="0"/>
        <w:rPr>
          <w:color w:val="auto"/>
          <w:highlight w:val="none"/>
        </w:rPr>
      </w:pPr>
    </w:p>
    <w:p>
      <w:pP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sz w:val="30"/>
          <w:szCs w:val="30"/>
          <w:highlight w:val="none"/>
        </w:rPr>
        <w:t>表九</w:t>
      </w:r>
    </w:p>
    <w:tbl>
      <w:tblPr>
        <w:tblStyle w:val="37"/>
        <w:tblW w:w="9764" w:type="dxa"/>
        <w:jc w:val="center"/>
        <w:tblLayout w:type="fixed"/>
        <w:tblCellMar>
          <w:top w:w="0" w:type="dxa"/>
          <w:left w:w="108" w:type="dxa"/>
          <w:bottom w:w="0" w:type="dxa"/>
          <w:right w:w="108" w:type="dxa"/>
        </w:tblCellMar>
      </w:tblPr>
      <w:tblGrid>
        <w:gridCol w:w="1183"/>
        <w:gridCol w:w="900"/>
        <w:gridCol w:w="1867"/>
        <w:gridCol w:w="1200"/>
        <w:gridCol w:w="4614"/>
      </w:tblGrid>
      <w:tr>
        <w:tblPrEx>
          <w:tblCellMar>
            <w:top w:w="0" w:type="dxa"/>
            <w:left w:w="108" w:type="dxa"/>
            <w:bottom w:w="0" w:type="dxa"/>
            <w:right w:w="108" w:type="dxa"/>
          </w:tblCellMar>
        </w:tblPrEx>
        <w:trPr>
          <w:trHeight w:val="800" w:hRule="atLeast"/>
          <w:jc w:val="center"/>
        </w:trPr>
        <w:tc>
          <w:tcPr>
            <w:tcW w:w="9764" w:type="dxa"/>
            <w:gridSpan w:val="5"/>
            <w:tcBorders>
              <w:top w:val="nil"/>
              <w:left w:val="nil"/>
              <w:bottom w:val="nil"/>
              <w:right w:val="nil"/>
            </w:tcBorders>
            <w:noWrap/>
            <w:vAlign w:val="center"/>
          </w:tcPr>
          <w:p>
            <w:pPr>
              <w:widowControl/>
              <w:jc w:val="center"/>
              <w:textAlignment w:val="center"/>
              <w:rPr>
                <w:rFonts w:ascii="宋体" w:hAnsi="宋体" w:cs="宋体"/>
                <w:color w:val="auto"/>
                <w:sz w:val="40"/>
                <w:szCs w:val="40"/>
                <w:highlight w:val="none"/>
              </w:rPr>
            </w:pPr>
            <w:r>
              <w:rPr>
                <w:rFonts w:hint="eastAsia" w:ascii="宋体" w:hAnsi="宋体" w:cs="宋体"/>
                <w:color w:val="auto"/>
                <w:kern w:val="0"/>
                <w:sz w:val="40"/>
                <w:szCs w:val="40"/>
                <w:highlight w:val="none"/>
              </w:rPr>
              <w:t>保证金退还审批表</w:t>
            </w:r>
          </w:p>
        </w:tc>
      </w:tr>
      <w:tr>
        <w:tblPrEx>
          <w:tblCellMar>
            <w:top w:w="0" w:type="dxa"/>
            <w:left w:w="108" w:type="dxa"/>
            <w:bottom w:w="0" w:type="dxa"/>
            <w:right w:w="108" w:type="dxa"/>
          </w:tblCellMar>
        </w:tblPrEx>
        <w:trPr>
          <w:trHeight w:val="352" w:hRule="atLeast"/>
          <w:jc w:val="center"/>
        </w:trPr>
        <w:tc>
          <w:tcPr>
            <w:tcW w:w="1183" w:type="dxa"/>
            <w:tcBorders>
              <w:top w:val="nil"/>
              <w:left w:val="nil"/>
              <w:bottom w:val="nil"/>
              <w:right w:val="nil"/>
            </w:tcBorders>
            <w:noWrap/>
            <w:vAlign w:val="center"/>
          </w:tcPr>
          <w:p>
            <w:pPr>
              <w:jc w:val="center"/>
              <w:rPr>
                <w:rFonts w:ascii="宋体" w:hAnsi="宋体" w:cs="宋体"/>
                <w:color w:val="auto"/>
                <w:sz w:val="36"/>
                <w:szCs w:val="36"/>
                <w:highlight w:val="none"/>
              </w:rPr>
            </w:pPr>
          </w:p>
        </w:tc>
        <w:tc>
          <w:tcPr>
            <w:tcW w:w="900" w:type="dxa"/>
            <w:tcBorders>
              <w:top w:val="nil"/>
              <w:left w:val="nil"/>
              <w:bottom w:val="nil"/>
              <w:right w:val="nil"/>
            </w:tcBorders>
            <w:noWrap/>
            <w:vAlign w:val="center"/>
          </w:tcPr>
          <w:p>
            <w:pPr>
              <w:jc w:val="center"/>
              <w:rPr>
                <w:rFonts w:ascii="宋体" w:hAnsi="宋体" w:cs="宋体"/>
                <w:color w:val="auto"/>
                <w:sz w:val="36"/>
                <w:szCs w:val="36"/>
                <w:highlight w:val="none"/>
              </w:rPr>
            </w:pPr>
          </w:p>
        </w:tc>
        <w:tc>
          <w:tcPr>
            <w:tcW w:w="1867" w:type="dxa"/>
            <w:tcBorders>
              <w:top w:val="nil"/>
              <w:left w:val="nil"/>
              <w:bottom w:val="nil"/>
              <w:right w:val="nil"/>
            </w:tcBorders>
            <w:noWrap/>
            <w:vAlign w:val="center"/>
          </w:tcPr>
          <w:p>
            <w:pPr>
              <w:jc w:val="center"/>
              <w:rPr>
                <w:rFonts w:ascii="宋体" w:hAnsi="宋体" w:cs="宋体"/>
                <w:color w:val="auto"/>
                <w:sz w:val="36"/>
                <w:szCs w:val="36"/>
                <w:highlight w:val="none"/>
              </w:rPr>
            </w:pPr>
          </w:p>
        </w:tc>
        <w:tc>
          <w:tcPr>
            <w:tcW w:w="1200" w:type="dxa"/>
            <w:tcBorders>
              <w:top w:val="nil"/>
              <w:left w:val="nil"/>
              <w:bottom w:val="nil"/>
              <w:right w:val="nil"/>
            </w:tcBorders>
            <w:noWrap/>
            <w:vAlign w:val="center"/>
          </w:tcPr>
          <w:p>
            <w:pPr>
              <w:jc w:val="center"/>
              <w:rPr>
                <w:rFonts w:ascii="宋体" w:hAnsi="宋体" w:cs="宋体"/>
                <w:color w:val="auto"/>
                <w:sz w:val="36"/>
                <w:szCs w:val="36"/>
                <w:highlight w:val="none"/>
              </w:rPr>
            </w:pPr>
          </w:p>
        </w:tc>
        <w:tc>
          <w:tcPr>
            <w:tcW w:w="4614" w:type="dxa"/>
            <w:tcBorders>
              <w:top w:val="nil"/>
              <w:left w:val="nil"/>
              <w:bottom w:val="single" w:color="000000" w:sz="4" w:space="0"/>
              <w:right w:val="nil"/>
            </w:tcBorders>
            <w:noWrap/>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日期：   </w:t>
            </w:r>
            <w:r>
              <w:rPr>
                <w:rStyle w:val="123"/>
                <w:rFonts w:hint="default" w:ascii="宋体" w:hAnsi="宋体" w:eastAsia="宋体" w:cs="宋体"/>
                <w:color w:val="auto"/>
                <w:highlight w:val="none"/>
              </w:rPr>
              <w:t>年   月   日</w:t>
            </w:r>
          </w:p>
        </w:tc>
      </w:tr>
      <w:tr>
        <w:tblPrEx>
          <w:tblCellMar>
            <w:top w:w="0" w:type="dxa"/>
            <w:left w:w="108" w:type="dxa"/>
            <w:bottom w:w="0" w:type="dxa"/>
            <w:right w:w="108" w:type="dxa"/>
          </w:tblCellMar>
        </w:tblPrEx>
        <w:trPr>
          <w:trHeight w:val="96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政府采购     项目名称</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90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缴款日期</w:t>
            </w:r>
          </w:p>
        </w:tc>
        <w:tc>
          <w:tcPr>
            <w:tcW w:w="27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应退还保证金总额（大小写）</w:t>
            </w:r>
          </w:p>
        </w:tc>
        <w:tc>
          <w:tcPr>
            <w:tcW w:w="46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84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退还保证金单位名称（全称）</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78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开户行</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78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账  号</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78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联系人</w:t>
            </w:r>
          </w:p>
        </w:tc>
        <w:tc>
          <w:tcPr>
            <w:tcW w:w="27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电  话</w:t>
            </w:r>
          </w:p>
        </w:tc>
        <w:tc>
          <w:tcPr>
            <w:tcW w:w="46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347" w:hRule="atLeast"/>
          <w:jc w:val="center"/>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项目经办   部门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经办人      意见</w:t>
            </w:r>
          </w:p>
        </w:tc>
        <w:tc>
          <w:tcPr>
            <w:tcW w:w="76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376"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部门领导    意见</w:t>
            </w:r>
          </w:p>
        </w:tc>
        <w:tc>
          <w:tcPr>
            <w:tcW w:w="76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293" w:hRule="atLeast"/>
          <w:jc w:val="center"/>
        </w:trPr>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财务审计部</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经办人   意见</w:t>
            </w:r>
          </w:p>
        </w:tc>
        <w:tc>
          <w:tcPr>
            <w:tcW w:w="76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1500" w:hRule="atLeast"/>
          <w:jc w:val="center"/>
        </w:trPr>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部门领导   意见</w:t>
            </w:r>
          </w:p>
        </w:tc>
        <w:tc>
          <w:tcPr>
            <w:tcW w:w="7681"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24"/>
                <w:szCs w:val="24"/>
                <w:highlight w:val="none"/>
              </w:rPr>
            </w:pPr>
          </w:p>
        </w:tc>
      </w:tr>
      <w:tr>
        <w:tblPrEx>
          <w:tblCellMar>
            <w:top w:w="0" w:type="dxa"/>
            <w:left w:w="108" w:type="dxa"/>
            <w:bottom w:w="0" w:type="dxa"/>
            <w:right w:w="108" w:type="dxa"/>
          </w:tblCellMar>
        </w:tblPrEx>
        <w:trPr>
          <w:trHeight w:val="900"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备  注</w:t>
            </w:r>
          </w:p>
        </w:tc>
        <w:tc>
          <w:tcPr>
            <w:tcW w:w="8581"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退还保证金需提供：1、公司开户许可证或汇款账户信息复印件并加盖公章；2、保证金银行汇款回单；</w:t>
            </w:r>
          </w:p>
        </w:tc>
      </w:tr>
    </w:tbl>
    <w:p>
      <w:pPr>
        <w:pStyle w:val="17"/>
        <w:ind w:left="0"/>
        <w:rPr>
          <w:rFonts w:ascii="宋体" w:hAnsi="宋体" w:cs="宋体"/>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Verdana">
    <w:altName w:val="DejaVu Sans"/>
    <w:panose1 w:val="020B0604030504040204"/>
    <w:charset w:val="00"/>
    <w:family w:val="swiss"/>
    <w:pitch w:val="default"/>
    <w:sig w:usb0="00000000" w:usb1="00000000" w:usb2="00000010" w:usb3="00000000" w:csb0="2000019F" w:csb1="00000000"/>
  </w:font>
  <w:font w:name="方正黑体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30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140"/>
        <w:tab w:val="right" w:pos="8300"/>
        <w:tab w:val="clear" w:pos="4153"/>
        <w:tab w:val="clear" w:pos="8306"/>
      </w:tabs>
      <w:jc w:val="center"/>
    </w:pPr>
    <w:r>
      <w:fldChar w:fldCharType="begin"/>
    </w:r>
    <w:r>
      <w:instrText xml:space="preserve"> PAGE   \* MERGEFORMAT </w:instrText>
    </w:r>
    <w:r>
      <w:fldChar w:fldCharType="separate"/>
    </w:r>
    <w:r>
      <w:rPr>
        <w:lang w:val="zh-CN"/>
      </w:rPr>
      <w:t>40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left"/>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iz6CfskBAACaAwAADgAAAAAA&#10;AAABACAAAAA0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360" w:lineRule="auto"/>
      <w:jc w:val="center"/>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B50pN/yAEAAJoDAAAOAAAAAAAA&#10;AAEAIAAAADQBAABkcnMvZTJvRG9jLnhtbFBLBQYAAAAABgAGAFkBAABu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文本框 1025" o:spid="_x0000_s1026" o:spt="202" type="#_x0000_t202" style="position:absolute;left:0pt;margin-left:76.9pt;margin-top:35.4pt;height:12.6pt;width:107.15pt;mso-position-horizontal-relative:page;mso-position-vertical-relative:page;z-index:-251655168;mso-width-relative:page;mso-height-relative:page;" filled="f" stroked="f" coordsize="21600,21600" o:gfxdata="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dqHs52AAAAAkBAAAPAAAAAAAAAAEAIAAA&#10;ADgAAABkcnMvZG93bnJldi54bWxQSwECFAAUAAAACACHTuJAzrAXw70BAAB2AwAADgAAAAAAAAAB&#10;ACAAAAA9AQAAZHJzL2Uyb0RvYy54bWxQSwUGAAAAAAYABgBZAQAAbA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BB937799"/>
    <w:multiLevelType w:val="singleLevel"/>
    <w:tmpl w:val="BB937799"/>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8"/>
      <w:numFmt w:val="chineseCounting"/>
      <w:suff w:val="nothing"/>
      <w:lvlText w:val="%1、"/>
      <w:lvlJc w:val="left"/>
      <w:rPr>
        <w:rFonts w:hint="eastAsia"/>
      </w:rPr>
    </w:lvl>
  </w:abstractNum>
  <w:abstractNum w:abstractNumId="3">
    <w:nsid w:val="06784D56"/>
    <w:multiLevelType w:val="singleLevel"/>
    <w:tmpl w:val="06784D56"/>
    <w:lvl w:ilvl="0" w:tentative="0">
      <w:start w:val="1"/>
      <w:numFmt w:val="upperLetter"/>
      <w:pStyle w:val="107"/>
      <w:lvlText w:val="附录%1."/>
      <w:lvlJc w:val="left"/>
      <w:pPr>
        <w:tabs>
          <w:tab w:val="left" w:pos="907"/>
        </w:tabs>
        <w:ind w:left="907" w:hanging="907"/>
      </w:pPr>
      <w:rPr>
        <w:rFonts w:hint="eastAsia"/>
      </w:rPr>
    </w:lvl>
  </w:abstractNum>
  <w:abstractNum w:abstractNumId="4">
    <w:nsid w:val="420C153B"/>
    <w:multiLevelType w:val="multilevel"/>
    <w:tmpl w:val="420C153B"/>
    <w:lvl w:ilvl="0" w:tentative="0">
      <w:start w:val="1"/>
      <w:numFmt w:val="decimal"/>
      <w:pStyle w:val="10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C0C1BFB"/>
    <w:multiLevelType w:val="singleLevel"/>
    <w:tmpl w:val="4C0C1BFB"/>
    <w:lvl w:ilvl="0" w:tentative="0">
      <w:start w:val="1"/>
      <w:numFmt w:val="decimal"/>
      <w:pStyle w:val="106"/>
      <w:lvlText w:val="（%1）"/>
      <w:lvlJc w:val="left"/>
      <w:pPr>
        <w:tabs>
          <w:tab w:val="left" w:pos="810"/>
        </w:tabs>
        <w:ind w:left="810" w:hanging="810"/>
      </w:pPr>
      <w:rPr>
        <w:rFonts w:hint="eastAsia"/>
      </w:rPr>
    </w:lvl>
  </w:abstractNum>
  <w:abstractNum w:abstractNumId="6">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NjRjOTkyOGRkYWIwNmE1ODcwOTllYTljMzQ3NGYifQ=="/>
    <w:docVar w:name="KSO_WPS_MARK_KEY" w:val="2f38e132-a224-40d6-847b-768eec3bc93a"/>
  </w:docVars>
  <w:rsids>
    <w:rsidRoot w:val="00D37234"/>
    <w:rsid w:val="00000B50"/>
    <w:rsid w:val="000012AD"/>
    <w:rsid w:val="00002023"/>
    <w:rsid w:val="000021C3"/>
    <w:rsid w:val="00002A41"/>
    <w:rsid w:val="00003038"/>
    <w:rsid w:val="000036FB"/>
    <w:rsid w:val="00003E3B"/>
    <w:rsid w:val="000040E6"/>
    <w:rsid w:val="0000553F"/>
    <w:rsid w:val="00006327"/>
    <w:rsid w:val="00006E32"/>
    <w:rsid w:val="00007678"/>
    <w:rsid w:val="00010521"/>
    <w:rsid w:val="00010E39"/>
    <w:rsid w:val="00010EC6"/>
    <w:rsid w:val="00011619"/>
    <w:rsid w:val="00011FF2"/>
    <w:rsid w:val="00012BC2"/>
    <w:rsid w:val="0001340E"/>
    <w:rsid w:val="000134F1"/>
    <w:rsid w:val="00013DC5"/>
    <w:rsid w:val="000144A3"/>
    <w:rsid w:val="00015CBB"/>
    <w:rsid w:val="000178E0"/>
    <w:rsid w:val="00017D33"/>
    <w:rsid w:val="00020624"/>
    <w:rsid w:val="000214BA"/>
    <w:rsid w:val="000217F4"/>
    <w:rsid w:val="00023805"/>
    <w:rsid w:val="000254B1"/>
    <w:rsid w:val="0002607A"/>
    <w:rsid w:val="00026720"/>
    <w:rsid w:val="000269AE"/>
    <w:rsid w:val="0002771F"/>
    <w:rsid w:val="000300C7"/>
    <w:rsid w:val="00031135"/>
    <w:rsid w:val="000313D5"/>
    <w:rsid w:val="00031400"/>
    <w:rsid w:val="00033D51"/>
    <w:rsid w:val="00034EE1"/>
    <w:rsid w:val="00035B84"/>
    <w:rsid w:val="00035DB5"/>
    <w:rsid w:val="00035FD3"/>
    <w:rsid w:val="00036464"/>
    <w:rsid w:val="000368D5"/>
    <w:rsid w:val="00041C0C"/>
    <w:rsid w:val="00045FCC"/>
    <w:rsid w:val="0004682D"/>
    <w:rsid w:val="0004737D"/>
    <w:rsid w:val="00050598"/>
    <w:rsid w:val="000527CA"/>
    <w:rsid w:val="00052F6E"/>
    <w:rsid w:val="000533AB"/>
    <w:rsid w:val="00054001"/>
    <w:rsid w:val="00055613"/>
    <w:rsid w:val="00055942"/>
    <w:rsid w:val="00055E74"/>
    <w:rsid w:val="0006136C"/>
    <w:rsid w:val="00063CEE"/>
    <w:rsid w:val="00063F19"/>
    <w:rsid w:val="00064391"/>
    <w:rsid w:val="0006639D"/>
    <w:rsid w:val="000664B9"/>
    <w:rsid w:val="0006714F"/>
    <w:rsid w:val="00071811"/>
    <w:rsid w:val="00071CEE"/>
    <w:rsid w:val="0007307E"/>
    <w:rsid w:val="00073596"/>
    <w:rsid w:val="00075DBF"/>
    <w:rsid w:val="000760C9"/>
    <w:rsid w:val="00076D7B"/>
    <w:rsid w:val="00076DB5"/>
    <w:rsid w:val="0007732F"/>
    <w:rsid w:val="00077725"/>
    <w:rsid w:val="00082029"/>
    <w:rsid w:val="00083A9A"/>
    <w:rsid w:val="00083F9C"/>
    <w:rsid w:val="00084F92"/>
    <w:rsid w:val="00086A83"/>
    <w:rsid w:val="00087583"/>
    <w:rsid w:val="00091368"/>
    <w:rsid w:val="00091374"/>
    <w:rsid w:val="0009190E"/>
    <w:rsid w:val="000920C7"/>
    <w:rsid w:val="00094CF9"/>
    <w:rsid w:val="0009585A"/>
    <w:rsid w:val="00095E05"/>
    <w:rsid w:val="00097697"/>
    <w:rsid w:val="000A437C"/>
    <w:rsid w:val="000B09F2"/>
    <w:rsid w:val="000B0F3D"/>
    <w:rsid w:val="000B111A"/>
    <w:rsid w:val="000B1318"/>
    <w:rsid w:val="000B2104"/>
    <w:rsid w:val="000C095E"/>
    <w:rsid w:val="000C0CB7"/>
    <w:rsid w:val="000C26EA"/>
    <w:rsid w:val="000C33FA"/>
    <w:rsid w:val="000C4195"/>
    <w:rsid w:val="000C42B7"/>
    <w:rsid w:val="000C5411"/>
    <w:rsid w:val="000C54F2"/>
    <w:rsid w:val="000C676C"/>
    <w:rsid w:val="000C77A1"/>
    <w:rsid w:val="000D0BBA"/>
    <w:rsid w:val="000D2400"/>
    <w:rsid w:val="000D26C1"/>
    <w:rsid w:val="000D26D8"/>
    <w:rsid w:val="000D3EE4"/>
    <w:rsid w:val="000D4D2B"/>
    <w:rsid w:val="000E0173"/>
    <w:rsid w:val="000E0F51"/>
    <w:rsid w:val="000E157E"/>
    <w:rsid w:val="000E1A22"/>
    <w:rsid w:val="000E321A"/>
    <w:rsid w:val="000E5078"/>
    <w:rsid w:val="000F0EB5"/>
    <w:rsid w:val="000F1316"/>
    <w:rsid w:val="000F3923"/>
    <w:rsid w:val="000F4D9E"/>
    <w:rsid w:val="000F5CDE"/>
    <w:rsid w:val="000F5E8A"/>
    <w:rsid w:val="000F7537"/>
    <w:rsid w:val="000F79EE"/>
    <w:rsid w:val="00100053"/>
    <w:rsid w:val="00100A5E"/>
    <w:rsid w:val="00101DB7"/>
    <w:rsid w:val="00102619"/>
    <w:rsid w:val="00102D5E"/>
    <w:rsid w:val="00103454"/>
    <w:rsid w:val="00105903"/>
    <w:rsid w:val="001061A4"/>
    <w:rsid w:val="00107440"/>
    <w:rsid w:val="00107CDA"/>
    <w:rsid w:val="001101E9"/>
    <w:rsid w:val="00111226"/>
    <w:rsid w:val="00111F3D"/>
    <w:rsid w:val="00114CA6"/>
    <w:rsid w:val="001160D7"/>
    <w:rsid w:val="00120A69"/>
    <w:rsid w:val="00121CC9"/>
    <w:rsid w:val="00124CD5"/>
    <w:rsid w:val="001252B0"/>
    <w:rsid w:val="001256AE"/>
    <w:rsid w:val="00127A72"/>
    <w:rsid w:val="00127C63"/>
    <w:rsid w:val="00131277"/>
    <w:rsid w:val="00131881"/>
    <w:rsid w:val="00131A58"/>
    <w:rsid w:val="001333E9"/>
    <w:rsid w:val="0013433C"/>
    <w:rsid w:val="0013477E"/>
    <w:rsid w:val="00134831"/>
    <w:rsid w:val="001372D8"/>
    <w:rsid w:val="00140DFA"/>
    <w:rsid w:val="00141F88"/>
    <w:rsid w:val="0014204A"/>
    <w:rsid w:val="0014483C"/>
    <w:rsid w:val="00146F7C"/>
    <w:rsid w:val="0014735C"/>
    <w:rsid w:val="001477FB"/>
    <w:rsid w:val="001510B7"/>
    <w:rsid w:val="0015158B"/>
    <w:rsid w:val="00152FA5"/>
    <w:rsid w:val="001541B9"/>
    <w:rsid w:val="001544A4"/>
    <w:rsid w:val="0015497E"/>
    <w:rsid w:val="00154CA1"/>
    <w:rsid w:val="001551BF"/>
    <w:rsid w:val="00157E5B"/>
    <w:rsid w:val="00160AE5"/>
    <w:rsid w:val="001613A6"/>
    <w:rsid w:val="001637D2"/>
    <w:rsid w:val="0016437E"/>
    <w:rsid w:val="00164C69"/>
    <w:rsid w:val="00166EFF"/>
    <w:rsid w:val="00170A2D"/>
    <w:rsid w:val="00171360"/>
    <w:rsid w:val="00171D87"/>
    <w:rsid w:val="001749B6"/>
    <w:rsid w:val="00174A31"/>
    <w:rsid w:val="0017505E"/>
    <w:rsid w:val="00176950"/>
    <w:rsid w:val="0018156A"/>
    <w:rsid w:val="00182E37"/>
    <w:rsid w:val="00183EB5"/>
    <w:rsid w:val="00187B49"/>
    <w:rsid w:val="00187C1F"/>
    <w:rsid w:val="00187DC4"/>
    <w:rsid w:val="0019076F"/>
    <w:rsid w:val="00193274"/>
    <w:rsid w:val="00193DAC"/>
    <w:rsid w:val="00194202"/>
    <w:rsid w:val="001946FF"/>
    <w:rsid w:val="00194F22"/>
    <w:rsid w:val="001953B0"/>
    <w:rsid w:val="00195808"/>
    <w:rsid w:val="00195A83"/>
    <w:rsid w:val="001A07C4"/>
    <w:rsid w:val="001A1033"/>
    <w:rsid w:val="001A187D"/>
    <w:rsid w:val="001A18C0"/>
    <w:rsid w:val="001A1D99"/>
    <w:rsid w:val="001A26B5"/>
    <w:rsid w:val="001A304A"/>
    <w:rsid w:val="001A3BFA"/>
    <w:rsid w:val="001A57FF"/>
    <w:rsid w:val="001A6C7F"/>
    <w:rsid w:val="001A7BA0"/>
    <w:rsid w:val="001A7F3C"/>
    <w:rsid w:val="001B2822"/>
    <w:rsid w:val="001B34C4"/>
    <w:rsid w:val="001B37C7"/>
    <w:rsid w:val="001B4172"/>
    <w:rsid w:val="001B52A8"/>
    <w:rsid w:val="001B5378"/>
    <w:rsid w:val="001B6B93"/>
    <w:rsid w:val="001B79B5"/>
    <w:rsid w:val="001C0231"/>
    <w:rsid w:val="001C02D6"/>
    <w:rsid w:val="001C1947"/>
    <w:rsid w:val="001C21EF"/>
    <w:rsid w:val="001C2404"/>
    <w:rsid w:val="001C2454"/>
    <w:rsid w:val="001C29F7"/>
    <w:rsid w:val="001C3136"/>
    <w:rsid w:val="001C37D3"/>
    <w:rsid w:val="001C6670"/>
    <w:rsid w:val="001C69AD"/>
    <w:rsid w:val="001D03CD"/>
    <w:rsid w:val="001D0B04"/>
    <w:rsid w:val="001D0EA3"/>
    <w:rsid w:val="001D1087"/>
    <w:rsid w:val="001D1E13"/>
    <w:rsid w:val="001D3DF4"/>
    <w:rsid w:val="001D4B6D"/>
    <w:rsid w:val="001D4C79"/>
    <w:rsid w:val="001D5588"/>
    <w:rsid w:val="001D6F14"/>
    <w:rsid w:val="001E1785"/>
    <w:rsid w:val="001E19C0"/>
    <w:rsid w:val="001E2A27"/>
    <w:rsid w:val="001E482F"/>
    <w:rsid w:val="001E48AF"/>
    <w:rsid w:val="001E6CFD"/>
    <w:rsid w:val="001F1C3B"/>
    <w:rsid w:val="001F2054"/>
    <w:rsid w:val="001F35A1"/>
    <w:rsid w:val="001F4946"/>
    <w:rsid w:val="001F4B41"/>
    <w:rsid w:val="001F58DB"/>
    <w:rsid w:val="001F6423"/>
    <w:rsid w:val="001F64B1"/>
    <w:rsid w:val="001F6652"/>
    <w:rsid w:val="001F66B6"/>
    <w:rsid w:val="00200726"/>
    <w:rsid w:val="00201570"/>
    <w:rsid w:val="00201AAD"/>
    <w:rsid w:val="0020257F"/>
    <w:rsid w:val="002026FD"/>
    <w:rsid w:val="002029A0"/>
    <w:rsid w:val="00203FDB"/>
    <w:rsid w:val="00204B0E"/>
    <w:rsid w:val="00207854"/>
    <w:rsid w:val="00211160"/>
    <w:rsid w:val="002114C5"/>
    <w:rsid w:val="0021150E"/>
    <w:rsid w:val="00211D84"/>
    <w:rsid w:val="002129B4"/>
    <w:rsid w:val="00213305"/>
    <w:rsid w:val="00213554"/>
    <w:rsid w:val="002135F1"/>
    <w:rsid w:val="00213952"/>
    <w:rsid w:val="0021413E"/>
    <w:rsid w:val="002150AA"/>
    <w:rsid w:val="00215D7A"/>
    <w:rsid w:val="0021681C"/>
    <w:rsid w:val="00216D78"/>
    <w:rsid w:val="0022068B"/>
    <w:rsid w:val="00224BF6"/>
    <w:rsid w:val="00224D56"/>
    <w:rsid w:val="002250E1"/>
    <w:rsid w:val="0022514B"/>
    <w:rsid w:val="002251B2"/>
    <w:rsid w:val="00225592"/>
    <w:rsid w:val="00227982"/>
    <w:rsid w:val="00227BB6"/>
    <w:rsid w:val="00227C43"/>
    <w:rsid w:val="0023202D"/>
    <w:rsid w:val="00232077"/>
    <w:rsid w:val="002331F2"/>
    <w:rsid w:val="00235603"/>
    <w:rsid w:val="002369AF"/>
    <w:rsid w:val="00241187"/>
    <w:rsid w:val="00241203"/>
    <w:rsid w:val="00241671"/>
    <w:rsid w:val="00243079"/>
    <w:rsid w:val="00243975"/>
    <w:rsid w:val="002447BD"/>
    <w:rsid w:val="00246130"/>
    <w:rsid w:val="00246C19"/>
    <w:rsid w:val="002479CA"/>
    <w:rsid w:val="00250987"/>
    <w:rsid w:val="00252722"/>
    <w:rsid w:val="002537B2"/>
    <w:rsid w:val="00253E7E"/>
    <w:rsid w:val="00254207"/>
    <w:rsid w:val="00255C8D"/>
    <w:rsid w:val="00255FEB"/>
    <w:rsid w:val="00261A7E"/>
    <w:rsid w:val="002640B2"/>
    <w:rsid w:val="00264902"/>
    <w:rsid w:val="00264FAC"/>
    <w:rsid w:val="002657FF"/>
    <w:rsid w:val="00267D06"/>
    <w:rsid w:val="00267D13"/>
    <w:rsid w:val="002702B6"/>
    <w:rsid w:val="00270609"/>
    <w:rsid w:val="00270858"/>
    <w:rsid w:val="00270E78"/>
    <w:rsid w:val="00270EEE"/>
    <w:rsid w:val="00270F7A"/>
    <w:rsid w:val="0027159B"/>
    <w:rsid w:val="002750C2"/>
    <w:rsid w:val="00275F24"/>
    <w:rsid w:val="0027611E"/>
    <w:rsid w:val="00276467"/>
    <w:rsid w:val="002767AF"/>
    <w:rsid w:val="00276C85"/>
    <w:rsid w:val="002773BE"/>
    <w:rsid w:val="00280CC5"/>
    <w:rsid w:val="00280F98"/>
    <w:rsid w:val="00280F9F"/>
    <w:rsid w:val="00281B22"/>
    <w:rsid w:val="00282FDE"/>
    <w:rsid w:val="0028368D"/>
    <w:rsid w:val="00284F56"/>
    <w:rsid w:val="0028524A"/>
    <w:rsid w:val="0028532D"/>
    <w:rsid w:val="00286E46"/>
    <w:rsid w:val="00287A23"/>
    <w:rsid w:val="0029224A"/>
    <w:rsid w:val="0029269B"/>
    <w:rsid w:val="00293ED7"/>
    <w:rsid w:val="00296412"/>
    <w:rsid w:val="00296520"/>
    <w:rsid w:val="00296EE7"/>
    <w:rsid w:val="00297C93"/>
    <w:rsid w:val="002A1B0C"/>
    <w:rsid w:val="002A213D"/>
    <w:rsid w:val="002A35C8"/>
    <w:rsid w:val="002A67A6"/>
    <w:rsid w:val="002A693A"/>
    <w:rsid w:val="002A7962"/>
    <w:rsid w:val="002B084C"/>
    <w:rsid w:val="002B11E6"/>
    <w:rsid w:val="002B1B75"/>
    <w:rsid w:val="002B2BAF"/>
    <w:rsid w:val="002B3E53"/>
    <w:rsid w:val="002B6716"/>
    <w:rsid w:val="002B70EF"/>
    <w:rsid w:val="002C00C1"/>
    <w:rsid w:val="002C067B"/>
    <w:rsid w:val="002C2466"/>
    <w:rsid w:val="002C29A7"/>
    <w:rsid w:val="002C37EC"/>
    <w:rsid w:val="002C3863"/>
    <w:rsid w:val="002C4418"/>
    <w:rsid w:val="002C75A7"/>
    <w:rsid w:val="002D046F"/>
    <w:rsid w:val="002D15D0"/>
    <w:rsid w:val="002D3E1D"/>
    <w:rsid w:val="002D4138"/>
    <w:rsid w:val="002D44AA"/>
    <w:rsid w:val="002D703B"/>
    <w:rsid w:val="002D717E"/>
    <w:rsid w:val="002D78A6"/>
    <w:rsid w:val="002D7B1C"/>
    <w:rsid w:val="002D7F6F"/>
    <w:rsid w:val="002E0200"/>
    <w:rsid w:val="002E0576"/>
    <w:rsid w:val="002E1397"/>
    <w:rsid w:val="002E192A"/>
    <w:rsid w:val="002E2B69"/>
    <w:rsid w:val="002E3028"/>
    <w:rsid w:val="002E4A67"/>
    <w:rsid w:val="002E4B77"/>
    <w:rsid w:val="002E4D8D"/>
    <w:rsid w:val="002E761A"/>
    <w:rsid w:val="002E7638"/>
    <w:rsid w:val="002E7FEC"/>
    <w:rsid w:val="002F080F"/>
    <w:rsid w:val="002F0B59"/>
    <w:rsid w:val="002F0E29"/>
    <w:rsid w:val="002F2018"/>
    <w:rsid w:val="002F3C42"/>
    <w:rsid w:val="002F3DAA"/>
    <w:rsid w:val="002F45B0"/>
    <w:rsid w:val="002F4C80"/>
    <w:rsid w:val="002F56BB"/>
    <w:rsid w:val="002F5748"/>
    <w:rsid w:val="002F57C5"/>
    <w:rsid w:val="002F5A9D"/>
    <w:rsid w:val="002F7C78"/>
    <w:rsid w:val="002F7F15"/>
    <w:rsid w:val="00300F2D"/>
    <w:rsid w:val="00301D55"/>
    <w:rsid w:val="00302002"/>
    <w:rsid w:val="00303AB3"/>
    <w:rsid w:val="00303E18"/>
    <w:rsid w:val="003062C7"/>
    <w:rsid w:val="003065CE"/>
    <w:rsid w:val="003077D7"/>
    <w:rsid w:val="00310052"/>
    <w:rsid w:val="00310924"/>
    <w:rsid w:val="003119DF"/>
    <w:rsid w:val="00315D25"/>
    <w:rsid w:val="00316838"/>
    <w:rsid w:val="00316C0E"/>
    <w:rsid w:val="003176F0"/>
    <w:rsid w:val="00317A43"/>
    <w:rsid w:val="00317CA3"/>
    <w:rsid w:val="00320A43"/>
    <w:rsid w:val="00320F55"/>
    <w:rsid w:val="00321DA1"/>
    <w:rsid w:val="003238EE"/>
    <w:rsid w:val="003306B9"/>
    <w:rsid w:val="003320F3"/>
    <w:rsid w:val="0033584E"/>
    <w:rsid w:val="00336151"/>
    <w:rsid w:val="0033681E"/>
    <w:rsid w:val="003375A1"/>
    <w:rsid w:val="0034142F"/>
    <w:rsid w:val="00341757"/>
    <w:rsid w:val="00342DCC"/>
    <w:rsid w:val="00343BB6"/>
    <w:rsid w:val="00344805"/>
    <w:rsid w:val="00344B6D"/>
    <w:rsid w:val="0034542F"/>
    <w:rsid w:val="003458F9"/>
    <w:rsid w:val="0034648C"/>
    <w:rsid w:val="0034699A"/>
    <w:rsid w:val="00346D70"/>
    <w:rsid w:val="00347AB6"/>
    <w:rsid w:val="00350189"/>
    <w:rsid w:val="003508CE"/>
    <w:rsid w:val="00351966"/>
    <w:rsid w:val="00351988"/>
    <w:rsid w:val="00351C56"/>
    <w:rsid w:val="00352EFB"/>
    <w:rsid w:val="003543A9"/>
    <w:rsid w:val="00356239"/>
    <w:rsid w:val="003570D2"/>
    <w:rsid w:val="00357549"/>
    <w:rsid w:val="00357F4D"/>
    <w:rsid w:val="003611CF"/>
    <w:rsid w:val="00361201"/>
    <w:rsid w:val="00362C38"/>
    <w:rsid w:val="00363EC7"/>
    <w:rsid w:val="003646CC"/>
    <w:rsid w:val="00364EDB"/>
    <w:rsid w:val="0036776C"/>
    <w:rsid w:val="003715B6"/>
    <w:rsid w:val="00372D3E"/>
    <w:rsid w:val="00373601"/>
    <w:rsid w:val="00373708"/>
    <w:rsid w:val="00373911"/>
    <w:rsid w:val="00375F18"/>
    <w:rsid w:val="0037721C"/>
    <w:rsid w:val="00377CC7"/>
    <w:rsid w:val="00381306"/>
    <w:rsid w:val="0038282F"/>
    <w:rsid w:val="00382FB7"/>
    <w:rsid w:val="00384933"/>
    <w:rsid w:val="003849D4"/>
    <w:rsid w:val="00385B86"/>
    <w:rsid w:val="00386ACE"/>
    <w:rsid w:val="00387097"/>
    <w:rsid w:val="003872C9"/>
    <w:rsid w:val="003919D8"/>
    <w:rsid w:val="00391DF3"/>
    <w:rsid w:val="003931D2"/>
    <w:rsid w:val="00393A1F"/>
    <w:rsid w:val="00394D4B"/>
    <w:rsid w:val="0039611D"/>
    <w:rsid w:val="00396C2C"/>
    <w:rsid w:val="003A0F75"/>
    <w:rsid w:val="003A201F"/>
    <w:rsid w:val="003A2A26"/>
    <w:rsid w:val="003A359F"/>
    <w:rsid w:val="003A3E40"/>
    <w:rsid w:val="003A543B"/>
    <w:rsid w:val="003A6696"/>
    <w:rsid w:val="003A787B"/>
    <w:rsid w:val="003B1B8D"/>
    <w:rsid w:val="003B2DBA"/>
    <w:rsid w:val="003B3157"/>
    <w:rsid w:val="003B4334"/>
    <w:rsid w:val="003B43AD"/>
    <w:rsid w:val="003B515E"/>
    <w:rsid w:val="003B529D"/>
    <w:rsid w:val="003B5AD2"/>
    <w:rsid w:val="003B5EF0"/>
    <w:rsid w:val="003B7727"/>
    <w:rsid w:val="003C0167"/>
    <w:rsid w:val="003C1167"/>
    <w:rsid w:val="003C1CD0"/>
    <w:rsid w:val="003C2871"/>
    <w:rsid w:val="003C2A6D"/>
    <w:rsid w:val="003C351A"/>
    <w:rsid w:val="003C3C93"/>
    <w:rsid w:val="003C45FD"/>
    <w:rsid w:val="003C4D5A"/>
    <w:rsid w:val="003C56E8"/>
    <w:rsid w:val="003C5C27"/>
    <w:rsid w:val="003C70E2"/>
    <w:rsid w:val="003D2469"/>
    <w:rsid w:val="003D3B66"/>
    <w:rsid w:val="003E1622"/>
    <w:rsid w:val="003E18FC"/>
    <w:rsid w:val="003E1E7B"/>
    <w:rsid w:val="003E2237"/>
    <w:rsid w:val="003E264C"/>
    <w:rsid w:val="003E2E2E"/>
    <w:rsid w:val="003E3E53"/>
    <w:rsid w:val="003E4E2B"/>
    <w:rsid w:val="003F0211"/>
    <w:rsid w:val="003F121A"/>
    <w:rsid w:val="003F4303"/>
    <w:rsid w:val="003F4C69"/>
    <w:rsid w:val="003F518D"/>
    <w:rsid w:val="003F55F6"/>
    <w:rsid w:val="003F5F28"/>
    <w:rsid w:val="003F7404"/>
    <w:rsid w:val="00401CB7"/>
    <w:rsid w:val="00401E65"/>
    <w:rsid w:val="0040243C"/>
    <w:rsid w:val="00402F1F"/>
    <w:rsid w:val="00403885"/>
    <w:rsid w:val="00407C08"/>
    <w:rsid w:val="00411EE8"/>
    <w:rsid w:val="004132F7"/>
    <w:rsid w:val="00413748"/>
    <w:rsid w:val="004152A0"/>
    <w:rsid w:val="004177AB"/>
    <w:rsid w:val="00417D89"/>
    <w:rsid w:val="00417DE5"/>
    <w:rsid w:val="00420F30"/>
    <w:rsid w:val="0042107D"/>
    <w:rsid w:val="004222A6"/>
    <w:rsid w:val="00422896"/>
    <w:rsid w:val="00423863"/>
    <w:rsid w:val="0042394B"/>
    <w:rsid w:val="00424246"/>
    <w:rsid w:val="0042442B"/>
    <w:rsid w:val="00425878"/>
    <w:rsid w:val="00425AED"/>
    <w:rsid w:val="00426093"/>
    <w:rsid w:val="004263B3"/>
    <w:rsid w:val="004266DB"/>
    <w:rsid w:val="00426987"/>
    <w:rsid w:val="0043085D"/>
    <w:rsid w:val="00430CEA"/>
    <w:rsid w:val="0043137F"/>
    <w:rsid w:val="00432B25"/>
    <w:rsid w:val="00433E58"/>
    <w:rsid w:val="004342CE"/>
    <w:rsid w:val="004365F0"/>
    <w:rsid w:val="004372D1"/>
    <w:rsid w:val="00440B79"/>
    <w:rsid w:val="00441C99"/>
    <w:rsid w:val="00442013"/>
    <w:rsid w:val="0044504A"/>
    <w:rsid w:val="00445DD0"/>
    <w:rsid w:val="0044618B"/>
    <w:rsid w:val="00446944"/>
    <w:rsid w:val="004472F6"/>
    <w:rsid w:val="004474F1"/>
    <w:rsid w:val="0044786A"/>
    <w:rsid w:val="00451285"/>
    <w:rsid w:val="00451C2C"/>
    <w:rsid w:val="00455551"/>
    <w:rsid w:val="0046004A"/>
    <w:rsid w:val="00460782"/>
    <w:rsid w:val="00461077"/>
    <w:rsid w:val="004613FD"/>
    <w:rsid w:val="00461967"/>
    <w:rsid w:val="00461A67"/>
    <w:rsid w:val="00461A96"/>
    <w:rsid w:val="004629B0"/>
    <w:rsid w:val="004639B1"/>
    <w:rsid w:val="00463AFA"/>
    <w:rsid w:val="004710C4"/>
    <w:rsid w:val="0047189B"/>
    <w:rsid w:val="0047253D"/>
    <w:rsid w:val="00472CBE"/>
    <w:rsid w:val="00473367"/>
    <w:rsid w:val="0047381F"/>
    <w:rsid w:val="00473C95"/>
    <w:rsid w:val="00476ACD"/>
    <w:rsid w:val="0047734E"/>
    <w:rsid w:val="00477ADD"/>
    <w:rsid w:val="00480325"/>
    <w:rsid w:val="004803B5"/>
    <w:rsid w:val="00480999"/>
    <w:rsid w:val="00480DC5"/>
    <w:rsid w:val="00482632"/>
    <w:rsid w:val="00482709"/>
    <w:rsid w:val="00482710"/>
    <w:rsid w:val="00482774"/>
    <w:rsid w:val="004839E9"/>
    <w:rsid w:val="00484112"/>
    <w:rsid w:val="00484166"/>
    <w:rsid w:val="00484277"/>
    <w:rsid w:val="0048538E"/>
    <w:rsid w:val="00486582"/>
    <w:rsid w:val="00486E6C"/>
    <w:rsid w:val="00486FDA"/>
    <w:rsid w:val="00487BD0"/>
    <w:rsid w:val="00487C85"/>
    <w:rsid w:val="00490194"/>
    <w:rsid w:val="00491209"/>
    <w:rsid w:val="004917D5"/>
    <w:rsid w:val="00491927"/>
    <w:rsid w:val="0049277B"/>
    <w:rsid w:val="00492C84"/>
    <w:rsid w:val="0049420D"/>
    <w:rsid w:val="00495FD5"/>
    <w:rsid w:val="004A00A9"/>
    <w:rsid w:val="004A147C"/>
    <w:rsid w:val="004A1507"/>
    <w:rsid w:val="004A16D9"/>
    <w:rsid w:val="004A1865"/>
    <w:rsid w:val="004A21EF"/>
    <w:rsid w:val="004A2DA5"/>
    <w:rsid w:val="004A3762"/>
    <w:rsid w:val="004B19C1"/>
    <w:rsid w:val="004B246E"/>
    <w:rsid w:val="004B4AF9"/>
    <w:rsid w:val="004B4CC3"/>
    <w:rsid w:val="004B5FE5"/>
    <w:rsid w:val="004B6D38"/>
    <w:rsid w:val="004B6DC9"/>
    <w:rsid w:val="004B6FBF"/>
    <w:rsid w:val="004C35DD"/>
    <w:rsid w:val="004C44BC"/>
    <w:rsid w:val="004C64CB"/>
    <w:rsid w:val="004C6900"/>
    <w:rsid w:val="004C6B7A"/>
    <w:rsid w:val="004C70CE"/>
    <w:rsid w:val="004C774A"/>
    <w:rsid w:val="004D10CE"/>
    <w:rsid w:val="004D1DAE"/>
    <w:rsid w:val="004D20D8"/>
    <w:rsid w:val="004D3D3B"/>
    <w:rsid w:val="004D4416"/>
    <w:rsid w:val="004D5A75"/>
    <w:rsid w:val="004E1641"/>
    <w:rsid w:val="004E1780"/>
    <w:rsid w:val="004E2B96"/>
    <w:rsid w:val="004E4069"/>
    <w:rsid w:val="004E42B6"/>
    <w:rsid w:val="004E59D5"/>
    <w:rsid w:val="004F02F0"/>
    <w:rsid w:val="004F05EC"/>
    <w:rsid w:val="004F0B8C"/>
    <w:rsid w:val="004F1130"/>
    <w:rsid w:val="004F2D73"/>
    <w:rsid w:val="004F2FEF"/>
    <w:rsid w:val="004F3277"/>
    <w:rsid w:val="004F543A"/>
    <w:rsid w:val="004F5614"/>
    <w:rsid w:val="004F5FE8"/>
    <w:rsid w:val="004F6692"/>
    <w:rsid w:val="005000AE"/>
    <w:rsid w:val="00500F24"/>
    <w:rsid w:val="0050144C"/>
    <w:rsid w:val="00502618"/>
    <w:rsid w:val="00503D2C"/>
    <w:rsid w:val="00504875"/>
    <w:rsid w:val="005056C0"/>
    <w:rsid w:val="005069E2"/>
    <w:rsid w:val="00506DCB"/>
    <w:rsid w:val="005109EA"/>
    <w:rsid w:val="00512587"/>
    <w:rsid w:val="005130CC"/>
    <w:rsid w:val="00513312"/>
    <w:rsid w:val="005140BE"/>
    <w:rsid w:val="0051457B"/>
    <w:rsid w:val="0051588C"/>
    <w:rsid w:val="00516F0A"/>
    <w:rsid w:val="00517791"/>
    <w:rsid w:val="0052372F"/>
    <w:rsid w:val="005241ED"/>
    <w:rsid w:val="00524999"/>
    <w:rsid w:val="00524D32"/>
    <w:rsid w:val="00525ABC"/>
    <w:rsid w:val="005274DB"/>
    <w:rsid w:val="0052786A"/>
    <w:rsid w:val="00531126"/>
    <w:rsid w:val="00531461"/>
    <w:rsid w:val="00532144"/>
    <w:rsid w:val="00532583"/>
    <w:rsid w:val="005329C7"/>
    <w:rsid w:val="00533C4E"/>
    <w:rsid w:val="0053652A"/>
    <w:rsid w:val="005370DA"/>
    <w:rsid w:val="00540DEA"/>
    <w:rsid w:val="00541234"/>
    <w:rsid w:val="005413F9"/>
    <w:rsid w:val="00541D72"/>
    <w:rsid w:val="00542948"/>
    <w:rsid w:val="00544C26"/>
    <w:rsid w:val="0054560C"/>
    <w:rsid w:val="0054695F"/>
    <w:rsid w:val="00550E5A"/>
    <w:rsid w:val="00551CC7"/>
    <w:rsid w:val="00551FA0"/>
    <w:rsid w:val="0055360D"/>
    <w:rsid w:val="00555955"/>
    <w:rsid w:val="00557558"/>
    <w:rsid w:val="0056019B"/>
    <w:rsid w:val="00560D0C"/>
    <w:rsid w:val="00561076"/>
    <w:rsid w:val="0056140C"/>
    <w:rsid w:val="00562990"/>
    <w:rsid w:val="00562D2C"/>
    <w:rsid w:val="00563224"/>
    <w:rsid w:val="0056324E"/>
    <w:rsid w:val="005644FD"/>
    <w:rsid w:val="00564883"/>
    <w:rsid w:val="00564F7B"/>
    <w:rsid w:val="00564F9A"/>
    <w:rsid w:val="00570226"/>
    <w:rsid w:val="00571918"/>
    <w:rsid w:val="0057213D"/>
    <w:rsid w:val="00573D5C"/>
    <w:rsid w:val="00574032"/>
    <w:rsid w:val="0057530D"/>
    <w:rsid w:val="00576232"/>
    <w:rsid w:val="0057660D"/>
    <w:rsid w:val="00580612"/>
    <w:rsid w:val="00580814"/>
    <w:rsid w:val="005815BE"/>
    <w:rsid w:val="00581985"/>
    <w:rsid w:val="00581A36"/>
    <w:rsid w:val="00581CC3"/>
    <w:rsid w:val="00583D3B"/>
    <w:rsid w:val="00584298"/>
    <w:rsid w:val="005862F7"/>
    <w:rsid w:val="00587127"/>
    <w:rsid w:val="005879B9"/>
    <w:rsid w:val="00587EC6"/>
    <w:rsid w:val="00590EE1"/>
    <w:rsid w:val="00594C98"/>
    <w:rsid w:val="005957FD"/>
    <w:rsid w:val="00595D5A"/>
    <w:rsid w:val="00597277"/>
    <w:rsid w:val="005A1802"/>
    <w:rsid w:val="005A1FD8"/>
    <w:rsid w:val="005A4622"/>
    <w:rsid w:val="005A4DAF"/>
    <w:rsid w:val="005B0562"/>
    <w:rsid w:val="005B0D40"/>
    <w:rsid w:val="005B0D5A"/>
    <w:rsid w:val="005B1A8B"/>
    <w:rsid w:val="005B20EB"/>
    <w:rsid w:val="005B2186"/>
    <w:rsid w:val="005B2208"/>
    <w:rsid w:val="005B25E7"/>
    <w:rsid w:val="005B284F"/>
    <w:rsid w:val="005B3EE0"/>
    <w:rsid w:val="005B3F4A"/>
    <w:rsid w:val="005B41AD"/>
    <w:rsid w:val="005B520E"/>
    <w:rsid w:val="005B7AAD"/>
    <w:rsid w:val="005C2806"/>
    <w:rsid w:val="005C2941"/>
    <w:rsid w:val="005C3EAF"/>
    <w:rsid w:val="005C6801"/>
    <w:rsid w:val="005C7620"/>
    <w:rsid w:val="005C7770"/>
    <w:rsid w:val="005D0135"/>
    <w:rsid w:val="005D197A"/>
    <w:rsid w:val="005D27E4"/>
    <w:rsid w:val="005D34D5"/>
    <w:rsid w:val="005D3608"/>
    <w:rsid w:val="005D452A"/>
    <w:rsid w:val="005D59C2"/>
    <w:rsid w:val="005D6C2B"/>
    <w:rsid w:val="005D7200"/>
    <w:rsid w:val="005D76DA"/>
    <w:rsid w:val="005E22B7"/>
    <w:rsid w:val="005E232E"/>
    <w:rsid w:val="005E30F4"/>
    <w:rsid w:val="005E42AF"/>
    <w:rsid w:val="005E6055"/>
    <w:rsid w:val="005E79EF"/>
    <w:rsid w:val="005E7D55"/>
    <w:rsid w:val="005F0CA7"/>
    <w:rsid w:val="005F2B86"/>
    <w:rsid w:val="005F34E4"/>
    <w:rsid w:val="005F4E1F"/>
    <w:rsid w:val="005F50AA"/>
    <w:rsid w:val="005F5C57"/>
    <w:rsid w:val="005F6E74"/>
    <w:rsid w:val="005F7393"/>
    <w:rsid w:val="00601800"/>
    <w:rsid w:val="00601CB7"/>
    <w:rsid w:val="006026CF"/>
    <w:rsid w:val="006037E7"/>
    <w:rsid w:val="00604122"/>
    <w:rsid w:val="00604EE1"/>
    <w:rsid w:val="0060514E"/>
    <w:rsid w:val="00605499"/>
    <w:rsid w:val="00606153"/>
    <w:rsid w:val="00607BDE"/>
    <w:rsid w:val="00610478"/>
    <w:rsid w:val="00611B7B"/>
    <w:rsid w:val="006125F6"/>
    <w:rsid w:val="00612E09"/>
    <w:rsid w:val="00613BD4"/>
    <w:rsid w:val="00613EC9"/>
    <w:rsid w:val="00615C60"/>
    <w:rsid w:val="00616B9A"/>
    <w:rsid w:val="00620798"/>
    <w:rsid w:val="00620A02"/>
    <w:rsid w:val="00620FB8"/>
    <w:rsid w:val="0062161E"/>
    <w:rsid w:val="00622100"/>
    <w:rsid w:val="00622BBE"/>
    <w:rsid w:val="006233F1"/>
    <w:rsid w:val="006235A4"/>
    <w:rsid w:val="0063168A"/>
    <w:rsid w:val="006327CA"/>
    <w:rsid w:val="006334DB"/>
    <w:rsid w:val="0063359A"/>
    <w:rsid w:val="0063389F"/>
    <w:rsid w:val="0063484A"/>
    <w:rsid w:val="006366D3"/>
    <w:rsid w:val="00636D68"/>
    <w:rsid w:val="0063764D"/>
    <w:rsid w:val="00637F29"/>
    <w:rsid w:val="00640A52"/>
    <w:rsid w:val="006414AE"/>
    <w:rsid w:val="00641D5B"/>
    <w:rsid w:val="00642C5D"/>
    <w:rsid w:val="00643113"/>
    <w:rsid w:val="00643235"/>
    <w:rsid w:val="006444FB"/>
    <w:rsid w:val="00644F9E"/>
    <w:rsid w:val="00645A43"/>
    <w:rsid w:val="00646E6B"/>
    <w:rsid w:val="006470D3"/>
    <w:rsid w:val="00647B5F"/>
    <w:rsid w:val="00647FFD"/>
    <w:rsid w:val="00650BFE"/>
    <w:rsid w:val="00652D1E"/>
    <w:rsid w:val="0065333B"/>
    <w:rsid w:val="00656E91"/>
    <w:rsid w:val="006625D5"/>
    <w:rsid w:val="00663AA2"/>
    <w:rsid w:val="006666E7"/>
    <w:rsid w:val="006669B9"/>
    <w:rsid w:val="00666D45"/>
    <w:rsid w:val="0067155D"/>
    <w:rsid w:val="00671D55"/>
    <w:rsid w:val="00672174"/>
    <w:rsid w:val="00672511"/>
    <w:rsid w:val="006727DB"/>
    <w:rsid w:val="00672AC0"/>
    <w:rsid w:val="0067457D"/>
    <w:rsid w:val="006751C3"/>
    <w:rsid w:val="00677215"/>
    <w:rsid w:val="00677D3C"/>
    <w:rsid w:val="006806A0"/>
    <w:rsid w:val="00680FBF"/>
    <w:rsid w:val="00680FD5"/>
    <w:rsid w:val="00681E02"/>
    <w:rsid w:val="00681F60"/>
    <w:rsid w:val="006821F1"/>
    <w:rsid w:val="0068231F"/>
    <w:rsid w:val="00683881"/>
    <w:rsid w:val="00684443"/>
    <w:rsid w:val="0068608D"/>
    <w:rsid w:val="00686C3E"/>
    <w:rsid w:val="00691E5A"/>
    <w:rsid w:val="00692790"/>
    <w:rsid w:val="006932A6"/>
    <w:rsid w:val="006952FE"/>
    <w:rsid w:val="0069530B"/>
    <w:rsid w:val="006965B4"/>
    <w:rsid w:val="00697F18"/>
    <w:rsid w:val="006A0DFB"/>
    <w:rsid w:val="006A2053"/>
    <w:rsid w:val="006A20A7"/>
    <w:rsid w:val="006A2213"/>
    <w:rsid w:val="006A3B05"/>
    <w:rsid w:val="006A530E"/>
    <w:rsid w:val="006A7659"/>
    <w:rsid w:val="006A7E1D"/>
    <w:rsid w:val="006B014A"/>
    <w:rsid w:val="006B2E16"/>
    <w:rsid w:val="006B301E"/>
    <w:rsid w:val="006B39DB"/>
    <w:rsid w:val="006C010E"/>
    <w:rsid w:val="006C24A6"/>
    <w:rsid w:val="006C29A8"/>
    <w:rsid w:val="006C3D35"/>
    <w:rsid w:val="006C6406"/>
    <w:rsid w:val="006D1BFF"/>
    <w:rsid w:val="006D2BBC"/>
    <w:rsid w:val="006D2E1F"/>
    <w:rsid w:val="006D2F88"/>
    <w:rsid w:val="006D2FBF"/>
    <w:rsid w:val="006D3A19"/>
    <w:rsid w:val="006D577B"/>
    <w:rsid w:val="006D5D29"/>
    <w:rsid w:val="006D5E0C"/>
    <w:rsid w:val="006D6BB0"/>
    <w:rsid w:val="006D6D4D"/>
    <w:rsid w:val="006E1B1C"/>
    <w:rsid w:val="006E1E98"/>
    <w:rsid w:val="006E2AB6"/>
    <w:rsid w:val="006E311E"/>
    <w:rsid w:val="006E48D6"/>
    <w:rsid w:val="006E62B8"/>
    <w:rsid w:val="006E74AB"/>
    <w:rsid w:val="006F0737"/>
    <w:rsid w:val="006F0BB9"/>
    <w:rsid w:val="006F109E"/>
    <w:rsid w:val="006F2BF0"/>
    <w:rsid w:val="006F4417"/>
    <w:rsid w:val="006F4A43"/>
    <w:rsid w:val="006F60F7"/>
    <w:rsid w:val="006F7BDC"/>
    <w:rsid w:val="007000A4"/>
    <w:rsid w:val="00702618"/>
    <w:rsid w:val="00703E9E"/>
    <w:rsid w:val="00704E67"/>
    <w:rsid w:val="00705115"/>
    <w:rsid w:val="0070651C"/>
    <w:rsid w:val="00711C3B"/>
    <w:rsid w:val="00711E18"/>
    <w:rsid w:val="00713FFA"/>
    <w:rsid w:val="0071427C"/>
    <w:rsid w:val="007146F7"/>
    <w:rsid w:val="0071631E"/>
    <w:rsid w:val="00716632"/>
    <w:rsid w:val="00716702"/>
    <w:rsid w:val="00720115"/>
    <w:rsid w:val="00721665"/>
    <w:rsid w:val="00721700"/>
    <w:rsid w:val="00722A7B"/>
    <w:rsid w:val="00725A32"/>
    <w:rsid w:val="00726C14"/>
    <w:rsid w:val="007277F0"/>
    <w:rsid w:val="00727A7D"/>
    <w:rsid w:val="00727D39"/>
    <w:rsid w:val="00730977"/>
    <w:rsid w:val="00733908"/>
    <w:rsid w:val="00734542"/>
    <w:rsid w:val="00734AA6"/>
    <w:rsid w:val="00735288"/>
    <w:rsid w:val="00737EBA"/>
    <w:rsid w:val="00740C8C"/>
    <w:rsid w:val="0074531B"/>
    <w:rsid w:val="0074572F"/>
    <w:rsid w:val="00747662"/>
    <w:rsid w:val="007501AF"/>
    <w:rsid w:val="00751574"/>
    <w:rsid w:val="007515CC"/>
    <w:rsid w:val="0075297E"/>
    <w:rsid w:val="00752B83"/>
    <w:rsid w:val="00753568"/>
    <w:rsid w:val="00753D56"/>
    <w:rsid w:val="00755371"/>
    <w:rsid w:val="00760F7A"/>
    <w:rsid w:val="00761783"/>
    <w:rsid w:val="00761DEC"/>
    <w:rsid w:val="00762CE9"/>
    <w:rsid w:val="007638CF"/>
    <w:rsid w:val="0076480E"/>
    <w:rsid w:val="00766A0D"/>
    <w:rsid w:val="0076701E"/>
    <w:rsid w:val="00767FBB"/>
    <w:rsid w:val="007721EB"/>
    <w:rsid w:val="007727D8"/>
    <w:rsid w:val="00774164"/>
    <w:rsid w:val="00775A41"/>
    <w:rsid w:val="00777D52"/>
    <w:rsid w:val="00780CDB"/>
    <w:rsid w:val="00783222"/>
    <w:rsid w:val="0078474D"/>
    <w:rsid w:val="00785A40"/>
    <w:rsid w:val="007902B4"/>
    <w:rsid w:val="00790661"/>
    <w:rsid w:val="00791230"/>
    <w:rsid w:val="00791649"/>
    <w:rsid w:val="00794260"/>
    <w:rsid w:val="00794C51"/>
    <w:rsid w:val="007952DF"/>
    <w:rsid w:val="00795557"/>
    <w:rsid w:val="00795A57"/>
    <w:rsid w:val="007A08E7"/>
    <w:rsid w:val="007A383E"/>
    <w:rsid w:val="007A7A18"/>
    <w:rsid w:val="007B0DCE"/>
    <w:rsid w:val="007B14B1"/>
    <w:rsid w:val="007B16DD"/>
    <w:rsid w:val="007B7ABF"/>
    <w:rsid w:val="007C1569"/>
    <w:rsid w:val="007D0B2F"/>
    <w:rsid w:val="007D1506"/>
    <w:rsid w:val="007D3F39"/>
    <w:rsid w:val="007D40E2"/>
    <w:rsid w:val="007D490C"/>
    <w:rsid w:val="007D512D"/>
    <w:rsid w:val="007D5132"/>
    <w:rsid w:val="007D5221"/>
    <w:rsid w:val="007D6351"/>
    <w:rsid w:val="007D68FB"/>
    <w:rsid w:val="007E1466"/>
    <w:rsid w:val="007E1C61"/>
    <w:rsid w:val="007E2571"/>
    <w:rsid w:val="007E4A08"/>
    <w:rsid w:val="007E4FAB"/>
    <w:rsid w:val="007E5A1C"/>
    <w:rsid w:val="007E5CFD"/>
    <w:rsid w:val="007E7CC0"/>
    <w:rsid w:val="007E7E9F"/>
    <w:rsid w:val="007F2020"/>
    <w:rsid w:val="007F4C3B"/>
    <w:rsid w:val="007F53E2"/>
    <w:rsid w:val="007F561B"/>
    <w:rsid w:val="007F5749"/>
    <w:rsid w:val="007F6F33"/>
    <w:rsid w:val="00800BAC"/>
    <w:rsid w:val="00801272"/>
    <w:rsid w:val="0080467D"/>
    <w:rsid w:val="00804EF2"/>
    <w:rsid w:val="00805C95"/>
    <w:rsid w:val="00806153"/>
    <w:rsid w:val="008063C6"/>
    <w:rsid w:val="008063CB"/>
    <w:rsid w:val="00810100"/>
    <w:rsid w:val="008109B0"/>
    <w:rsid w:val="00810C91"/>
    <w:rsid w:val="008125CA"/>
    <w:rsid w:val="00815852"/>
    <w:rsid w:val="008158EF"/>
    <w:rsid w:val="00816EE6"/>
    <w:rsid w:val="00817A74"/>
    <w:rsid w:val="008205C9"/>
    <w:rsid w:val="00820D79"/>
    <w:rsid w:val="00821091"/>
    <w:rsid w:val="008210D4"/>
    <w:rsid w:val="00821AEF"/>
    <w:rsid w:val="00821FA6"/>
    <w:rsid w:val="00822573"/>
    <w:rsid w:val="00822AC8"/>
    <w:rsid w:val="00822B35"/>
    <w:rsid w:val="00823272"/>
    <w:rsid w:val="008232BD"/>
    <w:rsid w:val="00826134"/>
    <w:rsid w:val="008263E2"/>
    <w:rsid w:val="0082688C"/>
    <w:rsid w:val="00831B06"/>
    <w:rsid w:val="00832016"/>
    <w:rsid w:val="00832E5D"/>
    <w:rsid w:val="00833452"/>
    <w:rsid w:val="0083356B"/>
    <w:rsid w:val="008338D8"/>
    <w:rsid w:val="008355D4"/>
    <w:rsid w:val="008370C1"/>
    <w:rsid w:val="008407E2"/>
    <w:rsid w:val="00840E99"/>
    <w:rsid w:val="00843EED"/>
    <w:rsid w:val="0084407C"/>
    <w:rsid w:val="00845A4C"/>
    <w:rsid w:val="0084647B"/>
    <w:rsid w:val="0084796E"/>
    <w:rsid w:val="00850B80"/>
    <w:rsid w:val="008516E1"/>
    <w:rsid w:val="00851E51"/>
    <w:rsid w:val="008520C9"/>
    <w:rsid w:val="00852B78"/>
    <w:rsid w:val="008539C7"/>
    <w:rsid w:val="00853F4B"/>
    <w:rsid w:val="008547DC"/>
    <w:rsid w:val="00854976"/>
    <w:rsid w:val="00854A2D"/>
    <w:rsid w:val="00855555"/>
    <w:rsid w:val="008568AC"/>
    <w:rsid w:val="00860742"/>
    <w:rsid w:val="00861F00"/>
    <w:rsid w:val="008621BC"/>
    <w:rsid w:val="0086232B"/>
    <w:rsid w:val="00863D85"/>
    <w:rsid w:val="0086712E"/>
    <w:rsid w:val="00867241"/>
    <w:rsid w:val="00870AAD"/>
    <w:rsid w:val="008715E0"/>
    <w:rsid w:val="008742ED"/>
    <w:rsid w:val="00875931"/>
    <w:rsid w:val="00876248"/>
    <w:rsid w:val="0087713C"/>
    <w:rsid w:val="0087740E"/>
    <w:rsid w:val="00877599"/>
    <w:rsid w:val="00880A8D"/>
    <w:rsid w:val="00885FC4"/>
    <w:rsid w:val="00887E94"/>
    <w:rsid w:val="00892DC1"/>
    <w:rsid w:val="00894558"/>
    <w:rsid w:val="00897341"/>
    <w:rsid w:val="008A067E"/>
    <w:rsid w:val="008A0C4A"/>
    <w:rsid w:val="008A1810"/>
    <w:rsid w:val="008A212F"/>
    <w:rsid w:val="008A21EC"/>
    <w:rsid w:val="008A291B"/>
    <w:rsid w:val="008A318E"/>
    <w:rsid w:val="008A3D78"/>
    <w:rsid w:val="008A5B65"/>
    <w:rsid w:val="008A70C8"/>
    <w:rsid w:val="008A793D"/>
    <w:rsid w:val="008A7B56"/>
    <w:rsid w:val="008B0885"/>
    <w:rsid w:val="008B383A"/>
    <w:rsid w:val="008B4097"/>
    <w:rsid w:val="008B45DD"/>
    <w:rsid w:val="008B55D4"/>
    <w:rsid w:val="008C0EFC"/>
    <w:rsid w:val="008C2A57"/>
    <w:rsid w:val="008C399B"/>
    <w:rsid w:val="008C4171"/>
    <w:rsid w:val="008C675A"/>
    <w:rsid w:val="008C70A7"/>
    <w:rsid w:val="008C7766"/>
    <w:rsid w:val="008D0021"/>
    <w:rsid w:val="008D199A"/>
    <w:rsid w:val="008D29E2"/>
    <w:rsid w:val="008D4366"/>
    <w:rsid w:val="008D7C24"/>
    <w:rsid w:val="008E206E"/>
    <w:rsid w:val="008E22E9"/>
    <w:rsid w:val="008E296A"/>
    <w:rsid w:val="008E35A7"/>
    <w:rsid w:val="008E3E12"/>
    <w:rsid w:val="008E4BC0"/>
    <w:rsid w:val="008E538F"/>
    <w:rsid w:val="008E5B0E"/>
    <w:rsid w:val="008E5E3A"/>
    <w:rsid w:val="008E72FC"/>
    <w:rsid w:val="008F00AF"/>
    <w:rsid w:val="008F01A8"/>
    <w:rsid w:val="008F1CB9"/>
    <w:rsid w:val="008F2197"/>
    <w:rsid w:val="008F3B99"/>
    <w:rsid w:val="008F445F"/>
    <w:rsid w:val="008F5128"/>
    <w:rsid w:val="008F5184"/>
    <w:rsid w:val="008F5D65"/>
    <w:rsid w:val="008F628A"/>
    <w:rsid w:val="008F67D0"/>
    <w:rsid w:val="008F6BC2"/>
    <w:rsid w:val="008F6F05"/>
    <w:rsid w:val="00902139"/>
    <w:rsid w:val="00902860"/>
    <w:rsid w:val="00902D61"/>
    <w:rsid w:val="00910D58"/>
    <w:rsid w:val="00912C3E"/>
    <w:rsid w:val="0091343D"/>
    <w:rsid w:val="00914FB1"/>
    <w:rsid w:val="00917A79"/>
    <w:rsid w:val="0092024E"/>
    <w:rsid w:val="00920842"/>
    <w:rsid w:val="00921D77"/>
    <w:rsid w:val="0092428A"/>
    <w:rsid w:val="009249B4"/>
    <w:rsid w:val="0092501C"/>
    <w:rsid w:val="00926627"/>
    <w:rsid w:val="00927FE6"/>
    <w:rsid w:val="009316D2"/>
    <w:rsid w:val="009319C3"/>
    <w:rsid w:val="00931CE7"/>
    <w:rsid w:val="009334EE"/>
    <w:rsid w:val="00935971"/>
    <w:rsid w:val="009364DE"/>
    <w:rsid w:val="00937108"/>
    <w:rsid w:val="00937B24"/>
    <w:rsid w:val="00941790"/>
    <w:rsid w:val="009438EB"/>
    <w:rsid w:val="00943A59"/>
    <w:rsid w:val="00943F44"/>
    <w:rsid w:val="00945114"/>
    <w:rsid w:val="00945370"/>
    <w:rsid w:val="00945D69"/>
    <w:rsid w:val="00946ABA"/>
    <w:rsid w:val="00946C15"/>
    <w:rsid w:val="00947663"/>
    <w:rsid w:val="00947E99"/>
    <w:rsid w:val="00950FB3"/>
    <w:rsid w:val="0095174A"/>
    <w:rsid w:val="009525C3"/>
    <w:rsid w:val="00953BBB"/>
    <w:rsid w:val="00954BFE"/>
    <w:rsid w:val="00954E69"/>
    <w:rsid w:val="00955155"/>
    <w:rsid w:val="00956694"/>
    <w:rsid w:val="00957B99"/>
    <w:rsid w:val="009625D4"/>
    <w:rsid w:val="0096362C"/>
    <w:rsid w:val="009668C2"/>
    <w:rsid w:val="00971E52"/>
    <w:rsid w:val="00971FF7"/>
    <w:rsid w:val="00972AF9"/>
    <w:rsid w:val="00973F66"/>
    <w:rsid w:val="00975A18"/>
    <w:rsid w:val="00976359"/>
    <w:rsid w:val="009800AA"/>
    <w:rsid w:val="009803F5"/>
    <w:rsid w:val="0098223A"/>
    <w:rsid w:val="00982397"/>
    <w:rsid w:val="009824A4"/>
    <w:rsid w:val="009828F8"/>
    <w:rsid w:val="009835BB"/>
    <w:rsid w:val="00983904"/>
    <w:rsid w:val="00983B24"/>
    <w:rsid w:val="0098642B"/>
    <w:rsid w:val="00987188"/>
    <w:rsid w:val="00987369"/>
    <w:rsid w:val="00987EEB"/>
    <w:rsid w:val="00990672"/>
    <w:rsid w:val="00992680"/>
    <w:rsid w:val="009928B8"/>
    <w:rsid w:val="00992D59"/>
    <w:rsid w:val="00994812"/>
    <w:rsid w:val="009948ED"/>
    <w:rsid w:val="00995AF3"/>
    <w:rsid w:val="00995B1C"/>
    <w:rsid w:val="009A0DED"/>
    <w:rsid w:val="009A0FE1"/>
    <w:rsid w:val="009A1207"/>
    <w:rsid w:val="009A12CC"/>
    <w:rsid w:val="009A1E6A"/>
    <w:rsid w:val="009A2E1F"/>
    <w:rsid w:val="009A322D"/>
    <w:rsid w:val="009A4021"/>
    <w:rsid w:val="009A5A12"/>
    <w:rsid w:val="009A5E63"/>
    <w:rsid w:val="009A6718"/>
    <w:rsid w:val="009A6D5C"/>
    <w:rsid w:val="009B00F8"/>
    <w:rsid w:val="009B0EBA"/>
    <w:rsid w:val="009B2512"/>
    <w:rsid w:val="009B3EF7"/>
    <w:rsid w:val="009B4072"/>
    <w:rsid w:val="009B4657"/>
    <w:rsid w:val="009B5096"/>
    <w:rsid w:val="009B79E5"/>
    <w:rsid w:val="009B7E34"/>
    <w:rsid w:val="009B7FEF"/>
    <w:rsid w:val="009C1BA5"/>
    <w:rsid w:val="009C2B21"/>
    <w:rsid w:val="009C3CC4"/>
    <w:rsid w:val="009C57D2"/>
    <w:rsid w:val="009C6D07"/>
    <w:rsid w:val="009C7CC2"/>
    <w:rsid w:val="009D4EA6"/>
    <w:rsid w:val="009D4EB3"/>
    <w:rsid w:val="009D6298"/>
    <w:rsid w:val="009D7D5C"/>
    <w:rsid w:val="009D7F85"/>
    <w:rsid w:val="009E1A2F"/>
    <w:rsid w:val="009E50F7"/>
    <w:rsid w:val="009E6149"/>
    <w:rsid w:val="009E7800"/>
    <w:rsid w:val="009F3B3B"/>
    <w:rsid w:val="009F512E"/>
    <w:rsid w:val="009F7CB7"/>
    <w:rsid w:val="00A019F4"/>
    <w:rsid w:val="00A01BA0"/>
    <w:rsid w:val="00A02040"/>
    <w:rsid w:val="00A0357B"/>
    <w:rsid w:val="00A037B8"/>
    <w:rsid w:val="00A03C0A"/>
    <w:rsid w:val="00A03DE2"/>
    <w:rsid w:val="00A045F4"/>
    <w:rsid w:val="00A05F20"/>
    <w:rsid w:val="00A11095"/>
    <w:rsid w:val="00A122DF"/>
    <w:rsid w:val="00A12542"/>
    <w:rsid w:val="00A13BEA"/>
    <w:rsid w:val="00A14171"/>
    <w:rsid w:val="00A15232"/>
    <w:rsid w:val="00A15EDE"/>
    <w:rsid w:val="00A16B79"/>
    <w:rsid w:val="00A16E24"/>
    <w:rsid w:val="00A22C11"/>
    <w:rsid w:val="00A25378"/>
    <w:rsid w:val="00A269BE"/>
    <w:rsid w:val="00A26F02"/>
    <w:rsid w:val="00A27013"/>
    <w:rsid w:val="00A2716D"/>
    <w:rsid w:val="00A27EDD"/>
    <w:rsid w:val="00A31625"/>
    <w:rsid w:val="00A33A76"/>
    <w:rsid w:val="00A33BAB"/>
    <w:rsid w:val="00A34A44"/>
    <w:rsid w:val="00A35926"/>
    <w:rsid w:val="00A35BA2"/>
    <w:rsid w:val="00A35C68"/>
    <w:rsid w:val="00A37278"/>
    <w:rsid w:val="00A37D8B"/>
    <w:rsid w:val="00A40BCD"/>
    <w:rsid w:val="00A411A3"/>
    <w:rsid w:val="00A42DA7"/>
    <w:rsid w:val="00A438A7"/>
    <w:rsid w:val="00A447C7"/>
    <w:rsid w:val="00A467C8"/>
    <w:rsid w:val="00A51444"/>
    <w:rsid w:val="00A51E42"/>
    <w:rsid w:val="00A52F13"/>
    <w:rsid w:val="00A5322E"/>
    <w:rsid w:val="00A53677"/>
    <w:rsid w:val="00A548B5"/>
    <w:rsid w:val="00A56003"/>
    <w:rsid w:val="00A56D55"/>
    <w:rsid w:val="00A57F20"/>
    <w:rsid w:val="00A60262"/>
    <w:rsid w:val="00A60265"/>
    <w:rsid w:val="00A60532"/>
    <w:rsid w:val="00A6109B"/>
    <w:rsid w:val="00A63987"/>
    <w:rsid w:val="00A70CA8"/>
    <w:rsid w:val="00A71E75"/>
    <w:rsid w:val="00A73799"/>
    <w:rsid w:val="00A74DBB"/>
    <w:rsid w:val="00A765DF"/>
    <w:rsid w:val="00A77FB3"/>
    <w:rsid w:val="00A808DD"/>
    <w:rsid w:val="00A820A8"/>
    <w:rsid w:val="00A821B5"/>
    <w:rsid w:val="00A869AC"/>
    <w:rsid w:val="00A86C3B"/>
    <w:rsid w:val="00A90235"/>
    <w:rsid w:val="00A902F6"/>
    <w:rsid w:val="00A90CBF"/>
    <w:rsid w:val="00A90E4D"/>
    <w:rsid w:val="00A91B7E"/>
    <w:rsid w:val="00A954C6"/>
    <w:rsid w:val="00AA0091"/>
    <w:rsid w:val="00AA00AD"/>
    <w:rsid w:val="00AA04CD"/>
    <w:rsid w:val="00AA0888"/>
    <w:rsid w:val="00AA12D7"/>
    <w:rsid w:val="00AA1BDD"/>
    <w:rsid w:val="00AA45A7"/>
    <w:rsid w:val="00AA46B9"/>
    <w:rsid w:val="00AA4F80"/>
    <w:rsid w:val="00AA575E"/>
    <w:rsid w:val="00AA5ADD"/>
    <w:rsid w:val="00AA5D39"/>
    <w:rsid w:val="00AB0265"/>
    <w:rsid w:val="00AB03C2"/>
    <w:rsid w:val="00AB1105"/>
    <w:rsid w:val="00AB2564"/>
    <w:rsid w:val="00AB3BA3"/>
    <w:rsid w:val="00AB490F"/>
    <w:rsid w:val="00AB547D"/>
    <w:rsid w:val="00AC0042"/>
    <w:rsid w:val="00AC01B5"/>
    <w:rsid w:val="00AC0CA1"/>
    <w:rsid w:val="00AC13F4"/>
    <w:rsid w:val="00AC25D1"/>
    <w:rsid w:val="00AC3044"/>
    <w:rsid w:val="00AC3EAF"/>
    <w:rsid w:val="00AC613F"/>
    <w:rsid w:val="00AC6560"/>
    <w:rsid w:val="00AC7A12"/>
    <w:rsid w:val="00AD107E"/>
    <w:rsid w:val="00AD1611"/>
    <w:rsid w:val="00AD26BE"/>
    <w:rsid w:val="00AD3297"/>
    <w:rsid w:val="00AD3405"/>
    <w:rsid w:val="00AD394E"/>
    <w:rsid w:val="00AD3BBB"/>
    <w:rsid w:val="00AD5653"/>
    <w:rsid w:val="00AE24D0"/>
    <w:rsid w:val="00AE666E"/>
    <w:rsid w:val="00AE6D69"/>
    <w:rsid w:val="00AE705F"/>
    <w:rsid w:val="00AE71A1"/>
    <w:rsid w:val="00AF2825"/>
    <w:rsid w:val="00AF2E9A"/>
    <w:rsid w:val="00AF3FB7"/>
    <w:rsid w:val="00AF4183"/>
    <w:rsid w:val="00AF4DC6"/>
    <w:rsid w:val="00AF4DEC"/>
    <w:rsid w:val="00AF4FF8"/>
    <w:rsid w:val="00AF50B7"/>
    <w:rsid w:val="00AF6367"/>
    <w:rsid w:val="00B00498"/>
    <w:rsid w:val="00B00823"/>
    <w:rsid w:val="00B01606"/>
    <w:rsid w:val="00B0452E"/>
    <w:rsid w:val="00B0458E"/>
    <w:rsid w:val="00B05012"/>
    <w:rsid w:val="00B05BB3"/>
    <w:rsid w:val="00B10DDB"/>
    <w:rsid w:val="00B10F04"/>
    <w:rsid w:val="00B1130A"/>
    <w:rsid w:val="00B11DC0"/>
    <w:rsid w:val="00B12AF7"/>
    <w:rsid w:val="00B12BDA"/>
    <w:rsid w:val="00B13827"/>
    <w:rsid w:val="00B150B3"/>
    <w:rsid w:val="00B15380"/>
    <w:rsid w:val="00B175A0"/>
    <w:rsid w:val="00B214D3"/>
    <w:rsid w:val="00B23BD4"/>
    <w:rsid w:val="00B2406E"/>
    <w:rsid w:val="00B25B24"/>
    <w:rsid w:val="00B27108"/>
    <w:rsid w:val="00B3037F"/>
    <w:rsid w:val="00B30769"/>
    <w:rsid w:val="00B319DD"/>
    <w:rsid w:val="00B329B6"/>
    <w:rsid w:val="00B3349F"/>
    <w:rsid w:val="00B33DCE"/>
    <w:rsid w:val="00B34013"/>
    <w:rsid w:val="00B34F8F"/>
    <w:rsid w:val="00B353E9"/>
    <w:rsid w:val="00B37542"/>
    <w:rsid w:val="00B4071D"/>
    <w:rsid w:val="00B41D59"/>
    <w:rsid w:val="00B42AC5"/>
    <w:rsid w:val="00B43284"/>
    <w:rsid w:val="00B43C1B"/>
    <w:rsid w:val="00B444B6"/>
    <w:rsid w:val="00B44752"/>
    <w:rsid w:val="00B447B4"/>
    <w:rsid w:val="00B44A97"/>
    <w:rsid w:val="00B45596"/>
    <w:rsid w:val="00B45AEE"/>
    <w:rsid w:val="00B465BD"/>
    <w:rsid w:val="00B469E5"/>
    <w:rsid w:val="00B471A4"/>
    <w:rsid w:val="00B47BD3"/>
    <w:rsid w:val="00B500DB"/>
    <w:rsid w:val="00B5089C"/>
    <w:rsid w:val="00B51AA4"/>
    <w:rsid w:val="00B54EFD"/>
    <w:rsid w:val="00B555CE"/>
    <w:rsid w:val="00B55836"/>
    <w:rsid w:val="00B55870"/>
    <w:rsid w:val="00B5651F"/>
    <w:rsid w:val="00B56C7F"/>
    <w:rsid w:val="00B579E5"/>
    <w:rsid w:val="00B57CF3"/>
    <w:rsid w:val="00B60ECC"/>
    <w:rsid w:val="00B62EA8"/>
    <w:rsid w:val="00B63002"/>
    <w:rsid w:val="00B6479C"/>
    <w:rsid w:val="00B64F87"/>
    <w:rsid w:val="00B64FE3"/>
    <w:rsid w:val="00B653BB"/>
    <w:rsid w:val="00B65AD5"/>
    <w:rsid w:val="00B66533"/>
    <w:rsid w:val="00B66B50"/>
    <w:rsid w:val="00B6704D"/>
    <w:rsid w:val="00B71427"/>
    <w:rsid w:val="00B71AD4"/>
    <w:rsid w:val="00B72829"/>
    <w:rsid w:val="00B72948"/>
    <w:rsid w:val="00B73520"/>
    <w:rsid w:val="00B7368F"/>
    <w:rsid w:val="00B745FB"/>
    <w:rsid w:val="00B75C19"/>
    <w:rsid w:val="00B76488"/>
    <w:rsid w:val="00B764B0"/>
    <w:rsid w:val="00B77D12"/>
    <w:rsid w:val="00B8043E"/>
    <w:rsid w:val="00B80864"/>
    <w:rsid w:val="00B817CF"/>
    <w:rsid w:val="00B8269F"/>
    <w:rsid w:val="00B83201"/>
    <w:rsid w:val="00B8338B"/>
    <w:rsid w:val="00B83C43"/>
    <w:rsid w:val="00B83E72"/>
    <w:rsid w:val="00B851FB"/>
    <w:rsid w:val="00B908E7"/>
    <w:rsid w:val="00B93186"/>
    <w:rsid w:val="00B9472A"/>
    <w:rsid w:val="00B94780"/>
    <w:rsid w:val="00B974E5"/>
    <w:rsid w:val="00BA0A43"/>
    <w:rsid w:val="00BA1DC6"/>
    <w:rsid w:val="00BA2102"/>
    <w:rsid w:val="00BA4D63"/>
    <w:rsid w:val="00BB0257"/>
    <w:rsid w:val="00BB02DB"/>
    <w:rsid w:val="00BB19B7"/>
    <w:rsid w:val="00BB32B8"/>
    <w:rsid w:val="00BB4322"/>
    <w:rsid w:val="00BB5B80"/>
    <w:rsid w:val="00BB60B8"/>
    <w:rsid w:val="00BC039A"/>
    <w:rsid w:val="00BC085E"/>
    <w:rsid w:val="00BC5FDF"/>
    <w:rsid w:val="00BC634D"/>
    <w:rsid w:val="00BC7FE9"/>
    <w:rsid w:val="00BD20CF"/>
    <w:rsid w:val="00BD3E0D"/>
    <w:rsid w:val="00BD4529"/>
    <w:rsid w:val="00BD4CA2"/>
    <w:rsid w:val="00BD4E96"/>
    <w:rsid w:val="00BD589C"/>
    <w:rsid w:val="00BD7706"/>
    <w:rsid w:val="00BD77B5"/>
    <w:rsid w:val="00BE095B"/>
    <w:rsid w:val="00BE22B6"/>
    <w:rsid w:val="00BE4C09"/>
    <w:rsid w:val="00BE4D08"/>
    <w:rsid w:val="00BE4FC8"/>
    <w:rsid w:val="00BE5551"/>
    <w:rsid w:val="00BE5DB0"/>
    <w:rsid w:val="00BE7F6A"/>
    <w:rsid w:val="00BF063B"/>
    <w:rsid w:val="00BF08F0"/>
    <w:rsid w:val="00BF195B"/>
    <w:rsid w:val="00BF22AD"/>
    <w:rsid w:val="00BF2B03"/>
    <w:rsid w:val="00BF2D29"/>
    <w:rsid w:val="00BF32B7"/>
    <w:rsid w:val="00BF3DA2"/>
    <w:rsid w:val="00BF4F27"/>
    <w:rsid w:val="00BF6C8C"/>
    <w:rsid w:val="00BF6D0B"/>
    <w:rsid w:val="00BF7E18"/>
    <w:rsid w:val="00C00C3B"/>
    <w:rsid w:val="00C0268E"/>
    <w:rsid w:val="00C0358B"/>
    <w:rsid w:val="00C0449D"/>
    <w:rsid w:val="00C064A7"/>
    <w:rsid w:val="00C07E6C"/>
    <w:rsid w:val="00C102D6"/>
    <w:rsid w:val="00C103E2"/>
    <w:rsid w:val="00C110AA"/>
    <w:rsid w:val="00C11385"/>
    <w:rsid w:val="00C11843"/>
    <w:rsid w:val="00C11AF0"/>
    <w:rsid w:val="00C11EC4"/>
    <w:rsid w:val="00C1217A"/>
    <w:rsid w:val="00C12ED0"/>
    <w:rsid w:val="00C13613"/>
    <w:rsid w:val="00C16CA0"/>
    <w:rsid w:val="00C2149B"/>
    <w:rsid w:val="00C22419"/>
    <w:rsid w:val="00C245D1"/>
    <w:rsid w:val="00C262BA"/>
    <w:rsid w:val="00C2791D"/>
    <w:rsid w:val="00C27D64"/>
    <w:rsid w:val="00C30E16"/>
    <w:rsid w:val="00C35090"/>
    <w:rsid w:val="00C35E83"/>
    <w:rsid w:val="00C36115"/>
    <w:rsid w:val="00C410A8"/>
    <w:rsid w:val="00C41C1F"/>
    <w:rsid w:val="00C4245A"/>
    <w:rsid w:val="00C42A53"/>
    <w:rsid w:val="00C44C80"/>
    <w:rsid w:val="00C45335"/>
    <w:rsid w:val="00C52130"/>
    <w:rsid w:val="00C52361"/>
    <w:rsid w:val="00C524ED"/>
    <w:rsid w:val="00C52A0B"/>
    <w:rsid w:val="00C57489"/>
    <w:rsid w:val="00C604BD"/>
    <w:rsid w:val="00C61872"/>
    <w:rsid w:val="00C631D2"/>
    <w:rsid w:val="00C63E2A"/>
    <w:rsid w:val="00C6614D"/>
    <w:rsid w:val="00C66FE8"/>
    <w:rsid w:val="00C67F47"/>
    <w:rsid w:val="00C70B7F"/>
    <w:rsid w:val="00C71983"/>
    <w:rsid w:val="00C721B6"/>
    <w:rsid w:val="00C7234D"/>
    <w:rsid w:val="00C737A6"/>
    <w:rsid w:val="00C74171"/>
    <w:rsid w:val="00C74338"/>
    <w:rsid w:val="00C74C4D"/>
    <w:rsid w:val="00C77337"/>
    <w:rsid w:val="00C801A7"/>
    <w:rsid w:val="00C8036D"/>
    <w:rsid w:val="00C80A33"/>
    <w:rsid w:val="00C80DCA"/>
    <w:rsid w:val="00C81771"/>
    <w:rsid w:val="00C8411E"/>
    <w:rsid w:val="00C84E9B"/>
    <w:rsid w:val="00C86851"/>
    <w:rsid w:val="00C86BF0"/>
    <w:rsid w:val="00C926A4"/>
    <w:rsid w:val="00C92B56"/>
    <w:rsid w:val="00C930DF"/>
    <w:rsid w:val="00C9461A"/>
    <w:rsid w:val="00C94F87"/>
    <w:rsid w:val="00C969D1"/>
    <w:rsid w:val="00C97927"/>
    <w:rsid w:val="00C97A9F"/>
    <w:rsid w:val="00CA0D6F"/>
    <w:rsid w:val="00CA1D21"/>
    <w:rsid w:val="00CA3342"/>
    <w:rsid w:val="00CA33F8"/>
    <w:rsid w:val="00CA3A65"/>
    <w:rsid w:val="00CA735A"/>
    <w:rsid w:val="00CB04A4"/>
    <w:rsid w:val="00CB2002"/>
    <w:rsid w:val="00CB28E7"/>
    <w:rsid w:val="00CB2B77"/>
    <w:rsid w:val="00CB2DEE"/>
    <w:rsid w:val="00CB5475"/>
    <w:rsid w:val="00CB54F4"/>
    <w:rsid w:val="00CB649B"/>
    <w:rsid w:val="00CB6718"/>
    <w:rsid w:val="00CB6BBB"/>
    <w:rsid w:val="00CC0807"/>
    <w:rsid w:val="00CC0852"/>
    <w:rsid w:val="00CC09C8"/>
    <w:rsid w:val="00CC0DF1"/>
    <w:rsid w:val="00CC1E5D"/>
    <w:rsid w:val="00CC257A"/>
    <w:rsid w:val="00CC3662"/>
    <w:rsid w:val="00CC48AC"/>
    <w:rsid w:val="00CC4CA4"/>
    <w:rsid w:val="00CC513F"/>
    <w:rsid w:val="00CC6809"/>
    <w:rsid w:val="00CD17D5"/>
    <w:rsid w:val="00CD3B53"/>
    <w:rsid w:val="00CD5B08"/>
    <w:rsid w:val="00CD76A5"/>
    <w:rsid w:val="00CE08E1"/>
    <w:rsid w:val="00CE114E"/>
    <w:rsid w:val="00CE3355"/>
    <w:rsid w:val="00CE4370"/>
    <w:rsid w:val="00CE43FB"/>
    <w:rsid w:val="00CE55F3"/>
    <w:rsid w:val="00CE660C"/>
    <w:rsid w:val="00CE66EA"/>
    <w:rsid w:val="00CE720B"/>
    <w:rsid w:val="00CE7445"/>
    <w:rsid w:val="00CE7C56"/>
    <w:rsid w:val="00CE7E94"/>
    <w:rsid w:val="00CE7ED3"/>
    <w:rsid w:val="00CF170D"/>
    <w:rsid w:val="00CF2BB7"/>
    <w:rsid w:val="00CF3F63"/>
    <w:rsid w:val="00CF60E0"/>
    <w:rsid w:val="00CF716B"/>
    <w:rsid w:val="00D00673"/>
    <w:rsid w:val="00D00AA2"/>
    <w:rsid w:val="00D0198A"/>
    <w:rsid w:val="00D03AF1"/>
    <w:rsid w:val="00D04237"/>
    <w:rsid w:val="00D0437F"/>
    <w:rsid w:val="00D06750"/>
    <w:rsid w:val="00D06C89"/>
    <w:rsid w:val="00D06FC1"/>
    <w:rsid w:val="00D106B9"/>
    <w:rsid w:val="00D14B38"/>
    <w:rsid w:val="00D14C64"/>
    <w:rsid w:val="00D16B57"/>
    <w:rsid w:val="00D16B59"/>
    <w:rsid w:val="00D21203"/>
    <w:rsid w:val="00D224A3"/>
    <w:rsid w:val="00D226E5"/>
    <w:rsid w:val="00D23717"/>
    <w:rsid w:val="00D23D3B"/>
    <w:rsid w:val="00D25C8B"/>
    <w:rsid w:val="00D25D12"/>
    <w:rsid w:val="00D27188"/>
    <w:rsid w:val="00D27859"/>
    <w:rsid w:val="00D30EF4"/>
    <w:rsid w:val="00D31430"/>
    <w:rsid w:val="00D3376E"/>
    <w:rsid w:val="00D33ACB"/>
    <w:rsid w:val="00D363FD"/>
    <w:rsid w:val="00D37234"/>
    <w:rsid w:val="00D37FE6"/>
    <w:rsid w:val="00D4096C"/>
    <w:rsid w:val="00D40EB1"/>
    <w:rsid w:val="00D416E3"/>
    <w:rsid w:val="00D41EDC"/>
    <w:rsid w:val="00D41F7E"/>
    <w:rsid w:val="00D428A0"/>
    <w:rsid w:val="00D43564"/>
    <w:rsid w:val="00D43750"/>
    <w:rsid w:val="00D43C45"/>
    <w:rsid w:val="00D44AF3"/>
    <w:rsid w:val="00D47001"/>
    <w:rsid w:val="00D5001E"/>
    <w:rsid w:val="00D504EE"/>
    <w:rsid w:val="00D51894"/>
    <w:rsid w:val="00D51AFA"/>
    <w:rsid w:val="00D51B3B"/>
    <w:rsid w:val="00D52153"/>
    <w:rsid w:val="00D5327B"/>
    <w:rsid w:val="00D5379A"/>
    <w:rsid w:val="00D55BDB"/>
    <w:rsid w:val="00D565C9"/>
    <w:rsid w:val="00D57629"/>
    <w:rsid w:val="00D60878"/>
    <w:rsid w:val="00D60ECA"/>
    <w:rsid w:val="00D64531"/>
    <w:rsid w:val="00D647E8"/>
    <w:rsid w:val="00D64944"/>
    <w:rsid w:val="00D67710"/>
    <w:rsid w:val="00D72FEF"/>
    <w:rsid w:val="00D74984"/>
    <w:rsid w:val="00D775DD"/>
    <w:rsid w:val="00D775EF"/>
    <w:rsid w:val="00D77E69"/>
    <w:rsid w:val="00D803E8"/>
    <w:rsid w:val="00D805DB"/>
    <w:rsid w:val="00D819E2"/>
    <w:rsid w:val="00D822F1"/>
    <w:rsid w:val="00D824F4"/>
    <w:rsid w:val="00D8372F"/>
    <w:rsid w:val="00D90332"/>
    <w:rsid w:val="00D9073B"/>
    <w:rsid w:val="00D90A41"/>
    <w:rsid w:val="00D92988"/>
    <w:rsid w:val="00D9377B"/>
    <w:rsid w:val="00D94EAB"/>
    <w:rsid w:val="00D96031"/>
    <w:rsid w:val="00D96ABC"/>
    <w:rsid w:val="00D97067"/>
    <w:rsid w:val="00D9727A"/>
    <w:rsid w:val="00D97622"/>
    <w:rsid w:val="00DA003A"/>
    <w:rsid w:val="00DA2415"/>
    <w:rsid w:val="00DA27AF"/>
    <w:rsid w:val="00DA3A59"/>
    <w:rsid w:val="00DA3CED"/>
    <w:rsid w:val="00DA421F"/>
    <w:rsid w:val="00DA5D20"/>
    <w:rsid w:val="00DA615F"/>
    <w:rsid w:val="00DA6586"/>
    <w:rsid w:val="00DA66CE"/>
    <w:rsid w:val="00DA6B93"/>
    <w:rsid w:val="00DB3AA4"/>
    <w:rsid w:val="00DB50FF"/>
    <w:rsid w:val="00DB5495"/>
    <w:rsid w:val="00DB55BB"/>
    <w:rsid w:val="00DB5C36"/>
    <w:rsid w:val="00DB7367"/>
    <w:rsid w:val="00DC0208"/>
    <w:rsid w:val="00DC09F8"/>
    <w:rsid w:val="00DC195D"/>
    <w:rsid w:val="00DC25D6"/>
    <w:rsid w:val="00DC2612"/>
    <w:rsid w:val="00DC3351"/>
    <w:rsid w:val="00DC3C3D"/>
    <w:rsid w:val="00DC4761"/>
    <w:rsid w:val="00DC4E10"/>
    <w:rsid w:val="00DC54A5"/>
    <w:rsid w:val="00DC55B3"/>
    <w:rsid w:val="00DC5853"/>
    <w:rsid w:val="00DC5DCA"/>
    <w:rsid w:val="00DC6554"/>
    <w:rsid w:val="00DC79F4"/>
    <w:rsid w:val="00DD16BB"/>
    <w:rsid w:val="00DD32B0"/>
    <w:rsid w:val="00DD341D"/>
    <w:rsid w:val="00DD45D1"/>
    <w:rsid w:val="00DD4895"/>
    <w:rsid w:val="00DE106B"/>
    <w:rsid w:val="00DE2F57"/>
    <w:rsid w:val="00DE496D"/>
    <w:rsid w:val="00DE4D98"/>
    <w:rsid w:val="00DE515C"/>
    <w:rsid w:val="00DE5BB1"/>
    <w:rsid w:val="00DE60C5"/>
    <w:rsid w:val="00DF073F"/>
    <w:rsid w:val="00DF28B5"/>
    <w:rsid w:val="00DF2D4B"/>
    <w:rsid w:val="00DF3107"/>
    <w:rsid w:val="00DF3E3C"/>
    <w:rsid w:val="00DF3E6E"/>
    <w:rsid w:val="00DF47D8"/>
    <w:rsid w:val="00DF4C89"/>
    <w:rsid w:val="00DF617D"/>
    <w:rsid w:val="00E0089B"/>
    <w:rsid w:val="00E01093"/>
    <w:rsid w:val="00E0185C"/>
    <w:rsid w:val="00E02A6B"/>
    <w:rsid w:val="00E02E0E"/>
    <w:rsid w:val="00E030E1"/>
    <w:rsid w:val="00E033BE"/>
    <w:rsid w:val="00E042A2"/>
    <w:rsid w:val="00E04CB5"/>
    <w:rsid w:val="00E06D95"/>
    <w:rsid w:val="00E075CF"/>
    <w:rsid w:val="00E10563"/>
    <w:rsid w:val="00E10819"/>
    <w:rsid w:val="00E10FD4"/>
    <w:rsid w:val="00E118A4"/>
    <w:rsid w:val="00E11C4A"/>
    <w:rsid w:val="00E12F28"/>
    <w:rsid w:val="00E13183"/>
    <w:rsid w:val="00E1445A"/>
    <w:rsid w:val="00E1696F"/>
    <w:rsid w:val="00E17F27"/>
    <w:rsid w:val="00E20A8B"/>
    <w:rsid w:val="00E2125F"/>
    <w:rsid w:val="00E21D8C"/>
    <w:rsid w:val="00E22B48"/>
    <w:rsid w:val="00E233FF"/>
    <w:rsid w:val="00E25019"/>
    <w:rsid w:val="00E2511A"/>
    <w:rsid w:val="00E27092"/>
    <w:rsid w:val="00E32577"/>
    <w:rsid w:val="00E33FBD"/>
    <w:rsid w:val="00E35C21"/>
    <w:rsid w:val="00E35F79"/>
    <w:rsid w:val="00E360F0"/>
    <w:rsid w:val="00E36B2F"/>
    <w:rsid w:val="00E370FB"/>
    <w:rsid w:val="00E37BDE"/>
    <w:rsid w:val="00E42A0C"/>
    <w:rsid w:val="00E4613C"/>
    <w:rsid w:val="00E4629B"/>
    <w:rsid w:val="00E46AC4"/>
    <w:rsid w:val="00E478EE"/>
    <w:rsid w:val="00E51CE6"/>
    <w:rsid w:val="00E5230E"/>
    <w:rsid w:val="00E52D43"/>
    <w:rsid w:val="00E5526A"/>
    <w:rsid w:val="00E5551B"/>
    <w:rsid w:val="00E55610"/>
    <w:rsid w:val="00E562AB"/>
    <w:rsid w:val="00E56C8B"/>
    <w:rsid w:val="00E601A3"/>
    <w:rsid w:val="00E60794"/>
    <w:rsid w:val="00E60E34"/>
    <w:rsid w:val="00E613FD"/>
    <w:rsid w:val="00E61B17"/>
    <w:rsid w:val="00E6227E"/>
    <w:rsid w:val="00E62669"/>
    <w:rsid w:val="00E638F7"/>
    <w:rsid w:val="00E65370"/>
    <w:rsid w:val="00E65BF4"/>
    <w:rsid w:val="00E663BB"/>
    <w:rsid w:val="00E664A2"/>
    <w:rsid w:val="00E669BF"/>
    <w:rsid w:val="00E72582"/>
    <w:rsid w:val="00E72F5C"/>
    <w:rsid w:val="00E738D5"/>
    <w:rsid w:val="00E747B3"/>
    <w:rsid w:val="00E74A51"/>
    <w:rsid w:val="00E75210"/>
    <w:rsid w:val="00E800B0"/>
    <w:rsid w:val="00E81067"/>
    <w:rsid w:val="00E82405"/>
    <w:rsid w:val="00E83644"/>
    <w:rsid w:val="00E83C7C"/>
    <w:rsid w:val="00E83CC4"/>
    <w:rsid w:val="00E84EF4"/>
    <w:rsid w:val="00E86820"/>
    <w:rsid w:val="00E87244"/>
    <w:rsid w:val="00E873DB"/>
    <w:rsid w:val="00E875C5"/>
    <w:rsid w:val="00E9045F"/>
    <w:rsid w:val="00E90599"/>
    <w:rsid w:val="00E906F2"/>
    <w:rsid w:val="00E911E7"/>
    <w:rsid w:val="00E91CB2"/>
    <w:rsid w:val="00E93979"/>
    <w:rsid w:val="00E94FF5"/>
    <w:rsid w:val="00E96E22"/>
    <w:rsid w:val="00E97752"/>
    <w:rsid w:val="00E97C51"/>
    <w:rsid w:val="00E97D4D"/>
    <w:rsid w:val="00EA0150"/>
    <w:rsid w:val="00EA3015"/>
    <w:rsid w:val="00EA33D9"/>
    <w:rsid w:val="00EA3579"/>
    <w:rsid w:val="00EA3B91"/>
    <w:rsid w:val="00EA3FFB"/>
    <w:rsid w:val="00EA49EF"/>
    <w:rsid w:val="00EA4A0F"/>
    <w:rsid w:val="00EA6769"/>
    <w:rsid w:val="00EA6BFD"/>
    <w:rsid w:val="00EB18C1"/>
    <w:rsid w:val="00EB3D0A"/>
    <w:rsid w:val="00EB3DA1"/>
    <w:rsid w:val="00EB3ED3"/>
    <w:rsid w:val="00EB44E2"/>
    <w:rsid w:val="00EB514D"/>
    <w:rsid w:val="00EB6AB1"/>
    <w:rsid w:val="00EB6E10"/>
    <w:rsid w:val="00EC021F"/>
    <w:rsid w:val="00EC0C4E"/>
    <w:rsid w:val="00EC21F9"/>
    <w:rsid w:val="00EC44AB"/>
    <w:rsid w:val="00EC4A1F"/>
    <w:rsid w:val="00EC4CA9"/>
    <w:rsid w:val="00EC6204"/>
    <w:rsid w:val="00EC720C"/>
    <w:rsid w:val="00EC7C03"/>
    <w:rsid w:val="00ED0230"/>
    <w:rsid w:val="00ED2C73"/>
    <w:rsid w:val="00ED2D71"/>
    <w:rsid w:val="00ED3DCD"/>
    <w:rsid w:val="00ED58B2"/>
    <w:rsid w:val="00ED5A1C"/>
    <w:rsid w:val="00ED6A6E"/>
    <w:rsid w:val="00ED7FA7"/>
    <w:rsid w:val="00EE0555"/>
    <w:rsid w:val="00EE3ED6"/>
    <w:rsid w:val="00EE5504"/>
    <w:rsid w:val="00EE5BE5"/>
    <w:rsid w:val="00EE6C71"/>
    <w:rsid w:val="00EE7B20"/>
    <w:rsid w:val="00EF0017"/>
    <w:rsid w:val="00EF2464"/>
    <w:rsid w:val="00EF2999"/>
    <w:rsid w:val="00EF4A01"/>
    <w:rsid w:val="00EF6956"/>
    <w:rsid w:val="00F02034"/>
    <w:rsid w:val="00F02CAC"/>
    <w:rsid w:val="00F044BE"/>
    <w:rsid w:val="00F05B56"/>
    <w:rsid w:val="00F0624B"/>
    <w:rsid w:val="00F0711A"/>
    <w:rsid w:val="00F10334"/>
    <w:rsid w:val="00F1056F"/>
    <w:rsid w:val="00F11686"/>
    <w:rsid w:val="00F11EC8"/>
    <w:rsid w:val="00F12B32"/>
    <w:rsid w:val="00F1330A"/>
    <w:rsid w:val="00F14F0B"/>
    <w:rsid w:val="00F150FA"/>
    <w:rsid w:val="00F15826"/>
    <w:rsid w:val="00F160C7"/>
    <w:rsid w:val="00F20A51"/>
    <w:rsid w:val="00F2131E"/>
    <w:rsid w:val="00F23C3B"/>
    <w:rsid w:val="00F26400"/>
    <w:rsid w:val="00F30066"/>
    <w:rsid w:val="00F31969"/>
    <w:rsid w:val="00F32880"/>
    <w:rsid w:val="00F334FF"/>
    <w:rsid w:val="00F33A69"/>
    <w:rsid w:val="00F370C1"/>
    <w:rsid w:val="00F40D6E"/>
    <w:rsid w:val="00F41914"/>
    <w:rsid w:val="00F41AF6"/>
    <w:rsid w:val="00F42CDE"/>
    <w:rsid w:val="00F4475E"/>
    <w:rsid w:val="00F44C48"/>
    <w:rsid w:val="00F44C84"/>
    <w:rsid w:val="00F44EF3"/>
    <w:rsid w:val="00F4581C"/>
    <w:rsid w:val="00F524CD"/>
    <w:rsid w:val="00F53CA2"/>
    <w:rsid w:val="00F5401C"/>
    <w:rsid w:val="00F542CA"/>
    <w:rsid w:val="00F5466F"/>
    <w:rsid w:val="00F54DCB"/>
    <w:rsid w:val="00F56116"/>
    <w:rsid w:val="00F56661"/>
    <w:rsid w:val="00F60457"/>
    <w:rsid w:val="00F60F9B"/>
    <w:rsid w:val="00F61917"/>
    <w:rsid w:val="00F61E5E"/>
    <w:rsid w:val="00F62167"/>
    <w:rsid w:val="00F6234C"/>
    <w:rsid w:val="00F62CC1"/>
    <w:rsid w:val="00F6339C"/>
    <w:rsid w:val="00F636A8"/>
    <w:rsid w:val="00F63B77"/>
    <w:rsid w:val="00F64DDC"/>
    <w:rsid w:val="00F653D7"/>
    <w:rsid w:val="00F6609A"/>
    <w:rsid w:val="00F66557"/>
    <w:rsid w:val="00F71770"/>
    <w:rsid w:val="00F717A5"/>
    <w:rsid w:val="00F7304D"/>
    <w:rsid w:val="00F73C1D"/>
    <w:rsid w:val="00F748DD"/>
    <w:rsid w:val="00F753A9"/>
    <w:rsid w:val="00F75E96"/>
    <w:rsid w:val="00F766B8"/>
    <w:rsid w:val="00F77FA4"/>
    <w:rsid w:val="00F829A0"/>
    <w:rsid w:val="00F830BF"/>
    <w:rsid w:val="00F8496D"/>
    <w:rsid w:val="00F855DC"/>
    <w:rsid w:val="00F90B9C"/>
    <w:rsid w:val="00F91316"/>
    <w:rsid w:val="00F91828"/>
    <w:rsid w:val="00F91D71"/>
    <w:rsid w:val="00F91DD2"/>
    <w:rsid w:val="00F93137"/>
    <w:rsid w:val="00F94F34"/>
    <w:rsid w:val="00F94F3F"/>
    <w:rsid w:val="00F9567C"/>
    <w:rsid w:val="00F95967"/>
    <w:rsid w:val="00F9605D"/>
    <w:rsid w:val="00F96BC7"/>
    <w:rsid w:val="00FA09E1"/>
    <w:rsid w:val="00FA15BA"/>
    <w:rsid w:val="00FA2C0E"/>
    <w:rsid w:val="00FA3E08"/>
    <w:rsid w:val="00FA4D54"/>
    <w:rsid w:val="00FA5745"/>
    <w:rsid w:val="00FA67C1"/>
    <w:rsid w:val="00FA7FE2"/>
    <w:rsid w:val="00FB1683"/>
    <w:rsid w:val="00FB391B"/>
    <w:rsid w:val="00FB402B"/>
    <w:rsid w:val="00FB40CB"/>
    <w:rsid w:val="00FB457A"/>
    <w:rsid w:val="00FB4E25"/>
    <w:rsid w:val="00FB6E24"/>
    <w:rsid w:val="00FB772E"/>
    <w:rsid w:val="00FB7D25"/>
    <w:rsid w:val="00FC0F2D"/>
    <w:rsid w:val="00FC0F9E"/>
    <w:rsid w:val="00FC188D"/>
    <w:rsid w:val="00FC3D7F"/>
    <w:rsid w:val="00FC4BB2"/>
    <w:rsid w:val="00FC796E"/>
    <w:rsid w:val="00FD104A"/>
    <w:rsid w:val="00FD207C"/>
    <w:rsid w:val="00FD2B77"/>
    <w:rsid w:val="00FD3E2A"/>
    <w:rsid w:val="00FD5311"/>
    <w:rsid w:val="00FD54C6"/>
    <w:rsid w:val="00FF03A7"/>
    <w:rsid w:val="00FF2FAE"/>
    <w:rsid w:val="00FF38FA"/>
    <w:rsid w:val="00FF5B2A"/>
    <w:rsid w:val="00FF60DA"/>
    <w:rsid w:val="00FF74FF"/>
    <w:rsid w:val="00FF76BA"/>
    <w:rsid w:val="01562F59"/>
    <w:rsid w:val="01A821C6"/>
    <w:rsid w:val="01AC09D8"/>
    <w:rsid w:val="027E3A68"/>
    <w:rsid w:val="028736CF"/>
    <w:rsid w:val="02C7188D"/>
    <w:rsid w:val="034C08D5"/>
    <w:rsid w:val="03E80CD8"/>
    <w:rsid w:val="040A6032"/>
    <w:rsid w:val="05117844"/>
    <w:rsid w:val="0575419C"/>
    <w:rsid w:val="068332D3"/>
    <w:rsid w:val="07A33243"/>
    <w:rsid w:val="0828314D"/>
    <w:rsid w:val="08CB0729"/>
    <w:rsid w:val="08EC575D"/>
    <w:rsid w:val="093A7652"/>
    <w:rsid w:val="095F59B8"/>
    <w:rsid w:val="09FA3203"/>
    <w:rsid w:val="0A934B74"/>
    <w:rsid w:val="0A9D666F"/>
    <w:rsid w:val="0AA215B5"/>
    <w:rsid w:val="0AD01B19"/>
    <w:rsid w:val="0AE83ED5"/>
    <w:rsid w:val="0B18724B"/>
    <w:rsid w:val="0BFB754E"/>
    <w:rsid w:val="0C794D22"/>
    <w:rsid w:val="0CCE5461"/>
    <w:rsid w:val="0D181D64"/>
    <w:rsid w:val="0D907DC5"/>
    <w:rsid w:val="0E380478"/>
    <w:rsid w:val="0EE7194D"/>
    <w:rsid w:val="10083054"/>
    <w:rsid w:val="10271A22"/>
    <w:rsid w:val="10573A8F"/>
    <w:rsid w:val="11292A0B"/>
    <w:rsid w:val="114F1D45"/>
    <w:rsid w:val="11990B9D"/>
    <w:rsid w:val="11CE51FB"/>
    <w:rsid w:val="144162BD"/>
    <w:rsid w:val="14462ED1"/>
    <w:rsid w:val="1470631C"/>
    <w:rsid w:val="155F3BF4"/>
    <w:rsid w:val="16531828"/>
    <w:rsid w:val="16EF117B"/>
    <w:rsid w:val="177A0705"/>
    <w:rsid w:val="18558201"/>
    <w:rsid w:val="19443A11"/>
    <w:rsid w:val="19AE4336"/>
    <w:rsid w:val="1A024CD3"/>
    <w:rsid w:val="1A824F3A"/>
    <w:rsid w:val="1B03267A"/>
    <w:rsid w:val="1B16252D"/>
    <w:rsid w:val="1B354543"/>
    <w:rsid w:val="1B741F43"/>
    <w:rsid w:val="1B963CB5"/>
    <w:rsid w:val="1BB34691"/>
    <w:rsid w:val="1C555234"/>
    <w:rsid w:val="1C790771"/>
    <w:rsid w:val="1CF6760F"/>
    <w:rsid w:val="1CF7415D"/>
    <w:rsid w:val="1D4053A6"/>
    <w:rsid w:val="1DA457C4"/>
    <w:rsid w:val="1E887DD7"/>
    <w:rsid w:val="1EB1403F"/>
    <w:rsid w:val="1EBA1BB5"/>
    <w:rsid w:val="1F66463E"/>
    <w:rsid w:val="1F7FBC21"/>
    <w:rsid w:val="1FB53F46"/>
    <w:rsid w:val="21B12047"/>
    <w:rsid w:val="21CD07B3"/>
    <w:rsid w:val="229E06C1"/>
    <w:rsid w:val="22C5665C"/>
    <w:rsid w:val="23192159"/>
    <w:rsid w:val="23A2562F"/>
    <w:rsid w:val="24D9609E"/>
    <w:rsid w:val="24F77329"/>
    <w:rsid w:val="25DF2DFD"/>
    <w:rsid w:val="25E44CFA"/>
    <w:rsid w:val="26962499"/>
    <w:rsid w:val="26FE71B2"/>
    <w:rsid w:val="2758525B"/>
    <w:rsid w:val="276227A2"/>
    <w:rsid w:val="27AA248D"/>
    <w:rsid w:val="28D1189C"/>
    <w:rsid w:val="292D0604"/>
    <w:rsid w:val="2980420F"/>
    <w:rsid w:val="2A0A730C"/>
    <w:rsid w:val="2A6F54DA"/>
    <w:rsid w:val="2AD22322"/>
    <w:rsid w:val="2AF740B1"/>
    <w:rsid w:val="2B4D1886"/>
    <w:rsid w:val="2B4F5ADE"/>
    <w:rsid w:val="2B577D1D"/>
    <w:rsid w:val="2C063C1D"/>
    <w:rsid w:val="2CC87124"/>
    <w:rsid w:val="2D276489"/>
    <w:rsid w:val="2D2D77E4"/>
    <w:rsid w:val="2E9238C2"/>
    <w:rsid w:val="2EC610AD"/>
    <w:rsid w:val="2F514B1D"/>
    <w:rsid w:val="2FFF3724"/>
    <w:rsid w:val="30032C00"/>
    <w:rsid w:val="30406F02"/>
    <w:rsid w:val="307F5D4C"/>
    <w:rsid w:val="30953208"/>
    <w:rsid w:val="30D51E0F"/>
    <w:rsid w:val="30DF36A5"/>
    <w:rsid w:val="30FC6374"/>
    <w:rsid w:val="317E3544"/>
    <w:rsid w:val="31EB454A"/>
    <w:rsid w:val="32382656"/>
    <w:rsid w:val="32C5561F"/>
    <w:rsid w:val="32F90AEB"/>
    <w:rsid w:val="3321758E"/>
    <w:rsid w:val="3410795E"/>
    <w:rsid w:val="34EB7F3D"/>
    <w:rsid w:val="351716DA"/>
    <w:rsid w:val="35280DC0"/>
    <w:rsid w:val="35790E71"/>
    <w:rsid w:val="358F7419"/>
    <w:rsid w:val="36DB5BB5"/>
    <w:rsid w:val="37210F39"/>
    <w:rsid w:val="376585A9"/>
    <w:rsid w:val="37C8447C"/>
    <w:rsid w:val="37E7D136"/>
    <w:rsid w:val="37EF1884"/>
    <w:rsid w:val="381643C5"/>
    <w:rsid w:val="385950D4"/>
    <w:rsid w:val="38B06E8F"/>
    <w:rsid w:val="38C4326F"/>
    <w:rsid w:val="396761A8"/>
    <w:rsid w:val="3A1546EF"/>
    <w:rsid w:val="3A7FFDEA"/>
    <w:rsid w:val="3A8A1901"/>
    <w:rsid w:val="3ACC7081"/>
    <w:rsid w:val="3AE66DAF"/>
    <w:rsid w:val="3B5E5D23"/>
    <w:rsid w:val="3B602E8C"/>
    <w:rsid w:val="3B877E20"/>
    <w:rsid w:val="3CFC2A22"/>
    <w:rsid w:val="3DBDBCC1"/>
    <w:rsid w:val="3E09759C"/>
    <w:rsid w:val="3E25F058"/>
    <w:rsid w:val="3E585ACC"/>
    <w:rsid w:val="3E5F26C8"/>
    <w:rsid w:val="3E602BC3"/>
    <w:rsid w:val="3E71771E"/>
    <w:rsid w:val="3EA97C1C"/>
    <w:rsid w:val="3EEB7EA3"/>
    <w:rsid w:val="3EFE1752"/>
    <w:rsid w:val="3F125FDD"/>
    <w:rsid w:val="3F193E51"/>
    <w:rsid w:val="3F1B3678"/>
    <w:rsid w:val="3F5D4E14"/>
    <w:rsid w:val="3F7BE35A"/>
    <w:rsid w:val="3F95703D"/>
    <w:rsid w:val="3FA353DB"/>
    <w:rsid w:val="3FA9675D"/>
    <w:rsid w:val="3FD30848"/>
    <w:rsid w:val="3FE5F616"/>
    <w:rsid w:val="3FE9A94D"/>
    <w:rsid w:val="3FF3BE20"/>
    <w:rsid w:val="40F576DF"/>
    <w:rsid w:val="41CD352D"/>
    <w:rsid w:val="42366F99"/>
    <w:rsid w:val="42674C56"/>
    <w:rsid w:val="428C13F3"/>
    <w:rsid w:val="435116AE"/>
    <w:rsid w:val="43696E36"/>
    <w:rsid w:val="43EC292D"/>
    <w:rsid w:val="443F6639"/>
    <w:rsid w:val="449057FB"/>
    <w:rsid w:val="44DC2DC4"/>
    <w:rsid w:val="44F7B008"/>
    <w:rsid w:val="451D4B80"/>
    <w:rsid w:val="456B2E28"/>
    <w:rsid w:val="45AC7C5B"/>
    <w:rsid w:val="45BBB141"/>
    <w:rsid w:val="45CFE2F5"/>
    <w:rsid w:val="46773C9E"/>
    <w:rsid w:val="471B24E8"/>
    <w:rsid w:val="47E437A7"/>
    <w:rsid w:val="47FF1E09"/>
    <w:rsid w:val="48933844"/>
    <w:rsid w:val="48AA7564"/>
    <w:rsid w:val="490C29F9"/>
    <w:rsid w:val="492822E2"/>
    <w:rsid w:val="4A81369C"/>
    <w:rsid w:val="4AEF24ED"/>
    <w:rsid w:val="4B8D668D"/>
    <w:rsid w:val="4BA47C22"/>
    <w:rsid w:val="4C5956F7"/>
    <w:rsid w:val="4DB06FE2"/>
    <w:rsid w:val="4DB26136"/>
    <w:rsid w:val="4E2B1A39"/>
    <w:rsid w:val="4E34712A"/>
    <w:rsid w:val="4E39211D"/>
    <w:rsid w:val="4EF850BF"/>
    <w:rsid w:val="4F5E4005"/>
    <w:rsid w:val="4F9B48E0"/>
    <w:rsid w:val="4FEC02DA"/>
    <w:rsid w:val="4FEF07EF"/>
    <w:rsid w:val="4FEFBD83"/>
    <w:rsid w:val="5103623F"/>
    <w:rsid w:val="51047287"/>
    <w:rsid w:val="512A7418"/>
    <w:rsid w:val="52A52761"/>
    <w:rsid w:val="52AB2578"/>
    <w:rsid w:val="5426272F"/>
    <w:rsid w:val="54BD6EB5"/>
    <w:rsid w:val="54F872D7"/>
    <w:rsid w:val="56202643"/>
    <w:rsid w:val="56293878"/>
    <w:rsid w:val="566B6CBC"/>
    <w:rsid w:val="567C3D09"/>
    <w:rsid w:val="56C0141E"/>
    <w:rsid w:val="56C02E94"/>
    <w:rsid w:val="56D227CA"/>
    <w:rsid w:val="57239ACE"/>
    <w:rsid w:val="577E202E"/>
    <w:rsid w:val="57C2639A"/>
    <w:rsid w:val="57C77E54"/>
    <w:rsid w:val="57DFFD01"/>
    <w:rsid w:val="57FD0217"/>
    <w:rsid w:val="57FF427C"/>
    <w:rsid w:val="590A0EB4"/>
    <w:rsid w:val="59292A0E"/>
    <w:rsid w:val="5B6D1CB3"/>
    <w:rsid w:val="5BA97C79"/>
    <w:rsid w:val="5BFA5B6C"/>
    <w:rsid w:val="5C052CF9"/>
    <w:rsid w:val="5C9764DA"/>
    <w:rsid w:val="5CDD3D02"/>
    <w:rsid w:val="5D1A1EB1"/>
    <w:rsid w:val="5D6F7EB7"/>
    <w:rsid w:val="5D7BA7F3"/>
    <w:rsid w:val="5D7DBE38"/>
    <w:rsid w:val="5DB6ABFC"/>
    <w:rsid w:val="5DFD311B"/>
    <w:rsid w:val="5E4B0A93"/>
    <w:rsid w:val="5EFD2F47"/>
    <w:rsid w:val="5F2C4DCC"/>
    <w:rsid w:val="5F5106CC"/>
    <w:rsid w:val="5FA93E7F"/>
    <w:rsid w:val="5FB5B2C3"/>
    <w:rsid w:val="5FB73F3B"/>
    <w:rsid w:val="5FB76242"/>
    <w:rsid w:val="5FBA630A"/>
    <w:rsid w:val="5FD749C4"/>
    <w:rsid w:val="5FEB1D72"/>
    <w:rsid w:val="5FFE473E"/>
    <w:rsid w:val="605F560C"/>
    <w:rsid w:val="60C411EB"/>
    <w:rsid w:val="617E4166"/>
    <w:rsid w:val="61D218D0"/>
    <w:rsid w:val="62215392"/>
    <w:rsid w:val="62682234"/>
    <w:rsid w:val="635C4C57"/>
    <w:rsid w:val="64026854"/>
    <w:rsid w:val="64A20355"/>
    <w:rsid w:val="64A73309"/>
    <w:rsid w:val="655935F2"/>
    <w:rsid w:val="65AE7F5E"/>
    <w:rsid w:val="66406CED"/>
    <w:rsid w:val="665E22FF"/>
    <w:rsid w:val="66B400ED"/>
    <w:rsid w:val="66F18387"/>
    <w:rsid w:val="6750388A"/>
    <w:rsid w:val="67D5557E"/>
    <w:rsid w:val="67FD8DF7"/>
    <w:rsid w:val="68460ACC"/>
    <w:rsid w:val="69B00E16"/>
    <w:rsid w:val="6A222AE4"/>
    <w:rsid w:val="6A384ADA"/>
    <w:rsid w:val="6AB704B5"/>
    <w:rsid w:val="6AF96C79"/>
    <w:rsid w:val="6B60244A"/>
    <w:rsid w:val="6BBF664C"/>
    <w:rsid w:val="6BC14183"/>
    <w:rsid w:val="6C056342"/>
    <w:rsid w:val="6C47110C"/>
    <w:rsid w:val="6C75571D"/>
    <w:rsid w:val="6D19409E"/>
    <w:rsid w:val="6D6847D3"/>
    <w:rsid w:val="6D7D0105"/>
    <w:rsid w:val="6D7E55BA"/>
    <w:rsid w:val="6DDEB173"/>
    <w:rsid w:val="6DEFAD1D"/>
    <w:rsid w:val="6DFABA9A"/>
    <w:rsid w:val="6E816EBD"/>
    <w:rsid w:val="6EDA7810"/>
    <w:rsid w:val="6EEF2328"/>
    <w:rsid w:val="6EFF2976"/>
    <w:rsid w:val="6F59436A"/>
    <w:rsid w:val="6F7A7FF3"/>
    <w:rsid w:val="6F7B4824"/>
    <w:rsid w:val="6F881695"/>
    <w:rsid w:val="6F9D14AD"/>
    <w:rsid w:val="6FAF1E19"/>
    <w:rsid w:val="6FBF5D34"/>
    <w:rsid w:val="6FE82E39"/>
    <w:rsid w:val="6FE83720"/>
    <w:rsid w:val="6FFA5BBD"/>
    <w:rsid w:val="706A62EC"/>
    <w:rsid w:val="70E0301A"/>
    <w:rsid w:val="70E25AD6"/>
    <w:rsid w:val="71706C3A"/>
    <w:rsid w:val="717812F3"/>
    <w:rsid w:val="7244598E"/>
    <w:rsid w:val="72991CEA"/>
    <w:rsid w:val="72EE529E"/>
    <w:rsid w:val="731D44F3"/>
    <w:rsid w:val="732B3BA9"/>
    <w:rsid w:val="737C09CA"/>
    <w:rsid w:val="73CC5B9E"/>
    <w:rsid w:val="73D02943"/>
    <w:rsid w:val="74484B95"/>
    <w:rsid w:val="7468576C"/>
    <w:rsid w:val="753FB67E"/>
    <w:rsid w:val="757E80C2"/>
    <w:rsid w:val="75ED1591"/>
    <w:rsid w:val="76E40C6E"/>
    <w:rsid w:val="76FF2C66"/>
    <w:rsid w:val="77072910"/>
    <w:rsid w:val="771FC93B"/>
    <w:rsid w:val="77601172"/>
    <w:rsid w:val="77E77AD9"/>
    <w:rsid w:val="77FD02CB"/>
    <w:rsid w:val="77FEBCD5"/>
    <w:rsid w:val="787E5467"/>
    <w:rsid w:val="78941008"/>
    <w:rsid w:val="78D21BB9"/>
    <w:rsid w:val="78FD65D5"/>
    <w:rsid w:val="78FE54EF"/>
    <w:rsid w:val="796E48EA"/>
    <w:rsid w:val="79B02B75"/>
    <w:rsid w:val="79D155B6"/>
    <w:rsid w:val="79DE5763"/>
    <w:rsid w:val="7A7D0D77"/>
    <w:rsid w:val="7AA339B1"/>
    <w:rsid w:val="7B267376"/>
    <w:rsid w:val="7B7F94D8"/>
    <w:rsid w:val="7B800415"/>
    <w:rsid w:val="7BB9301A"/>
    <w:rsid w:val="7BBE70D0"/>
    <w:rsid w:val="7BDFE076"/>
    <w:rsid w:val="7BE098BF"/>
    <w:rsid w:val="7BE7CD54"/>
    <w:rsid w:val="7BF40907"/>
    <w:rsid w:val="7C2D596D"/>
    <w:rsid w:val="7C4FA8A5"/>
    <w:rsid w:val="7CE77086"/>
    <w:rsid w:val="7CF12629"/>
    <w:rsid w:val="7D39D26B"/>
    <w:rsid w:val="7D5017E0"/>
    <w:rsid w:val="7D9DA097"/>
    <w:rsid w:val="7DC60FDF"/>
    <w:rsid w:val="7DFBBA6D"/>
    <w:rsid w:val="7DFF31EA"/>
    <w:rsid w:val="7DFFFCB7"/>
    <w:rsid w:val="7E046E0B"/>
    <w:rsid w:val="7E7A7AD0"/>
    <w:rsid w:val="7E7F1020"/>
    <w:rsid w:val="7EBE5E4E"/>
    <w:rsid w:val="7EBE8F1F"/>
    <w:rsid w:val="7EEDB6B1"/>
    <w:rsid w:val="7EEF0A5C"/>
    <w:rsid w:val="7EFFC6CE"/>
    <w:rsid w:val="7F475C11"/>
    <w:rsid w:val="7F5E1A5B"/>
    <w:rsid w:val="7F5E637F"/>
    <w:rsid w:val="7F5F2086"/>
    <w:rsid w:val="7F727385"/>
    <w:rsid w:val="7F937F7C"/>
    <w:rsid w:val="7FBF5261"/>
    <w:rsid w:val="7FF791DD"/>
    <w:rsid w:val="7FFB5C7D"/>
    <w:rsid w:val="7FFC06C3"/>
    <w:rsid w:val="7FFF55BF"/>
    <w:rsid w:val="7FFFA522"/>
    <w:rsid w:val="8FCD7155"/>
    <w:rsid w:val="97FCEE24"/>
    <w:rsid w:val="97FFE629"/>
    <w:rsid w:val="9BD6644F"/>
    <w:rsid w:val="9E4F150F"/>
    <w:rsid w:val="9FAFAE10"/>
    <w:rsid w:val="A9BEEF50"/>
    <w:rsid w:val="AFF309DD"/>
    <w:rsid w:val="B3EB0FE9"/>
    <w:rsid w:val="B4DFFA34"/>
    <w:rsid w:val="B6FFB49D"/>
    <w:rsid w:val="B77F19D3"/>
    <w:rsid w:val="BEFA7B34"/>
    <w:rsid w:val="BEFFE31D"/>
    <w:rsid w:val="BF67B77D"/>
    <w:rsid w:val="BF77F075"/>
    <w:rsid w:val="BF7A3F54"/>
    <w:rsid w:val="BFC72626"/>
    <w:rsid w:val="BFF7C769"/>
    <w:rsid w:val="BFFFAD16"/>
    <w:rsid w:val="C5F723DA"/>
    <w:rsid w:val="CBDFCD60"/>
    <w:rsid w:val="CE7D1656"/>
    <w:rsid w:val="D7777039"/>
    <w:rsid w:val="D77D7038"/>
    <w:rsid w:val="D7B719C7"/>
    <w:rsid w:val="D7F36F9D"/>
    <w:rsid w:val="DBFB0C07"/>
    <w:rsid w:val="DF6E69CF"/>
    <w:rsid w:val="DF8FFFA5"/>
    <w:rsid w:val="DFBF799A"/>
    <w:rsid w:val="DFD9C2FD"/>
    <w:rsid w:val="DFDBD429"/>
    <w:rsid w:val="DFFD9791"/>
    <w:rsid w:val="E3FF75D4"/>
    <w:rsid w:val="E5BF3D79"/>
    <w:rsid w:val="E86C4AB9"/>
    <w:rsid w:val="EBF46102"/>
    <w:rsid w:val="ECF7CD4E"/>
    <w:rsid w:val="ED7C43D2"/>
    <w:rsid w:val="ED86F4FF"/>
    <w:rsid w:val="EDBBAF82"/>
    <w:rsid w:val="EDFA49FD"/>
    <w:rsid w:val="EFF1C047"/>
    <w:rsid w:val="EFFD763E"/>
    <w:rsid w:val="EFFF1F57"/>
    <w:rsid w:val="F18739E9"/>
    <w:rsid w:val="F3FC0DF2"/>
    <w:rsid w:val="F6DD04A4"/>
    <w:rsid w:val="F6DF104B"/>
    <w:rsid w:val="F6DFD3AB"/>
    <w:rsid w:val="F6F8860C"/>
    <w:rsid w:val="F6FE13CF"/>
    <w:rsid w:val="F6FE7F23"/>
    <w:rsid w:val="F7772BE1"/>
    <w:rsid w:val="F7ABF972"/>
    <w:rsid w:val="F7EB0086"/>
    <w:rsid w:val="F7FFD1D4"/>
    <w:rsid w:val="F8B4E0A5"/>
    <w:rsid w:val="F9EF2B78"/>
    <w:rsid w:val="F9FB4855"/>
    <w:rsid w:val="FB7AFF76"/>
    <w:rsid w:val="FBB7B6E3"/>
    <w:rsid w:val="FCAB19CF"/>
    <w:rsid w:val="FD5FC4D6"/>
    <w:rsid w:val="FDE996F1"/>
    <w:rsid w:val="FE3AFEAC"/>
    <w:rsid w:val="FEF705E8"/>
    <w:rsid w:val="FEF71547"/>
    <w:rsid w:val="FEFA9B3C"/>
    <w:rsid w:val="FF0B65FC"/>
    <w:rsid w:val="FF5A9025"/>
    <w:rsid w:val="FF666921"/>
    <w:rsid w:val="FF773818"/>
    <w:rsid w:val="FF7F0055"/>
    <w:rsid w:val="FF7F9B07"/>
    <w:rsid w:val="FFC3A089"/>
    <w:rsid w:val="FFE72453"/>
    <w:rsid w:val="FFEB4E27"/>
    <w:rsid w:val="FFEEA247"/>
    <w:rsid w:val="FFEEE88E"/>
    <w:rsid w:val="FFFBF6EA"/>
    <w:rsid w:val="FFFC5758"/>
    <w:rsid w:val="FFFF72F3"/>
    <w:rsid w:val="FFFF9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6"/>
    <w:qFormat/>
    <w:uiPriority w:val="0"/>
    <w:pPr>
      <w:keepNext/>
      <w:jc w:val="center"/>
      <w:outlineLvl w:val="0"/>
    </w:pPr>
    <w:rPr>
      <w:rFonts w:ascii="楷体_GB2312" w:eastAsia="楷体_GB2312"/>
      <w:sz w:val="28"/>
      <w:szCs w:val="28"/>
    </w:rPr>
  </w:style>
  <w:style w:type="paragraph" w:styleId="5">
    <w:name w:val="heading 2"/>
    <w:basedOn w:val="1"/>
    <w:next w:val="1"/>
    <w:link w:val="47"/>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6">
    <w:name w:val="heading 3"/>
    <w:basedOn w:val="1"/>
    <w:next w:val="1"/>
    <w:link w:val="48"/>
    <w:qFormat/>
    <w:uiPriority w:val="0"/>
    <w:pPr>
      <w:keepNext/>
      <w:keepLines/>
      <w:spacing w:before="260" w:after="260" w:line="416" w:lineRule="auto"/>
      <w:outlineLvl w:val="2"/>
    </w:pPr>
    <w:rPr>
      <w:b/>
      <w:bCs/>
      <w:sz w:val="32"/>
      <w:szCs w:val="32"/>
    </w:rPr>
  </w:style>
  <w:style w:type="paragraph" w:styleId="7">
    <w:name w:val="heading 4"/>
    <w:basedOn w:val="1"/>
    <w:next w:val="8"/>
    <w:link w:val="49"/>
    <w:qFormat/>
    <w:uiPriority w:val="0"/>
    <w:pPr>
      <w:keepNext/>
      <w:keepLines/>
      <w:ind w:firstLine="420" w:firstLineChars="150"/>
      <w:outlineLvl w:val="3"/>
    </w:pPr>
    <w:rPr>
      <w:rFonts w:ascii="Arial" w:hAnsi="Arial" w:cs="Arial"/>
      <w:b/>
      <w:sz w:val="28"/>
      <w:szCs w:val="28"/>
    </w:rPr>
  </w:style>
  <w:style w:type="paragraph" w:styleId="9">
    <w:name w:val="heading 5"/>
    <w:basedOn w:val="1"/>
    <w:next w:val="8"/>
    <w:link w:val="51"/>
    <w:qFormat/>
    <w:uiPriority w:val="0"/>
    <w:pPr>
      <w:keepNext/>
      <w:autoSpaceDE w:val="0"/>
      <w:autoSpaceDN w:val="0"/>
      <w:adjustRightInd w:val="0"/>
      <w:outlineLvl w:val="4"/>
    </w:pPr>
    <w:rPr>
      <w:rFonts w:ascii="宋体"/>
      <w:color w:val="000000"/>
      <w:kern w:val="0"/>
      <w:sz w:val="28"/>
      <w:szCs w:val="28"/>
    </w:rPr>
  </w:style>
  <w:style w:type="paragraph" w:styleId="10">
    <w:name w:val="heading 6"/>
    <w:basedOn w:val="1"/>
    <w:next w:val="1"/>
    <w:link w:val="52"/>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1">
    <w:name w:val="heading 7"/>
    <w:basedOn w:val="1"/>
    <w:next w:val="1"/>
    <w:link w:val="53"/>
    <w:qFormat/>
    <w:uiPriority w:val="0"/>
    <w:pPr>
      <w:keepNext/>
      <w:keepLines/>
      <w:numPr>
        <w:ilvl w:val="6"/>
        <w:numId w:val="1"/>
      </w:numPr>
      <w:spacing w:before="240" w:after="64" w:line="320" w:lineRule="auto"/>
      <w:outlineLvl w:val="6"/>
    </w:pPr>
    <w:rPr>
      <w:b/>
      <w:bCs/>
      <w:sz w:val="24"/>
      <w:szCs w:val="24"/>
    </w:rPr>
  </w:style>
  <w:style w:type="paragraph" w:styleId="12">
    <w:name w:val="heading 8"/>
    <w:basedOn w:val="1"/>
    <w:next w:val="1"/>
    <w:link w:val="54"/>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3">
    <w:name w:val="heading 9"/>
    <w:basedOn w:val="1"/>
    <w:next w:val="1"/>
    <w:link w:val="55"/>
    <w:qFormat/>
    <w:uiPriority w:val="0"/>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5"/>
    <w:qFormat/>
    <w:uiPriority w:val="0"/>
    <w:pPr>
      <w:spacing w:line="360" w:lineRule="auto"/>
      <w:ind w:firstLine="200" w:firstLineChars="200"/>
    </w:pPr>
    <w:rPr>
      <w:rFonts w:ascii="仿宋_GB2312" w:eastAsia="仿宋_GB2312"/>
      <w:sz w:val="30"/>
      <w:szCs w:val="30"/>
    </w:rPr>
  </w:style>
  <w:style w:type="paragraph" w:styleId="3">
    <w:name w:val="Body Text"/>
    <w:basedOn w:val="1"/>
    <w:next w:val="2"/>
    <w:link w:val="44"/>
    <w:qFormat/>
    <w:uiPriority w:val="0"/>
    <w:rPr>
      <w:rFonts w:ascii="楷体_GB2312" w:hAnsi="Arial" w:eastAsia="楷体_GB2312"/>
      <w:sz w:val="28"/>
      <w:szCs w:val="28"/>
    </w:rPr>
  </w:style>
  <w:style w:type="paragraph" w:styleId="8">
    <w:name w:val="Normal Indent"/>
    <w:basedOn w:val="1"/>
    <w:link w:val="50"/>
    <w:qFormat/>
    <w:uiPriority w:val="0"/>
    <w:pPr>
      <w:ind w:firstLine="420"/>
    </w:pPr>
  </w:style>
  <w:style w:type="paragraph" w:styleId="14">
    <w:name w:val="List 3"/>
    <w:basedOn w:val="1"/>
    <w:qFormat/>
    <w:uiPriority w:val="0"/>
    <w:pPr>
      <w:ind w:left="100" w:leftChars="400" w:hanging="200" w:hangingChars="200"/>
    </w:pPr>
  </w:style>
  <w:style w:type="paragraph" w:styleId="15">
    <w:name w:val="Document Map"/>
    <w:basedOn w:val="1"/>
    <w:link w:val="56"/>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index 6"/>
    <w:basedOn w:val="1"/>
    <w:next w:val="1"/>
    <w:qFormat/>
    <w:uiPriority w:val="99"/>
    <w:pPr>
      <w:ind w:left="2100"/>
    </w:pPr>
  </w:style>
  <w:style w:type="paragraph" w:styleId="18">
    <w:name w:val="Body Text 3"/>
    <w:basedOn w:val="1"/>
    <w:link w:val="57"/>
    <w:qFormat/>
    <w:uiPriority w:val="0"/>
    <w:rPr>
      <w:rFonts w:ascii="仿宋_GB2312" w:hAnsi="Arial" w:eastAsia="仿宋_GB2312"/>
      <w:sz w:val="32"/>
      <w:szCs w:val="32"/>
    </w:rPr>
  </w:style>
  <w:style w:type="paragraph" w:styleId="19">
    <w:name w:val="Body Text Indent"/>
    <w:basedOn w:val="1"/>
    <w:link w:val="58"/>
    <w:qFormat/>
    <w:uiPriority w:val="0"/>
    <w:pPr>
      <w:ind w:firstLine="645"/>
    </w:pPr>
    <w:rPr>
      <w:rFonts w:ascii="楷体_GB2312" w:eastAsia="楷体_GB2312"/>
      <w:sz w:val="32"/>
      <w:szCs w:val="32"/>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59"/>
    <w:qFormat/>
    <w:uiPriority w:val="0"/>
    <w:rPr>
      <w:rFonts w:ascii="宋体" w:hAnsi="Courier New" w:cs="Courier New"/>
    </w:rPr>
  </w:style>
  <w:style w:type="paragraph" w:styleId="23">
    <w:name w:val="Date"/>
    <w:basedOn w:val="1"/>
    <w:next w:val="1"/>
    <w:link w:val="60"/>
    <w:qFormat/>
    <w:uiPriority w:val="0"/>
    <w:rPr>
      <w:sz w:val="24"/>
      <w:szCs w:val="24"/>
    </w:rPr>
  </w:style>
  <w:style w:type="paragraph" w:styleId="24">
    <w:name w:val="Body Text Indent 2"/>
    <w:basedOn w:val="1"/>
    <w:link w:val="61"/>
    <w:qFormat/>
    <w:uiPriority w:val="0"/>
    <w:pPr>
      <w:ind w:left="630" w:firstLine="645"/>
    </w:pPr>
    <w:rPr>
      <w:rFonts w:ascii="Arial" w:hAnsi="Arial" w:eastAsia="仿宋_GB2312" w:cs="Arial"/>
      <w:sz w:val="32"/>
      <w:szCs w:val="32"/>
    </w:rPr>
  </w:style>
  <w:style w:type="paragraph" w:styleId="25">
    <w:name w:val="Balloon Text"/>
    <w:basedOn w:val="1"/>
    <w:link w:val="62"/>
    <w:semiHidden/>
    <w:qFormat/>
    <w:uiPriority w:val="0"/>
    <w:rPr>
      <w:sz w:val="18"/>
      <w:szCs w:val="18"/>
    </w:rPr>
  </w:style>
  <w:style w:type="paragraph" w:styleId="26">
    <w:name w:val="footer"/>
    <w:basedOn w:val="1"/>
    <w:link w:val="63"/>
    <w:qFormat/>
    <w:uiPriority w:val="0"/>
    <w:pPr>
      <w:tabs>
        <w:tab w:val="center" w:pos="4153"/>
        <w:tab w:val="right" w:pos="8306"/>
      </w:tabs>
      <w:snapToGrid w:val="0"/>
      <w:jc w:val="left"/>
    </w:pPr>
    <w:rPr>
      <w:sz w:val="18"/>
      <w:szCs w:val="18"/>
    </w:rPr>
  </w:style>
  <w:style w:type="paragraph" w:styleId="27">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29">
    <w:name w:val="List"/>
    <w:basedOn w:val="1"/>
    <w:qFormat/>
    <w:uiPriority w:val="0"/>
    <w:pPr>
      <w:ind w:left="200" w:hanging="200" w:hangingChars="200"/>
    </w:pPr>
  </w:style>
  <w:style w:type="paragraph" w:styleId="30">
    <w:name w:val="footnote text"/>
    <w:basedOn w:val="1"/>
    <w:qFormat/>
    <w:uiPriority w:val="0"/>
    <w:pPr>
      <w:snapToGrid w:val="0"/>
      <w:jc w:val="left"/>
    </w:pPr>
    <w:rPr>
      <w:sz w:val="18"/>
    </w:rPr>
  </w:style>
  <w:style w:type="paragraph" w:styleId="31">
    <w:name w:val="Body Text Indent 3"/>
    <w:basedOn w:val="1"/>
    <w:link w:val="65"/>
    <w:qFormat/>
    <w:uiPriority w:val="0"/>
    <w:pPr>
      <w:ind w:left="645" w:firstLine="645"/>
    </w:pPr>
    <w:rPr>
      <w:rFonts w:ascii="Arial" w:hAnsi="Arial" w:eastAsia="仿宋_GB2312" w:cs="Arial"/>
      <w:color w:val="FFFF00"/>
      <w:sz w:val="32"/>
      <w:szCs w:val="32"/>
    </w:rPr>
  </w:style>
  <w:style w:type="paragraph" w:styleId="32">
    <w:name w:val="toc 2"/>
    <w:basedOn w:val="1"/>
    <w:next w:val="1"/>
    <w:qFormat/>
    <w:uiPriority w:val="39"/>
    <w:pPr>
      <w:ind w:left="210"/>
      <w:jc w:val="left"/>
    </w:pPr>
    <w:rPr>
      <w:smallCaps/>
      <w:szCs w:val="24"/>
    </w:rPr>
  </w:style>
  <w:style w:type="paragraph" w:styleId="33">
    <w:name w:val="Body Text 2"/>
    <w:basedOn w:val="1"/>
    <w:link w:val="66"/>
    <w:qFormat/>
    <w:uiPriority w:val="0"/>
    <w:pPr>
      <w:widowControl/>
      <w:jc w:val="center"/>
    </w:pPr>
    <w:rPr>
      <w:rFonts w:ascii="楷体_GB2312" w:eastAsia="楷体_GB2312"/>
      <w:sz w:val="28"/>
      <w:szCs w:val="28"/>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6"/>
    <w:next w:val="16"/>
    <w:link w:val="67"/>
    <w:semiHidden/>
    <w:qFormat/>
    <w:uiPriority w:val="0"/>
    <w:rPr>
      <w:b/>
      <w:bCs/>
    </w:rPr>
  </w:style>
  <w:style w:type="paragraph" w:styleId="36">
    <w:name w:val="Body Text First Indent 2"/>
    <w:basedOn w:val="19"/>
    <w:link w:val="68"/>
    <w:qFormat/>
    <w:uiPriority w:val="0"/>
    <w:pPr>
      <w:spacing w:line="360" w:lineRule="auto"/>
      <w:ind w:firstLine="420" w:firstLineChars="200"/>
    </w:pPr>
    <w:rPr>
      <w:rFonts w:ascii="宋体" w:hAnsi="宋体" w:eastAsia="宋体"/>
      <w:sz w:val="21"/>
      <w:szCs w:val="20"/>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customStyle="1" w:styleId="44">
    <w:name w:val="正文文本 Char"/>
    <w:link w:val="3"/>
    <w:qFormat/>
    <w:uiPriority w:val="0"/>
    <w:rPr>
      <w:rFonts w:ascii="楷体_GB2312" w:hAnsi="Arial" w:eastAsia="楷体_GB2312"/>
      <w:kern w:val="2"/>
      <w:sz w:val="28"/>
      <w:szCs w:val="28"/>
      <w:lang w:val="en-US" w:eastAsia="zh-CN" w:bidi="ar-SA"/>
    </w:rPr>
  </w:style>
  <w:style w:type="character" w:customStyle="1" w:styleId="45">
    <w:name w:val="正文首行缩进 Char1"/>
    <w:link w:val="2"/>
    <w:qFormat/>
    <w:uiPriority w:val="0"/>
    <w:rPr>
      <w:rFonts w:ascii="仿宋_GB2312" w:eastAsia="仿宋_GB2312"/>
      <w:kern w:val="2"/>
      <w:sz w:val="30"/>
      <w:szCs w:val="30"/>
      <w:lang w:val="en-US" w:eastAsia="zh-CN" w:bidi="ar-SA"/>
    </w:rPr>
  </w:style>
  <w:style w:type="character" w:customStyle="1" w:styleId="46">
    <w:name w:val="标题 1 Char"/>
    <w:link w:val="4"/>
    <w:qFormat/>
    <w:uiPriority w:val="0"/>
    <w:rPr>
      <w:rFonts w:ascii="楷体_GB2312" w:eastAsia="楷体_GB2312"/>
      <w:kern w:val="2"/>
      <w:sz w:val="28"/>
      <w:szCs w:val="28"/>
      <w:lang w:val="en-US" w:eastAsia="zh-CN" w:bidi="ar-SA"/>
    </w:rPr>
  </w:style>
  <w:style w:type="character" w:customStyle="1" w:styleId="47">
    <w:name w:val="标题 2 Char"/>
    <w:link w:val="5"/>
    <w:qFormat/>
    <w:uiPriority w:val="0"/>
    <w:rPr>
      <w:rFonts w:ascii="Arial" w:hAnsi="Arial" w:eastAsia="黑体" w:cs="Arial"/>
      <w:b/>
      <w:bCs/>
      <w:kern w:val="2"/>
      <w:sz w:val="44"/>
      <w:szCs w:val="44"/>
      <w:lang w:val="en-US" w:eastAsia="zh-CN" w:bidi="ar-SA"/>
    </w:rPr>
  </w:style>
  <w:style w:type="character" w:customStyle="1" w:styleId="48">
    <w:name w:val="标题 3 Char"/>
    <w:link w:val="6"/>
    <w:qFormat/>
    <w:uiPriority w:val="0"/>
    <w:rPr>
      <w:rFonts w:eastAsia="宋体"/>
      <w:b/>
      <w:bCs/>
      <w:kern w:val="2"/>
      <w:sz w:val="32"/>
      <w:szCs w:val="32"/>
      <w:lang w:val="en-US" w:eastAsia="zh-CN" w:bidi="ar-SA"/>
    </w:rPr>
  </w:style>
  <w:style w:type="character" w:customStyle="1" w:styleId="49">
    <w:name w:val="标题 4 Char"/>
    <w:link w:val="7"/>
    <w:qFormat/>
    <w:uiPriority w:val="0"/>
    <w:rPr>
      <w:rFonts w:ascii="Arial" w:hAnsi="Arial" w:eastAsia="宋体" w:cs="Arial"/>
      <w:b/>
      <w:kern w:val="2"/>
      <w:sz w:val="28"/>
      <w:szCs w:val="28"/>
      <w:lang w:val="en-US" w:eastAsia="zh-CN" w:bidi="ar-SA"/>
    </w:rPr>
  </w:style>
  <w:style w:type="character" w:customStyle="1" w:styleId="50">
    <w:name w:val="正文缩进 Char1"/>
    <w:link w:val="8"/>
    <w:qFormat/>
    <w:uiPriority w:val="0"/>
    <w:rPr>
      <w:rFonts w:eastAsia="宋体"/>
      <w:kern w:val="2"/>
      <w:sz w:val="21"/>
      <w:szCs w:val="21"/>
      <w:lang w:bidi="ar-SA"/>
    </w:rPr>
  </w:style>
  <w:style w:type="character" w:customStyle="1" w:styleId="51">
    <w:name w:val="标题 5 Char"/>
    <w:link w:val="9"/>
    <w:qFormat/>
    <w:uiPriority w:val="0"/>
    <w:rPr>
      <w:rFonts w:ascii="宋体" w:eastAsia="宋体"/>
      <w:color w:val="000000"/>
      <w:sz w:val="28"/>
      <w:szCs w:val="28"/>
      <w:lang w:val="en-US" w:eastAsia="zh-CN" w:bidi="ar-SA"/>
    </w:rPr>
  </w:style>
  <w:style w:type="character" w:customStyle="1" w:styleId="52">
    <w:name w:val="标题 6 Char"/>
    <w:link w:val="10"/>
    <w:qFormat/>
    <w:uiPriority w:val="0"/>
    <w:rPr>
      <w:rFonts w:ascii="Arial" w:hAnsi="Arial" w:eastAsia="黑体"/>
      <w:b/>
      <w:bCs/>
      <w:kern w:val="2"/>
      <w:sz w:val="24"/>
      <w:szCs w:val="24"/>
      <w:lang w:val="en-US" w:eastAsia="zh-CN" w:bidi="ar-SA"/>
    </w:rPr>
  </w:style>
  <w:style w:type="character" w:customStyle="1" w:styleId="53">
    <w:name w:val="标题 7 Char"/>
    <w:link w:val="11"/>
    <w:qFormat/>
    <w:uiPriority w:val="0"/>
    <w:rPr>
      <w:rFonts w:eastAsia="宋体"/>
      <w:b/>
      <w:bCs/>
      <w:kern w:val="2"/>
      <w:sz w:val="24"/>
      <w:szCs w:val="24"/>
      <w:lang w:val="en-US" w:eastAsia="zh-CN" w:bidi="ar-SA"/>
    </w:rPr>
  </w:style>
  <w:style w:type="character" w:customStyle="1" w:styleId="54">
    <w:name w:val="标题 8 Char"/>
    <w:link w:val="12"/>
    <w:qFormat/>
    <w:uiPriority w:val="0"/>
    <w:rPr>
      <w:rFonts w:ascii="Arial" w:hAnsi="Arial" w:eastAsia="黑体"/>
      <w:kern w:val="2"/>
      <w:sz w:val="24"/>
      <w:szCs w:val="24"/>
      <w:lang w:val="en-US" w:eastAsia="zh-CN" w:bidi="ar-SA"/>
    </w:rPr>
  </w:style>
  <w:style w:type="character" w:customStyle="1" w:styleId="55">
    <w:name w:val="标题 9 Char"/>
    <w:link w:val="13"/>
    <w:qFormat/>
    <w:uiPriority w:val="0"/>
    <w:rPr>
      <w:rFonts w:ascii="Arial" w:hAnsi="Arial" w:eastAsia="黑体"/>
      <w:kern w:val="2"/>
      <w:sz w:val="21"/>
      <w:szCs w:val="21"/>
      <w:lang w:val="en-US" w:eastAsia="zh-CN" w:bidi="ar-SA"/>
    </w:rPr>
  </w:style>
  <w:style w:type="character" w:customStyle="1" w:styleId="56">
    <w:name w:val="文档结构图 Char"/>
    <w:link w:val="15"/>
    <w:semiHidden/>
    <w:qFormat/>
    <w:uiPriority w:val="0"/>
    <w:rPr>
      <w:rFonts w:eastAsia="宋体"/>
      <w:kern w:val="2"/>
      <w:sz w:val="21"/>
      <w:szCs w:val="21"/>
      <w:lang w:bidi="ar-SA"/>
    </w:rPr>
  </w:style>
  <w:style w:type="character" w:customStyle="1" w:styleId="57">
    <w:name w:val="正文文本 3 Char"/>
    <w:link w:val="18"/>
    <w:qFormat/>
    <w:uiPriority w:val="0"/>
    <w:rPr>
      <w:rFonts w:ascii="仿宋_GB2312" w:hAnsi="Arial" w:eastAsia="仿宋_GB2312"/>
      <w:kern w:val="2"/>
      <w:sz w:val="32"/>
      <w:szCs w:val="32"/>
      <w:lang w:val="en-US" w:eastAsia="zh-CN" w:bidi="ar-SA"/>
    </w:rPr>
  </w:style>
  <w:style w:type="character" w:customStyle="1" w:styleId="58">
    <w:name w:val="正文文本缩进 Char"/>
    <w:link w:val="19"/>
    <w:qFormat/>
    <w:uiPriority w:val="0"/>
    <w:rPr>
      <w:rFonts w:ascii="楷体_GB2312" w:eastAsia="楷体_GB2312"/>
      <w:kern w:val="2"/>
      <w:sz w:val="32"/>
      <w:szCs w:val="32"/>
      <w:lang w:val="en-US" w:eastAsia="zh-CN" w:bidi="ar-SA"/>
    </w:rPr>
  </w:style>
  <w:style w:type="character" w:customStyle="1" w:styleId="59">
    <w:name w:val="纯文本 Char"/>
    <w:link w:val="22"/>
    <w:qFormat/>
    <w:uiPriority w:val="0"/>
    <w:rPr>
      <w:rFonts w:ascii="宋体" w:hAnsi="Courier New" w:eastAsia="宋体" w:cs="Courier New"/>
      <w:kern w:val="2"/>
      <w:sz w:val="21"/>
      <w:szCs w:val="21"/>
      <w:lang w:val="en-US" w:eastAsia="zh-CN" w:bidi="ar-SA"/>
    </w:rPr>
  </w:style>
  <w:style w:type="character" w:customStyle="1" w:styleId="60">
    <w:name w:val="日期 Char"/>
    <w:link w:val="23"/>
    <w:qFormat/>
    <w:uiPriority w:val="0"/>
    <w:rPr>
      <w:rFonts w:eastAsia="宋体"/>
      <w:kern w:val="2"/>
      <w:sz w:val="24"/>
      <w:szCs w:val="24"/>
      <w:lang w:val="en-US" w:eastAsia="zh-CN" w:bidi="ar-SA"/>
    </w:rPr>
  </w:style>
  <w:style w:type="character" w:customStyle="1" w:styleId="61">
    <w:name w:val="正文文本缩进 2 Char"/>
    <w:link w:val="24"/>
    <w:qFormat/>
    <w:uiPriority w:val="0"/>
    <w:rPr>
      <w:rFonts w:ascii="Arial" w:hAnsi="Arial" w:eastAsia="仿宋_GB2312" w:cs="Arial"/>
      <w:kern w:val="2"/>
      <w:sz w:val="32"/>
      <w:szCs w:val="32"/>
      <w:lang w:val="en-US" w:eastAsia="zh-CN" w:bidi="ar-SA"/>
    </w:rPr>
  </w:style>
  <w:style w:type="character" w:customStyle="1" w:styleId="62">
    <w:name w:val="批注框文本 Char"/>
    <w:link w:val="25"/>
    <w:semiHidden/>
    <w:qFormat/>
    <w:uiPriority w:val="0"/>
    <w:rPr>
      <w:rFonts w:eastAsia="宋体"/>
      <w:kern w:val="2"/>
      <w:sz w:val="18"/>
      <w:szCs w:val="18"/>
      <w:lang w:val="en-US" w:eastAsia="zh-CN" w:bidi="ar-SA"/>
    </w:rPr>
  </w:style>
  <w:style w:type="character" w:customStyle="1" w:styleId="63">
    <w:name w:val="页脚 Char"/>
    <w:link w:val="26"/>
    <w:qFormat/>
    <w:uiPriority w:val="0"/>
    <w:rPr>
      <w:rFonts w:eastAsia="宋体"/>
      <w:kern w:val="2"/>
      <w:sz w:val="18"/>
      <w:szCs w:val="18"/>
      <w:lang w:bidi="ar-SA"/>
    </w:rPr>
  </w:style>
  <w:style w:type="character" w:customStyle="1" w:styleId="64">
    <w:name w:val="页眉 Char"/>
    <w:link w:val="27"/>
    <w:qFormat/>
    <w:uiPriority w:val="0"/>
    <w:rPr>
      <w:rFonts w:eastAsia="宋体"/>
      <w:kern w:val="2"/>
      <w:sz w:val="18"/>
      <w:szCs w:val="18"/>
      <w:lang w:val="en-US" w:eastAsia="zh-CN" w:bidi="ar-SA"/>
    </w:rPr>
  </w:style>
  <w:style w:type="character" w:customStyle="1" w:styleId="65">
    <w:name w:val="正文文本缩进 3 Char"/>
    <w:link w:val="31"/>
    <w:qFormat/>
    <w:uiPriority w:val="0"/>
    <w:rPr>
      <w:rFonts w:ascii="Arial" w:hAnsi="Arial" w:eastAsia="仿宋_GB2312" w:cs="Arial"/>
      <w:color w:val="FFFF00"/>
      <w:kern w:val="2"/>
      <w:sz w:val="32"/>
      <w:szCs w:val="32"/>
      <w:lang w:val="en-US" w:eastAsia="zh-CN" w:bidi="ar-SA"/>
    </w:rPr>
  </w:style>
  <w:style w:type="character" w:customStyle="1" w:styleId="66">
    <w:name w:val="正文文本 2 Char"/>
    <w:link w:val="33"/>
    <w:qFormat/>
    <w:uiPriority w:val="0"/>
    <w:rPr>
      <w:rFonts w:ascii="楷体_GB2312" w:eastAsia="楷体_GB2312"/>
      <w:kern w:val="2"/>
      <w:sz w:val="28"/>
      <w:szCs w:val="28"/>
      <w:lang w:val="en-US" w:eastAsia="zh-CN" w:bidi="ar-SA"/>
    </w:rPr>
  </w:style>
  <w:style w:type="character" w:customStyle="1" w:styleId="67">
    <w:name w:val="批注主题 Char"/>
    <w:link w:val="35"/>
    <w:semiHidden/>
    <w:qFormat/>
    <w:uiPriority w:val="0"/>
    <w:rPr>
      <w:rFonts w:eastAsia="宋体"/>
      <w:b/>
      <w:bCs/>
      <w:kern w:val="2"/>
      <w:sz w:val="21"/>
      <w:szCs w:val="21"/>
      <w:lang w:val="en-US" w:eastAsia="zh-CN" w:bidi="ar-SA"/>
    </w:rPr>
  </w:style>
  <w:style w:type="character" w:customStyle="1" w:styleId="68">
    <w:name w:val="正文首行缩进 2 Char"/>
    <w:link w:val="36"/>
    <w:qFormat/>
    <w:uiPriority w:val="0"/>
    <w:rPr>
      <w:rFonts w:ascii="宋体" w:hAnsi="宋体" w:eastAsia="宋体"/>
      <w:kern w:val="2"/>
      <w:sz w:val="21"/>
      <w:lang w:val="en-US" w:eastAsia="zh-CN" w:bidi="ar-SA"/>
    </w:rPr>
  </w:style>
  <w:style w:type="paragraph" w:customStyle="1" w:styleId="6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70">
    <w:name w:val="正文缩进 Char"/>
    <w:qFormat/>
    <w:uiPriority w:val="0"/>
    <w:rPr>
      <w:kern w:val="2"/>
      <w:sz w:val="21"/>
      <w:szCs w:val="21"/>
    </w:rPr>
  </w:style>
  <w:style w:type="character" w:customStyle="1" w:styleId="71">
    <w:name w:val="Char Char6"/>
    <w:qFormat/>
    <w:uiPriority w:val="0"/>
    <w:rPr>
      <w:rFonts w:ascii="Times New Roman" w:hAnsi="Times New Roman" w:eastAsia="宋体" w:cs="Times New Roman"/>
      <w:sz w:val="18"/>
      <w:szCs w:val="18"/>
    </w:rPr>
  </w:style>
  <w:style w:type="character" w:customStyle="1" w:styleId="72">
    <w:name w:val="二级目录 Char"/>
    <w:link w:val="73"/>
    <w:qFormat/>
    <w:uiPriority w:val="0"/>
    <w:rPr>
      <w:rFonts w:eastAsia="Times New Roman"/>
      <w:b/>
      <w:kern w:val="2"/>
      <w:sz w:val="30"/>
      <w:szCs w:val="28"/>
      <w:lang w:val="en-US" w:eastAsia="zh-CN" w:bidi="ar-SA"/>
    </w:rPr>
  </w:style>
  <w:style w:type="paragraph" w:customStyle="1" w:styleId="73">
    <w:name w:val="二级目录"/>
    <w:next w:val="1"/>
    <w:link w:val="72"/>
    <w:qFormat/>
    <w:uiPriority w:val="0"/>
    <w:pPr>
      <w:tabs>
        <w:tab w:val="left" w:pos="907"/>
        <w:tab w:val="left" w:pos="1145"/>
      </w:tabs>
      <w:ind w:left="907" w:hanging="907"/>
      <w:outlineLvl w:val="1"/>
    </w:pPr>
    <w:rPr>
      <w:rFonts w:ascii="Times New Roman" w:hAnsi="Times New Roman" w:eastAsia="Times New Roman" w:cs="Times New Roman"/>
      <w:b/>
      <w:kern w:val="2"/>
      <w:sz w:val="30"/>
      <w:szCs w:val="28"/>
      <w:lang w:val="en-US" w:eastAsia="zh-CN" w:bidi="ar-SA"/>
    </w:rPr>
  </w:style>
  <w:style w:type="character" w:customStyle="1" w:styleId="74">
    <w:name w:val="正文首行缩进 Char"/>
    <w:qFormat/>
    <w:uiPriority w:val="0"/>
    <w:rPr>
      <w:rFonts w:ascii="仿宋_GB2312" w:hAnsi="Times New Roman" w:eastAsia="仿宋_GB2312" w:cs="Times New Roman"/>
      <w:kern w:val="2"/>
      <w:sz w:val="30"/>
      <w:szCs w:val="30"/>
    </w:rPr>
  </w:style>
  <w:style w:type="character" w:customStyle="1" w:styleId="75">
    <w:name w:val="列出段落 Char"/>
    <w:link w:val="76"/>
    <w:qFormat/>
    <w:locked/>
    <w:uiPriority w:val="0"/>
    <w:rPr>
      <w:rFonts w:ascii="Calibri" w:hAnsi="Calibri"/>
      <w:sz w:val="24"/>
      <w:szCs w:val="24"/>
      <w:lang w:eastAsia="en-US" w:bidi="en-US"/>
    </w:rPr>
  </w:style>
  <w:style w:type="paragraph" w:customStyle="1" w:styleId="76">
    <w:name w:val="列出段落1"/>
    <w:basedOn w:val="1"/>
    <w:link w:val="75"/>
    <w:qFormat/>
    <w:uiPriority w:val="0"/>
    <w:pPr>
      <w:widowControl/>
      <w:ind w:left="720"/>
      <w:contextualSpacing/>
      <w:jc w:val="left"/>
    </w:pPr>
    <w:rPr>
      <w:kern w:val="0"/>
      <w:sz w:val="24"/>
      <w:szCs w:val="24"/>
      <w:lang w:eastAsia="en-US" w:bidi="en-US"/>
    </w:rPr>
  </w:style>
  <w:style w:type="character" w:customStyle="1" w:styleId="77">
    <w:name w:val="正文格式 Char"/>
    <w:link w:val="78"/>
    <w:qFormat/>
    <w:uiPriority w:val="0"/>
    <w:rPr>
      <w:rFonts w:eastAsia="仿宋_GB2312"/>
      <w:sz w:val="28"/>
      <w:lang w:bidi="ar-SA"/>
    </w:rPr>
  </w:style>
  <w:style w:type="paragraph" w:customStyle="1" w:styleId="78">
    <w:name w:val="正文格式"/>
    <w:basedOn w:val="1"/>
    <w:link w:val="77"/>
    <w:qFormat/>
    <w:uiPriority w:val="0"/>
    <w:pPr>
      <w:widowControl/>
      <w:adjustRightInd w:val="0"/>
      <w:snapToGrid w:val="0"/>
      <w:spacing w:before="100" w:beforeAutospacing="1" w:line="360" w:lineRule="auto"/>
      <w:ind w:firstLine="200" w:firstLineChars="200"/>
      <w:textAlignment w:val="baseline"/>
    </w:pPr>
    <w:rPr>
      <w:rFonts w:eastAsia="仿宋_GB2312"/>
      <w:kern w:val="0"/>
      <w:sz w:val="28"/>
      <w:szCs w:val="20"/>
    </w:rPr>
  </w:style>
  <w:style w:type="character" w:customStyle="1" w:styleId="79">
    <w:name w:val="Char Char2"/>
    <w:qFormat/>
    <w:uiPriority w:val="0"/>
    <w:rPr>
      <w:rFonts w:ascii="Times New Roman" w:hAnsi="Times New Roman" w:eastAsia="宋体" w:cs="Times New Roman"/>
      <w:szCs w:val="21"/>
    </w:rPr>
  </w:style>
  <w:style w:type="character" w:customStyle="1" w:styleId="80">
    <w:name w:val="font5 Char"/>
    <w:qFormat/>
    <w:uiPriority w:val="0"/>
    <w:rPr>
      <w:rFonts w:ascii="宋体" w:hAnsi="宋体" w:eastAsia="宋体"/>
      <w:sz w:val="28"/>
      <w:szCs w:val="28"/>
      <w:lang w:val="en-US" w:eastAsia="zh-CN" w:bidi="ar-SA"/>
    </w:rPr>
  </w:style>
  <w:style w:type="character" w:customStyle="1" w:styleId="81">
    <w:name w:val="正文首行缩进（qhb） Char"/>
    <w:link w:val="82"/>
    <w:qFormat/>
    <w:uiPriority w:val="0"/>
    <w:rPr>
      <w:rFonts w:ascii="Arial" w:hAnsi="Arial"/>
      <w:sz w:val="24"/>
      <w:szCs w:val="21"/>
    </w:rPr>
  </w:style>
  <w:style w:type="paragraph" w:customStyle="1" w:styleId="82">
    <w:name w:val="正文首行缩进（qhb）"/>
    <w:basedOn w:val="1"/>
    <w:link w:val="81"/>
    <w:qFormat/>
    <w:uiPriority w:val="0"/>
    <w:pPr>
      <w:widowControl/>
      <w:spacing w:after="50" w:line="360" w:lineRule="auto"/>
      <w:ind w:firstLine="200" w:firstLineChars="200"/>
      <w:jc w:val="left"/>
    </w:pPr>
    <w:rPr>
      <w:rFonts w:ascii="Arial" w:hAnsi="Arial"/>
      <w:kern w:val="0"/>
      <w:sz w:val="24"/>
    </w:rPr>
  </w:style>
  <w:style w:type="paragraph" w:customStyle="1" w:styleId="83">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84">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85">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86">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89">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92">
    <w:name w:val="table_1stline"/>
    <w:basedOn w:val="1"/>
    <w:qFormat/>
    <w:uiPriority w:val="0"/>
    <w:pPr>
      <w:widowControl/>
      <w:spacing w:before="120"/>
      <w:jc w:val="left"/>
    </w:pPr>
    <w:rPr>
      <w:bCs/>
      <w:kern w:val="0"/>
      <w:sz w:val="20"/>
      <w:szCs w:val="20"/>
      <w:lang w:val="de-DE" w:eastAsia="de-DE"/>
    </w:rPr>
  </w:style>
  <w:style w:type="paragraph" w:customStyle="1" w:styleId="93">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4">
    <w:name w:val="Char2 Char1 Char"/>
    <w:basedOn w:val="1"/>
    <w:qFormat/>
    <w:uiPriority w:val="0"/>
    <w:pPr>
      <w:tabs>
        <w:tab w:val="left" w:pos="360"/>
      </w:tabs>
    </w:pPr>
    <w:rPr>
      <w:rFonts w:eastAsia="方正仿宋简体"/>
      <w:sz w:val="24"/>
      <w:szCs w:val="32"/>
    </w:rPr>
  </w:style>
  <w:style w:type="paragraph" w:customStyle="1" w:styleId="95">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96">
    <w:name w:val="Char Char Char Char"/>
    <w:basedOn w:val="15"/>
    <w:qFormat/>
    <w:uiPriority w:val="0"/>
    <w:pPr>
      <w:adjustRightInd w:val="0"/>
      <w:snapToGrid w:val="0"/>
      <w:spacing w:line="360" w:lineRule="auto"/>
    </w:pPr>
    <w:rPr>
      <w:rFonts w:ascii="Tahoma" w:hAnsi="Tahoma"/>
      <w:sz w:val="24"/>
      <w:szCs w:val="24"/>
    </w:rPr>
  </w:style>
  <w:style w:type="paragraph" w:customStyle="1" w:styleId="97">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98">
    <w:name w:val="4"/>
    <w:basedOn w:val="1"/>
    <w:next w:val="31"/>
    <w:qFormat/>
    <w:uiPriority w:val="0"/>
    <w:pPr>
      <w:spacing w:line="360" w:lineRule="auto"/>
      <w:ind w:firstLine="420"/>
    </w:pPr>
    <w:rPr>
      <w:color w:val="FF0000"/>
      <w:sz w:val="24"/>
      <w:szCs w:val="24"/>
    </w:rPr>
  </w:style>
  <w:style w:type="paragraph" w:styleId="99">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100">
    <w:name w:val="Char 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01">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2">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103">
    <w:name w:val="font7"/>
    <w:basedOn w:val="1"/>
    <w:qFormat/>
    <w:uiPriority w:val="0"/>
    <w:pPr>
      <w:widowControl/>
      <w:numPr>
        <w:ilvl w:val="0"/>
        <w:numId w:val="2"/>
      </w:numPr>
      <w:tabs>
        <w:tab w:val="clear" w:pos="709"/>
      </w:tabs>
      <w:spacing w:before="100" w:beforeAutospacing="1" w:after="100" w:afterAutospacing="1"/>
      <w:ind w:left="0" w:firstLine="0"/>
      <w:jc w:val="left"/>
    </w:pPr>
    <w:rPr>
      <w:rFonts w:hint="eastAsia" w:ascii="宋体" w:hAnsi="宋体"/>
      <w:kern w:val="0"/>
      <w:sz w:val="18"/>
      <w:szCs w:val="18"/>
    </w:rPr>
  </w:style>
  <w:style w:type="paragraph" w:customStyle="1" w:styleId="104">
    <w:name w:val="Char"/>
    <w:basedOn w:val="15"/>
    <w:qFormat/>
    <w:uiPriority w:val="0"/>
    <w:rPr>
      <w:rFonts w:ascii="Tahoma" w:hAnsi="Tahoma"/>
      <w:sz w:val="24"/>
      <w:szCs w:val="24"/>
    </w:rPr>
  </w:style>
  <w:style w:type="paragraph" w:customStyle="1" w:styleId="105">
    <w:name w:val="Char Char Char Char1"/>
    <w:basedOn w:val="15"/>
    <w:qFormat/>
    <w:uiPriority w:val="0"/>
    <w:pPr>
      <w:adjustRightInd w:val="0"/>
      <w:snapToGrid w:val="0"/>
      <w:spacing w:line="360" w:lineRule="auto"/>
    </w:pPr>
    <w:rPr>
      <w:rFonts w:ascii="Tahoma" w:hAnsi="Tahoma"/>
      <w:kern w:val="0"/>
      <w:sz w:val="24"/>
      <w:szCs w:val="24"/>
    </w:rPr>
  </w:style>
  <w:style w:type="paragraph" w:customStyle="1" w:styleId="106">
    <w:name w:val="列表内容"/>
    <w:basedOn w:val="1"/>
    <w:next w:val="1"/>
    <w:qFormat/>
    <w:uiPriority w:val="0"/>
    <w:pPr>
      <w:widowControl/>
      <w:numPr>
        <w:ilvl w:val="0"/>
        <w:numId w:val="3"/>
      </w:numPr>
      <w:tabs>
        <w:tab w:val="left" w:pos="840"/>
      </w:tabs>
      <w:jc w:val="left"/>
    </w:pPr>
    <w:rPr>
      <w:kern w:val="0"/>
      <w:sz w:val="18"/>
      <w:szCs w:val="24"/>
    </w:rPr>
  </w:style>
  <w:style w:type="paragraph" w:customStyle="1" w:styleId="107">
    <w:name w:val="font5"/>
    <w:basedOn w:val="1"/>
    <w:qFormat/>
    <w:uiPriority w:val="0"/>
    <w:pPr>
      <w:widowControl/>
      <w:numPr>
        <w:ilvl w:val="0"/>
        <w:numId w:val="4"/>
      </w:numPr>
      <w:tabs>
        <w:tab w:val="clear" w:pos="907"/>
      </w:tabs>
      <w:spacing w:before="100" w:beforeAutospacing="1" w:after="100" w:afterAutospacing="1"/>
      <w:ind w:left="0" w:firstLine="0"/>
      <w:jc w:val="left"/>
    </w:pPr>
    <w:rPr>
      <w:rFonts w:hint="eastAsia" w:ascii="宋体" w:hAnsi="宋体"/>
      <w:kern w:val="0"/>
      <w:sz w:val="28"/>
      <w:szCs w:val="28"/>
    </w:rPr>
  </w:style>
  <w:style w:type="paragraph" w:customStyle="1" w:styleId="108">
    <w:name w:val="列出段落2"/>
    <w:basedOn w:val="1"/>
    <w:qFormat/>
    <w:uiPriority w:val="99"/>
    <w:pPr>
      <w:ind w:firstLine="420" w:firstLineChars="200"/>
    </w:pPr>
  </w:style>
  <w:style w:type="paragraph" w:customStyle="1" w:styleId="109">
    <w:name w:val="Char1"/>
    <w:basedOn w:val="1"/>
    <w:qFormat/>
    <w:uiPriority w:val="0"/>
    <w:pPr>
      <w:tabs>
        <w:tab w:val="left" w:pos="360"/>
      </w:tabs>
      <w:ind w:firstLine="200" w:firstLineChars="200"/>
    </w:pPr>
    <w:rPr>
      <w:sz w:val="28"/>
      <w:szCs w:val="30"/>
    </w:rPr>
  </w:style>
  <w:style w:type="paragraph" w:customStyle="1" w:styleId="110">
    <w:name w:val="TOC Heading"/>
    <w:basedOn w:val="4"/>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111">
    <w:name w:val="table_lines"/>
    <w:basedOn w:val="1"/>
    <w:qFormat/>
    <w:uiPriority w:val="0"/>
    <w:pPr>
      <w:widowControl/>
      <w:jc w:val="left"/>
    </w:pPr>
    <w:rPr>
      <w:kern w:val="0"/>
      <w:sz w:val="20"/>
      <w:szCs w:val="20"/>
      <w:lang w:val="de-DE" w:eastAsia="de-DE"/>
    </w:rPr>
  </w:style>
  <w:style w:type="paragraph" w:customStyle="1" w:styleId="112">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3">
    <w:name w:val="_Style 4"/>
    <w:basedOn w:val="15"/>
    <w:qFormat/>
    <w:uiPriority w:val="0"/>
    <w:pPr>
      <w:shd w:val="clear" w:color="auto" w:fill="auto"/>
      <w:spacing w:line="360" w:lineRule="auto"/>
      <w:jc w:val="left"/>
    </w:pPr>
    <w:rPr>
      <w:kern w:val="0"/>
      <w:sz w:val="20"/>
      <w:szCs w:val="20"/>
    </w:rPr>
  </w:style>
  <w:style w:type="paragraph" w:customStyle="1" w:styleId="114">
    <w:name w:val="Char Char Char Char2"/>
    <w:basedOn w:val="15"/>
    <w:qFormat/>
    <w:uiPriority w:val="0"/>
    <w:pPr>
      <w:adjustRightInd w:val="0"/>
      <w:snapToGrid w:val="0"/>
      <w:spacing w:line="360" w:lineRule="auto"/>
    </w:pPr>
    <w:rPr>
      <w:rFonts w:ascii="Tahoma" w:hAnsi="Tahoma"/>
      <w:sz w:val="24"/>
      <w:szCs w:val="24"/>
    </w:rPr>
  </w:style>
  <w:style w:type="paragraph" w:customStyle="1" w:styleId="115">
    <w:name w:val="Char Char Char Char Char Char Char Char Char Char"/>
    <w:basedOn w:val="1"/>
    <w:qFormat/>
    <w:uiPriority w:val="0"/>
    <w:pPr>
      <w:adjustRightInd w:val="0"/>
      <w:spacing w:line="360" w:lineRule="auto"/>
    </w:pPr>
    <w:rPr>
      <w:kern w:val="0"/>
      <w:sz w:val="24"/>
      <w:szCs w:val="20"/>
    </w:rPr>
  </w:style>
  <w:style w:type="paragraph" w:customStyle="1" w:styleId="116">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17">
    <w:name w:val="Body Text(ch)"/>
    <w:basedOn w:val="1"/>
    <w:next w:val="3"/>
    <w:qFormat/>
    <w:uiPriority w:val="0"/>
    <w:pPr>
      <w:spacing w:after="120"/>
    </w:pPr>
    <w:rPr>
      <w:rFonts w:ascii="宋体" w:hAnsi="Arial"/>
      <w:bCs/>
      <w:iCs/>
      <w:szCs w:val="24"/>
    </w:rPr>
  </w:style>
  <w:style w:type="paragraph" w:customStyle="1" w:styleId="118">
    <w:name w:val="_Style 3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1">
    <w:name w:val="Char2"/>
    <w:basedOn w:val="1"/>
    <w:qFormat/>
    <w:uiPriority w:val="0"/>
    <w:pPr>
      <w:tabs>
        <w:tab w:val="left" w:pos="360"/>
      </w:tabs>
      <w:ind w:firstLine="200" w:firstLineChars="200"/>
    </w:pPr>
    <w:rPr>
      <w:sz w:val="28"/>
      <w:szCs w:val="30"/>
    </w:rPr>
  </w:style>
  <w:style w:type="paragraph" w:customStyle="1" w:styleId="12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character" w:customStyle="1" w:styleId="123">
    <w:name w:val="font71"/>
    <w:basedOn w:val="38"/>
    <w:qFormat/>
    <w:uiPriority w:val="0"/>
    <w:rPr>
      <w:rFonts w:hint="eastAsia" w:ascii="楷体_GB2312" w:eastAsia="楷体_GB2312" w:cs="楷体_GB2312"/>
      <w:color w:val="000000"/>
      <w:sz w:val="24"/>
      <w:szCs w:val="24"/>
      <w:u w:val="none"/>
    </w:rPr>
  </w:style>
  <w:style w:type="character" w:customStyle="1" w:styleId="124">
    <w:name w:val="font31"/>
    <w:basedOn w:val="38"/>
    <w:qFormat/>
    <w:uiPriority w:val="0"/>
    <w:rPr>
      <w:rFonts w:hint="eastAsia" w:ascii="黑体" w:hAnsi="宋体" w:eastAsia="黑体" w:cs="黑体"/>
      <w:color w:val="000000"/>
      <w:sz w:val="44"/>
      <w:szCs w:val="44"/>
      <w:u w:val="none"/>
    </w:rPr>
  </w:style>
  <w:style w:type="character" w:customStyle="1" w:styleId="125">
    <w:name w:val="font41"/>
    <w:basedOn w:val="38"/>
    <w:qFormat/>
    <w:uiPriority w:val="0"/>
    <w:rPr>
      <w:rFonts w:hint="eastAsia" w:ascii="黑体" w:hAnsi="宋体" w:eastAsia="黑体" w:cs="黑体"/>
      <w:color w:val="000000"/>
      <w:sz w:val="40"/>
      <w:szCs w:val="40"/>
      <w:u w:val="none"/>
    </w:rPr>
  </w:style>
  <w:style w:type="character" w:customStyle="1" w:styleId="126">
    <w:name w:val="font51"/>
    <w:basedOn w:val="38"/>
    <w:qFormat/>
    <w:uiPriority w:val="0"/>
    <w:rPr>
      <w:rFonts w:hint="eastAsia" w:ascii="宋体" w:hAnsi="宋体" w:eastAsia="宋体" w:cs="宋体"/>
      <w:color w:val="000000"/>
      <w:sz w:val="24"/>
      <w:szCs w:val="24"/>
      <w:u w:val="none"/>
    </w:rPr>
  </w:style>
  <w:style w:type="character" w:customStyle="1" w:styleId="127">
    <w:name w:val="font61"/>
    <w:basedOn w:val="38"/>
    <w:qFormat/>
    <w:uiPriority w:val="0"/>
    <w:rPr>
      <w:rFonts w:hint="eastAsia" w:ascii="黑体" w:hAnsi="宋体" w:eastAsia="黑体" w:cs="黑体"/>
      <w:color w:val="000000"/>
      <w:sz w:val="24"/>
      <w:szCs w:val="24"/>
      <w:u w:val="none"/>
    </w:rPr>
  </w:style>
  <w:style w:type="paragraph" w:customStyle="1" w:styleId="128">
    <w:name w:val="文档正文"/>
    <w:basedOn w:val="8"/>
    <w:qFormat/>
    <w:uiPriority w:val="0"/>
    <w:pPr>
      <w:spacing w:line="480" w:lineRule="atLeast"/>
      <w:textAlignment w:val="baseline"/>
    </w:pPr>
    <w:rPr>
      <w:kern w:val="0"/>
      <w:sz w:val="24"/>
    </w:rPr>
  </w:style>
  <w:style w:type="paragraph" w:customStyle="1" w:styleId="129">
    <w:name w:val="BodyTextIndent3"/>
    <w:basedOn w:val="1"/>
    <w:qFormat/>
    <w:uiPriority w:val="0"/>
    <w:pPr>
      <w:spacing w:line="360" w:lineRule="exact"/>
      <w:ind w:firstLine="520"/>
      <w:jc w:val="left"/>
    </w:pPr>
    <w:rPr>
      <w:rFonts w:ascii="宋体" w:hAnsi="Verdana" w:eastAsiaTheme="minorEastAsia" w:cstheme="minorBidi"/>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20425</Words>
  <Characters>22144</Characters>
  <Lines>39</Lines>
  <Paragraphs>51</Paragraphs>
  <TotalTime>15</TotalTime>
  <ScaleCrop>false</ScaleCrop>
  <LinksUpToDate>false</LinksUpToDate>
  <CharactersWithSpaces>23459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2024-06-29T01:41:00Z</dcterms:created>
  <dc:creator>yinjian</dc:creator>
  <cp:lastModifiedBy>thtf</cp:lastModifiedBy>
  <cp:lastPrinted>2025-07-07T16:45:30Z</cp:lastPrinted>
  <dcterms:modified xsi:type="dcterms:W3CDTF">2025-07-07T17:25:46Z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CA12F60A125F47AFB8D9EBF30F41A7B1_13</vt:lpwstr>
  </property>
  <property fmtid="{D5CDD505-2E9C-101B-9397-08002B2CF9AE}" pid="4" name="KSOTemplateDocerSaveRecord">
    <vt:lpwstr>eyJoZGlkIjoiNDNmMDEyMGI2YjM3MjY0ZmU2N2E2ZDUxZjdkYjZjMTgiLCJ1c2VySWQiOiIxOTYxNDMwNzEifQ==</vt:lpwstr>
  </property>
</Properties>
</file>