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DAFF96">
      <w:pPr>
        <w:rPr>
          <w:rFonts w:hint="eastAsia" w:ascii="仿宋" w:hAnsi="仿宋" w:eastAsia="仿宋" w:cs="仿宋"/>
          <w:color w:val="auto"/>
          <w:sz w:val="32"/>
          <w:szCs w:val="32"/>
          <w:highlight w:val="none"/>
          <w:lang w:eastAsia="zh-CN"/>
        </w:rPr>
      </w:pPr>
    </w:p>
    <w:p w14:paraId="25740C51">
      <w:pPr>
        <w:jc w:val="center"/>
        <w:rPr>
          <w:rFonts w:hint="eastAsia" w:ascii="仿宋" w:hAnsi="仿宋" w:eastAsia="仿宋" w:cs="仿宋"/>
          <w:color w:val="auto"/>
          <w:spacing w:val="5760"/>
          <w:w w:val="100"/>
          <w:kern w:val="0"/>
          <w:sz w:val="36"/>
          <w:szCs w:val="36"/>
          <w:highlight w:val="none"/>
          <w:fitText w:val="6120" w:id="-1002138880"/>
          <w:lang w:val="en-US" w:eastAsia="zh-CN"/>
        </w:rPr>
      </w:pPr>
    </w:p>
    <w:p w14:paraId="65B88145">
      <w:pPr>
        <w:jc w:val="center"/>
        <w:rPr>
          <w:rFonts w:hint="eastAsia" w:ascii="仿宋" w:hAnsi="仿宋" w:eastAsia="仿宋" w:cs="仿宋"/>
          <w:color w:val="auto"/>
          <w:spacing w:val="5760"/>
          <w:w w:val="100"/>
          <w:kern w:val="0"/>
          <w:sz w:val="36"/>
          <w:szCs w:val="36"/>
          <w:highlight w:val="none"/>
          <w:fitText w:val="6120" w:id="-1002138880"/>
          <w:lang w:val="en-US" w:eastAsia="zh-CN"/>
        </w:rPr>
      </w:pPr>
    </w:p>
    <w:p w14:paraId="02B1ADCC">
      <w:pPr>
        <w:jc w:val="center"/>
        <w:rPr>
          <w:rFonts w:hint="eastAsia" w:ascii="仿宋" w:hAnsi="仿宋" w:eastAsia="仿宋" w:cs="仿宋"/>
          <w:color w:val="auto"/>
          <w:spacing w:val="5760"/>
          <w:w w:val="100"/>
          <w:kern w:val="0"/>
          <w:sz w:val="36"/>
          <w:szCs w:val="36"/>
          <w:highlight w:val="none"/>
          <w:fitText w:val="6120" w:id="-1002138880"/>
          <w:lang w:val="en-US" w:eastAsia="zh-CN"/>
        </w:rPr>
      </w:pPr>
    </w:p>
    <w:p w14:paraId="6BD3D83A">
      <w:pPr>
        <w:pStyle w:val="13"/>
        <w:widowControl/>
        <w:shd w:val="clear"/>
        <w:kinsoku w:val="0"/>
        <w:autoSpaceDE w:val="0"/>
        <w:autoSpaceDN w:val="0"/>
        <w:adjustRightInd w:val="0"/>
        <w:snapToGrid w:val="0"/>
        <w:spacing w:before="192" w:after="0" w:line="222" w:lineRule="auto"/>
        <w:jc w:val="center"/>
        <w:textAlignment w:val="baseline"/>
        <w:outlineLvl w:val="0"/>
        <w:rPr>
          <w:rFonts w:hint="eastAsia" w:ascii="仿宋" w:hAnsi="仿宋" w:eastAsia="仿宋" w:cs="仿宋"/>
          <w:b/>
          <w:bCs/>
          <w:snapToGrid w:val="0"/>
          <w:color w:val="auto"/>
          <w:spacing w:val="2"/>
          <w:kern w:val="0"/>
          <w:sz w:val="60"/>
          <w:szCs w:val="60"/>
          <w:highlight w:val="none"/>
          <w:lang w:val="en-US" w:eastAsia="zh-CN"/>
        </w:rPr>
      </w:pPr>
      <w:r>
        <w:rPr>
          <w:rFonts w:hint="eastAsia" w:ascii="仿宋" w:hAnsi="仿宋" w:eastAsia="仿宋" w:cs="仿宋"/>
          <w:b/>
          <w:bCs/>
          <w:snapToGrid w:val="0"/>
          <w:color w:val="auto"/>
          <w:spacing w:val="2"/>
          <w:kern w:val="0"/>
          <w:sz w:val="60"/>
          <w:szCs w:val="60"/>
          <w:highlight w:val="none"/>
          <w:lang w:val="en-US" w:eastAsia="zh-CN"/>
        </w:rPr>
        <w:t>政府采购项目公开招标文件</w:t>
      </w:r>
    </w:p>
    <w:p w14:paraId="5974085C">
      <w:pPr>
        <w:pStyle w:val="13"/>
        <w:widowControl/>
        <w:shd w:val="clear"/>
        <w:kinsoku w:val="0"/>
        <w:autoSpaceDE w:val="0"/>
        <w:autoSpaceDN w:val="0"/>
        <w:adjustRightInd w:val="0"/>
        <w:snapToGrid w:val="0"/>
        <w:spacing w:before="192" w:after="0" w:line="222" w:lineRule="auto"/>
        <w:jc w:val="center"/>
        <w:textAlignment w:val="baseline"/>
        <w:outlineLvl w:val="0"/>
        <w:rPr>
          <w:rFonts w:hint="eastAsia" w:ascii="仿宋" w:hAnsi="仿宋" w:eastAsia="仿宋" w:cs="仿宋"/>
          <w:b/>
          <w:bCs/>
          <w:snapToGrid w:val="0"/>
          <w:color w:val="auto"/>
          <w:spacing w:val="2"/>
          <w:kern w:val="0"/>
          <w:sz w:val="60"/>
          <w:szCs w:val="60"/>
          <w:highlight w:val="none"/>
          <w:lang w:val="en-US" w:eastAsia="zh-CN"/>
        </w:rPr>
      </w:pPr>
      <w:r>
        <w:rPr>
          <w:rFonts w:hint="eastAsia" w:ascii="仿宋" w:hAnsi="仿宋" w:eastAsia="仿宋" w:cs="仿宋"/>
          <w:b/>
          <w:bCs/>
          <w:snapToGrid w:val="0"/>
          <w:color w:val="auto"/>
          <w:spacing w:val="2"/>
          <w:kern w:val="0"/>
          <w:sz w:val="60"/>
          <w:szCs w:val="60"/>
          <w:highlight w:val="none"/>
          <w:lang w:val="en-US" w:eastAsia="zh-CN"/>
        </w:rPr>
        <w:t>（服务）</w:t>
      </w:r>
    </w:p>
    <w:p w14:paraId="41EA9784">
      <w:pPr>
        <w:spacing w:line="240" w:lineRule="auto"/>
        <w:jc w:val="center"/>
        <w:rPr>
          <w:rFonts w:hint="eastAsia" w:ascii="仿宋" w:hAnsi="仿宋" w:eastAsia="仿宋" w:cs="仿宋"/>
          <w:color w:val="auto"/>
          <w:sz w:val="52"/>
          <w:szCs w:val="52"/>
          <w:highlight w:val="none"/>
        </w:rPr>
      </w:pPr>
    </w:p>
    <w:p w14:paraId="278B2AD7">
      <w:pPr>
        <w:spacing w:line="240" w:lineRule="auto"/>
        <w:jc w:val="center"/>
        <w:rPr>
          <w:rFonts w:hint="eastAsia" w:ascii="仿宋" w:hAnsi="仿宋" w:eastAsia="仿宋" w:cs="仿宋"/>
          <w:color w:val="auto"/>
          <w:sz w:val="52"/>
          <w:szCs w:val="52"/>
          <w:highlight w:val="none"/>
        </w:rPr>
      </w:pPr>
    </w:p>
    <w:p w14:paraId="28F11FD2">
      <w:pPr>
        <w:spacing w:line="240" w:lineRule="auto"/>
        <w:jc w:val="both"/>
        <w:rPr>
          <w:rFonts w:hint="eastAsia" w:ascii="仿宋" w:hAnsi="仿宋" w:eastAsia="仿宋" w:cs="仿宋"/>
          <w:color w:val="auto"/>
          <w:sz w:val="52"/>
          <w:szCs w:val="52"/>
          <w:highlight w:val="none"/>
        </w:rPr>
      </w:pPr>
    </w:p>
    <w:p w14:paraId="20114F5B">
      <w:pPr>
        <w:spacing w:line="240" w:lineRule="auto"/>
        <w:jc w:val="both"/>
        <w:rPr>
          <w:rFonts w:hint="eastAsia" w:ascii="仿宋" w:hAnsi="仿宋" w:eastAsia="仿宋" w:cs="仿宋"/>
          <w:color w:val="auto"/>
          <w:sz w:val="52"/>
          <w:szCs w:val="52"/>
          <w:highlight w:val="none"/>
          <w:u w:val="none"/>
        </w:rPr>
      </w:pPr>
    </w:p>
    <w:p w14:paraId="570D588B">
      <w:pPr>
        <w:rPr>
          <w:rFonts w:hint="eastAsia" w:ascii="仿宋" w:hAnsi="仿宋" w:eastAsia="仿宋" w:cs="仿宋"/>
          <w:b w:val="0"/>
          <w:bCs w:val="0"/>
          <w:color w:val="auto"/>
          <w:sz w:val="36"/>
          <w:szCs w:val="36"/>
          <w:highlight w:val="none"/>
          <w:u w:val="none"/>
          <w:lang w:val="en-US" w:eastAsia="zh-CN"/>
        </w:rPr>
      </w:pPr>
      <w:r>
        <w:rPr>
          <w:rFonts w:hint="eastAsia" w:ascii="仿宋" w:hAnsi="仿宋" w:eastAsia="仿宋" w:cs="仿宋"/>
          <w:b w:val="0"/>
          <w:bCs w:val="0"/>
          <w:color w:val="auto"/>
          <w:sz w:val="36"/>
          <w:szCs w:val="36"/>
          <w:highlight w:val="none"/>
          <w:u w:val="none"/>
        </w:rPr>
        <w:t>项目编号：[2025]3007号</w:t>
      </w:r>
      <w:r>
        <w:rPr>
          <w:rFonts w:hint="eastAsia" w:ascii="仿宋" w:hAnsi="仿宋" w:eastAsia="仿宋" w:cs="仿宋"/>
          <w:b w:val="0"/>
          <w:bCs w:val="0"/>
          <w:color w:val="auto"/>
          <w:sz w:val="36"/>
          <w:szCs w:val="36"/>
          <w:highlight w:val="none"/>
          <w:u w:val="none"/>
          <w:lang w:val="en-US" w:eastAsia="zh-CN"/>
        </w:rPr>
        <w:t xml:space="preserve"> </w:t>
      </w:r>
    </w:p>
    <w:p w14:paraId="50ADE153">
      <w:pPr>
        <w:rPr>
          <w:rFonts w:hint="eastAsia" w:ascii="仿宋" w:hAnsi="仿宋" w:eastAsia="仿宋" w:cs="仿宋"/>
          <w:b w:val="0"/>
          <w:bCs w:val="0"/>
          <w:color w:val="auto"/>
          <w:sz w:val="36"/>
          <w:szCs w:val="36"/>
          <w:highlight w:val="none"/>
          <w:u w:val="none"/>
          <w:lang w:eastAsia="zh-CN"/>
        </w:rPr>
      </w:pPr>
      <w:r>
        <w:rPr>
          <w:rFonts w:hint="eastAsia" w:ascii="仿宋" w:hAnsi="仿宋" w:eastAsia="仿宋" w:cs="仿宋"/>
          <w:b w:val="0"/>
          <w:bCs w:val="0"/>
          <w:color w:val="auto"/>
          <w:sz w:val="36"/>
          <w:szCs w:val="36"/>
          <w:highlight w:val="none"/>
          <w:u w:val="none"/>
        </w:rPr>
        <w:t>项目名称：</w:t>
      </w:r>
      <w:r>
        <w:rPr>
          <w:rFonts w:hint="eastAsia" w:ascii="仿宋" w:hAnsi="仿宋" w:eastAsia="仿宋" w:cs="仿宋"/>
          <w:b w:val="0"/>
          <w:bCs w:val="0"/>
          <w:color w:val="auto"/>
          <w:sz w:val="36"/>
          <w:szCs w:val="36"/>
          <w:highlight w:val="none"/>
          <w:u w:val="none"/>
          <w:lang w:eastAsia="zh-CN"/>
        </w:rPr>
        <w:t>乌鲁木齐市防洪规划报告</w:t>
      </w:r>
    </w:p>
    <w:p w14:paraId="6E2F7BD6">
      <w:pPr>
        <w:rPr>
          <w:rFonts w:hint="eastAsia" w:ascii="仿宋" w:hAnsi="仿宋" w:eastAsia="仿宋" w:cs="仿宋"/>
          <w:b w:val="0"/>
          <w:bCs w:val="0"/>
          <w:color w:val="auto"/>
          <w:sz w:val="36"/>
          <w:szCs w:val="36"/>
          <w:highlight w:val="none"/>
          <w:u w:val="none"/>
          <w:lang w:eastAsia="zh-CN"/>
        </w:rPr>
      </w:pPr>
      <w:r>
        <w:rPr>
          <w:rFonts w:hint="eastAsia" w:ascii="仿宋" w:hAnsi="仿宋" w:eastAsia="仿宋" w:cs="仿宋"/>
          <w:b w:val="0"/>
          <w:bCs w:val="0"/>
          <w:color w:val="auto"/>
          <w:sz w:val="36"/>
          <w:szCs w:val="36"/>
          <w:highlight w:val="none"/>
          <w:u w:val="none"/>
        </w:rPr>
        <w:t>采</w:t>
      </w:r>
      <w:r>
        <w:rPr>
          <w:rFonts w:hint="eastAsia" w:ascii="仿宋" w:hAnsi="仿宋" w:eastAsia="仿宋" w:cs="仿宋"/>
          <w:b w:val="0"/>
          <w:bCs w:val="0"/>
          <w:color w:val="auto"/>
          <w:sz w:val="36"/>
          <w:szCs w:val="36"/>
          <w:highlight w:val="none"/>
          <w:u w:val="none"/>
          <w:lang w:val="en-US" w:eastAsia="zh-CN"/>
        </w:rPr>
        <w:t xml:space="preserve"> </w:t>
      </w:r>
      <w:r>
        <w:rPr>
          <w:rFonts w:hint="eastAsia" w:ascii="仿宋" w:hAnsi="仿宋" w:eastAsia="仿宋" w:cs="仿宋"/>
          <w:b w:val="0"/>
          <w:bCs w:val="0"/>
          <w:color w:val="auto"/>
          <w:sz w:val="36"/>
          <w:szCs w:val="36"/>
          <w:highlight w:val="none"/>
          <w:u w:val="none"/>
        </w:rPr>
        <w:t>购</w:t>
      </w:r>
      <w:r>
        <w:rPr>
          <w:rFonts w:hint="eastAsia" w:ascii="仿宋" w:hAnsi="仿宋" w:eastAsia="仿宋" w:cs="仿宋"/>
          <w:b w:val="0"/>
          <w:bCs w:val="0"/>
          <w:color w:val="auto"/>
          <w:sz w:val="36"/>
          <w:szCs w:val="36"/>
          <w:highlight w:val="none"/>
          <w:u w:val="none"/>
          <w:lang w:val="en-US" w:eastAsia="zh-CN"/>
        </w:rPr>
        <w:t xml:space="preserve"> </w:t>
      </w:r>
      <w:r>
        <w:rPr>
          <w:rFonts w:hint="eastAsia" w:ascii="仿宋" w:hAnsi="仿宋" w:eastAsia="仿宋" w:cs="仿宋"/>
          <w:b w:val="0"/>
          <w:bCs w:val="0"/>
          <w:color w:val="auto"/>
          <w:sz w:val="36"/>
          <w:szCs w:val="36"/>
          <w:highlight w:val="none"/>
          <w:u w:val="none"/>
        </w:rPr>
        <w:t>人：</w:t>
      </w:r>
      <w:r>
        <w:rPr>
          <w:rFonts w:hint="eastAsia" w:ascii="仿宋" w:hAnsi="仿宋" w:eastAsia="仿宋" w:cs="仿宋"/>
          <w:b w:val="0"/>
          <w:bCs w:val="0"/>
          <w:color w:val="auto"/>
          <w:sz w:val="36"/>
          <w:szCs w:val="36"/>
          <w:highlight w:val="none"/>
          <w:u w:val="none"/>
          <w:lang w:eastAsia="zh-CN"/>
        </w:rPr>
        <w:t>乌鲁木齐市水务局</w:t>
      </w:r>
    </w:p>
    <w:p w14:paraId="3FCD803D">
      <w:pPr>
        <w:rPr>
          <w:rFonts w:hint="eastAsia" w:ascii="仿宋" w:hAnsi="仿宋" w:eastAsia="仿宋" w:cs="仿宋"/>
          <w:b w:val="0"/>
          <w:bCs w:val="0"/>
          <w:color w:val="auto"/>
          <w:sz w:val="36"/>
          <w:szCs w:val="36"/>
          <w:highlight w:val="none"/>
          <w:u w:val="none"/>
        </w:rPr>
      </w:pPr>
      <w:r>
        <w:rPr>
          <w:rFonts w:hint="eastAsia" w:ascii="仿宋" w:hAnsi="仿宋" w:eastAsia="仿宋" w:cs="仿宋"/>
          <w:b w:val="0"/>
          <w:bCs w:val="0"/>
          <w:color w:val="auto"/>
          <w:sz w:val="36"/>
          <w:szCs w:val="36"/>
          <w:highlight w:val="none"/>
          <w:u w:val="none"/>
        </w:rPr>
        <w:t>采购代理机构：新疆正元工程招标代理有限责任公司</w:t>
      </w:r>
    </w:p>
    <w:p w14:paraId="654DBB80">
      <w:pPr>
        <w:rPr>
          <w:rFonts w:hint="eastAsia" w:ascii="仿宋" w:hAnsi="仿宋" w:eastAsia="仿宋" w:cs="仿宋"/>
          <w:color w:val="auto"/>
          <w:highlight w:val="none"/>
        </w:rPr>
      </w:pPr>
      <w:r>
        <w:rPr>
          <w:rFonts w:hint="eastAsia" w:ascii="仿宋" w:hAnsi="仿宋" w:eastAsia="仿宋" w:cs="仿宋"/>
          <w:b w:val="0"/>
          <w:bCs w:val="0"/>
          <w:color w:val="auto"/>
          <w:sz w:val="36"/>
          <w:szCs w:val="36"/>
          <w:highlight w:val="none"/>
          <w:u w:val="none"/>
        </w:rPr>
        <w:t>时</w:t>
      </w:r>
      <w:r>
        <w:rPr>
          <w:rFonts w:hint="eastAsia" w:ascii="仿宋" w:hAnsi="仿宋" w:eastAsia="仿宋" w:cs="仿宋"/>
          <w:b w:val="0"/>
          <w:bCs w:val="0"/>
          <w:color w:val="auto"/>
          <w:sz w:val="36"/>
          <w:szCs w:val="36"/>
          <w:highlight w:val="none"/>
          <w:u w:val="none"/>
          <w:lang w:val="en-US" w:eastAsia="zh-CN"/>
        </w:rPr>
        <w:t xml:space="preserve">    </w:t>
      </w:r>
      <w:r>
        <w:rPr>
          <w:rFonts w:hint="eastAsia" w:ascii="仿宋" w:hAnsi="仿宋" w:eastAsia="仿宋" w:cs="仿宋"/>
          <w:b w:val="0"/>
          <w:bCs w:val="0"/>
          <w:color w:val="auto"/>
          <w:sz w:val="36"/>
          <w:szCs w:val="36"/>
          <w:highlight w:val="none"/>
          <w:u w:val="none"/>
        </w:rPr>
        <w:t>间：2025年0</w:t>
      </w:r>
      <w:r>
        <w:rPr>
          <w:rFonts w:hint="eastAsia" w:ascii="仿宋" w:hAnsi="仿宋" w:eastAsia="仿宋" w:cs="仿宋"/>
          <w:b w:val="0"/>
          <w:bCs w:val="0"/>
          <w:color w:val="auto"/>
          <w:sz w:val="36"/>
          <w:szCs w:val="36"/>
          <w:highlight w:val="none"/>
          <w:u w:val="none"/>
          <w:lang w:val="en-US" w:eastAsia="zh-CN"/>
        </w:rPr>
        <w:t>7</w:t>
      </w:r>
      <w:r>
        <w:rPr>
          <w:rFonts w:hint="eastAsia" w:ascii="仿宋" w:hAnsi="仿宋" w:eastAsia="仿宋" w:cs="仿宋"/>
          <w:b w:val="0"/>
          <w:bCs w:val="0"/>
          <w:color w:val="auto"/>
          <w:sz w:val="36"/>
          <w:szCs w:val="36"/>
          <w:highlight w:val="none"/>
          <w:u w:val="none"/>
        </w:rPr>
        <w:t>月</w:t>
      </w:r>
    </w:p>
    <w:p w14:paraId="436461C6">
      <w:pPr>
        <w:pStyle w:val="37"/>
        <w:ind w:firstLine="640"/>
        <w:rPr>
          <w:rFonts w:hint="eastAsia" w:ascii="仿宋" w:hAnsi="仿宋" w:eastAsia="仿宋" w:cs="仿宋"/>
          <w:color w:val="auto"/>
          <w:highlight w:val="none"/>
        </w:rPr>
      </w:pPr>
    </w:p>
    <w:p w14:paraId="65D971E5">
      <w:pPr>
        <w:pStyle w:val="36"/>
        <w:rPr>
          <w:rFonts w:hint="eastAsia" w:ascii="仿宋" w:hAnsi="仿宋" w:eastAsia="仿宋" w:cs="仿宋"/>
          <w:color w:val="auto"/>
          <w:sz w:val="72"/>
          <w:szCs w:val="72"/>
          <w:highlight w:val="none"/>
        </w:rPr>
        <w:sectPr>
          <w:headerReference r:id="rId5" w:type="default"/>
          <w:pgSz w:w="11906" w:h="16838"/>
          <w:pgMar w:top="1440" w:right="1800" w:bottom="1440" w:left="1800" w:header="851" w:footer="879" w:gutter="0"/>
          <w:pgBorders>
            <w:top w:val="none" w:sz="0" w:space="0"/>
            <w:left w:val="none" w:sz="0" w:space="0"/>
            <w:bottom w:val="none" w:sz="0" w:space="0"/>
            <w:right w:val="none" w:sz="0" w:space="0"/>
          </w:pgBorders>
          <w:cols w:space="0" w:num="1"/>
          <w:rtlGutter w:val="0"/>
          <w:docGrid w:type="lines" w:linePitch="312" w:charSpace="0"/>
        </w:sectPr>
      </w:pPr>
    </w:p>
    <w:p w14:paraId="0504C396">
      <w:pPr>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目 录</w:t>
      </w:r>
    </w:p>
    <w:p w14:paraId="1F1AF5DA">
      <w:pPr>
        <w:pStyle w:val="22"/>
        <w:keepNext w:val="0"/>
        <w:keepLines w:val="0"/>
        <w:pageBreakBefore w:val="0"/>
        <w:widowControl w:val="0"/>
        <w:tabs>
          <w:tab w:val="right" w:leader="dot" w:pos="8306"/>
        </w:tabs>
        <w:kinsoku/>
        <w:wordWrap/>
        <w:overflowPunct/>
        <w:topLinePunct w:val="0"/>
        <w:autoSpaceDE/>
        <w:autoSpaceDN/>
        <w:bidi w:val="0"/>
        <w:adjustRightInd/>
        <w:snapToGrid/>
        <w:spacing w:line="36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TOC \o "1-4" \h \z \u </w:instrText>
      </w:r>
      <w:r>
        <w:rPr>
          <w:rFonts w:hint="eastAsia" w:ascii="仿宋" w:hAnsi="仿宋" w:eastAsia="仿宋" w:cs="仿宋"/>
          <w:b w:val="0"/>
          <w:bCs w:val="0"/>
          <w:color w:val="auto"/>
          <w:sz w:val="28"/>
          <w:szCs w:val="28"/>
          <w:highlight w:val="none"/>
        </w:rPr>
        <w:fldChar w:fldCharType="separate"/>
      </w: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HYPERLINK \l _Toc8881 </w:instrText>
      </w:r>
      <w:r>
        <w:rPr>
          <w:rFonts w:hint="eastAsia" w:ascii="仿宋" w:hAnsi="仿宋" w:eastAsia="仿宋" w:cs="仿宋"/>
          <w:b w:val="0"/>
          <w:bCs w:val="0"/>
          <w:color w:val="auto"/>
          <w:sz w:val="28"/>
          <w:szCs w:val="28"/>
          <w:highlight w:val="none"/>
        </w:rPr>
        <w:fldChar w:fldCharType="separate"/>
      </w:r>
      <w:r>
        <w:rPr>
          <w:rFonts w:hint="eastAsia" w:ascii="仿宋" w:hAnsi="仿宋" w:eastAsia="仿宋" w:cs="仿宋"/>
          <w:b w:val="0"/>
          <w:bCs w:val="0"/>
          <w:color w:val="auto"/>
          <w:kern w:val="44"/>
          <w:sz w:val="28"/>
          <w:szCs w:val="28"/>
          <w:highlight w:val="none"/>
          <w:lang w:val="en-US" w:eastAsia="zh-CN" w:bidi="ar-SA"/>
        </w:rPr>
        <w:t xml:space="preserve">第一章 </w:t>
      </w:r>
      <w:r>
        <w:rPr>
          <w:rFonts w:hint="eastAsia" w:ascii="仿宋" w:hAnsi="仿宋" w:eastAsia="仿宋" w:cs="仿宋"/>
          <w:b w:val="0"/>
          <w:bCs w:val="0"/>
          <w:color w:val="auto"/>
          <w:sz w:val="28"/>
          <w:szCs w:val="28"/>
          <w:highlight w:val="none"/>
          <w:lang w:val="en-US" w:eastAsia="zh-CN"/>
        </w:rPr>
        <w:t>招标公告</w:t>
      </w:r>
      <w:r>
        <w:rPr>
          <w:rFonts w:hint="eastAsia" w:ascii="仿宋" w:hAnsi="仿宋" w:eastAsia="仿宋" w:cs="仿宋"/>
          <w:b w:val="0"/>
          <w:bCs w:val="0"/>
          <w:color w:val="auto"/>
          <w:sz w:val="28"/>
          <w:szCs w:val="28"/>
        </w:rPr>
        <w:tab/>
      </w:r>
      <w:r>
        <w:rPr>
          <w:rFonts w:hint="eastAsia" w:ascii="仿宋" w:hAnsi="仿宋" w:eastAsia="仿宋" w:cs="仿宋"/>
          <w:b w:val="0"/>
          <w:bCs w:val="0"/>
          <w:color w:val="auto"/>
          <w:sz w:val="28"/>
          <w:szCs w:val="28"/>
        </w:rPr>
        <w:fldChar w:fldCharType="begin"/>
      </w:r>
      <w:r>
        <w:rPr>
          <w:rFonts w:hint="eastAsia" w:ascii="仿宋" w:hAnsi="仿宋" w:eastAsia="仿宋" w:cs="仿宋"/>
          <w:b w:val="0"/>
          <w:bCs w:val="0"/>
          <w:color w:val="auto"/>
          <w:sz w:val="28"/>
          <w:szCs w:val="28"/>
        </w:rPr>
        <w:instrText xml:space="preserve"> PAGEREF _Toc8881 \h </w:instrText>
      </w:r>
      <w:r>
        <w:rPr>
          <w:rFonts w:hint="eastAsia" w:ascii="仿宋" w:hAnsi="仿宋" w:eastAsia="仿宋" w:cs="仿宋"/>
          <w:b w:val="0"/>
          <w:bCs w:val="0"/>
          <w:color w:val="auto"/>
          <w:sz w:val="28"/>
          <w:szCs w:val="28"/>
        </w:rPr>
        <w:fldChar w:fldCharType="separate"/>
      </w:r>
      <w:r>
        <w:rPr>
          <w:rFonts w:hint="eastAsia" w:ascii="仿宋" w:hAnsi="仿宋" w:eastAsia="仿宋" w:cs="仿宋"/>
          <w:b w:val="0"/>
          <w:bCs w:val="0"/>
          <w:color w:val="auto"/>
          <w:sz w:val="28"/>
          <w:szCs w:val="28"/>
        </w:rPr>
        <w:t>2</w:t>
      </w:r>
      <w:r>
        <w:rPr>
          <w:rFonts w:hint="eastAsia" w:ascii="仿宋" w:hAnsi="仿宋" w:eastAsia="仿宋" w:cs="仿宋"/>
          <w:b w:val="0"/>
          <w:bCs w:val="0"/>
          <w:color w:val="auto"/>
          <w:sz w:val="28"/>
          <w:szCs w:val="28"/>
        </w:rPr>
        <w:fldChar w:fldCharType="end"/>
      </w:r>
      <w:r>
        <w:rPr>
          <w:rFonts w:hint="eastAsia" w:ascii="仿宋" w:hAnsi="仿宋" w:eastAsia="仿宋" w:cs="仿宋"/>
          <w:b w:val="0"/>
          <w:bCs w:val="0"/>
          <w:color w:val="auto"/>
          <w:sz w:val="28"/>
          <w:szCs w:val="28"/>
          <w:highlight w:val="none"/>
        </w:rPr>
        <w:fldChar w:fldCharType="end"/>
      </w:r>
    </w:p>
    <w:p w14:paraId="22EFE2F3">
      <w:pPr>
        <w:pStyle w:val="22"/>
        <w:keepNext w:val="0"/>
        <w:keepLines w:val="0"/>
        <w:pageBreakBefore w:val="0"/>
        <w:widowControl w:val="0"/>
        <w:tabs>
          <w:tab w:val="right" w:leader="dot" w:pos="8306"/>
        </w:tabs>
        <w:kinsoku/>
        <w:wordWrap/>
        <w:overflowPunct/>
        <w:topLinePunct w:val="0"/>
        <w:autoSpaceDE/>
        <w:autoSpaceDN/>
        <w:bidi w:val="0"/>
        <w:adjustRightInd/>
        <w:snapToGrid/>
        <w:spacing w:line="36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HYPERLINK \l _Toc5645 </w:instrText>
      </w:r>
      <w:r>
        <w:rPr>
          <w:rFonts w:hint="eastAsia" w:ascii="仿宋" w:hAnsi="仿宋" w:eastAsia="仿宋" w:cs="仿宋"/>
          <w:b w:val="0"/>
          <w:bCs w:val="0"/>
          <w:color w:val="auto"/>
          <w:sz w:val="28"/>
          <w:szCs w:val="28"/>
          <w:highlight w:val="none"/>
        </w:rPr>
        <w:fldChar w:fldCharType="separate"/>
      </w:r>
      <w:r>
        <w:rPr>
          <w:rFonts w:hint="eastAsia" w:ascii="仿宋" w:hAnsi="仿宋" w:eastAsia="仿宋" w:cs="仿宋"/>
          <w:b w:val="0"/>
          <w:bCs w:val="0"/>
          <w:color w:val="auto"/>
          <w:kern w:val="44"/>
          <w:sz w:val="28"/>
          <w:szCs w:val="28"/>
          <w:highlight w:val="none"/>
          <w:lang w:val="en-US" w:eastAsia="zh-CN" w:bidi="ar-SA"/>
        </w:rPr>
        <w:t>第二章 投标人须知</w:t>
      </w:r>
      <w:r>
        <w:rPr>
          <w:rFonts w:hint="eastAsia" w:ascii="仿宋" w:hAnsi="仿宋" w:eastAsia="仿宋" w:cs="仿宋"/>
          <w:b w:val="0"/>
          <w:bCs w:val="0"/>
          <w:color w:val="auto"/>
          <w:sz w:val="28"/>
          <w:szCs w:val="28"/>
        </w:rPr>
        <w:tab/>
      </w:r>
      <w:r>
        <w:rPr>
          <w:rFonts w:hint="eastAsia" w:ascii="仿宋" w:hAnsi="仿宋" w:eastAsia="仿宋" w:cs="仿宋"/>
          <w:b w:val="0"/>
          <w:bCs w:val="0"/>
          <w:color w:val="auto"/>
          <w:sz w:val="28"/>
          <w:szCs w:val="28"/>
        </w:rPr>
        <w:fldChar w:fldCharType="begin"/>
      </w:r>
      <w:r>
        <w:rPr>
          <w:rFonts w:hint="eastAsia" w:ascii="仿宋" w:hAnsi="仿宋" w:eastAsia="仿宋" w:cs="仿宋"/>
          <w:b w:val="0"/>
          <w:bCs w:val="0"/>
          <w:color w:val="auto"/>
          <w:sz w:val="28"/>
          <w:szCs w:val="28"/>
        </w:rPr>
        <w:instrText xml:space="preserve"> PAGEREF _Toc5645 \h </w:instrText>
      </w:r>
      <w:r>
        <w:rPr>
          <w:rFonts w:hint="eastAsia" w:ascii="仿宋" w:hAnsi="仿宋" w:eastAsia="仿宋" w:cs="仿宋"/>
          <w:b w:val="0"/>
          <w:bCs w:val="0"/>
          <w:color w:val="auto"/>
          <w:sz w:val="28"/>
          <w:szCs w:val="28"/>
        </w:rPr>
        <w:fldChar w:fldCharType="separate"/>
      </w:r>
      <w:r>
        <w:rPr>
          <w:rFonts w:hint="eastAsia" w:ascii="仿宋" w:hAnsi="仿宋" w:eastAsia="仿宋" w:cs="仿宋"/>
          <w:b w:val="0"/>
          <w:bCs w:val="0"/>
          <w:color w:val="auto"/>
          <w:sz w:val="28"/>
          <w:szCs w:val="28"/>
        </w:rPr>
        <w:t>5</w:t>
      </w:r>
      <w:r>
        <w:rPr>
          <w:rFonts w:hint="eastAsia" w:ascii="仿宋" w:hAnsi="仿宋" w:eastAsia="仿宋" w:cs="仿宋"/>
          <w:b w:val="0"/>
          <w:bCs w:val="0"/>
          <w:color w:val="auto"/>
          <w:sz w:val="28"/>
          <w:szCs w:val="28"/>
        </w:rPr>
        <w:fldChar w:fldCharType="end"/>
      </w:r>
      <w:r>
        <w:rPr>
          <w:rFonts w:hint="eastAsia" w:ascii="仿宋" w:hAnsi="仿宋" w:eastAsia="仿宋" w:cs="仿宋"/>
          <w:b w:val="0"/>
          <w:bCs w:val="0"/>
          <w:color w:val="auto"/>
          <w:sz w:val="28"/>
          <w:szCs w:val="28"/>
          <w:highlight w:val="none"/>
        </w:rPr>
        <w:fldChar w:fldCharType="end"/>
      </w:r>
    </w:p>
    <w:p w14:paraId="29772BFF">
      <w:pPr>
        <w:pStyle w:val="22"/>
        <w:keepNext w:val="0"/>
        <w:keepLines w:val="0"/>
        <w:pageBreakBefore w:val="0"/>
        <w:widowControl w:val="0"/>
        <w:tabs>
          <w:tab w:val="right" w:leader="dot" w:pos="8306"/>
        </w:tabs>
        <w:kinsoku/>
        <w:wordWrap/>
        <w:overflowPunct/>
        <w:topLinePunct w:val="0"/>
        <w:autoSpaceDE/>
        <w:autoSpaceDN/>
        <w:bidi w:val="0"/>
        <w:adjustRightInd/>
        <w:snapToGrid/>
        <w:spacing w:line="36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HYPERLINK \l _Toc21746 </w:instrText>
      </w:r>
      <w:r>
        <w:rPr>
          <w:rFonts w:hint="eastAsia" w:ascii="仿宋" w:hAnsi="仿宋" w:eastAsia="仿宋" w:cs="仿宋"/>
          <w:b w:val="0"/>
          <w:bCs w:val="0"/>
          <w:color w:val="auto"/>
          <w:sz w:val="28"/>
          <w:szCs w:val="28"/>
          <w:highlight w:val="none"/>
        </w:rPr>
        <w:fldChar w:fldCharType="separate"/>
      </w:r>
      <w:r>
        <w:rPr>
          <w:rFonts w:hint="eastAsia" w:ascii="仿宋" w:hAnsi="仿宋" w:eastAsia="仿宋" w:cs="仿宋"/>
          <w:b w:val="0"/>
          <w:bCs w:val="0"/>
          <w:color w:val="auto"/>
          <w:kern w:val="44"/>
          <w:sz w:val="28"/>
          <w:szCs w:val="28"/>
          <w:highlight w:val="none"/>
          <w:lang w:val="en-US" w:eastAsia="zh-CN" w:bidi="ar-SA"/>
        </w:rPr>
        <w:t>第三章 采购需求</w:t>
      </w:r>
      <w:r>
        <w:rPr>
          <w:rFonts w:hint="eastAsia" w:ascii="仿宋" w:hAnsi="仿宋" w:eastAsia="仿宋" w:cs="仿宋"/>
          <w:b w:val="0"/>
          <w:bCs w:val="0"/>
          <w:color w:val="auto"/>
          <w:sz w:val="28"/>
          <w:szCs w:val="28"/>
        </w:rPr>
        <w:tab/>
      </w:r>
      <w:r>
        <w:rPr>
          <w:rFonts w:hint="eastAsia" w:ascii="仿宋" w:hAnsi="仿宋" w:eastAsia="仿宋" w:cs="仿宋"/>
          <w:b w:val="0"/>
          <w:bCs w:val="0"/>
          <w:color w:val="auto"/>
          <w:sz w:val="28"/>
          <w:szCs w:val="28"/>
        </w:rPr>
        <w:fldChar w:fldCharType="begin"/>
      </w:r>
      <w:r>
        <w:rPr>
          <w:rFonts w:hint="eastAsia" w:ascii="仿宋" w:hAnsi="仿宋" w:eastAsia="仿宋" w:cs="仿宋"/>
          <w:b w:val="0"/>
          <w:bCs w:val="0"/>
          <w:color w:val="auto"/>
          <w:sz w:val="28"/>
          <w:szCs w:val="28"/>
        </w:rPr>
        <w:instrText xml:space="preserve"> PAGEREF _Toc21746 \h </w:instrText>
      </w:r>
      <w:r>
        <w:rPr>
          <w:rFonts w:hint="eastAsia" w:ascii="仿宋" w:hAnsi="仿宋" w:eastAsia="仿宋" w:cs="仿宋"/>
          <w:b w:val="0"/>
          <w:bCs w:val="0"/>
          <w:color w:val="auto"/>
          <w:sz w:val="28"/>
          <w:szCs w:val="28"/>
        </w:rPr>
        <w:fldChar w:fldCharType="separate"/>
      </w:r>
      <w:r>
        <w:rPr>
          <w:rFonts w:hint="eastAsia" w:ascii="仿宋" w:hAnsi="仿宋" w:eastAsia="仿宋" w:cs="仿宋"/>
          <w:b w:val="0"/>
          <w:bCs w:val="0"/>
          <w:color w:val="auto"/>
          <w:sz w:val="28"/>
          <w:szCs w:val="28"/>
        </w:rPr>
        <w:t>31</w:t>
      </w:r>
      <w:r>
        <w:rPr>
          <w:rFonts w:hint="eastAsia" w:ascii="仿宋" w:hAnsi="仿宋" w:eastAsia="仿宋" w:cs="仿宋"/>
          <w:b w:val="0"/>
          <w:bCs w:val="0"/>
          <w:color w:val="auto"/>
          <w:sz w:val="28"/>
          <w:szCs w:val="28"/>
        </w:rPr>
        <w:fldChar w:fldCharType="end"/>
      </w:r>
      <w:r>
        <w:rPr>
          <w:rFonts w:hint="eastAsia" w:ascii="仿宋" w:hAnsi="仿宋" w:eastAsia="仿宋" w:cs="仿宋"/>
          <w:b w:val="0"/>
          <w:bCs w:val="0"/>
          <w:color w:val="auto"/>
          <w:sz w:val="28"/>
          <w:szCs w:val="28"/>
          <w:highlight w:val="none"/>
        </w:rPr>
        <w:fldChar w:fldCharType="end"/>
      </w:r>
    </w:p>
    <w:p w14:paraId="08277E3E">
      <w:pPr>
        <w:pStyle w:val="22"/>
        <w:keepNext w:val="0"/>
        <w:keepLines w:val="0"/>
        <w:pageBreakBefore w:val="0"/>
        <w:widowControl w:val="0"/>
        <w:tabs>
          <w:tab w:val="right" w:leader="dot" w:pos="8306"/>
        </w:tabs>
        <w:kinsoku/>
        <w:wordWrap/>
        <w:overflowPunct/>
        <w:topLinePunct w:val="0"/>
        <w:autoSpaceDE/>
        <w:autoSpaceDN/>
        <w:bidi w:val="0"/>
        <w:adjustRightInd/>
        <w:snapToGrid/>
        <w:spacing w:line="36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HYPERLINK \l _Toc17715 </w:instrText>
      </w:r>
      <w:r>
        <w:rPr>
          <w:rFonts w:hint="eastAsia" w:ascii="仿宋" w:hAnsi="仿宋" w:eastAsia="仿宋" w:cs="仿宋"/>
          <w:b w:val="0"/>
          <w:bCs w:val="0"/>
          <w:color w:val="auto"/>
          <w:sz w:val="28"/>
          <w:szCs w:val="28"/>
          <w:highlight w:val="none"/>
        </w:rPr>
        <w:fldChar w:fldCharType="separate"/>
      </w:r>
      <w:r>
        <w:rPr>
          <w:rFonts w:hint="eastAsia" w:ascii="仿宋" w:hAnsi="仿宋" w:eastAsia="仿宋" w:cs="仿宋"/>
          <w:b w:val="0"/>
          <w:bCs w:val="0"/>
          <w:color w:val="auto"/>
          <w:kern w:val="44"/>
          <w:sz w:val="28"/>
          <w:szCs w:val="28"/>
          <w:highlight w:val="none"/>
          <w:lang w:val="en-US" w:eastAsia="zh-CN" w:bidi="ar-SA"/>
        </w:rPr>
        <w:t>第四章 资格审查</w:t>
      </w:r>
      <w:r>
        <w:rPr>
          <w:rFonts w:hint="eastAsia" w:ascii="仿宋" w:hAnsi="仿宋" w:eastAsia="仿宋" w:cs="仿宋"/>
          <w:b w:val="0"/>
          <w:bCs w:val="0"/>
          <w:color w:val="auto"/>
          <w:sz w:val="28"/>
          <w:szCs w:val="28"/>
        </w:rPr>
        <w:tab/>
      </w:r>
      <w:r>
        <w:rPr>
          <w:rFonts w:hint="eastAsia" w:ascii="仿宋" w:hAnsi="仿宋" w:eastAsia="仿宋" w:cs="仿宋"/>
          <w:b w:val="0"/>
          <w:bCs w:val="0"/>
          <w:color w:val="auto"/>
          <w:sz w:val="28"/>
          <w:szCs w:val="28"/>
        </w:rPr>
        <w:fldChar w:fldCharType="begin"/>
      </w:r>
      <w:r>
        <w:rPr>
          <w:rFonts w:hint="eastAsia" w:ascii="仿宋" w:hAnsi="仿宋" w:eastAsia="仿宋" w:cs="仿宋"/>
          <w:b w:val="0"/>
          <w:bCs w:val="0"/>
          <w:color w:val="auto"/>
          <w:sz w:val="28"/>
          <w:szCs w:val="28"/>
        </w:rPr>
        <w:instrText xml:space="preserve"> PAGEREF _Toc17715 \h </w:instrText>
      </w:r>
      <w:r>
        <w:rPr>
          <w:rFonts w:hint="eastAsia" w:ascii="仿宋" w:hAnsi="仿宋" w:eastAsia="仿宋" w:cs="仿宋"/>
          <w:b w:val="0"/>
          <w:bCs w:val="0"/>
          <w:color w:val="auto"/>
          <w:sz w:val="28"/>
          <w:szCs w:val="28"/>
        </w:rPr>
        <w:fldChar w:fldCharType="separate"/>
      </w:r>
      <w:r>
        <w:rPr>
          <w:rFonts w:hint="eastAsia" w:ascii="仿宋" w:hAnsi="仿宋" w:eastAsia="仿宋" w:cs="仿宋"/>
          <w:b w:val="0"/>
          <w:bCs w:val="0"/>
          <w:color w:val="auto"/>
          <w:sz w:val="28"/>
          <w:szCs w:val="28"/>
        </w:rPr>
        <w:t>34</w:t>
      </w:r>
      <w:r>
        <w:rPr>
          <w:rFonts w:hint="eastAsia" w:ascii="仿宋" w:hAnsi="仿宋" w:eastAsia="仿宋" w:cs="仿宋"/>
          <w:b w:val="0"/>
          <w:bCs w:val="0"/>
          <w:color w:val="auto"/>
          <w:sz w:val="28"/>
          <w:szCs w:val="28"/>
        </w:rPr>
        <w:fldChar w:fldCharType="end"/>
      </w:r>
      <w:r>
        <w:rPr>
          <w:rFonts w:hint="eastAsia" w:ascii="仿宋" w:hAnsi="仿宋" w:eastAsia="仿宋" w:cs="仿宋"/>
          <w:b w:val="0"/>
          <w:bCs w:val="0"/>
          <w:color w:val="auto"/>
          <w:sz w:val="28"/>
          <w:szCs w:val="28"/>
          <w:highlight w:val="none"/>
        </w:rPr>
        <w:fldChar w:fldCharType="end"/>
      </w:r>
    </w:p>
    <w:p w14:paraId="3850FA5B">
      <w:pPr>
        <w:pStyle w:val="22"/>
        <w:keepNext w:val="0"/>
        <w:keepLines w:val="0"/>
        <w:pageBreakBefore w:val="0"/>
        <w:widowControl w:val="0"/>
        <w:tabs>
          <w:tab w:val="right" w:leader="dot" w:pos="8306"/>
        </w:tabs>
        <w:kinsoku/>
        <w:wordWrap/>
        <w:overflowPunct/>
        <w:topLinePunct w:val="0"/>
        <w:autoSpaceDE/>
        <w:autoSpaceDN/>
        <w:bidi w:val="0"/>
        <w:adjustRightInd/>
        <w:snapToGrid/>
        <w:spacing w:line="36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HYPERLINK \l _Toc18814 </w:instrText>
      </w:r>
      <w:r>
        <w:rPr>
          <w:rFonts w:hint="eastAsia" w:ascii="仿宋" w:hAnsi="仿宋" w:eastAsia="仿宋" w:cs="仿宋"/>
          <w:b w:val="0"/>
          <w:bCs w:val="0"/>
          <w:color w:val="auto"/>
          <w:sz w:val="28"/>
          <w:szCs w:val="28"/>
          <w:highlight w:val="none"/>
        </w:rPr>
        <w:fldChar w:fldCharType="separate"/>
      </w:r>
      <w:r>
        <w:rPr>
          <w:rFonts w:hint="eastAsia" w:ascii="仿宋" w:hAnsi="仿宋" w:eastAsia="仿宋" w:cs="仿宋"/>
          <w:b w:val="0"/>
          <w:bCs w:val="0"/>
          <w:color w:val="auto"/>
          <w:kern w:val="44"/>
          <w:sz w:val="28"/>
          <w:szCs w:val="28"/>
          <w:highlight w:val="none"/>
          <w:lang w:val="en-US" w:eastAsia="zh-CN" w:bidi="ar-SA"/>
        </w:rPr>
        <w:t>第五章 评标方法及标准</w:t>
      </w:r>
      <w:r>
        <w:rPr>
          <w:rFonts w:hint="eastAsia" w:ascii="仿宋" w:hAnsi="仿宋" w:eastAsia="仿宋" w:cs="仿宋"/>
          <w:b w:val="0"/>
          <w:bCs w:val="0"/>
          <w:color w:val="auto"/>
          <w:kern w:val="2"/>
          <w:sz w:val="28"/>
          <w:szCs w:val="28"/>
          <w:highlight w:val="none"/>
          <w:lang w:val="hr-HR" w:eastAsia="zh-CN" w:bidi="ar-SA"/>
        </w:rPr>
        <w:t>【</w:t>
      </w:r>
      <w:r>
        <w:rPr>
          <w:rFonts w:hint="eastAsia" w:ascii="仿宋" w:hAnsi="仿宋" w:eastAsia="仿宋" w:cs="仿宋"/>
          <w:b w:val="0"/>
          <w:bCs w:val="0"/>
          <w:color w:val="auto"/>
          <w:kern w:val="44"/>
          <w:sz w:val="28"/>
          <w:szCs w:val="28"/>
          <w:highlight w:val="none"/>
          <w:lang w:val="en-US" w:eastAsia="zh-CN" w:bidi="ar-SA"/>
        </w:rPr>
        <w:t>综合评分法</w:t>
      </w:r>
      <w:r>
        <w:rPr>
          <w:rFonts w:hint="eastAsia" w:ascii="仿宋" w:hAnsi="仿宋" w:eastAsia="仿宋" w:cs="仿宋"/>
          <w:b w:val="0"/>
          <w:bCs w:val="0"/>
          <w:color w:val="auto"/>
          <w:kern w:val="2"/>
          <w:sz w:val="28"/>
          <w:szCs w:val="28"/>
          <w:highlight w:val="none"/>
          <w:lang w:val="hr-HR" w:eastAsia="zh-CN" w:bidi="ar-SA"/>
        </w:rPr>
        <w:t>】</w:t>
      </w:r>
      <w:r>
        <w:rPr>
          <w:rFonts w:hint="eastAsia" w:ascii="仿宋" w:hAnsi="仿宋" w:eastAsia="仿宋" w:cs="仿宋"/>
          <w:b w:val="0"/>
          <w:bCs w:val="0"/>
          <w:color w:val="auto"/>
          <w:sz w:val="28"/>
          <w:szCs w:val="28"/>
        </w:rPr>
        <w:tab/>
      </w:r>
      <w:r>
        <w:rPr>
          <w:rFonts w:hint="eastAsia" w:ascii="仿宋" w:hAnsi="仿宋" w:eastAsia="仿宋" w:cs="仿宋"/>
          <w:b w:val="0"/>
          <w:bCs w:val="0"/>
          <w:color w:val="auto"/>
          <w:sz w:val="28"/>
          <w:szCs w:val="28"/>
        </w:rPr>
        <w:fldChar w:fldCharType="begin"/>
      </w:r>
      <w:r>
        <w:rPr>
          <w:rFonts w:hint="eastAsia" w:ascii="仿宋" w:hAnsi="仿宋" w:eastAsia="仿宋" w:cs="仿宋"/>
          <w:b w:val="0"/>
          <w:bCs w:val="0"/>
          <w:color w:val="auto"/>
          <w:sz w:val="28"/>
          <w:szCs w:val="28"/>
        </w:rPr>
        <w:instrText xml:space="preserve"> PAGEREF _Toc18814 \h </w:instrText>
      </w:r>
      <w:r>
        <w:rPr>
          <w:rFonts w:hint="eastAsia" w:ascii="仿宋" w:hAnsi="仿宋" w:eastAsia="仿宋" w:cs="仿宋"/>
          <w:b w:val="0"/>
          <w:bCs w:val="0"/>
          <w:color w:val="auto"/>
          <w:sz w:val="28"/>
          <w:szCs w:val="28"/>
        </w:rPr>
        <w:fldChar w:fldCharType="separate"/>
      </w:r>
      <w:r>
        <w:rPr>
          <w:rFonts w:hint="eastAsia" w:ascii="仿宋" w:hAnsi="仿宋" w:eastAsia="仿宋" w:cs="仿宋"/>
          <w:b w:val="0"/>
          <w:bCs w:val="0"/>
          <w:color w:val="auto"/>
          <w:sz w:val="28"/>
          <w:szCs w:val="28"/>
        </w:rPr>
        <w:t>36</w:t>
      </w:r>
      <w:r>
        <w:rPr>
          <w:rFonts w:hint="eastAsia" w:ascii="仿宋" w:hAnsi="仿宋" w:eastAsia="仿宋" w:cs="仿宋"/>
          <w:b w:val="0"/>
          <w:bCs w:val="0"/>
          <w:color w:val="auto"/>
          <w:sz w:val="28"/>
          <w:szCs w:val="28"/>
        </w:rPr>
        <w:fldChar w:fldCharType="end"/>
      </w:r>
      <w:r>
        <w:rPr>
          <w:rFonts w:hint="eastAsia" w:ascii="仿宋" w:hAnsi="仿宋" w:eastAsia="仿宋" w:cs="仿宋"/>
          <w:b w:val="0"/>
          <w:bCs w:val="0"/>
          <w:color w:val="auto"/>
          <w:sz w:val="28"/>
          <w:szCs w:val="28"/>
          <w:highlight w:val="none"/>
        </w:rPr>
        <w:fldChar w:fldCharType="end"/>
      </w:r>
    </w:p>
    <w:p w14:paraId="15B0B8E8">
      <w:pPr>
        <w:pStyle w:val="22"/>
        <w:keepNext w:val="0"/>
        <w:keepLines w:val="0"/>
        <w:pageBreakBefore w:val="0"/>
        <w:widowControl w:val="0"/>
        <w:tabs>
          <w:tab w:val="right" w:leader="dot" w:pos="8306"/>
        </w:tabs>
        <w:kinsoku/>
        <w:wordWrap/>
        <w:overflowPunct/>
        <w:topLinePunct w:val="0"/>
        <w:autoSpaceDE/>
        <w:autoSpaceDN/>
        <w:bidi w:val="0"/>
        <w:adjustRightInd/>
        <w:snapToGrid/>
        <w:spacing w:line="36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HYPERLINK \l _Toc17112 </w:instrText>
      </w:r>
      <w:r>
        <w:rPr>
          <w:rFonts w:hint="eastAsia" w:ascii="仿宋" w:hAnsi="仿宋" w:eastAsia="仿宋" w:cs="仿宋"/>
          <w:b w:val="0"/>
          <w:bCs w:val="0"/>
          <w:color w:val="auto"/>
          <w:sz w:val="28"/>
          <w:szCs w:val="28"/>
          <w:highlight w:val="none"/>
        </w:rPr>
        <w:fldChar w:fldCharType="separate"/>
      </w:r>
      <w:r>
        <w:rPr>
          <w:rFonts w:hint="eastAsia" w:ascii="仿宋" w:hAnsi="仿宋" w:eastAsia="仿宋" w:cs="仿宋"/>
          <w:b w:val="0"/>
          <w:bCs w:val="0"/>
          <w:color w:val="auto"/>
          <w:kern w:val="44"/>
          <w:sz w:val="28"/>
          <w:szCs w:val="28"/>
          <w:highlight w:val="none"/>
          <w:lang w:val="zh-CN" w:eastAsia="zh-CN" w:bidi="ar-SA"/>
        </w:rPr>
        <w:t>第六章 合同草案</w:t>
      </w:r>
      <w:r>
        <w:rPr>
          <w:rFonts w:hint="eastAsia" w:ascii="仿宋" w:hAnsi="仿宋" w:eastAsia="仿宋" w:cs="仿宋"/>
          <w:b w:val="0"/>
          <w:bCs w:val="0"/>
          <w:color w:val="auto"/>
          <w:sz w:val="28"/>
          <w:szCs w:val="28"/>
        </w:rPr>
        <w:tab/>
      </w:r>
      <w:r>
        <w:rPr>
          <w:rFonts w:hint="eastAsia" w:ascii="仿宋" w:hAnsi="仿宋" w:eastAsia="仿宋" w:cs="仿宋"/>
          <w:b w:val="0"/>
          <w:bCs w:val="0"/>
          <w:color w:val="auto"/>
          <w:sz w:val="28"/>
          <w:szCs w:val="28"/>
        </w:rPr>
        <w:fldChar w:fldCharType="begin"/>
      </w:r>
      <w:r>
        <w:rPr>
          <w:rFonts w:hint="eastAsia" w:ascii="仿宋" w:hAnsi="仿宋" w:eastAsia="仿宋" w:cs="仿宋"/>
          <w:b w:val="0"/>
          <w:bCs w:val="0"/>
          <w:color w:val="auto"/>
          <w:sz w:val="28"/>
          <w:szCs w:val="28"/>
        </w:rPr>
        <w:instrText xml:space="preserve"> PAGEREF _Toc17112 \h </w:instrText>
      </w:r>
      <w:r>
        <w:rPr>
          <w:rFonts w:hint="eastAsia" w:ascii="仿宋" w:hAnsi="仿宋" w:eastAsia="仿宋" w:cs="仿宋"/>
          <w:b w:val="0"/>
          <w:bCs w:val="0"/>
          <w:color w:val="auto"/>
          <w:sz w:val="28"/>
          <w:szCs w:val="28"/>
        </w:rPr>
        <w:fldChar w:fldCharType="separate"/>
      </w:r>
      <w:r>
        <w:rPr>
          <w:rFonts w:hint="eastAsia" w:ascii="仿宋" w:hAnsi="仿宋" w:eastAsia="仿宋" w:cs="仿宋"/>
          <w:b w:val="0"/>
          <w:bCs w:val="0"/>
          <w:color w:val="auto"/>
          <w:sz w:val="28"/>
          <w:szCs w:val="28"/>
        </w:rPr>
        <w:t>48</w:t>
      </w:r>
      <w:r>
        <w:rPr>
          <w:rFonts w:hint="eastAsia" w:ascii="仿宋" w:hAnsi="仿宋" w:eastAsia="仿宋" w:cs="仿宋"/>
          <w:b w:val="0"/>
          <w:bCs w:val="0"/>
          <w:color w:val="auto"/>
          <w:sz w:val="28"/>
          <w:szCs w:val="28"/>
        </w:rPr>
        <w:fldChar w:fldCharType="end"/>
      </w:r>
      <w:r>
        <w:rPr>
          <w:rFonts w:hint="eastAsia" w:ascii="仿宋" w:hAnsi="仿宋" w:eastAsia="仿宋" w:cs="仿宋"/>
          <w:b w:val="0"/>
          <w:bCs w:val="0"/>
          <w:color w:val="auto"/>
          <w:sz w:val="28"/>
          <w:szCs w:val="28"/>
          <w:highlight w:val="none"/>
        </w:rPr>
        <w:fldChar w:fldCharType="end"/>
      </w:r>
    </w:p>
    <w:p w14:paraId="53059C72">
      <w:pPr>
        <w:pStyle w:val="22"/>
        <w:keepNext w:val="0"/>
        <w:keepLines w:val="0"/>
        <w:pageBreakBefore w:val="0"/>
        <w:widowControl w:val="0"/>
        <w:tabs>
          <w:tab w:val="right" w:leader="dot" w:pos="8306"/>
        </w:tabs>
        <w:kinsoku/>
        <w:wordWrap/>
        <w:overflowPunct/>
        <w:topLinePunct w:val="0"/>
        <w:autoSpaceDE/>
        <w:autoSpaceDN/>
        <w:bidi w:val="0"/>
        <w:adjustRightInd/>
        <w:snapToGrid/>
        <w:spacing w:line="36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HYPERLINK \l _Toc4770 </w:instrText>
      </w:r>
      <w:r>
        <w:rPr>
          <w:rFonts w:hint="eastAsia" w:ascii="仿宋" w:hAnsi="仿宋" w:eastAsia="仿宋" w:cs="仿宋"/>
          <w:b w:val="0"/>
          <w:bCs w:val="0"/>
          <w:color w:val="auto"/>
          <w:sz w:val="28"/>
          <w:szCs w:val="28"/>
          <w:highlight w:val="none"/>
        </w:rPr>
        <w:fldChar w:fldCharType="separate"/>
      </w:r>
      <w:r>
        <w:rPr>
          <w:rFonts w:hint="eastAsia" w:ascii="仿宋" w:hAnsi="仿宋" w:eastAsia="仿宋" w:cs="仿宋"/>
          <w:b w:val="0"/>
          <w:bCs w:val="0"/>
          <w:color w:val="auto"/>
          <w:kern w:val="44"/>
          <w:sz w:val="28"/>
          <w:szCs w:val="28"/>
          <w:highlight w:val="none"/>
          <w:lang w:val="en-US" w:eastAsia="zh-CN" w:bidi="ar-SA"/>
        </w:rPr>
        <w:t>第七章 投标文件格式</w:t>
      </w:r>
      <w:r>
        <w:rPr>
          <w:rFonts w:hint="eastAsia" w:ascii="仿宋" w:hAnsi="仿宋" w:eastAsia="仿宋" w:cs="仿宋"/>
          <w:b w:val="0"/>
          <w:bCs w:val="0"/>
          <w:color w:val="auto"/>
          <w:sz w:val="28"/>
          <w:szCs w:val="28"/>
        </w:rPr>
        <w:tab/>
      </w:r>
      <w:r>
        <w:rPr>
          <w:rFonts w:hint="eastAsia" w:ascii="仿宋" w:hAnsi="仿宋" w:eastAsia="仿宋" w:cs="仿宋"/>
          <w:b w:val="0"/>
          <w:bCs w:val="0"/>
          <w:color w:val="auto"/>
          <w:sz w:val="28"/>
          <w:szCs w:val="28"/>
        </w:rPr>
        <w:fldChar w:fldCharType="begin"/>
      </w:r>
      <w:r>
        <w:rPr>
          <w:rFonts w:hint="eastAsia" w:ascii="仿宋" w:hAnsi="仿宋" w:eastAsia="仿宋" w:cs="仿宋"/>
          <w:b w:val="0"/>
          <w:bCs w:val="0"/>
          <w:color w:val="auto"/>
          <w:sz w:val="28"/>
          <w:szCs w:val="28"/>
        </w:rPr>
        <w:instrText xml:space="preserve"> PAGEREF _Toc4770 \h </w:instrText>
      </w:r>
      <w:r>
        <w:rPr>
          <w:rFonts w:hint="eastAsia" w:ascii="仿宋" w:hAnsi="仿宋" w:eastAsia="仿宋" w:cs="仿宋"/>
          <w:b w:val="0"/>
          <w:bCs w:val="0"/>
          <w:color w:val="auto"/>
          <w:sz w:val="28"/>
          <w:szCs w:val="28"/>
        </w:rPr>
        <w:fldChar w:fldCharType="separate"/>
      </w:r>
      <w:r>
        <w:rPr>
          <w:rFonts w:hint="eastAsia" w:ascii="仿宋" w:hAnsi="仿宋" w:eastAsia="仿宋" w:cs="仿宋"/>
          <w:b w:val="0"/>
          <w:bCs w:val="0"/>
          <w:color w:val="auto"/>
          <w:sz w:val="28"/>
          <w:szCs w:val="28"/>
        </w:rPr>
        <w:t>57</w:t>
      </w:r>
      <w:r>
        <w:rPr>
          <w:rFonts w:hint="eastAsia" w:ascii="仿宋" w:hAnsi="仿宋" w:eastAsia="仿宋" w:cs="仿宋"/>
          <w:b w:val="0"/>
          <w:bCs w:val="0"/>
          <w:color w:val="auto"/>
          <w:sz w:val="28"/>
          <w:szCs w:val="28"/>
        </w:rPr>
        <w:fldChar w:fldCharType="end"/>
      </w:r>
      <w:r>
        <w:rPr>
          <w:rFonts w:hint="eastAsia" w:ascii="仿宋" w:hAnsi="仿宋" w:eastAsia="仿宋" w:cs="仿宋"/>
          <w:b w:val="0"/>
          <w:bCs w:val="0"/>
          <w:color w:val="auto"/>
          <w:sz w:val="28"/>
          <w:szCs w:val="28"/>
          <w:highlight w:val="none"/>
        </w:rPr>
        <w:fldChar w:fldCharType="end"/>
      </w:r>
    </w:p>
    <w:p w14:paraId="0152F105">
      <w:pPr>
        <w:pStyle w:val="26"/>
        <w:keepNext w:val="0"/>
        <w:keepLines w:val="0"/>
        <w:pageBreakBefore w:val="0"/>
        <w:widowControl w:val="0"/>
        <w:tabs>
          <w:tab w:val="right" w:leader="dot" w:pos="8306"/>
        </w:tabs>
        <w:kinsoku/>
        <w:wordWrap/>
        <w:overflowPunct/>
        <w:topLinePunct w:val="0"/>
        <w:autoSpaceDE/>
        <w:autoSpaceDN/>
        <w:bidi w:val="0"/>
        <w:adjustRightInd/>
        <w:snapToGrid/>
        <w:spacing w:line="360" w:lineRule="exact"/>
        <w:textAlignment w:val="auto"/>
        <w:rPr>
          <w:rFonts w:hint="eastAsia" w:ascii="仿宋" w:hAnsi="仿宋" w:eastAsia="仿宋" w:cs="仿宋"/>
          <w:b w:val="0"/>
          <w:bCs w:val="0"/>
          <w:color w:val="auto"/>
          <w:sz w:val="28"/>
          <w:szCs w:val="28"/>
        </w:rPr>
      </w:pPr>
    </w:p>
    <w:p w14:paraId="2C526407">
      <w:pPr>
        <w:pStyle w:val="2"/>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仿宋" w:hAnsi="仿宋" w:eastAsia="仿宋" w:cs="仿宋"/>
          <w:b w:val="0"/>
          <w:bCs w:val="0"/>
          <w:color w:val="auto"/>
          <w:sz w:val="28"/>
          <w:szCs w:val="28"/>
          <w:highlight w:val="none"/>
        </w:rPr>
        <w:sectPr>
          <w:headerReference r:id="rId6" w:type="default"/>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14:paraId="5B063F4B">
      <w:pPr>
        <w:pStyle w:val="2"/>
        <w:keepNext/>
        <w:keepLines/>
        <w:pageBreakBefore w:val="0"/>
        <w:widowControl w:val="0"/>
        <w:numPr>
          <w:ilvl w:val="0"/>
          <w:numId w:val="0"/>
        </w:numPr>
        <w:kinsoku/>
        <w:wordWrap/>
        <w:overflowPunct/>
        <w:topLinePunct w:val="0"/>
        <w:autoSpaceDE/>
        <w:autoSpaceDN/>
        <w:bidi w:val="0"/>
        <w:adjustRightInd/>
        <w:snapToGrid/>
        <w:spacing w:before="220" w:after="220" w:line="360" w:lineRule="auto"/>
        <w:ind w:left="420" w:leftChars="0" w:hanging="420" w:firstLineChars="0"/>
        <w:textAlignment w:val="auto"/>
        <w:rPr>
          <w:rFonts w:hint="eastAsia" w:ascii="仿宋" w:hAnsi="仿宋" w:eastAsia="仿宋" w:cs="仿宋"/>
          <w:b/>
          <w:bCs/>
          <w:snapToGrid w:val="0"/>
          <w:color w:val="auto"/>
          <w:spacing w:val="5"/>
          <w:kern w:val="0"/>
          <w:sz w:val="35"/>
          <w:szCs w:val="35"/>
          <w:highlight w:val="none"/>
          <w:lang w:val="en-US" w:eastAsia="zh-CN" w:bidi="ar-SA"/>
        </w:rPr>
      </w:pPr>
      <w:r>
        <w:rPr>
          <w:rFonts w:hint="eastAsia" w:ascii="仿宋" w:hAnsi="仿宋" w:eastAsia="仿宋" w:cs="仿宋"/>
          <w:b w:val="0"/>
          <w:bCs w:val="0"/>
          <w:color w:val="auto"/>
          <w:sz w:val="28"/>
          <w:szCs w:val="28"/>
          <w:highlight w:val="none"/>
        </w:rPr>
        <w:fldChar w:fldCharType="end"/>
      </w:r>
      <w:bookmarkStart w:id="0" w:name="_Toc155185859"/>
      <w:bookmarkStart w:id="1" w:name="_Toc8881"/>
      <w:bookmarkStart w:id="2" w:name="_Hlk130458318"/>
      <w:r>
        <w:rPr>
          <w:rFonts w:hint="eastAsia" w:ascii="仿宋" w:hAnsi="仿宋" w:eastAsia="仿宋" w:cs="仿宋"/>
          <w:b/>
          <w:bCs/>
          <w:snapToGrid w:val="0"/>
          <w:color w:val="auto"/>
          <w:spacing w:val="5"/>
          <w:kern w:val="0"/>
          <w:sz w:val="35"/>
          <w:szCs w:val="35"/>
          <w:highlight w:val="none"/>
          <w:lang w:val="en-US" w:eastAsia="zh-CN" w:bidi="ar-SA"/>
        </w:rPr>
        <w:t xml:space="preserve">第一章 </w:t>
      </w:r>
      <w:bookmarkEnd w:id="0"/>
      <w:r>
        <w:rPr>
          <w:rFonts w:hint="eastAsia" w:ascii="仿宋" w:hAnsi="仿宋" w:eastAsia="仿宋" w:cs="仿宋"/>
          <w:b/>
          <w:bCs/>
          <w:snapToGrid w:val="0"/>
          <w:color w:val="auto"/>
          <w:spacing w:val="5"/>
          <w:kern w:val="0"/>
          <w:sz w:val="35"/>
          <w:szCs w:val="35"/>
          <w:highlight w:val="none"/>
          <w:lang w:val="en-US" w:eastAsia="zh-CN" w:bidi="ar-SA"/>
        </w:rPr>
        <w:t>招标公告</w:t>
      </w:r>
      <w:bookmarkEnd w:id="1"/>
    </w:p>
    <w:tbl>
      <w:tblPr>
        <w:tblStyle w:val="31"/>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14:paraId="6D78C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0" w:type="dxa"/>
          </w:tcPr>
          <w:p w14:paraId="69D3D745">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textAlignment w:val="auto"/>
              <w:rPr>
                <w:rFonts w:hint="eastAsia" w:ascii="仿宋" w:hAnsi="仿宋" w:eastAsia="仿宋" w:cs="仿宋"/>
                <w:color w:val="auto"/>
                <w:sz w:val="24"/>
                <w:szCs w:val="24"/>
                <w:highlight w:val="none"/>
                <w:lang w:val="en-US" w:eastAsia="zh-CN"/>
              </w:rPr>
            </w:pPr>
            <w:bookmarkStart w:id="3" w:name="_Toc26706"/>
            <w:bookmarkStart w:id="4" w:name="_Toc576"/>
            <w:bookmarkStart w:id="5" w:name="_Toc32473"/>
            <w:bookmarkStart w:id="6" w:name="_Toc109899829"/>
            <w:bookmarkStart w:id="7" w:name="_Toc109899410"/>
            <w:bookmarkStart w:id="8" w:name="_Toc140132745"/>
            <w:bookmarkStart w:id="9" w:name="_Toc155185860"/>
            <w:bookmarkStart w:id="10" w:name="_Toc35393798"/>
            <w:bookmarkStart w:id="11" w:name="_Toc109900248"/>
            <w:bookmarkStart w:id="12" w:name="_Toc28359012"/>
            <w:bookmarkStart w:id="13" w:name="_Toc44583628"/>
            <w:bookmarkStart w:id="14" w:name="_Toc35393629"/>
            <w:bookmarkStart w:id="15" w:name="_Toc28359089"/>
            <w:r>
              <w:rPr>
                <w:rFonts w:hint="eastAsia" w:ascii="仿宋" w:hAnsi="仿宋" w:eastAsia="仿宋" w:cs="仿宋"/>
                <w:color w:val="auto"/>
                <w:sz w:val="24"/>
                <w:szCs w:val="24"/>
                <w:highlight w:val="none"/>
                <w:lang w:val="en-US" w:eastAsia="zh-CN"/>
              </w:rPr>
              <w:t>项目概况：</w:t>
            </w:r>
            <w:bookmarkEnd w:id="3"/>
            <w:bookmarkEnd w:id="4"/>
            <w:bookmarkEnd w:id="5"/>
          </w:p>
          <w:p w14:paraId="7C89C117">
            <w:pPr>
              <w:spacing w:line="360" w:lineRule="auto"/>
              <w:ind w:firstLine="480" w:firstLineChars="200"/>
              <w:rPr>
                <w:rFonts w:hint="eastAsia" w:ascii="仿宋" w:hAnsi="仿宋" w:eastAsia="仿宋" w:cs="仿宋"/>
                <w:color w:val="auto"/>
                <w:highlight w:val="none"/>
                <w:lang w:val="en-US" w:eastAsia="zh-CN"/>
              </w:rPr>
            </w:pPr>
            <w:r>
              <w:rPr>
                <w:rFonts w:hint="eastAsia" w:ascii="仿宋" w:hAnsi="仿宋" w:eastAsia="仿宋" w:cs="仿宋"/>
                <w:iCs/>
                <w:color w:val="auto"/>
                <w:kern w:val="2"/>
                <w:sz w:val="24"/>
                <w:szCs w:val="24"/>
                <w:highlight w:val="none"/>
                <w:u w:val="single"/>
                <w:shd w:val="clear" w:color="auto" w:fill="FFFFFF" w:themeFill="background1"/>
                <w:lang w:val="hr-HR" w:eastAsia="zh-CN" w:bidi="ar-SA"/>
              </w:rPr>
              <w:t>乌鲁木齐市防洪规划报告</w:t>
            </w:r>
            <w:r>
              <w:rPr>
                <w:rFonts w:hint="eastAsia" w:ascii="仿宋" w:hAnsi="仿宋" w:eastAsia="仿宋" w:cs="仿宋"/>
                <w:iCs/>
                <w:color w:val="auto"/>
                <w:kern w:val="2"/>
                <w:sz w:val="24"/>
                <w:szCs w:val="24"/>
                <w:highlight w:val="none"/>
                <w:shd w:val="clear" w:color="auto" w:fill="FFFFFF" w:themeFill="background1"/>
                <w:lang w:val="hr-HR" w:eastAsia="zh-CN" w:bidi="ar-SA"/>
              </w:rPr>
              <w:t>招标项目的潜在投标人应在</w:t>
            </w:r>
            <w:r>
              <w:rPr>
                <w:rFonts w:hint="eastAsia" w:ascii="仿宋" w:hAnsi="仿宋" w:eastAsia="仿宋" w:cs="仿宋"/>
                <w:color w:val="auto"/>
                <w:spacing w:val="-7"/>
                <w:u w:val="single"/>
              </w:rPr>
              <w:t>政采云平台</w:t>
            </w:r>
            <w:r>
              <w:rPr>
                <w:rFonts w:hint="eastAsia" w:ascii="仿宋" w:hAnsi="仿宋" w:eastAsia="仿宋" w:cs="仿宋"/>
                <w:color w:val="auto"/>
                <w:spacing w:val="-7"/>
                <w:u w:val="single"/>
                <w:lang w:val="en-US" w:eastAsia="zh-CN"/>
              </w:rPr>
              <w:t>线上</w:t>
            </w:r>
            <w:r>
              <w:rPr>
                <w:rFonts w:hint="eastAsia" w:ascii="仿宋" w:hAnsi="仿宋" w:eastAsia="仿宋" w:cs="仿宋"/>
                <w:iCs/>
                <w:color w:val="auto"/>
                <w:kern w:val="2"/>
                <w:sz w:val="24"/>
                <w:szCs w:val="24"/>
                <w:highlight w:val="none"/>
                <w:shd w:val="clear" w:color="auto" w:fill="FFFFFF" w:themeFill="background1"/>
                <w:lang w:val="hr-HR" w:eastAsia="zh-CN" w:bidi="ar-SA"/>
              </w:rPr>
              <w:t>获取招标文件，并于</w:t>
            </w:r>
            <w:r>
              <w:rPr>
                <w:rFonts w:hint="eastAsia" w:ascii="仿宋" w:hAnsi="仿宋" w:eastAsia="仿宋" w:cs="仿宋"/>
                <w:iCs/>
                <w:color w:val="auto"/>
                <w:kern w:val="2"/>
                <w:sz w:val="24"/>
                <w:szCs w:val="24"/>
                <w:highlight w:val="none"/>
                <w:u w:val="single"/>
                <w:shd w:val="clear" w:color="auto" w:fill="FFFFFF" w:themeFill="background1"/>
                <w:lang w:val="en-US" w:eastAsia="zh-CN" w:bidi="ar-SA"/>
              </w:rPr>
              <w:t>2025年08</w:t>
            </w:r>
            <w:r>
              <w:rPr>
                <w:rFonts w:hint="eastAsia" w:ascii="仿宋" w:hAnsi="仿宋" w:eastAsia="仿宋" w:cs="仿宋"/>
                <w:iCs/>
                <w:color w:val="auto"/>
                <w:kern w:val="2"/>
                <w:sz w:val="24"/>
                <w:szCs w:val="24"/>
                <w:highlight w:val="none"/>
                <w:u w:val="single"/>
                <w:shd w:val="clear" w:color="auto" w:fill="FFFFFF" w:themeFill="background1"/>
                <w:lang w:val="hr-HR" w:eastAsia="zh-CN" w:bidi="ar-SA"/>
              </w:rPr>
              <w:t>月</w:t>
            </w:r>
            <w:r>
              <w:rPr>
                <w:rFonts w:hint="eastAsia" w:ascii="仿宋" w:hAnsi="仿宋" w:eastAsia="仿宋" w:cs="仿宋"/>
                <w:iCs/>
                <w:color w:val="auto"/>
                <w:kern w:val="2"/>
                <w:sz w:val="24"/>
                <w:szCs w:val="24"/>
                <w:highlight w:val="none"/>
                <w:u w:val="single"/>
                <w:shd w:val="clear" w:color="auto" w:fill="FFFFFF" w:themeFill="background1"/>
                <w:lang w:val="en-US" w:eastAsia="zh-CN" w:bidi="ar-SA"/>
              </w:rPr>
              <w:t>07</w:t>
            </w:r>
            <w:r>
              <w:rPr>
                <w:rFonts w:hint="eastAsia" w:ascii="仿宋" w:hAnsi="仿宋" w:eastAsia="仿宋" w:cs="仿宋"/>
                <w:iCs/>
                <w:color w:val="auto"/>
                <w:kern w:val="2"/>
                <w:sz w:val="24"/>
                <w:szCs w:val="24"/>
                <w:highlight w:val="none"/>
                <w:u w:val="single"/>
                <w:shd w:val="clear" w:color="auto" w:fill="FFFFFF" w:themeFill="background1"/>
                <w:lang w:val="hr-HR" w:eastAsia="zh-CN" w:bidi="ar-SA"/>
              </w:rPr>
              <w:t>日</w:t>
            </w:r>
            <w:r>
              <w:rPr>
                <w:rFonts w:hint="eastAsia" w:ascii="仿宋" w:hAnsi="仿宋" w:eastAsia="仿宋" w:cs="仿宋"/>
                <w:iCs/>
                <w:color w:val="auto"/>
                <w:kern w:val="2"/>
                <w:sz w:val="24"/>
                <w:szCs w:val="24"/>
                <w:highlight w:val="none"/>
                <w:u w:val="single"/>
                <w:shd w:val="clear" w:color="auto" w:fill="FFFFFF" w:themeFill="background1"/>
                <w:lang w:val="en-US" w:eastAsia="zh-CN" w:bidi="ar-SA"/>
              </w:rPr>
              <w:t>11时00</w:t>
            </w:r>
            <w:r>
              <w:rPr>
                <w:rFonts w:hint="eastAsia" w:ascii="仿宋" w:hAnsi="仿宋" w:eastAsia="仿宋" w:cs="仿宋"/>
                <w:iCs/>
                <w:color w:val="auto"/>
                <w:kern w:val="2"/>
                <w:sz w:val="24"/>
                <w:szCs w:val="24"/>
                <w:highlight w:val="none"/>
                <w:u w:val="single"/>
                <w:shd w:val="clear" w:color="auto" w:fill="FFFFFF" w:themeFill="background1"/>
                <w:lang w:val="hr-HR" w:eastAsia="zh-CN" w:bidi="ar-SA"/>
              </w:rPr>
              <w:t>分</w:t>
            </w:r>
            <w:r>
              <w:rPr>
                <w:rFonts w:hint="eastAsia" w:ascii="仿宋" w:hAnsi="仿宋" w:eastAsia="仿宋" w:cs="仿宋"/>
                <w:iCs/>
                <w:color w:val="auto"/>
                <w:kern w:val="2"/>
                <w:sz w:val="24"/>
                <w:szCs w:val="24"/>
                <w:highlight w:val="none"/>
                <w:shd w:val="clear" w:color="auto" w:fill="FFFFFF" w:themeFill="background1"/>
                <w:lang w:val="hr-HR" w:eastAsia="zh-CN" w:bidi="ar-SA"/>
              </w:rPr>
              <w:t>（北京时间）前递交投标文件。</w:t>
            </w:r>
          </w:p>
        </w:tc>
      </w:tr>
      <w:bookmarkEnd w:id="2"/>
      <w:bookmarkEnd w:id="6"/>
      <w:bookmarkEnd w:id="7"/>
      <w:bookmarkEnd w:id="8"/>
      <w:bookmarkEnd w:id="9"/>
      <w:bookmarkEnd w:id="10"/>
      <w:bookmarkEnd w:id="11"/>
      <w:bookmarkEnd w:id="12"/>
      <w:bookmarkEnd w:id="13"/>
      <w:bookmarkEnd w:id="14"/>
      <w:bookmarkEnd w:id="15"/>
    </w:tbl>
    <w:p w14:paraId="27F4FF0B">
      <w:pPr>
        <w:pStyle w:val="37"/>
        <w:pageBreakBefore w:val="0"/>
        <w:overflowPunct/>
        <w:topLinePunct w:val="0"/>
        <w:bidi w:val="0"/>
        <w:spacing w:line="440" w:lineRule="exact"/>
        <w:ind w:left="0" w:leftChars="0" w:firstLine="0" w:firstLineChars="0"/>
        <w:rPr>
          <w:rFonts w:hint="eastAsia" w:ascii="仿宋" w:hAnsi="仿宋" w:eastAsia="仿宋" w:cs="仿宋"/>
          <w:b/>
          <w:bCs/>
          <w:color w:val="auto"/>
          <w:sz w:val="24"/>
          <w:szCs w:val="24"/>
          <w:highlight w:val="none"/>
          <w:u w:val="none"/>
          <w:lang w:val="hr-HR" w:eastAsia="zh-CN"/>
        </w:rPr>
      </w:pPr>
      <w:bookmarkStart w:id="16" w:name="_Toc29167"/>
      <w:r>
        <w:rPr>
          <w:rFonts w:hint="eastAsia" w:ascii="仿宋" w:hAnsi="仿宋" w:eastAsia="仿宋" w:cs="仿宋"/>
          <w:b/>
          <w:bCs/>
          <w:color w:val="auto"/>
          <w:sz w:val="24"/>
          <w:szCs w:val="24"/>
          <w:highlight w:val="none"/>
          <w:u w:val="none"/>
          <w:lang w:val="hr-HR" w:eastAsia="zh-CN"/>
        </w:rPr>
        <w:t>一、项目基本情况</w:t>
      </w:r>
      <w:bookmarkEnd w:id="16"/>
    </w:p>
    <w:p w14:paraId="493AF877">
      <w:pPr>
        <w:pStyle w:val="37"/>
        <w:pageBreakBefore w:val="0"/>
        <w:overflowPunct/>
        <w:topLinePunct w:val="0"/>
        <w:bidi w:val="0"/>
        <w:spacing w:line="440" w:lineRule="exact"/>
        <w:rPr>
          <w:rFonts w:hint="eastAsia" w:ascii="仿宋" w:hAnsi="仿宋" w:eastAsia="仿宋" w:cs="仿宋"/>
          <w:color w:val="auto"/>
          <w:sz w:val="24"/>
          <w:szCs w:val="24"/>
          <w:highlight w:val="none"/>
          <w:u w:val="none"/>
          <w:lang w:val="hr-HR" w:eastAsia="zh-CN"/>
        </w:rPr>
      </w:pPr>
      <w:r>
        <w:rPr>
          <w:rFonts w:hint="eastAsia" w:ascii="仿宋" w:hAnsi="仿宋" w:eastAsia="仿宋" w:cs="仿宋"/>
          <w:color w:val="auto"/>
          <w:sz w:val="24"/>
          <w:szCs w:val="24"/>
          <w:highlight w:val="none"/>
          <w:u w:val="none"/>
          <w:lang w:val="hr-HR"/>
        </w:rPr>
        <w:t>1.项目编号：</w:t>
      </w:r>
      <w:r>
        <w:rPr>
          <w:rFonts w:hint="eastAsia" w:ascii="仿宋" w:hAnsi="仿宋" w:eastAsia="仿宋" w:cs="仿宋"/>
          <w:color w:val="auto"/>
          <w:sz w:val="24"/>
          <w:szCs w:val="24"/>
          <w:highlight w:val="none"/>
          <w:u w:val="none"/>
          <w:lang w:val="en-US" w:eastAsia="zh-CN"/>
        </w:rPr>
        <w:t>[2025]3007号</w:t>
      </w:r>
    </w:p>
    <w:p w14:paraId="19030F6A">
      <w:pPr>
        <w:pStyle w:val="37"/>
        <w:pageBreakBefore w:val="0"/>
        <w:overflowPunct/>
        <w:topLinePunct w:val="0"/>
        <w:bidi w:val="0"/>
        <w:spacing w:line="440" w:lineRule="exact"/>
        <w:rPr>
          <w:rFonts w:hint="eastAsia" w:ascii="仿宋" w:hAnsi="仿宋" w:eastAsia="仿宋" w:cs="仿宋"/>
          <w:color w:val="auto"/>
          <w:sz w:val="24"/>
          <w:szCs w:val="24"/>
          <w:highlight w:val="none"/>
          <w:u w:val="none"/>
          <w:lang w:val="hr-HR" w:eastAsia="zh-CN"/>
        </w:rPr>
      </w:pPr>
      <w:r>
        <w:rPr>
          <w:rFonts w:hint="eastAsia" w:ascii="仿宋" w:hAnsi="仿宋" w:eastAsia="仿宋" w:cs="仿宋"/>
          <w:color w:val="auto"/>
          <w:sz w:val="24"/>
          <w:szCs w:val="24"/>
          <w:highlight w:val="none"/>
          <w:u w:val="none"/>
          <w:lang w:val="en-US" w:eastAsia="zh-CN"/>
        </w:rPr>
        <w:t>2</w:t>
      </w:r>
      <w:r>
        <w:rPr>
          <w:rFonts w:hint="eastAsia" w:ascii="仿宋" w:hAnsi="仿宋" w:eastAsia="仿宋" w:cs="仿宋"/>
          <w:color w:val="auto"/>
          <w:sz w:val="24"/>
          <w:szCs w:val="24"/>
          <w:highlight w:val="none"/>
          <w:u w:val="none"/>
          <w:lang w:val="hr-HR"/>
        </w:rPr>
        <w:t>.项目名称：</w:t>
      </w:r>
      <w:r>
        <w:rPr>
          <w:rFonts w:hint="eastAsia" w:ascii="仿宋" w:hAnsi="仿宋" w:eastAsia="仿宋" w:cs="仿宋"/>
          <w:color w:val="auto"/>
          <w:sz w:val="24"/>
          <w:szCs w:val="24"/>
          <w:highlight w:val="none"/>
          <w:u w:val="none"/>
          <w:lang w:val="hr-HR" w:eastAsia="zh-CN"/>
        </w:rPr>
        <w:t>乌鲁木齐市防洪规划报告</w:t>
      </w:r>
    </w:p>
    <w:p w14:paraId="5BED9FD0">
      <w:pPr>
        <w:pStyle w:val="37"/>
        <w:pageBreakBefore w:val="0"/>
        <w:overflowPunct/>
        <w:topLinePunct w:val="0"/>
        <w:bidi w:val="0"/>
        <w:spacing w:line="440" w:lineRule="exact"/>
        <w:rPr>
          <w:rFonts w:hint="eastAsia" w:ascii="仿宋" w:hAnsi="仿宋" w:eastAsia="仿宋" w:cs="仿宋"/>
          <w:color w:val="auto"/>
          <w:sz w:val="24"/>
          <w:szCs w:val="24"/>
          <w:highlight w:val="none"/>
          <w:u w:val="none"/>
          <w:lang w:val="hr-HR"/>
        </w:rPr>
      </w:pPr>
      <w:r>
        <w:rPr>
          <w:rFonts w:hint="eastAsia" w:ascii="仿宋" w:hAnsi="仿宋" w:eastAsia="仿宋" w:cs="仿宋"/>
          <w:color w:val="auto"/>
          <w:sz w:val="24"/>
          <w:szCs w:val="24"/>
          <w:highlight w:val="none"/>
          <w:u w:val="none"/>
          <w:lang w:val="en-US" w:eastAsia="zh-CN"/>
        </w:rPr>
        <w:t>3</w:t>
      </w:r>
      <w:r>
        <w:rPr>
          <w:rFonts w:hint="eastAsia" w:ascii="仿宋" w:hAnsi="仿宋" w:eastAsia="仿宋" w:cs="仿宋"/>
          <w:color w:val="auto"/>
          <w:sz w:val="24"/>
          <w:szCs w:val="24"/>
          <w:highlight w:val="none"/>
          <w:u w:val="none"/>
        </w:rPr>
        <w:t>.采购方式：公开招标</w:t>
      </w:r>
    </w:p>
    <w:p w14:paraId="01B77EE2">
      <w:pPr>
        <w:pStyle w:val="37"/>
        <w:pageBreakBefore w:val="0"/>
        <w:overflowPunct/>
        <w:topLinePunct w:val="0"/>
        <w:bidi w:val="0"/>
        <w:spacing w:line="440" w:lineRule="exact"/>
        <w:rPr>
          <w:rFonts w:hint="eastAsia" w:ascii="仿宋" w:hAnsi="仿宋" w:eastAsia="仿宋" w:cs="仿宋"/>
          <w:color w:val="auto"/>
          <w:sz w:val="24"/>
          <w:szCs w:val="24"/>
          <w:highlight w:val="none"/>
          <w:u w:val="none"/>
          <w:lang w:val="hr-HR"/>
        </w:rPr>
      </w:pPr>
      <w:r>
        <w:rPr>
          <w:rFonts w:hint="eastAsia" w:ascii="仿宋" w:hAnsi="仿宋" w:eastAsia="仿宋" w:cs="仿宋"/>
          <w:color w:val="auto"/>
          <w:sz w:val="24"/>
          <w:szCs w:val="24"/>
          <w:highlight w:val="none"/>
          <w:u w:val="none"/>
          <w:lang w:val="en-US" w:eastAsia="zh-CN"/>
        </w:rPr>
        <w:t>4</w:t>
      </w:r>
      <w:r>
        <w:rPr>
          <w:rFonts w:hint="eastAsia" w:ascii="仿宋" w:hAnsi="仿宋" w:eastAsia="仿宋" w:cs="仿宋"/>
          <w:color w:val="auto"/>
          <w:sz w:val="24"/>
          <w:szCs w:val="24"/>
          <w:highlight w:val="none"/>
          <w:u w:val="none"/>
          <w:lang w:val="hr-HR"/>
        </w:rPr>
        <w:t>.预算金额：</w:t>
      </w:r>
      <w:r>
        <w:rPr>
          <w:rFonts w:hint="eastAsia" w:ascii="仿宋_GB2312" w:hAnsi="仿宋_GB2312" w:eastAsia="仿宋_GB2312" w:cs="仿宋_GB2312"/>
          <w:color w:val="auto"/>
          <w:lang w:val="en-US" w:eastAsia="zh-CN"/>
        </w:rPr>
        <w:t>3000000.00</w:t>
      </w:r>
      <w:r>
        <w:rPr>
          <w:rFonts w:hint="eastAsia" w:ascii="仿宋" w:hAnsi="仿宋" w:eastAsia="仿宋" w:cs="仿宋"/>
          <w:color w:val="auto"/>
          <w:sz w:val="24"/>
          <w:szCs w:val="24"/>
          <w:highlight w:val="none"/>
          <w:u w:val="none"/>
          <w:lang w:val="hr-HR"/>
        </w:rPr>
        <w:t>元</w:t>
      </w:r>
    </w:p>
    <w:p w14:paraId="24A2E0DD">
      <w:pPr>
        <w:pStyle w:val="37"/>
        <w:pageBreakBefore w:val="0"/>
        <w:overflowPunct/>
        <w:topLinePunct w:val="0"/>
        <w:bidi w:val="0"/>
        <w:spacing w:line="440" w:lineRule="exact"/>
        <w:rPr>
          <w:rFonts w:hint="eastAsia" w:ascii="仿宋" w:hAnsi="仿宋" w:eastAsia="仿宋" w:cs="仿宋"/>
          <w:color w:val="auto"/>
          <w:sz w:val="24"/>
          <w:szCs w:val="24"/>
          <w:highlight w:val="none"/>
          <w:u w:val="none"/>
          <w:lang w:val="hr-HR"/>
        </w:rPr>
      </w:pPr>
      <w:r>
        <w:rPr>
          <w:rFonts w:hint="eastAsia" w:ascii="仿宋" w:hAnsi="仿宋" w:eastAsia="仿宋" w:cs="仿宋"/>
          <w:color w:val="auto"/>
          <w:sz w:val="24"/>
          <w:szCs w:val="24"/>
          <w:highlight w:val="none"/>
          <w:u w:val="none"/>
          <w:lang w:val="en-US" w:eastAsia="zh-CN"/>
        </w:rPr>
        <w:t>5</w:t>
      </w:r>
      <w:r>
        <w:rPr>
          <w:rFonts w:hint="eastAsia" w:ascii="仿宋" w:hAnsi="仿宋" w:eastAsia="仿宋" w:cs="仿宋"/>
          <w:color w:val="auto"/>
          <w:sz w:val="24"/>
          <w:szCs w:val="24"/>
          <w:highlight w:val="none"/>
          <w:u w:val="none"/>
          <w:lang w:val="hr-HR"/>
        </w:rPr>
        <w:t>.</w:t>
      </w:r>
      <w:r>
        <w:rPr>
          <w:rFonts w:hint="eastAsia" w:ascii="仿宋" w:hAnsi="仿宋" w:eastAsia="仿宋" w:cs="仿宋"/>
          <w:color w:val="auto"/>
          <w:sz w:val="24"/>
          <w:szCs w:val="24"/>
          <w:highlight w:val="none"/>
          <w:u w:val="none"/>
        </w:rPr>
        <w:t>最高限价</w:t>
      </w:r>
      <w:r>
        <w:rPr>
          <w:rFonts w:hint="eastAsia" w:ascii="仿宋" w:hAnsi="仿宋" w:eastAsia="仿宋" w:cs="仿宋"/>
          <w:color w:val="auto"/>
          <w:sz w:val="24"/>
          <w:szCs w:val="24"/>
          <w:highlight w:val="none"/>
          <w:u w:val="none"/>
          <w:lang w:val="hr-HR"/>
        </w:rPr>
        <w:t>：</w:t>
      </w:r>
      <w:r>
        <w:rPr>
          <w:rFonts w:hint="eastAsia" w:ascii="仿宋_GB2312" w:hAnsi="仿宋_GB2312" w:eastAsia="仿宋_GB2312" w:cs="仿宋_GB2312"/>
          <w:color w:val="auto"/>
          <w:lang w:val="en-US" w:eastAsia="zh-CN"/>
        </w:rPr>
        <w:t>3000000.00</w:t>
      </w:r>
      <w:r>
        <w:rPr>
          <w:rFonts w:hint="eastAsia" w:ascii="仿宋" w:hAnsi="仿宋" w:eastAsia="仿宋" w:cs="仿宋"/>
          <w:color w:val="auto"/>
          <w:sz w:val="24"/>
          <w:szCs w:val="24"/>
          <w:highlight w:val="none"/>
          <w:u w:val="none"/>
          <w:lang w:val="hr-HR"/>
        </w:rPr>
        <w:t>元</w:t>
      </w:r>
    </w:p>
    <w:p w14:paraId="78226B68">
      <w:pPr>
        <w:pStyle w:val="37"/>
        <w:pageBreakBefore w:val="0"/>
        <w:overflowPunct/>
        <w:topLinePunct w:val="0"/>
        <w:bidi w:val="0"/>
        <w:spacing w:line="440" w:lineRule="exact"/>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lang w:val="en-US" w:eastAsia="zh-CN"/>
        </w:rPr>
        <w:t>6</w:t>
      </w:r>
      <w:r>
        <w:rPr>
          <w:rFonts w:hint="eastAsia" w:ascii="仿宋" w:hAnsi="仿宋" w:eastAsia="仿宋" w:cs="仿宋"/>
          <w:color w:val="auto"/>
          <w:sz w:val="24"/>
          <w:szCs w:val="24"/>
          <w:highlight w:val="none"/>
          <w:u w:val="none"/>
          <w:lang w:val="hr-HR"/>
        </w:rPr>
        <w:t>.采购需求：本次防洪规划工作，依据《防洪规划编制规程》（SL669-2014）等相关技术标准，在原防洪规划成果的基础上，按照自治区党委、乌鲁木齐市委、自治区水利厅关于乌鲁木齐高质量发展的总体要求，结合乌鲁木齐市经济社会发展规划布局要求、防洪现状及形势分析，对乌鲁木齐市各县区主要河流及山洪沟的防洪保护对象和防洪标准进行复核，防洪总体布局进行梳理分析，提出相应的防洪工程和非工程措施方案，编制并提交《乌鲁木齐市防洪规划报告》及《乌鲁木齐市防洪规划报告附图集》</w:t>
      </w:r>
      <w:r>
        <w:rPr>
          <w:rFonts w:hint="eastAsia" w:ascii="仿宋" w:hAnsi="仿宋" w:eastAsia="仿宋" w:cs="仿宋"/>
          <w:color w:val="auto"/>
          <w:sz w:val="24"/>
          <w:szCs w:val="24"/>
          <w:highlight w:val="none"/>
          <w:u w:val="none"/>
          <w:lang w:val="hr-HR" w:eastAsia="zh-CN"/>
        </w:rPr>
        <w:t>。</w:t>
      </w:r>
      <w:r>
        <w:rPr>
          <w:rFonts w:hint="eastAsia" w:ascii="仿宋" w:hAnsi="仿宋" w:eastAsia="仿宋" w:cs="仿宋"/>
          <w:color w:val="auto"/>
          <w:sz w:val="24"/>
          <w:szCs w:val="24"/>
          <w:highlight w:val="none"/>
          <w:u w:val="none"/>
          <w:lang w:val="hr-HR"/>
        </w:rPr>
        <w:t>具体详见招标文件第三</w:t>
      </w:r>
      <w:r>
        <w:rPr>
          <w:rFonts w:hint="eastAsia" w:ascii="仿宋" w:hAnsi="仿宋" w:eastAsia="仿宋" w:cs="仿宋"/>
          <w:color w:val="auto"/>
          <w:sz w:val="24"/>
          <w:szCs w:val="24"/>
          <w:highlight w:val="none"/>
          <w:u w:val="none"/>
          <w:lang w:val="en-US" w:eastAsia="zh-CN"/>
        </w:rPr>
        <w:t>章</w:t>
      </w:r>
      <w:r>
        <w:rPr>
          <w:rFonts w:hint="eastAsia" w:ascii="仿宋" w:hAnsi="仿宋" w:eastAsia="仿宋" w:cs="仿宋"/>
          <w:color w:val="auto"/>
          <w:sz w:val="24"/>
          <w:szCs w:val="24"/>
          <w:highlight w:val="none"/>
          <w:u w:val="none"/>
          <w:lang w:val="hr-HR"/>
        </w:rPr>
        <w:t>“采购需求”。</w:t>
      </w:r>
    </w:p>
    <w:p w14:paraId="727229E8">
      <w:pPr>
        <w:pStyle w:val="37"/>
        <w:pageBreakBefore w:val="0"/>
        <w:overflowPunct/>
        <w:topLinePunct w:val="0"/>
        <w:bidi w:val="0"/>
        <w:spacing w:line="440" w:lineRule="exact"/>
        <w:rPr>
          <w:rFonts w:hint="eastAsia" w:ascii="仿宋" w:hAnsi="仿宋" w:eastAsia="仿宋" w:cs="仿宋"/>
          <w:color w:val="auto"/>
          <w:sz w:val="24"/>
          <w:szCs w:val="24"/>
          <w:highlight w:val="none"/>
          <w:u w:val="none"/>
          <w:lang w:val="hr-HR"/>
        </w:rPr>
      </w:pPr>
      <w:r>
        <w:rPr>
          <w:rFonts w:hint="eastAsia" w:ascii="仿宋" w:hAnsi="仿宋" w:eastAsia="仿宋" w:cs="仿宋"/>
          <w:color w:val="auto"/>
          <w:sz w:val="24"/>
          <w:szCs w:val="24"/>
          <w:highlight w:val="none"/>
          <w:u w:val="none"/>
          <w:lang w:val="en-US" w:eastAsia="zh-CN"/>
        </w:rPr>
        <w:t>7</w:t>
      </w:r>
      <w:r>
        <w:rPr>
          <w:rFonts w:hint="eastAsia" w:ascii="仿宋" w:hAnsi="仿宋" w:eastAsia="仿宋" w:cs="仿宋"/>
          <w:color w:val="auto"/>
          <w:sz w:val="24"/>
          <w:szCs w:val="24"/>
          <w:highlight w:val="none"/>
          <w:u w:val="none"/>
          <w:lang w:val="hr-HR" w:eastAsia="zh-CN"/>
        </w:rPr>
        <w:t>.合同</w:t>
      </w:r>
      <w:r>
        <w:rPr>
          <w:rFonts w:hint="eastAsia" w:ascii="仿宋" w:hAnsi="仿宋" w:eastAsia="仿宋" w:cs="仿宋"/>
          <w:color w:val="auto"/>
          <w:sz w:val="24"/>
          <w:szCs w:val="24"/>
          <w:highlight w:val="none"/>
          <w:u w:val="none"/>
          <w:lang w:val="en-US" w:eastAsia="zh-CN"/>
        </w:rPr>
        <w:t>服务</w:t>
      </w:r>
      <w:r>
        <w:rPr>
          <w:rFonts w:hint="eastAsia" w:ascii="仿宋" w:hAnsi="仿宋" w:eastAsia="仿宋" w:cs="仿宋"/>
          <w:color w:val="auto"/>
          <w:sz w:val="24"/>
          <w:szCs w:val="24"/>
          <w:highlight w:val="none"/>
          <w:u w:val="none"/>
          <w:lang w:val="hr-HR" w:eastAsia="zh-CN"/>
        </w:rPr>
        <w:t>履行期限：</w:t>
      </w:r>
      <w:r>
        <w:rPr>
          <w:rFonts w:hint="eastAsia" w:ascii="仿宋" w:hAnsi="仿宋" w:eastAsia="仿宋" w:cs="仿宋"/>
          <w:color w:val="auto"/>
          <w:sz w:val="24"/>
          <w:szCs w:val="24"/>
          <w:highlight w:val="none"/>
          <w:u w:val="none"/>
          <w:lang w:val="en-US" w:eastAsia="zh-CN"/>
        </w:rPr>
        <w:t>合同签订后至2026年9月（至审查通过自治区人民政府批复）</w:t>
      </w:r>
    </w:p>
    <w:p w14:paraId="4218B87D">
      <w:pPr>
        <w:pStyle w:val="37"/>
        <w:pageBreakBefore w:val="0"/>
        <w:overflowPunct/>
        <w:topLinePunct w:val="0"/>
        <w:bidi w:val="0"/>
        <w:spacing w:line="440" w:lineRule="exact"/>
        <w:rPr>
          <w:rFonts w:hint="eastAsia" w:ascii="仿宋" w:hAnsi="仿宋" w:eastAsia="仿宋" w:cs="仿宋"/>
          <w:color w:val="auto"/>
          <w:sz w:val="24"/>
          <w:szCs w:val="24"/>
          <w:highlight w:val="none"/>
          <w:u w:val="none"/>
          <w:lang w:val="en-US" w:eastAsia="zh-CN"/>
        </w:rPr>
      </w:pPr>
      <w:bookmarkStart w:id="17" w:name="_Toc44583629"/>
      <w:bookmarkStart w:id="18" w:name="_Toc35393630"/>
      <w:bookmarkStart w:id="19" w:name="_Toc28359090"/>
      <w:bookmarkStart w:id="20" w:name="_Toc28359013"/>
      <w:bookmarkStart w:id="21" w:name="_Toc35393799"/>
      <w:r>
        <w:rPr>
          <w:rFonts w:hint="eastAsia" w:ascii="仿宋" w:hAnsi="仿宋" w:eastAsia="仿宋" w:cs="仿宋"/>
          <w:color w:val="auto"/>
          <w:sz w:val="24"/>
          <w:szCs w:val="24"/>
          <w:highlight w:val="none"/>
          <w:u w:val="none"/>
          <w:lang w:val="en-US" w:eastAsia="zh-CN"/>
        </w:rPr>
        <w:t>8.</w:t>
      </w:r>
      <w:bookmarkStart w:id="22" w:name="_Hlk162011358"/>
      <w:r>
        <w:rPr>
          <w:rFonts w:hint="eastAsia" w:ascii="仿宋" w:hAnsi="仿宋" w:eastAsia="仿宋" w:cs="仿宋"/>
          <w:color w:val="auto"/>
          <w:sz w:val="24"/>
          <w:szCs w:val="24"/>
          <w:highlight w:val="none"/>
          <w:u w:val="none"/>
          <w:lang w:val="en-US" w:eastAsia="zh-CN"/>
        </w:rPr>
        <w:t>本项目是否接受联合体投标：□是</w:t>
      </w:r>
      <w:bookmarkEnd w:id="22"/>
      <w:r>
        <w:rPr>
          <w:rFonts w:hint="eastAsia" w:ascii="仿宋" w:hAnsi="仿宋" w:eastAsia="仿宋" w:cs="仿宋"/>
          <w:color w:val="auto"/>
          <w:sz w:val="24"/>
          <w:szCs w:val="24"/>
          <w:highlight w:val="none"/>
          <w:u w:val="none"/>
          <w:lang w:val="en-US" w:eastAsia="zh-CN"/>
        </w:rPr>
        <w:t xml:space="preserve">   ☑否</w:t>
      </w:r>
    </w:p>
    <w:p w14:paraId="3E48DD2A">
      <w:pPr>
        <w:pStyle w:val="37"/>
        <w:pageBreakBefore w:val="0"/>
        <w:overflowPunct/>
        <w:topLinePunct w:val="0"/>
        <w:bidi w:val="0"/>
        <w:spacing w:line="440" w:lineRule="exact"/>
        <w:ind w:left="0" w:leftChars="0" w:firstLine="0" w:firstLineChars="0"/>
        <w:rPr>
          <w:rFonts w:hint="eastAsia" w:ascii="仿宋" w:hAnsi="仿宋" w:eastAsia="仿宋" w:cs="仿宋"/>
          <w:b/>
          <w:bCs/>
          <w:color w:val="auto"/>
          <w:sz w:val="24"/>
          <w:szCs w:val="24"/>
          <w:highlight w:val="none"/>
          <w:u w:val="none"/>
          <w:lang w:val="hr-HR" w:eastAsia="zh-CN"/>
        </w:rPr>
      </w:pPr>
      <w:bookmarkStart w:id="23" w:name="_Toc32632"/>
      <w:bookmarkStart w:id="24" w:name="_Toc109899411"/>
      <w:bookmarkStart w:id="25" w:name="_Toc109900249"/>
      <w:bookmarkStart w:id="26" w:name="_Toc109899830"/>
      <w:bookmarkStart w:id="27" w:name="_Toc155185861"/>
      <w:bookmarkStart w:id="28" w:name="_Toc140132746"/>
      <w:r>
        <w:rPr>
          <w:rFonts w:hint="eastAsia" w:ascii="仿宋" w:hAnsi="仿宋" w:eastAsia="仿宋" w:cs="仿宋"/>
          <w:b/>
          <w:bCs/>
          <w:color w:val="auto"/>
          <w:sz w:val="24"/>
          <w:szCs w:val="24"/>
          <w:highlight w:val="none"/>
          <w:u w:val="none"/>
          <w:lang w:val="en-US" w:eastAsia="zh-CN"/>
        </w:rPr>
        <w:t>二、申请</w:t>
      </w:r>
      <w:r>
        <w:rPr>
          <w:rFonts w:hint="eastAsia" w:ascii="仿宋" w:hAnsi="仿宋" w:eastAsia="仿宋" w:cs="仿宋"/>
          <w:b/>
          <w:bCs/>
          <w:color w:val="auto"/>
          <w:sz w:val="24"/>
          <w:szCs w:val="24"/>
          <w:highlight w:val="none"/>
          <w:u w:val="none"/>
          <w:lang w:val="hr-HR" w:eastAsia="zh-CN"/>
        </w:rPr>
        <w:t>人</w:t>
      </w:r>
      <w:r>
        <w:rPr>
          <w:rFonts w:hint="eastAsia" w:ascii="仿宋" w:hAnsi="仿宋" w:eastAsia="仿宋" w:cs="仿宋"/>
          <w:b/>
          <w:bCs/>
          <w:color w:val="auto"/>
          <w:sz w:val="24"/>
          <w:szCs w:val="24"/>
          <w:highlight w:val="none"/>
          <w:u w:val="none"/>
          <w:lang w:val="en-US" w:eastAsia="zh-CN"/>
        </w:rPr>
        <w:t>的</w:t>
      </w:r>
      <w:r>
        <w:rPr>
          <w:rFonts w:hint="eastAsia" w:ascii="仿宋" w:hAnsi="仿宋" w:eastAsia="仿宋" w:cs="仿宋"/>
          <w:b/>
          <w:bCs/>
          <w:color w:val="auto"/>
          <w:sz w:val="24"/>
          <w:szCs w:val="24"/>
          <w:highlight w:val="none"/>
          <w:u w:val="none"/>
          <w:lang w:val="hr-HR" w:eastAsia="zh-CN"/>
        </w:rPr>
        <w:t>资格要求</w:t>
      </w:r>
      <w:bookmarkEnd w:id="17"/>
      <w:bookmarkEnd w:id="18"/>
      <w:bookmarkEnd w:id="19"/>
      <w:bookmarkEnd w:id="20"/>
      <w:bookmarkEnd w:id="21"/>
      <w:bookmarkEnd w:id="23"/>
      <w:bookmarkEnd w:id="24"/>
      <w:bookmarkEnd w:id="25"/>
      <w:bookmarkEnd w:id="26"/>
      <w:bookmarkEnd w:id="27"/>
      <w:bookmarkEnd w:id="28"/>
    </w:p>
    <w:p w14:paraId="7BE39F02">
      <w:pPr>
        <w:pageBreakBefore w:val="0"/>
        <w:overflowPunct/>
        <w:topLinePunct w:val="0"/>
        <w:bidi w:val="0"/>
        <w:spacing w:line="440" w:lineRule="exact"/>
        <w:ind w:firstLine="480" w:firstLineChars="200"/>
        <w:rPr>
          <w:rFonts w:hint="eastAsia" w:ascii="仿宋" w:hAnsi="仿宋" w:eastAsia="仿宋" w:cs="仿宋"/>
          <w:color w:val="auto"/>
          <w:sz w:val="24"/>
          <w:szCs w:val="24"/>
          <w:highlight w:val="none"/>
          <w:lang w:val="en-US" w:eastAsia="zh-CN"/>
        </w:rPr>
      </w:pPr>
      <w:bookmarkStart w:id="29" w:name="_Hlk89807755"/>
      <w:bookmarkStart w:id="30" w:name="_Toc44583630"/>
      <w:bookmarkStart w:id="31" w:name="_Toc35393800"/>
      <w:bookmarkStart w:id="32" w:name="_Toc28359014"/>
      <w:bookmarkStart w:id="33" w:name="_Toc35393631"/>
      <w:bookmarkStart w:id="34" w:name="_Toc28359091"/>
      <w:r>
        <w:rPr>
          <w:rFonts w:hint="eastAsia" w:ascii="仿宋" w:hAnsi="仿宋" w:eastAsia="仿宋" w:cs="仿宋"/>
          <w:color w:val="auto"/>
          <w:sz w:val="24"/>
          <w:szCs w:val="24"/>
          <w:highlight w:val="none"/>
          <w:lang w:val="en-US" w:eastAsia="zh-CN"/>
        </w:rPr>
        <w:t>1.满足《中华人民共和国政府采购法》第二十二条规定；</w:t>
      </w:r>
    </w:p>
    <w:p w14:paraId="0CBDD8BA">
      <w:pPr>
        <w:pageBreakBefore w:val="0"/>
        <w:overflowPunct/>
        <w:topLinePunct w:val="0"/>
        <w:bidi w:val="0"/>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2.落实政府采购政策需满足的资格要求：</w:t>
      </w:r>
      <w:r>
        <w:rPr>
          <w:rFonts w:hint="eastAsia" w:ascii="仿宋" w:hAnsi="仿宋" w:eastAsia="仿宋" w:cs="仿宋"/>
          <w:color w:val="auto"/>
          <w:sz w:val="24"/>
          <w:szCs w:val="24"/>
          <w:highlight w:val="none"/>
          <w:lang w:val="en-US" w:eastAsia="zh-CN"/>
        </w:rPr>
        <w:t>/</w:t>
      </w:r>
    </w:p>
    <w:p w14:paraId="36748BCE">
      <w:pPr>
        <w:pageBreakBefore w:val="0"/>
        <w:overflowPunct/>
        <w:topLinePunct w:val="0"/>
        <w:bidi w:val="0"/>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3.本项目的特定资格要求：</w:t>
      </w:r>
      <w:bookmarkStart w:id="35" w:name="OLE_LINK54"/>
      <w:r>
        <w:rPr>
          <w:rFonts w:hint="eastAsia" w:ascii="仿宋" w:hAnsi="仿宋" w:eastAsia="仿宋" w:cs="仿宋"/>
          <w:color w:val="auto"/>
          <w:sz w:val="24"/>
          <w:szCs w:val="24"/>
          <w:highlight w:val="none"/>
          <w:lang w:val="en-US" w:eastAsia="zh-CN"/>
        </w:rPr>
        <w:t>同时具备</w:t>
      </w:r>
      <w:r>
        <w:rPr>
          <w:rFonts w:hint="eastAsia" w:ascii="仿宋" w:hAnsi="仿宋" w:eastAsia="仿宋" w:cs="仿宋"/>
          <w:color w:val="auto"/>
          <w:sz w:val="24"/>
          <w:szCs w:val="24"/>
          <w:highlight w:val="none"/>
          <w:lang w:val="en-US" w:eastAsia="zh-CN"/>
        </w:rPr>
        <w:t>（1）投标人具有工程设计综合甲级资质或工程设计水利行业甲级资质或工程设计水利行业（城市防洪）专业甲级资质；（2）投标人已通过全国投资项目在线审批监管平台（www．tzxm．gov．cn）备案，备案的工程咨询专业包含水利水电专业，工程咨询服务范围包含规划咨询（投标人应提供全国投资项目在线审批监管平台（www．tzxm．gov．cn）备案截图（应能清晰反映投标人从事的工程咨询专业和服务范围等内容）；</w:t>
      </w:r>
      <w:r>
        <w:rPr>
          <w:rFonts w:hint="eastAsia" w:ascii="仿宋" w:hAnsi="仿宋" w:eastAsia="仿宋" w:cs="仿宋"/>
          <w:i w:val="0"/>
          <w:iCs w:val="0"/>
          <w:color w:val="auto"/>
          <w:sz w:val="24"/>
          <w:szCs w:val="24"/>
          <w:highlight w:val="none"/>
          <w:u w:val="none" w:color="auto"/>
          <w:lang w:val="hr-HR" w:eastAsia="zh-CN"/>
        </w:rPr>
        <w:t>（</w:t>
      </w:r>
      <w:r>
        <w:rPr>
          <w:rFonts w:hint="eastAsia" w:ascii="仿宋" w:hAnsi="仿宋" w:eastAsia="仿宋" w:cs="仿宋"/>
          <w:i w:val="0"/>
          <w:iCs w:val="0"/>
          <w:color w:val="auto"/>
          <w:sz w:val="24"/>
          <w:szCs w:val="24"/>
          <w:highlight w:val="none"/>
          <w:u w:val="none" w:color="auto"/>
          <w:lang w:val="en-US" w:eastAsia="zh-CN"/>
        </w:rPr>
        <w:t>3</w:t>
      </w:r>
      <w:r>
        <w:rPr>
          <w:rFonts w:hint="eastAsia" w:ascii="仿宋" w:hAnsi="仿宋" w:eastAsia="仿宋" w:cs="仿宋"/>
          <w:i w:val="0"/>
          <w:iCs w:val="0"/>
          <w:color w:val="auto"/>
          <w:sz w:val="24"/>
          <w:szCs w:val="24"/>
          <w:highlight w:val="none"/>
          <w:u w:val="none" w:color="auto"/>
          <w:lang w:val="hr-HR" w:eastAsia="zh-CN"/>
        </w:rPr>
        <w:t>）</w:t>
      </w:r>
      <w:r>
        <w:rPr>
          <w:rFonts w:hint="eastAsia" w:ascii="仿宋" w:hAnsi="仿宋" w:eastAsia="仿宋" w:cs="仿宋"/>
          <w:i w:val="0"/>
          <w:iCs w:val="0"/>
          <w:color w:val="auto"/>
          <w:sz w:val="24"/>
          <w:szCs w:val="24"/>
          <w:highlight w:val="none"/>
          <w:u w:val="none" w:color="auto"/>
          <w:lang w:val="hr-HR"/>
        </w:rPr>
        <w:t>在</w:t>
      </w:r>
      <w:r>
        <w:rPr>
          <w:rFonts w:hint="eastAsia" w:ascii="仿宋" w:hAnsi="仿宋" w:eastAsia="仿宋" w:cs="仿宋"/>
          <w:i w:val="0"/>
          <w:iCs w:val="0"/>
          <w:color w:val="auto"/>
          <w:sz w:val="24"/>
          <w:szCs w:val="24"/>
          <w:highlight w:val="none"/>
          <w:u w:val="none" w:color="auto"/>
          <w:lang w:val="en-US" w:eastAsia="zh-CN"/>
        </w:rPr>
        <w:t>资格审查阶段经查询</w:t>
      </w:r>
      <w:r>
        <w:rPr>
          <w:rFonts w:hint="eastAsia" w:ascii="仿宋" w:hAnsi="仿宋" w:eastAsia="仿宋" w:cs="仿宋"/>
          <w:i w:val="0"/>
          <w:iCs w:val="0"/>
          <w:color w:val="auto"/>
          <w:sz w:val="24"/>
          <w:szCs w:val="24"/>
          <w:highlight w:val="none"/>
          <w:u w:val="none" w:color="auto"/>
          <w:lang w:val="hr-HR" w:eastAsia="zh-CN"/>
        </w:rPr>
        <w:t>，</w:t>
      </w:r>
      <w:r>
        <w:rPr>
          <w:rFonts w:hint="eastAsia" w:ascii="仿宋" w:hAnsi="仿宋" w:eastAsia="仿宋" w:cs="仿宋"/>
          <w:i w:val="0"/>
          <w:iCs w:val="0"/>
          <w:color w:val="auto"/>
          <w:sz w:val="24"/>
          <w:szCs w:val="24"/>
          <w:highlight w:val="none"/>
          <w:u w:val="none" w:color="auto"/>
          <w:lang w:val="en-US" w:eastAsia="zh-CN"/>
        </w:rPr>
        <w:t>未被列入“失信被执行人”、“重大税收违法失信主体”、“政府采购严重违法失信行为记录名单”</w:t>
      </w:r>
      <w:r>
        <w:rPr>
          <w:rFonts w:hint="eastAsia" w:ascii="仿宋" w:hAnsi="仿宋" w:eastAsia="仿宋" w:cs="仿宋"/>
          <w:i w:val="0"/>
          <w:iCs w:val="0"/>
          <w:color w:val="auto"/>
          <w:sz w:val="24"/>
          <w:szCs w:val="24"/>
          <w:highlight w:val="none"/>
          <w:u w:val="none" w:color="auto"/>
          <w:lang w:val="hr-HR"/>
        </w:rPr>
        <w:t>其中之一</w:t>
      </w:r>
      <w:r>
        <w:rPr>
          <w:rFonts w:hint="eastAsia" w:ascii="仿宋" w:hAnsi="仿宋" w:eastAsia="仿宋" w:cs="仿宋"/>
          <w:i w:val="0"/>
          <w:iCs w:val="0"/>
          <w:color w:val="auto"/>
          <w:sz w:val="24"/>
          <w:szCs w:val="24"/>
          <w:highlight w:val="none"/>
          <w:u w:val="none" w:color="auto"/>
          <w:lang w:val="hr-HR" w:eastAsia="zh-CN"/>
        </w:rPr>
        <w:t>。如有以上不良信用记录</w:t>
      </w:r>
      <w:r>
        <w:rPr>
          <w:rFonts w:hint="eastAsia" w:ascii="仿宋" w:hAnsi="仿宋" w:eastAsia="仿宋" w:cs="仿宋"/>
          <w:i w:val="0"/>
          <w:iCs w:val="0"/>
          <w:color w:val="auto"/>
          <w:sz w:val="24"/>
          <w:szCs w:val="24"/>
          <w:highlight w:val="none"/>
          <w:u w:val="none" w:color="auto"/>
          <w:lang w:val="en-US" w:eastAsia="zh-CN"/>
        </w:rPr>
        <w:t>之一的，</w:t>
      </w:r>
      <w:r>
        <w:rPr>
          <w:rFonts w:hint="eastAsia" w:ascii="仿宋" w:hAnsi="仿宋" w:eastAsia="仿宋" w:cs="仿宋"/>
          <w:i w:val="0"/>
          <w:iCs w:val="0"/>
          <w:color w:val="auto"/>
          <w:sz w:val="24"/>
          <w:szCs w:val="24"/>
          <w:highlight w:val="none"/>
          <w:u w:val="none" w:color="auto"/>
          <w:lang w:val="hr-HR" w:eastAsia="zh-CN"/>
        </w:rPr>
        <w:t>其</w:t>
      </w:r>
      <w:r>
        <w:rPr>
          <w:rFonts w:hint="eastAsia" w:ascii="仿宋" w:hAnsi="仿宋" w:eastAsia="仿宋" w:cs="仿宋"/>
          <w:b/>
          <w:bCs/>
          <w:i w:val="0"/>
          <w:iCs w:val="0"/>
          <w:color w:val="auto"/>
          <w:sz w:val="24"/>
          <w:szCs w:val="24"/>
          <w:highlight w:val="none"/>
          <w:u w:val="none" w:color="auto"/>
          <w:lang w:val="en-US" w:eastAsia="zh-CN"/>
        </w:rPr>
        <w:t>响应无效</w:t>
      </w:r>
      <w:r>
        <w:rPr>
          <w:rFonts w:hint="eastAsia" w:ascii="仿宋" w:hAnsi="仿宋" w:eastAsia="仿宋" w:cs="仿宋"/>
          <w:i w:val="0"/>
          <w:iCs w:val="0"/>
          <w:color w:val="auto"/>
          <w:sz w:val="24"/>
          <w:szCs w:val="24"/>
          <w:highlight w:val="none"/>
          <w:u w:val="none" w:color="auto"/>
          <w:lang w:val="hr-HR" w:eastAsia="zh-CN"/>
        </w:rPr>
        <w:t>。</w:t>
      </w:r>
      <w:bookmarkEnd w:id="35"/>
    </w:p>
    <w:bookmarkEnd w:id="29"/>
    <w:p w14:paraId="34C27B81">
      <w:pPr>
        <w:pStyle w:val="37"/>
        <w:pageBreakBefore w:val="0"/>
        <w:overflowPunct/>
        <w:topLinePunct w:val="0"/>
        <w:bidi w:val="0"/>
        <w:spacing w:line="440" w:lineRule="exact"/>
        <w:ind w:left="0" w:leftChars="0" w:firstLine="0" w:firstLineChars="0"/>
        <w:rPr>
          <w:rFonts w:hint="eastAsia" w:ascii="仿宋" w:hAnsi="仿宋" w:eastAsia="仿宋" w:cs="仿宋"/>
          <w:b/>
          <w:bCs/>
          <w:color w:val="auto"/>
          <w:sz w:val="24"/>
          <w:szCs w:val="24"/>
          <w:highlight w:val="none"/>
          <w:u w:val="none"/>
          <w:lang w:val="hr-HR" w:eastAsia="zh-CN"/>
        </w:rPr>
      </w:pPr>
      <w:bookmarkStart w:id="36" w:name="_Toc109900250"/>
      <w:bookmarkStart w:id="37" w:name="_Toc140132747"/>
      <w:bookmarkStart w:id="38" w:name="_Toc109899831"/>
      <w:bookmarkStart w:id="39" w:name="_Toc27149"/>
      <w:bookmarkStart w:id="40" w:name="_Toc155185862"/>
      <w:bookmarkStart w:id="41" w:name="_Toc109899412"/>
      <w:r>
        <w:rPr>
          <w:rFonts w:hint="eastAsia" w:ascii="仿宋" w:hAnsi="仿宋" w:eastAsia="仿宋" w:cs="仿宋"/>
          <w:b/>
          <w:bCs/>
          <w:color w:val="auto"/>
          <w:sz w:val="24"/>
          <w:szCs w:val="24"/>
          <w:highlight w:val="none"/>
          <w:u w:val="none"/>
          <w:lang w:val="en-US" w:eastAsia="zh-CN"/>
        </w:rPr>
        <w:t>三、</w:t>
      </w:r>
      <w:r>
        <w:rPr>
          <w:rFonts w:hint="eastAsia" w:ascii="仿宋" w:hAnsi="仿宋" w:eastAsia="仿宋" w:cs="仿宋"/>
          <w:b/>
          <w:bCs/>
          <w:color w:val="auto"/>
          <w:sz w:val="24"/>
          <w:szCs w:val="24"/>
          <w:highlight w:val="none"/>
          <w:u w:val="none"/>
          <w:lang w:val="hr-HR" w:eastAsia="zh-CN"/>
        </w:rPr>
        <w:t>获取招标文件</w:t>
      </w:r>
      <w:bookmarkEnd w:id="30"/>
      <w:bookmarkEnd w:id="31"/>
      <w:bookmarkEnd w:id="32"/>
      <w:bookmarkEnd w:id="33"/>
      <w:bookmarkEnd w:id="34"/>
      <w:bookmarkEnd w:id="36"/>
      <w:bookmarkEnd w:id="37"/>
      <w:bookmarkEnd w:id="38"/>
      <w:bookmarkEnd w:id="39"/>
      <w:bookmarkEnd w:id="40"/>
      <w:bookmarkEnd w:id="41"/>
    </w:p>
    <w:p w14:paraId="3F5A50DF">
      <w:pPr>
        <w:pStyle w:val="37"/>
        <w:pageBreakBefore w:val="0"/>
        <w:overflowPunct/>
        <w:topLinePunct w:val="0"/>
        <w:bidi w:val="0"/>
        <w:spacing w:line="440" w:lineRule="exact"/>
        <w:rPr>
          <w:rFonts w:hint="eastAsia" w:ascii="仿宋" w:hAnsi="仿宋" w:eastAsia="仿宋" w:cs="仿宋"/>
          <w:color w:val="auto"/>
          <w:sz w:val="24"/>
          <w:szCs w:val="24"/>
          <w:highlight w:val="none"/>
          <w:lang w:val="hr-HR"/>
        </w:rPr>
      </w:pPr>
      <w:bookmarkStart w:id="42" w:name="_Hlk130457234"/>
      <w:bookmarkStart w:id="43" w:name="_Hlk130457261"/>
      <w:bookmarkStart w:id="44" w:name="_Toc28359092"/>
      <w:bookmarkStart w:id="45" w:name="_Toc35393801"/>
      <w:bookmarkStart w:id="46" w:name="_Toc35393632"/>
      <w:bookmarkStart w:id="47" w:name="_Toc28359015"/>
      <w:bookmarkStart w:id="48" w:name="_Hlk130457327"/>
      <w:r>
        <w:rPr>
          <w:rFonts w:hint="eastAsia" w:ascii="仿宋" w:hAnsi="仿宋" w:eastAsia="仿宋" w:cs="仿宋"/>
          <w:color w:val="auto"/>
          <w:sz w:val="24"/>
          <w:szCs w:val="24"/>
          <w:highlight w:val="none"/>
          <w:lang w:val="hr-HR"/>
        </w:rPr>
        <w:t>1.时间：</w:t>
      </w:r>
      <w:r>
        <w:rPr>
          <w:rFonts w:hint="eastAsia" w:ascii="仿宋" w:hAnsi="仿宋" w:eastAsia="仿宋" w:cs="仿宋"/>
          <w:color w:val="auto"/>
          <w:spacing w:val="-5"/>
          <w:sz w:val="24"/>
          <w:szCs w:val="24"/>
          <w:u w:val="single" w:color="auto"/>
          <w:lang w:val="en-US" w:eastAsia="zh-CN"/>
        </w:rPr>
        <w:t>2025</w:t>
      </w:r>
      <w:r>
        <w:rPr>
          <w:rFonts w:hint="eastAsia" w:ascii="仿宋" w:hAnsi="仿宋" w:eastAsia="仿宋" w:cs="仿宋"/>
          <w:color w:val="auto"/>
          <w:spacing w:val="-5"/>
          <w:sz w:val="24"/>
          <w:szCs w:val="24"/>
          <w:u w:val="single" w:color="auto"/>
        </w:rPr>
        <w:t>年</w:t>
      </w:r>
      <w:r>
        <w:rPr>
          <w:rFonts w:hint="eastAsia" w:ascii="仿宋" w:hAnsi="仿宋" w:eastAsia="仿宋" w:cs="仿宋"/>
          <w:color w:val="auto"/>
          <w:spacing w:val="-5"/>
          <w:sz w:val="24"/>
          <w:szCs w:val="24"/>
          <w:u w:val="single" w:color="auto"/>
          <w:lang w:val="en-US" w:eastAsia="zh-CN"/>
        </w:rPr>
        <w:t>07</w:t>
      </w:r>
      <w:r>
        <w:rPr>
          <w:rFonts w:hint="eastAsia" w:ascii="仿宋" w:hAnsi="仿宋" w:eastAsia="仿宋" w:cs="仿宋"/>
          <w:color w:val="auto"/>
          <w:spacing w:val="-5"/>
          <w:sz w:val="24"/>
          <w:szCs w:val="24"/>
          <w:u w:val="single" w:color="auto"/>
        </w:rPr>
        <w:t>月</w:t>
      </w:r>
      <w:r>
        <w:rPr>
          <w:rFonts w:hint="eastAsia" w:ascii="仿宋" w:hAnsi="仿宋" w:eastAsia="仿宋" w:cs="仿宋"/>
          <w:color w:val="auto"/>
          <w:spacing w:val="-5"/>
          <w:sz w:val="24"/>
          <w:szCs w:val="24"/>
          <w:u w:val="single" w:color="auto"/>
          <w:lang w:val="en-US" w:eastAsia="zh-CN"/>
        </w:rPr>
        <w:t>18</w:t>
      </w:r>
      <w:r>
        <w:rPr>
          <w:rFonts w:hint="eastAsia" w:ascii="仿宋" w:hAnsi="仿宋" w:eastAsia="仿宋" w:cs="仿宋"/>
          <w:color w:val="auto"/>
          <w:spacing w:val="-5"/>
          <w:sz w:val="24"/>
          <w:szCs w:val="24"/>
          <w:u w:val="single" w:color="auto"/>
        </w:rPr>
        <w:t>日</w:t>
      </w:r>
      <w:r>
        <w:rPr>
          <w:rFonts w:hint="eastAsia" w:ascii="仿宋" w:hAnsi="仿宋" w:eastAsia="仿宋" w:cs="仿宋"/>
          <w:color w:val="auto"/>
          <w:spacing w:val="-5"/>
          <w:sz w:val="24"/>
          <w:szCs w:val="24"/>
        </w:rPr>
        <w:t>至</w:t>
      </w:r>
      <w:r>
        <w:rPr>
          <w:rFonts w:hint="eastAsia" w:ascii="仿宋" w:hAnsi="仿宋" w:eastAsia="仿宋" w:cs="仿宋"/>
          <w:color w:val="auto"/>
          <w:spacing w:val="3"/>
          <w:sz w:val="24"/>
          <w:szCs w:val="24"/>
          <w:u w:val="single" w:color="auto"/>
          <w:lang w:val="en-US" w:eastAsia="zh-CN"/>
        </w:rPr>
        <w:t>2025</w:t>
      </w:r>
      <w:r>
        <w:rPr>
          <w:rFonts w:hint="eastAsia" w:ascii="仿宋" w:hAnsi="仿宋" w:eastAsia="仿宋" w:cs="仿宋"/>
          <w:color w:val="auto"/>
          <w:spacing w:val="-5"/>
          <w:sz w:val="24"/>
          <w:szCs w:val="24"/>
          <w:u w:val="single" w:color="auto"/>
        </w:rPr>
        <w:t>年</w:t>
      </w:r>
      <w:r>
        <w:rPr>
          <w:rFonts w:hint="eastAsia" w:ascii="仿宋" w:hAnsi="仿宋" w:eastAsia="仿宋" w:cs="仿宋"/>
          <w:color w:val="auto"/>
          <w:spacing w:val="-5"/>
          <w:sz w:val="24"/>
          <w:szCs w:val="24"/>
          <w:u w:val="single" w:color="auto"/>
          <w:lang w:val="en-US" w:eastAsia="zh-CN"/>
        </w:rPr>
        <w:t>07</w:t>
      </w:r>
      <w:r>
        <w:rPr>
          <w:rFonts w:hint="eastAsia" w:ascii="仿宋" w:hAnsi="仿宋" w:eastAsia="仿宋" w:cs="仿宋"/>
          <w:color w:val="auto"/>
          <w:spacing w:val="-5"/>
          <w:sz w:val="24"/>
          <w:szCs w:val="24"/>
          <w:u w:val="single" w:color="auto"/>
        </w:rPr>
        <w:t>月</w:t>
      </w:r>
      <w:r>
        <w:rPr>
          <w:rFonts w:hint="eastAsia" w:ascii="仿宋" w:hAnsi="仿宋" w:eastAsia="仿宋" w:cs="仿宋"/>
          <w:color w:val="auto"/>
          <w:spacing w:val="-5"/>
          <w:sz w:val="24"/>
          <w:szCs w:val="24"/>
          <w:u w:val="single" w:color="auto"/>
          <w:lang w:val="en-US" w:eastAsia="zh-CN"/>
        </w:rPr>
        <w:t>25</w:t>
      </w:r>
      <w:r>
        <w:rPr>
          <w:rFonts w:hint="eastAsia" w:ascii="仿宋" w:hAnsi="仿宋" w:eastAsia="仿宋" w:cs="仿宋"/>
          <w:color w:val="auto"/>
          <w:spacing w:val="-5"/>
          <w:sz w:val="24"/>
          <w:szCs w:val="24"/>
          <w:u w:val="single" w:color="auto"/>
        </w:rPr>
        <w:t>日</w:t>
      </w:r>
      <w:r>
        <w:rPr>
          <w:rFonts w:hint="eastAsia" w:ascii="仿宋" w:hAnsi="仿宋" w:eastAsia="仿宋" w:cs="仿宋"/>
          <w:color w:val="auto"/>
          <w:spacing w:val="-6"/>
          <w:sz w:val="24"/>
          <w:szCs w:val="24"/>
        </w:rPr>
        <w:t>，每天上午00:00至1</w:t>
      </w:r>
      <w:r>
        <w:rPr>
          <w:rFonts w:hint="eastAsia" w:ascii="仿宋" w:hAnsi="仿宋" w:eastAsia="仿宋" w:cs="仿宋"/>
          <w:color w:val="auto"/>
          <w:spacing w:val="-6"/>
          <w:sz w:val="24"/>
          <w:szCs w:val="24"/>
          <w:lang w:val="en-US" w:eastAsia="zh-CN"/>
        </w:rPr>
        <w:t>4</w:t>
      </w:r>
      <w:r>
        <w:rPr>
          <w:rFonts w:hint="eastAsia" w:ascii="仿宋" w:hAnsi="仿宋" w:eastAsia="仿宋" w:cs="仿宋"/>
          <w:color w:val="auto"/>
          <w:spacing w:val="-6"/>
          <w:sz w:val="24"/>
          <w:szCs w:val="24"/>
        </w:rPr>
        <w:t>:00，下午1</w:t>
      </w:r>
      <w:r>
        <w:rPr>
          <w:rFonts w:hint="eastAsia" w:ascii="仿宋" w:hAnsi="仿宋" w:eastAsia="仿宋" w:cs="仿宋"/>
          <w:color w:val="auto"/>
          <w:spacing w:val="-6"/>
          <w:sz w:val="24"/>
          <w:szCs w:val="24"/>
          <w:lang w:val="en-US" w:eastAsia="zh-CN"/>
        </w:rPr>
        <w:t>4</w:t>
      </w:r>
      <w:r>
        <w:rPr>
          <w:rFonts w:hint="eastAsia" w:ascii="仿宋" w:hAnsi="仿宋" w:eastAsia="仿宋" w:cs="仿宋"/>
          <w:color w:val="auto"/>
          <w:spacing w:val="-6"/>
          <w:sz w:val="24"/>
          <w:szCs w:val="24"/>
        </w:rPr>
        <w:t>：00至23:59（北京时间</w:t>
      </w:r>
      <w:r>
        <w:rPr>
          <w:rFonts w:hint="eastAsia" w:ascii="仿宋" w:hAnsi="仿宋" w:eastAsia="仿宋" w:cs="仿宋"/>
          <w:color w:val="auto"/>
          <w:spacing w:val="-6"/>
          <w:sz w:val="24"/>
          <w:szCs w:val="24"/>
          <w:lang w:eastAsia="zh-CN"/>
        </w:rPr>
        <w:t>，</w:t>
      </w:r>
      <w:r>
        <w:rPr>
          <w:rFonts w:hint="eastAsia" w:ascii="仿宋" w:hAnsi="仿宋" w:eastAsia="仿宋" w:cs="仿宋"/>
          <w:color w:val="auto"/>
          <w:spacing w:val="-6"/>
          <w:sz w:val="24"/>
          <w:szCs w:val="24"/>
        </w:rPr>
        <w:t>法定节假日除外）</w:t>
      </w:r>
      <w:r>
        <w:rPr>
          <w:rFonts w:hint="eastAsia" w:ascii="仿宋" w:hAnsi="仿宋" w:eastAsia="仿宋" w:cs="仿宋"/>
          <w:color w:val="auto"/>
          <w:spacing w:val="-11"/>
          <w:sz w:val="24"/>
          <w:szCs w:val="24"/>
        </w:rPr>
        <w:t>。</w:t>
      </w:r>
    </w:p>
    <w:bookmarkEnd w:id="42"/>
    <w:p w14:paraId="09E6DF34">
      <w:pPr>
        <w:pStyle w:val="37"/>
        <w:pageBreakBefore w:val="0"/>
        <w:overflowPunct/>
        <w:topLinePunct w:val="0"/>
        <w:bidi w:val="0"/>
        <w:spacing w:line="440" w:lineRule="exact"/>
        <w:rPr>
          <w:rFonts w:hint="eastAsia" w:ascii="仿宋" w:hAnsi="仿宋" w:eastAsia="仿宋" w:cs="仿宋"/>
          <w:color w:val="auto"/>
          <w:sz w:val="24"/>
          <w:szCs w:val="24"/>
          <w:highlight w:val="none"/>
          <w:lang w:val="hr-HR"/>
        </w:rPr>
      </w:pPr>
      <w:r>
        <w:rPr>
          <w:rFonts w:hint="eastAsia" w:ascii="仿宋" w:hAnsi="仿宋" w:eastAsia="仿宋" w:cs="仿宋"/>
          <w:color w:val="auto"/>
          <w:sz w:val="24"/>
          <w:szCs w:val="24"/>
          <w:highlight w:val="none"/>
          <w:lang w:val="hr-HR"/>
        </w:rPr>
        <w:t>2.</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lang w:val="hr-HR"/>
        </w:rPr>
        <w:t>：</w:t>
      </w:r>
      <w:bookmarkStart w:id="49" w:name="OLE_LINK5"/>
      <w:r>
        <w:rPr>
          <w:rFonts w:hint="eastAsia" w:ascii="仿宋" w:hAnsi="仿宋" w:eastAsia="仿宋" w:cs="仿宋"/>
          <w:color w:val="auto"/>
          <w:spacing w:val="-6"/>
          <w:sz w:val="24"/>
          <w:szCs w:val="24"/>
        </w:rPr>
        <w:t>政采云平台线上</w:t>
      </w:r>
    </w:p>
    <w:bookmarkEnd w:id="49"/>
    <w:p w14:paraId="32238EF6">
      <w:pPr>
        <w:pStyle w:val="37"/>
        <w:pageBreakBefore w:val="0"/>
        <w:overflowPunct/>
        <w:topLinePunct w:val="0"/>
        <w:bidi w:val="0"/>
        <w:spacing w:line="440" w:lineRule="exact"/>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hr-HR"/>
        </w:rPr>
        <w:t>3.</w:t>
      </w:r>
      <w:r>
        <w:rPr>
          <w:rFonts w:hint="eastAsia" w:ascii="仿宋" w:hAnsi="仿宋" w:eastAsia="仿宋" w:cs="仿宋"/>
          <w:color w:val="auto"/>
          <w:sz w:val="24"/>
          <w:szCs w:val="24"/>
          <w:highlight w:val="none"/>
        </w:rPr>
        <w:t>方式</w:t>
      </w:r>
      <w:r>
        <w:rPr>
          <w:rFonts w:hint="eastAsia" w:ascii="仿宋" w:hAnsi="仿宋" w:eastAsia="仿宋" w:cs="仿宋"/>
          <w:color w:val="auto"/>
          <w:sz w:val="24"/>
          <w:szCs w:val="24"/>
          <w:highlight w:val="none"/>
          <w:lang w:val="hr-HR"/>
        </w:rPr>
        <w:t>：</w:t>
      </w:r>
      <w:r>
        <w:rPr>
          <w:rFonts w:hint="eastAsia" w:ascii="仿宋" w:hAnsi="仿宋" w:eastAsia="仿宋" w:cs="仿宋"/>
          <w:color w:val="auto"/>
          <w:sz w:val="24"/>
          <w:szCs w:val="24"/>
          <w:highlight w:val="none"/>
          <w:lang w:val="en-US"/>
        </w:rPr>
        <w:t>投标</w:t>
      </w:r>
      <w:r>
        <w:rPr>
          <w:rFonts w:hint="eastAsia" w:ascii="仿宋" w:hAnsi="仿宋" w:eastAsia="仿宋" w:cs="仿宋"/>
          <w:color w:val="auto"/>
          <w:sz w:val="24"/>
          <w:szCs w:val="24"/>
          <w:highlight w:val="none"/>
        </w:rPr>
        <w:t>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4B6F2DCE">
      <w:pPr>
        <w:pStyle w:val="37"/>
        <w:pageBreakBefore w:val="0"/>
        <w:overflowPunct/>
        <w:topLinePunct w:val="0"/>
        <w:bidi w:val="0"/>
        <w:spacing w:line="440" w:lineRule="exact"/>
        <w:rPr>
          <w:rFonts w:hint="eastAsia" w:ascii="仿宋" w:hAnsi="仿宋" w:eastAsia="仿宋" w:cs="仿宋"/>
          <w:color w:val="auto"/>
          <w:sz w:val="24"/>
          <w:szCs w:val="24"/>
          <w:highlight w:val="none"/>
          <w:lang w:val="hr-HR"/>
        </w:rPr>
      </w:pPr>
      <w:r>
        <w:rPr>
          <w:rFonts w:hint="eastAsia" w:ascii="仿宋" w:hAnsi="仿宋" w:eastAsia="仿宋" w:cs="仿宋"/>
          <w:color w:val="auto"/>
          <w:sz w:val="24"/>
          <w:szCs w:val="24"/>
          <w:highlight w:val="none"/>
          <w:lang w:val="en-US" w:eastAsia="zh-CN"/>
        </w:rPr>
        <w:t>4.售价：0元。</w:t>
      </w:r>
    </w:p>
    <w:bookmarkEnd w:id="43"/>
    <w:bookmarkEnd w:id="44"/>
    <w:bookmarkEnd w:id="45"/>
    <w:bookmarkEnd w:id="46"/>
    <w:bookmarkEnd w:id="47"/>
    <w:bookmarkEnd w:id="48"/>
    <w:p w14:paraId="3BC826B4">
      <w:pPr>
        <w:pStyle w:val="37"/>
        <w:pageBreakBefore w:val="0"/>
        <w:overflowPunct/>
        <w:topLinePunct w:val="0"/>
        <w:bidi w:val="0"/>
        <w:spacing w:line="440" w:lineRule="exact"/>
        <w:ind w:left="0" w:leftChars="0" w:firstLine="0" w:firstLineChars="0"/>
        <w:rPr>
          <w:rFonts w:hint="eastAsia" w:ascii="仿宋" w:hAnsi="仿宋" w:eastAsia="仿宋" w:cs="仿宋"/>
          <w:b/>
          <w:bCs/>
          <w:color w:val="auto"/>
          <w:sz w:val="24"/>
          <w:szCs w:val="24"/>
          <w:highlight w:val="none"/>
          <w:u w:val="none"/>
          <w:lang w:val="hr-HR" w:eastAsia="zh-CN"/>
        </w:rPr>
      </w:pPr>
      <w:bookmarkStart w:id="50" w:name="_Toc155185863"/>
      <w:bookmarkStart w:id="51" w:name="_Toc140132748"/>
      <w:bookmarkStart w:id="52" w:name="_Toc109900251"/>
      <w:bookmarkStart w:id="53" w:name="_Toc109899413"/>
      <w:bookmarkStart w:id="54" w:name="_Toc109899832"/>
      <w:bookmarkStart w:id="55" w:name="_Toc13809"/>
      <w:bookmarkStart w:id="56" w:name="_Hlk130457395"/>
      <w:bookmarkStart w:id="57" w:name="_Toc44583633"/>
      <w:bookmarkStart w:id="58" w:name="_Toc28359094"/>
      <w:bookmarkStart w:id="59" w:name="_Toc35393803"/>
      <w:bookmarkStart w:id="60" w:name="_Toc28359017"/>
      <w:bookmarkStart w:id="61" w:name="_Toc35393634"/>
      <w:r>
        <w:rPr>
          <w:rFonts w:hint="eastAsia" w:ascii="仿宋" w:hAnsi="仿宋" w:eastAsia="仿宋" w:cs="仿宋"/>
          <w:b/>
          <w:bCs/>
          <w:color w:val="auto"/>
          <w:sz w:val="24"/>
          <w:szCs w:val="24"/>
          <w:highlight w:val="none"/>
          <w:u w:val="none"/>
          <w:lang w:val="en-US" w:eastAsia="zh-CN"/>
        </w:rPr>
        <w:t>四、</w:t>
      </w:r>
      <w:bookmarkEnd w:id="50"/>
      <w:bookmarkEnd w:id="51"/>
      <w:bookmarkEnd w:id="52"/>
      <w:bookmarkEnd w:id="53"/>
      <w:bookmarkEnd w:id="54"/>
      <w:r>
        <w:rPr>
          <w:rFonts w:hint="eastAsia" w:ascii="仿宋" w:hAnsi="仿宋" w:eastAsia="仿宋" w:cs="仿宋"/>
          <w:b/>
          <w:bCs/>
          <w:color w:val="auto"/>
          <w:sz w:val="24"/>
          <w:szCs w:val="24"/>
          <w:highlight w:val="none"/>
          <w:u w:val="none"/>
          <w:lang w:val="hr-HR" w:eastAsia="zh-CN"/>
        </w:rPr>
        <w:t>提交投标文件截止时间、开标时间和</w:t>
      </w:r>
      <w:r>
        <w:rPr>
          <w:rFonts w:hint="eastAsia" w:ascii="仿宋" w:hAnsi="仿宋" w:eastAsia="仿宋" w:cs="仿宋"/>
          <w:b/>
          <w:bCs/>
          <w:color w:val="auto"/>
          <w:sz w:val="24"/>
          <w:szCs w:val="24"/>
          <w:highlight w:val="none"/>
          <w:u w:val="none"/>
          <w:lang w:val="en-US" w:eastAsia="zh-CN"/>
        </w:rPr>
        <w:t>开标</w:t>
      </w:r>
      <w:r>
        <w:rPr>
          <w:rFonts w:hint="eastAsia" w:ascii="仿宋" w:hAnsi="仿宋" w:eastAsia="仿宋" w:cs="仿宋"/>
          <w:b/>
          <w:bCs/>
          <w:color w:val="auto"/>
          <w:sz w:val="24"/>
          <w:szCs w:val="24"/>
          <w:highlight w:val="none"/>
          <w:u w:val="none"/>
          <w:lang w:val="hr-HR" w:eastAsia="zh-CN"/>
        </w:rPr>
        <w:t>地点</w:t>
      </w:r>
      <w:bookmarkEnd w:id="55"/>
    </w:p>
    <w:p w14:paraId="6751409C">
      <w:pPr>
        <w:pStyle w:val="37"/>
        <w:pageBreakBefore w:val="0"/>
        <w:overflowPunct/>
        <w:topLinePunct w:val="0"/>
        <w:bidi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1.截止时间</w:t>
      </w:r>
      <w:r>
        <w:rPr>
          <w:rFonts w:hint="eastAsia" w:ascii="仿宋" w:hAnsi="仿宋" w:eastAsia="仿宋" w:cs="仿宋"/>
          <w:color w:val="auto"/>
          <w:sz w:val="24"/>
          <w:szCs w:val="24"/>
          <w:highlight w:val="none"/>
          <w:lang w:val="en-US"/>
        </w:rPr>
        <w:t>/</w:t>
      </w:r>
      <w:r>
        <w:rPr>
          <w:rFonts w:hint="eastAsia" w:ascii="仿宋" w:hAnsi="仿宋" w:eastAsia="仿宋" w:cs="仿宋"/>
          <w:color w:val="auto"/>
          <w:sz w:val="24"/>
          <w:szCs w:val="24"/>
          <w:highlight w:val="none"/>
        </w:rPr>
        <w:t>开标时间：</w:t>
      </w:r>
      <w:r>
        <w:rPr>
          <w:rFonts w:hint="eastAsia" w:ascii="仿宋" w:hAnsi="仿宋" w:eastAsia="仿宋" w:cs="仿宋"/>
          <w:color w:val="auto"/>
          <w:sz w:val="24"/>
          <w:szCs w:val="24"/>
          <w:highlight w:val="none"/>
          <w:u w:val="single"/>
          <w:lang w:val="en-US" w:eastAsia="zh-CN"/>
        </w:rPr>
        <w:t>2025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08</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07</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u w:val="single"/>
          <w:lang w:val="en-US" w:eastAsia="zh-CN"/>
        </w:rPr>
        <w:t>11</w:t>
      </w:r>
      <w:r>
        <w:rPr>
          <w:rFonts w:hint="eastAsia" w:ascii="仿宋" w:hAnsi="仿宋" w:eastAsia="仿宋" w:cs="仿宋"/>
          <w:color w:val="auto"/>
          <w:sz w:val="24"/>
          <w:szCs w:val="24"/>
          <w:highlight w:val="none"/>
          <w:u w:val="single"/>
        </w:rPr>
        <w:t>时</w:t>
      </w:r>
      <w:r>
        <w:rPr>
          <w:rFonts w:hint="eastAsia" w:ascii="仿宋" w:hAnsi="仿宋" w:eastAsia="仿宋" w:cs="仿宋"/>
          <w:color w:val="auto"/>
          <w:sz w:val="24"/>
          <w:szCs w:val="24"/>
          <w:highlight w:val="none"/>
          <w:u w:val="single"/>
          <w:lang w:val="en-US" w:eastAsia="zh-CN"/>
        </w:rPr>
        <w:t>00</w:t>
      </w:r>
      <w:r>
        <w:rPr>
          <w:rFonts w:hint="eastAsia" w:ascii="仿宋" w:hAnsi="仿宋" w:eastAsia="仿宋" w:cs="仿宋"/>
          <w:color w:val="auto"/>
          <w:sz w:val="24"/>
          <w:szCs w:val="24"/>
          <w:highlight w:val="none"/>
          <w:u w:val="single"/>
        </w:rPr>
        <w:t>分</w:t>
      </w:r>
      <w:r>
        <w:rPr>
          <w:rFonts w:hint="eastAsia" w:ascii="仿宋" w:hAnsi="仿宋" w:eastAsia="仿宋" w:cs="仿宋"/>
          <w:color w:val="auto"/>
          <w:sz w:val="24"/>
          <w:szCs w:val="24"/>
          <w:highlight w:val="none"/>
        </w:rPr>
        <w:t>（北京时间）。</w:t>
      </w:r>
    </w:p>
    <w:p w14:paraId="23C9B1D5">
      <w:pPr>
        <w:pStyle w:val="37"/>
        <w:pageBreakBefore w:val="0"/>
        <w:overflowPunct/>
        <w:topLinePunct w:val="0"/>
        <w:bidi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投标地点</w:t>
      </w:r>
      <w:r>
        <w:rPr>
          <w:rFonts w:hint="eastAsia" w:ascii="仿宋" w:hAnsi="仿宋" w:eastAsia="仿宋" w:cs="仿宋"/>
          <w:color w:val="auto"/>
          <w:sz w:val="24"/>
          <w:szCs w:val="24"/>
          <w:highlight w:val="none"/>
        </w:rPr>
        <w:t>：</w:t>
      </w:r>
      <w:bookmarkStart w:id="62" w:name="OLE_LINK15"/>
      <w:r>
        <w:rPr>
          <w:rFonts w:hint="eastAsia" w:ascii="仿宋" w:hAnsi="仿宋" w:eastAsia="仿宋" w:cs="仿宋"/>
          <w:color w:val="auto"/>
          <w:sz w:val="24"/>
          <w:szCs w:val="24"/>
          <w:highlight w:val="none"/>
        </w:rPr>
        <w:t>请登录政采云投标客户端投标</w:t>
      </w:r>
    </w:p>
    <w:p w14:paraId="5999F179">
      <w:pPr>
        <w:pStyle w:val="37"/>
        <w:pageBreakBefore w:val="0"/>
        <w:overflowPunct/>
        <w:topLinePunct w:val="0"/>
        <w:bidi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开标时间：</w:t>
      </w:r>
      <w:r>
        <w:rPr>
          <w:rFonts w:hint="eastAsia" w:ascii="仿宋" w:hAnsi="仿宋" w:eastAsia="仿宋" w:cs="仿宋"/>
          <w:color w:val="auto"/>
          <w:sz w:val="24"/>
          <w:szCs w:val="24"/>
          <w:highlight w:val="none"/>
          <w:u w:val="single"/>
        </w:rPr>
        <w:t>2025年</w:t>
      </w:r>
      <w:r>
        <w:rPr>
          <w:rFonts w:hint="eastAsia" w:ascii="仿宋" w:hAnsi="仿宋" w:eastAsia="仿宋" w:cs="仿宋"/>
          <w:color w:val="auto"/>
          <w:sz w:val="24"/>
          <w:szCs w:val="24"/>
          <w:highlight w:val="none"/>
          <w:u w:val="single"/>
          <w:lang w:val="en-US" w:eastAsia="zh-CN"/>
        </w:rPr>
        <w:t>08</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07</w:t>
      </w:r>
      <w:r>
        <w:rPr>
          <w:rFonts w:hint="eastAsia" w:ascii="仿宋" w:hAnsi="仿宋" w:eastAsia="仿宋" w:cs="仿宋"/>
          <w:color w:val="auto"/>
          <w:sz w:val="24"/>
          <w:szCs w:val="24"/>
          <w:highlight w:val="none"/>
          <w:u w:val="single"/>
        </w:rPr>
        <w:t>日 11:00</w:t>
      </w:r>
      <w:r>
        <w:rPr>
          <w:rFonts w:hint="eastAsia" w:ascii="仿宋" w:hAnsi="仿宋" w:eastAsia="仿宋" w:cs="仿宋"/>
          <w:color w:val="auto"/>
          <w:sz w:val="24"/>
          <w:szCs w:val="24"/>
          <w:highlight w:val="none"/>
        </w:rPr>
        <w:t>（北京时间）</w:t>
      </w:r>
    </w:p>
    <w:bookmarkEnd w:id="62"/>
    <w:p w14:paraId="55A2C0DC">
      <w:pPr>
        <w:pStyle w:val="37"/>
        <w:pageBreakBefore w:val="0"/>
        <w:overflowPunct/>
        <w:topLinePunct w:val="0"/>
        <w:bidi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.开标</w:t>
      </w:r>
      <w:r>
        <w:rPr>
          <w:rFonts w:hint="eastAsia" w:ascii="仿宋" w:hAnsi="仿宋" w:eastAsia="仿宋" w:cs="仿宋"/>
          <w:color w:val="auto"/>
          <w:sz w:val="24"/>
          <w:szCs w:val="24"/>
          <w:highlight w:val="none"/>
          <w:lang w:val="en-US"/>
        </w:rPr>
        <w:t>地点</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rPr>
        <w:t>投标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lang w:val="en-US"/>
        </w:rPr>
        <w:t>登录政采云平台https</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rPr>
        <w:t>//www.zcygov.cn/，进入项目采购</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rPr>
        <w:t>开</w:t>
      </w:r>
      <w:r>
        <w:rPr>
          <w:rFonts w:hint="eastAsia" w:ascii="仿宋" w:hAnsi="仿宋" w:eastAsia="仿宋" w:cs="仿宋"/>
          <w:color w:val="auto"/>
          <w:sz w:val="24"/>
          <w:szCs w:val="24"/>
          <w:highlight w:val="none"/>
          <w:lang w:val="en-US" w:eastAsia="zh-CN"/>
        </w:rPr>
        <w:t>标</w:t>
      </w:r>
      <w:r>
        <w:rPr>
          <w:rFonts w:hint="eastAsia" w:ascii="仿宋" w:hAnsi="仿宋" w:eastAsia="仿宋" w:cs="仿宋"/>
          <w:color w:val="auto"/>
          <w:sz w:val="24"/>
          <w:szCs w:val="24"/>
          <w:highlight w:val="none"/>
          <w:lang w:val="en-US"/>
        </w:rPr>
        <w:t>评标</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rPr>
        <w:t>右边选择对应项目点击“进入项目”进入开标大厅</w:t>
      </w:r>
      <w:r>
        <w:rPr>
          <w:rFonts w:hint="eastAsia" w:ascii="仿宋" w:hAnsi="仿宋" w:eastAsia="仿宋" w:cs="仿宋"/>
          <w:color w:val="auto"/>
          <w:sz w:val="24"/>
          <w:szCs w:val="24"/>
          <w:highlight w:val="none"/>
        </w:rPr>
        <w:t>。</w:t>
      </w:r>
    </w:p>
    <w:bookmarkEnd w:id="56"/>
    <w:p w14:paraId="6A1BC4E1">
      <w:pPr>
        <w:pStyle w:val="37"/>
        <w:pageBreakBefore w:val="0"/>
        <w:overflowPunct/>
        <w:topLinePunct w:val="0"/>
        <w:bidi w:val="0"/>
        <w:spacing w:line="440" w:lineRule="exact"/>
        <w:ind w:left="0" w:leftChars="0" w:firstLine="0" w:firstLineChars="0"/>
        <w:rPr>
          <w:rFonts w:hint="eastAsia" w:ascii="仿宋" w:hAnsi="仿宋" w:eastAsia="仿宋" w:cs="仿宋"/>
          <w:b/>
          <w:bCs/>
          <w:color w:val="auto"/>
          <w:sz w:val="24"/>
          <w:szCs w:val="24"/>
          <w:highlight w:val="none"/>
          <w:u w:val="none"/>
          <w:lang w:val="hr-HR" w:eastAsia="zh-CN"/>
        </w:rPr>
      </w:pPr>
      <w:bookmarkStart w:id="63" w:name="_Toc8144"/>
      <w:bookmarkStart w:id="64" w:name="_Toc109900252"/>
      <w:bookmarkStart w:id="65" w:name="_Toc155185864"/>
      <w:bookmarkStart w:id="66" w:name="_Toc109899414"/>
      <w:bookmarkStart w:id="67" w:name="_Toc109899833"/>
      <w:bookmarkStart w:id="68" w:name="_Toc140132749"/>
      <w:r>
        <w:rPr>
          <w:rFonts w:hint="eastAsia" w:ascii="仿宋" w:hAnsi="仿宋" w:eastAsia="仿宋" w:cs="仿宋"/>
          <w:b/>
          <w:bCs/>
          <w:color w:val="auto"/>
          <w:sz w:val="24"/>
          <w:szCs w:val="24"/>
          <w:highlight w:val="none"/>
          <w:u w:val="none"/>
          <w:lang w:val="en-US" w:eastAsia="zh-CN"/>
        </w:rPr>
        <w:t>五、</w:t>
      </w:r>
      <w:r>
        <w:rPr>
          <w:rFonts w:hint="eastAsia" w:ascii="仿宋" w:hAnsi="仿宋" w:eastAsia="仿宋" w:cs="仿宋"/>
          <w:b/>
          <w:bCs/>
          <w:color w:val="auto"/>
          <w:sz w:val="24"/>
          <w:szCs w:val="24"/>
          <w:highlight w:val="none"/>
          <w:u w:val="none"/>
          <w:lang w:val="hr-HR" w:eastAsia="zh-CN"/>
        </w:rPr>
        <w:t>公告期限</w:t>
      </w:r>
      <w:bookmarkEnd w:id="57"/>
      <w:bookmarkEnd w:id="58"/>
      <w:bookmarkEnd w:id="59"/>
      <w:bookmarkEnd w:id="60"/>
      <w:bookmarkEnd w:id="61"/>
      <w:bookmarkEnd w:id="63"/>
      <w:bookmarkEnd w:id="64"/>
      <w:bookmarkEnd w:id="65"/>
      <w:bookmarkEnd w:id="66"/>
      <w:bookmarkEnd w:id="67"/>
      <w:bookmarkEnd w:id="68"/>
    </w:p>
    <w:p w14:paraId="1365BA1C">
      <w:pPr>
        <w:pStyle w:val="37"/>
        <w:pageBreakBefore w:val="0"/>
        <w:overflowPunct/>
        <w:topLinePunct w:val="0"/>
        <w:bidi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自招标公告发布之日起5个工作日。</w:t>
      </w:r>
    </w:p>
    <w:p w14:paraId="0339E9B8">
      <w:pPr>
        <w:pStyle w:val="37"/>
        <w:pageBreakBefore w:val="0"/>
        <w:overflowPunct/>
        <w:topLinePunct w:val="0"/>
        <w:bidi w:val="0"/>
        <w:spacing w:line="440" w:lineRule="exact"/>
        <w:ind w:left="0" w:leftChars="0" w:firstLine="0" w:firstLineChars="0"/>
        <w:rPr>
          <w:rFonts w:hint="eastAsia" w:ascii="仿宋" w:hAnsi="仿宋" w:eastAsia="仿宋" w:cs="仿宋"/>
          <w:b/>
          <w:bCs/>
          <w:color w:val="auto"/>
          <w:sz w:val="24"/>
          <w:szCs w:val="24"/>
          <w:highlight w:val="none"/>
          <w:u w:val="none"/>
          <w:lang w:val="hr-HR" w:eastAsia="zh-CN"/>
        </w:rPr>
      </w:pPr>
      <w:bookmarkStart w:id="69" w:name="_Toc44583634"/>
      <w:bookmarkStart w:id="70" w:name="_Toc109900253"/>
      <w:bookmarkStart w:id="71" w:name="_Toc140132750"/>
      <w:bookmarkStart w:id="72" w:name="_Toc109899834"/>
      <w:bookmarkStart w:id="73" w:name="_Toc35393804"/>
      <w:bookmarkStart w:id="74" w:name="_Toc155185865"/>
      <w:bookmarkStart w:id="75" w:name="_Toc35393635"/>
      <w:bookmarkStart w:id="76" w:name="_Toc26687"/>
      <w:bookmarkStart w:id="77" w:name="_Toc109899415"/>
      <w:bookmarkStart w:id="78" w:name="_Toc35393806"/>
      <w:bookmarkStart w:id="79" w:name="_Toc28359096"/>
      <w:bookmarkStart w:id="80" w:name="_Toc28359019"/>
      <w:bookmarkStart w:id="81" w:name="_Toc35393637"/>
      <w:r>
        <w:rPr>
          <w:rFonts w:hint="eastAsia" w:ascii="仿宋" w:hAnsi="仿宋" w:eastAsia="仿宋" w:cs="仿宋"/>
          <w:b/>
          <w:bCs/>
          <w:color w:val="auto"/>
          <w:sz w:val="24"/>
          <w:szCs w:val="24"/>
          <w:highlight w:val="none"/>
          <w:u w:val="none"/>
          <w:lang w:val="en-US" w:eastAsia="zh-CN"/>
        </w:rPr>
        <w:t>六、</w:t>
      </w:r>
      <w:r>
        <w:rPr>
          <w:rFonts w:hint="eastAsia" w:ascii="仿宋" w:hAnsi="仿宋" w:eastAsia="仿宋" w:cs="仿宋"/>
          <w:b/>
          <w:bCs/>
          <w:color w:val="auto"/>
          <w:sz w:val="24"/>
          <w:szCs w:val="24"/>
          <w:highlight w:val="none"/>
          <w:u w:val="none"/>
          <w:lang w:val="hr-HR" w:eastAsia="zh-CN"/>
        </w:rPr>
        <w:t>其他补充事宜</w:t>
      </w:r>
      <w:bookmarkEnd w:id="69"/>
      <w:bookmarkEnd w:id="70"/>
      <w:bookmarkEnd w:id="71"/>
      <w:bookmarkEnd w:id="72"/>
      <w:bookmarkEnd w:id="73"/>
      <w:bookmarkEnd w:id="74"/>
      <w:bookmarkEnd w:id="75"/>
      <w:bookmarkEnd w:id="76"/>
      <w:bookmarkEnd w:id="77"/>
    </w:p>
    <w:bookmarkEnd w:id="78"/>
    <w:bookmarkEnd w:id="79"/>
    <w:bookmarkEnd w:id="80"/>
    <w:bookmarkEnd w:id="81"/>
    <w:p w14:paraId="64C0BFBF">
      <w:pPr>
        <w:pStyle w:val="37"/>
        <w:pageBreakBefore w:val="0"/>
        <w:overflowPunct/>
        <w:topLinePunct w:val="0"/>
        <w:bidi w:val="0"/>
        <w:spacing w:line="440" w:lineRule="exact"/>
        <w:rPr>
          <w:rFonts w:hint="eastAsia" w:ascii="仿宋" w:hAnsi="仿宋" w:eastAsia="仿宋" w:cs="仿宋"/>
          <w:color w:val="auto"/>
          <w:sz w:val="24"/>
          <w:szCs w:val="24"/>
          <w:highlight w:val="none"/>
        </w:rPr>
      </w:pPr>
      <w:bookmarkStart w:id="82" w:name="_Toc35393636"/>
      <w:bookmarkStart w:id="83" w:name="_Toc109899416"/>
      <w:bookmarkStart w:id="84" w:name="_Toc140132751"/>
      <w:bookmarkStart w:id="85" w:name="_Toc35393805"/>
      <w:bookmarkStart w:id="86" w:name="_Toc28359095"/>
      <w:bookmarkStart w:id="87" w:name="_Toc44583635"/>
      <w:bookmarkStart w:id="88" w:name="_Toc28359018"/>
      <w:bookmarkStart w:id="89" w:name="_Toc109900254"/>
      <w:bookmarkStart w:id="90" w:name="_Toc155185866"/>
      <w:bookmarkStart w:id="91" w:name="_Toc109899835"/>
      <w:bookmarkStart w:id="92" w:name="_Toc28862"/>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本项目实行网上投标，采用电子投标文件。</w:t>
      </w:r>
    </w:p>
    <w:p w14:paraId="156E01A0">
      <w:pPr>
        <w:pStyle w:val="37"/>
        <w:pageBreakBefore w:val="0"/>
        <w:overflowPunct/>
        <w:topLinePunct w:val="0"/>
        <w:bidi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1A5B326E">
      <w:pPr>
        <w:pStyle w:val="37"/>
        <w:pageBreakBefore w:val="0"/>
        <w:overflowPunct/>
        <w:topLinePunct w:val="0"/>
        <w:bidi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供应商将政采云电子交易客户端下载、安装完成后，可通过账号密码或CA登录客户端进行投标文件的制作。在使用政采云投标客户端时，建议使用WIN7及以上操作系统。</w:t>
      </w:r>
    </w:p>
    <w:p w14:paraId="5ABC4E34">
      <w:pPr>
        <w:pStyle w:val="37"/>
        <w:pageBreakBefore w:val="0"/>
        <w:overflowPunct/>
        <w:topLinePunct w:val="0"/>
        <w:bidi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特别提示：</w:t>
      </w:r>
    </w:p>
    <w:p w14:paraId="29071924">
      <w:pPr>
        <w:pStyle w:val="37"/>
        <w:pageBreakBefore w:val="0"/>
        <w:overflowPunct/>
        <w:topLinePunct w:val="0"/>
        <w:bidi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1、采购限额标准以上，200万元以下的货物和服务采购项目、400万元以下的工程采购项目，适宜由中小企业提供的，采购人应当专门面向中小企业采购。</w:t>
      </w:r>
    </w:p>
    <w:p w14:paraId="66600760">
      <w:pPr>
        <w:pStyle w:val="37"/>
        <w:pageBreakBefore w:val="0"/>
        <w:overflowPunct/>
        <w:topLinePunct w:val="0"/>
        <w:bidi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2、超过200万元的货物和服务采购项目，预留该部分采购项目预算总额的30%以上专门面向中小企业采购，其中预留给小微企业的比例不低于60%。</w:t>
      </w:r>
    </w:p>
    <w:p w14:paraId="5F50258B">
      <w:pPr>
        <w:pStyle w:val="37"/>
        <w:pageBreakBefore w:val="0"/>
        <w:overflowPunct/>
        <w:topLinePunct w:val="0"/>
        <w:bidi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3、超过400万元的工程采购项目中适宜由中小企业提供的，预留该部分采购项目预算总额的40%以上专门面向中小企业采购，其中预留给小微企业的比例不低于60%。</w:t>
      </w:r>
    </w:p>
    <w:p w14:paraId="25C926AE">
      <w:pPr>
        <w:pStyle w:val="37"/>
        <w:pageBreakBefore w:val="0"/>
        <w:overflowPunct/>
        <w:topLinePunct w:val="0"/>
        <w:bidi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741547B">
      <w:pPr>
        <w:pStyle w:val="37"/>
        <w:pageBreakBefore w:val="0"/>
        <w:overflowPunct/>
        <w:topLinePunct w:val="0"/>
        <w:bidi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75E03253">
      <w:pPr>
        <w:pStyle w:val="37"/>
        <w:pageBreakBefore w:val="0"/>
        <w:overflowPunct/>
        <w:topLinePunct w:val="0"/>
        <w:bidi w:val="0"/>
        <w:spacing w:line="440" w:lineRule="exact"/>
        <w:ind w:left="0" w:leftChars="0" w:firstLine="0" w:firstLineChars="0"/>
        <w:rPr>
          <w:rFonts w:hint="eastAsia" w:ascii="仿宋" w:hAnsi="仿宋" w:eastAsia="仿宋" w:cs="仿宋"/>
          <w:b/>
          <w:bCs/>
          <w:color w:val="auto"/>
          <w:sz w:val="24"/>
          <w:szCs w:val="24"/>
          <w:highlight w:val="none"/>
          <w:u w:val="none"/>
          <w:lang w:val="hr-HR" w:eastAsia="zh-CN"/>
        </w:rPr>
      </w:pPr>
      <w:r>
        <w:rPr>
          <w:rFonts w:hint="eastAsia" w:ascii="仿宋" w:hAnsi="仿宋" w:eastAsia="仿宋" w:cs="仿宋"/>
          <w:b/>
          <w:bCs/>
          <w:color w:val="auto"/>
          <w:sz w:val="24"/>
          <w:szCs w:val="24"/>
          <w:highlight w:val="none"/>
          <w:u w:val="none"/>
          <w:lang w:val="en-US" w:eastAsia="zh-CN"/>
        </w:rPr>
        <w:t>七、</w:t>
      </w:r>
      <w:bookmarkEnd w:id="82"/>
      <w:bookmarkEnd w:id="83"/>
      <w:bookmarkEnd w:id="84"/>
      <w:bookmarkEnd w:id="85"/>
      <w:bookmarkEnd w:id="86"/>
      <w:bookmarkEnd w:id="87"/>
      <w:bookmarkEnd w:id="88"/>
      <w:bookmarkEnd w:id="89"/>
      <w:bookmarkEnd w:id="90"/>
      <w:bookmarkEnd w:id="91"/>
      <w:r>
        <w:rPr>
          <w:rFonts w:hint="eastAsia" w:ascii="仿宋" w:hAnsi="仿宋" w:eastAsia="仿宋" w:cs="仿宋"/>
          <w:b/>
          <w:bCs/>
          <w:color w:val="auto"/>
          <w:sz w:val="24"/>
          <w:szCs w:val="24"/>
          <w:highlight w:val="none"/>
          <w:u w:val="none"/>
          <w:lang w:val="hr-HR" w:eastAsia="zh-CN"/>
        </w:rPr>
        <w:t>对本次</w:t>
      </w:r>
      <w:r>
        <w:rPr>
          <w:rFonts w:hint="eastAsia" w:ascii="仿宋" w:hAnsi="仿宋" w:eastAsia="仿宋" w:cs="仿宋"/>
          <w:b/>
          <w:bCs/>
          <w:color w:val="auto"/>
          <w:sz w:val="24"/>
          <w:szCs w:val="24"/>
          <w:highlight w:val="none"/>
          <w:u w:val="none"/>
          <w:lang w:val="en-US" w:eastAsia="zh-CN"/>
        </w:rPr>
        <w:t>招标</w:t>
      </w:r>
      <w:r>
        <w:rPr>
          <w:rFonts w:hint="eastAsia" w:ascii="仿宋" w:hAnsi="仿宋" w:eastAsia="仿宋" w:cs="仿宋"/>
          <w:b/>
          <w:bCs/>
          <w:color w:val="auto"/>
          <w:sz w:val="24"/>
          <w:szCs w:val="24"/>
          <w:highlight w:val="none"/>
          <w:u w:val="none"/>
          <w:lang w:val="hr-HR" w:eastAsia="zh-CN"/>
        </w:rPr>
        <w:t>提出询问，请按以下方式联系</w:t>
      </w:r>
      <w:bookmarkEnd w:id="92"/>
    </w:p>
    <w:p w14:paraId="42350461">
      <w:pPr>
        <w:pStyle w:val="37"/>
        <w:keepNext w:val="0"/>
        <w:keepLines w:val="0"/>
        <w:pageBreakBefore w:val="0"/>
        <w:widowControl w:val="0"/>
        <w:kinsoku/>
        <w:wordWrap w:val="0"/>
        <w:overflowPunct/>
        <w:topLinePunct w:val="0"/>
        <w:autoSpaceDE/>
        <w:autoSpaceDN/>
        <w:bidi w:val="0"/>
        <w:adjustRightInd/>
        <w:snapToGrid/>
        <w:spacing w:line="440" w:lineRule="exact"/>
        <w:ind w:firstLine="482"/>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1.采购人信息</w:t>
      </w:r>
    </w:p>
    <w:p w14:paraId="5A5D9AED">
      <w:pPr>
        <w:pStyle w:val="37"/>
        <w:keepNext w:val="0"/>
        <w:keepLines w:val="0"/>
        <w:pageBreakBefore w:val="0"/>
        <w:widowControl w:val="0"/>
        <w:kinsoku/>
        <w:wordWrap w:val="0"/>
        <w:overflowPunct/>
        <w:topLinePunct w:val="0"/>
        <w:autoSpaceDE/>
        <w:autoSpaceDN/>
        <w:bidi w:val="0"/>
        <w:adjustRightInd/>
        <w:snapToGrid/>
        <w:spacing w:line="440" w:lineRule="exact"/>
        <w:ind w:firstLine="482"/>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乌鲁木齐市水务局</w:t>
      </w:r>
    </w:p>
    <w:p w14:paraId="03D3FD71">
      <w:pPr>
        <w:pStyle w:val="37"/>
        <w:keepNext w:val="0"/>
        <w:keepLines w:val="0"/>
        <w:pageBreakBefore w:val="0"/>
        <w:widowControl w:val="0"/>
        <w:kinsoku/>
        <w:wordWrap w:val="0"/>
        <w:overflowPunct/>
        <w:topLinePunct w:val="0"/>
        <w:autoSpaceDE/>
        <w:autoSpaceDN/>
        <w:bidi w:val="0"/>
        <w:adjustRightInd/>
        <w:snapToGrid/>
        <w:spacing w:line="440" w:lineRule="exact"/>
        <w:ind w:firstLine="482"/>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lang w:val="en-US" w:eastAsia="zh-CN"/>
        </w:rPr>
        <w:t>乌鲁木齐市水磨沟区南湖南路西一巷37号</w:t>
      </w:r>
      <w:r>
        <w:rPr>
          <w:rFonts w:hint="eastAsia" w:ascii="仿宋" w:hAnsi="仿宋" w:eastAsia="仿宋" w:cs="仿宋"/>
          <w:color w:val="auto"/>
          <w:kern w:val="2"/>
          <w:sz w:val="24"/>
          <w:szCs w:val="24"/>
          <w:highlight w:val="none"/>
          <w:lang w:val="en-US" w:eastAsia="zh-CN" w:bidi="ar-SA"/>
        </w:rPr>
        <w:t xml:space="preserve"> </w:t>
      </w:r>
    </w:p>
    <w:p w14:paraId="7D34179C">
      <w:pPr>
        <w:pStyle w:val="37"/>
        <w:keepNext w:val="0"/>
        <w:keepLines w:val="0"/>
        <w:pageBreakBefore w:val="0"/>
        <w:widowControl w:val="0"/>
        <w:kinsoku/>
        <w:wordWrap w:val="0"/>
        <w:overflowPunct/>
        <w:topLinePunct w:val="0"/>
        <w:autoSpaceDE/>
        <w:autoSpaceDN/>
        <w:bidi w:val="0"/>
        <w:adjustRightInd/>
        <w:snapToGrid/>
        <w:spacing w:line="440" w:lineRule="exact"/>
        <w:ind w:firstLine="482"/>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联系方式：</w:t>
      </w:r>
      <w:bookmarkStart w:id="93" w:name="_Hlk46775675"/>
      <w:r>
        <w:rPr>
          <w:rFonts w:hint="eastAsia" w:ascii="仿宋" w:hAnsi="仿宋" w:eastAsia="仿宋" w:cs="仿宋"/>
          <w:color w:val="auto"/>
          <w:sz w:val="24"/>
          <w:highlight w:val="none"/>
          <w:lang w:val="en-US" w:eastAsia="zh-CN"/>
        </w:rPr>
        <w:t xml:space="preserve">何光辉13139882883 </w:t>
      </w:r>
    </w:p>
    <w:bookmarkEnd w:id="93"/>
    <w:p w14:paraId="276CEE5C">
      <w:pPr>
        <w:pStyle w:val="37"/>
        <w:keepNext w:val="0"/>
        <w:keepLines w:val="0"/>
        <w:pageBreakBefore w:val="0"/>
        <w:widowControl w:val="0"/>
        <w:kinsoku/>
        <w:wordWrap w:val="0"/>
        <w:overflowPunct/>
        <w:topLinePunct w:val="0"/>
        <w:autoSpaceDE/>
        <w:autoSpaceDN/>
        <w:bidi w:val="0"/>
        <w:adjustRightInd/>
        <w:snapToGrid/>
        <w:spacing w:line="440" w:lineRule="exact"/>
        <w:ind w:firstLine="482"/>
        <w:textAlignment w:val="auto"/>
        <w:rPr>
          <w:rFonts w:hint="eastAsia" w:ascii="仿宋" w:hAnsi="仿宋" w:eastAsia="仿宋" w:cs="仿宋"/>
          <w:color w:val="auto"/>
          <w:sz w:val="24"/>
          <w:highlight w:val="none"/>
        </w:rPr>
      </w:pPr>
      <w:bookmarkStart w:id="94" w:name="_Toc35393807"/>
      <w:bookmarkStart w:id="95" w:name="_Toc28359020"/>
      <w:bookmarkStart w:id="96" w:name="_Toc28359097"/>
      <w:bookmarkStart w:id="97" w:name="_Toc35393638"/>
      <w:r>
        <w:rPr>
          <w:rFonts w:hint="eastAsia" w:ascii="仿宋" w:hAnsi="仿宋" w:eastAsia="仿宋" w:cs="仿宋"/>
          <w:color w:val="auto"/>
          <w:sz w:val="24"/>
          <w:highlight w:val="none"/>
        </w:rPr>
        <w:t>2.采购代理机构信息</w:t>
      </w:r>
      <w:bookmarkEnd w:id="94"/>
      <w:bookmarkEnd w:id="95"/>
      <w:bookmarkEnd w:id="96"/>
      <w:bookmarkEnd w:id="97"/>
    </w:p>
    <w:p w14:paraId="6E4EB80B">
      <w:pPr>
        <w:pStyle w:val="37"/>
        <w:keepNext w:val="0"/>
        <w:keepLines w:val="0"/>
        <w:pageBreakBefore w:val="0"/>
        <w:widowControl w:val="0"/>
        <w:kinsoku/>
        <w:wordWrap w:val="0"/>
        <w:overflowPunct/>
        <w:topLinePunct w:val="0"/>
        <w:autoSpaceDE/>
        <w:autoSpaceDN/>
        <w:bidi w:val="0"/>
        <w:adjustRightInd/>
        <w:snapToGrid/>
        <w:spacing w:line="440" w:lineRule="exact"/>
        <w:ind w:firstLine="482"/>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名称：新疆正元工程招标代理有限责任公司</w:t>
      </w:r>
    </w:p>
    <w:p w14:paraId="15552573">
      <w:pPr>
        <w:pStyle w:val="37"/>
        <w:keepNext w:val="0"/>
        <w:keepLines w:val="0"/>
        <w:pageBreakBefore w:val="0"/>
        <w:widowControl w:val="0"/>
        <w:kinsoku/>
        <w:wordWrap w:val="0"/>
        <w:overflowPunct/>
        <w:topLinePunct w:val="0"/>
        <w:autoSpaceDE/>
        <w:autoSpaceDN/>
        <w:bidi w:val="0"/>
        <w:adjustRightInd/>
        <w:snapToGrid/>
        <w:spacing w:line="440" w:lineRule="exact"/>
        <w:ind w:firstLine="482"/>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bookmarkStart w:id="98" w:name="OLE_LINK6"/>
      <w:r>
        <w:rPr>
          <w:rFonts w:hint="eastAsia" w:ascii="仿宋" w:hAnsi="仿宋" w:eastAsia="仿宋" w:cs="仿宋"/>
          <w:color w:val="auto"/>
          <w:kern w:val="0"/>
          <w:sz w:val="24"/>
          <w:szCs w:val="22"/>
          <w:highlight w:val="none"/>
        </w:rPr>
        <w:t>新疆乌鲁木齐市</w:t>
      </w:r>
      <w:r>
        <w:rPr>
          <w:rFonts w:hint="eastAsia" w:ascii="仿宋" w:hAnsi="仿宋" w:eastAsia="仿宋" w:cs="仿宋"/>
          <w:color w:val="auto"/>
          <w:kern w:val="0"/>
          <w:sz w:val="24"/>
          <w:szCs w:val="22"/>
          <w:highlight w:val="none"/>
          <w:lang w:val="en-US" w:eastAsia="zh-CN"/>
        </w:rPr>
        <w:t>维泰北路616</w:t>
      </w:r>
      <w:r>
        <w:rPr>
          <w:rFonts w:hint="eastAsia" w:ascii="仿宋" w:hAnsi="仿宋" w:eastAsia="仿宋" w:cs="仿宋"/>
          <w:color w:val="auto"/>
          <w:kern w:val="0"/>
          <w:sz w:val="24"/>
          <w:szCs w:val="22"/>
          <w:highlight w:val="none"/>
        </w:rPr>
        <w:t>号</w:t>
      </w:r>
      <w:bookmarkEnd w:id="98"/>
    </w:p>
    <w:p w14:paraId="2A4ED1D6">
      <w:pPr>
        <w:pStyle w:val="37"/>
        <w:keepNext w:val="0"/>
        <w:keepLines w:val="0"/>
        <w:pageBreakBefore w:val="0"/>
        <w:widowControl w:val="0"/>
        <w:kinsoku/>
        <w:wordWrap w:val="0"/>
        <w:overflowPunct/>
        <w:topLinePunct w:val="0"/>
        <w:autoSpaceDE/>
        <w:autoSpaceDN/>
        <w:bidi w:val="0"/>
        <w:adjustRightInd/>
        <w:snapToGrid/>
        <w:spacing w:line="440" w:lineRule="exact"/>
        <w:ind w:firstLine="482"/>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联系方式：</w:t>
      </w:r>
      <w:bookmarkStart w:id="99" w:name="OLE_LINK9"/>
      <w:bookmarkStart w:id="100" w:name="_Toc28359021"/>
      <w:bookmarkStart w:id="101" w:name="_Toc28359098"/>
      <w:bookmarkStart w:id="102" w:name="_Toc35393808"/>
      <w:bookmarkStart w:id="103" w:name="_Toc35393639"/>
      <w:r>
        <w:rPr>
          <w:rFonts w:hint="eastAsia" w:ascii="仿宋" w:hAnsi="仿宋" w:eastAsia="仿宋" w:cs="仿宋"/>
          <w:color w:val="auto"/>
          <w:sz w:val="24"/>
          <w:highlight w:val="none"/>
        </w:rPr>
        <w:t>0991-3722209、</w:t>
      </w:r>
      <w:r>
        <w:rPr>
          <w:rFonts w:hint="eastAsia" w:ascii="仿宋" w:hAnsi="仿宋" w:eastAsia="仿宋" w:cs="仿宋"/>
          <w:color w:val="auto"/>
          <w:kern w:val="0"/>
          <w:sz w:val="24"/>
          <w:szCs w:val="22"/>
          <w:highlight w:val="none"/>
          <w:lang w:val="en-US" w:eastAsia="zh-CN"/>
        </w:rPr>
        <w:t>13201266431</w:t>
      </w:r>
    </w:p>
    <w:bookmarkEnd w:id="99"/>
    <w:p w14:paraId="1EE0C2A1">
      <w:pPr>
        <w:pStyle w:val="37"/>
        <w:keepNext w:val="0"/>
        <w:keepLines w:val="0"/>
        <w:pageBreakBefore w:val="0"/>
        <w:widowControl w:val="0"/>
        <w:kinsoku/>
        <w:wordWrap w:val="0"/>
        <w:overflowPunct/>
        <w:topLinePunct w:val="0"/>
        <w:autoSpaceDE/>
        <w:autoSpaceDN/>
        <w:bidi w:val="0"/>
        <w:adjustRightInd/>
        <w:snapToGrid/>
        <w:spacing w:line="440" w:lineRule="exact"/>
        <w:ind w:firstLine="482"/>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项目联系方式</w:t>
      </w:r>
    </w:p>
    <w:p w14:paraId="28AC974B">
      <w:pPr>
        <w:pStyle w:val="37"/>
        <w:keepNext w:val="0"/>
        <w:keepLines w:val="0"/>
        <w:pageBreakBefore w:val="0"/>
        <w:widowControl w:val="0"/>
        <w:kinsoku/>
        <w:wordWrap w:val="0"/>
        <w:overflowPunct/>
        <w:topLinePunct w:val="0"/>
        <w:autoSpaceDE/>
        <w:autoSpaceDN/>
        <w:bidi w:val="0"/>
        <w:adjustRightInd/>
        <w:snapToGrid/>
        <w:spacing w:line="440" w:lineRule="exact"/>
        <w:ind w:firstLine="482"/>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 xml:space="preserve">高子婷 </w:t>
      </w:r>
    </w:p>
    <w:bookmarkEnd w:id="100"/>
    <w:bookmarkEnd w:id="101"/>
    <w:bookmarkEnd w:id="102"/>
    <w:bookmarkEnd w:id="103"/>
    <w:p w14:paraId="332C63BB">
      <w:pPr>
        <w:pStyle w:val="37"/>
        <w:keepNext w:val="0"/>
        <w:keepLines w:val="0"/>
        <w:pageBreakBefore w:val="0"/>
        <w:widowControl w:val="0"/>
        <w:kinsoku/>
        <w:wordWrap w:val="0"/>
        <w:overflowPunct/>
        <w:topLinePunct w:val="0"/>
        <w:autoSpaceDE/>
        <w:autoSpaceDN/>
        <w:bidi w:val="0"/>
        <w:adjustRightInd/>
        <w:snapToGrid/>
        <w:spacing w:line="440" w:lineRule="exact"/>
        <w:ind w:firstLine="482"/>
        <w:textAlignment w:val="auto"/>
        <w:rPr>
          <w:rFonts w:hint="default"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电话：</w:t>
      </w:r>
      <w:r>
        <w:rPr>
          <w:rFonts w:hint="eastAsia" w:ascii="仿宋" w:hAnsi="仿宋" w:eastAsia="仿宋" w:cs="仿宋"/>
          <w:color w:val="auto"/>
          <w:kern w:val="0"/>
          <w:sz w:val="24"/>
          <w:szCs w:val="22"/>
          <w:highlight w:val="none"/>
        </w:rPr>
        <w:t>0991-372220</w:t>
      </w:r>
      <w:r>
        <w:rPr>
          <w:rFonts w:hint="eastAsia" w:ascii="仿宋" w:hAnsi="仿宋" w:eastAsia="仿宋" w:cs="仿宋"/>
          <w:color w:val="auto"/>
          <w:kern w:val="0"/>
          <w:sz w:val="24"/>
          <w:szCs w:val="22"/>
          <w:highlight w:val="none"/>
          <w:lang w:val="en-US" w:eastAsia="zh-CN"/>
        </w:rPr>
        <w:t>9、13201266431</w:t>
      </w:r>
    </w:p>
    <w:p w14:paraId="011B0051">
      <w:pPr>
        <w:rPr>
          <w:rFonts w:hint="eastAsia" w:ascii="仿宋" w:hAnsi="仿宋" w:eastAsia="仿宋" w:cs="仿宋"/>
          <w:b/>
          <w:bCs/>
          <w:snapToGrid w:val="0"/>
          <w:color w:val="auto"/>
          <w:spacing w:val="5"/>
          <w:kern w:val="0"/>
          <w:sz w:val="35"/>
          <w:szCs w:val="35"/>
          <w:highlight w:val="none"/>
          <w:lang w:val="en-US" w:eastAsia="zh-CN" w:bidi="ar-SA"/>
        </w:rPr>
      </w:pPr>
      <w:bookmarkStart w:id="104" w:name="_Toc5645"/>
      <w:bookmarkStart w:id="105" w:name="_Toc155185867"/>
      <w:r>
        <w:rPr>
          <w:rFonts w:hint="eastAsia" w:ascii="仿宋" w:hAnsi="仿宋" w:eastAsia="仿宋" w:cs="仿宋"/>
          <w:b/>
          <w:bCs/>
          <w:snapToGrid w:val="0"/>
          <w:color w:val="auto"/>
          <w:spacing w:val="5"/>
          <w:kern w:val="0"/>
          <w:sz w:val="35"/>
          <w:szCs w:val="35"/>
          <w:highlight w:val="none"/>
          <w:lang w:val="en-US" w:eastAsia="zh-CN" w:bidi="ar-SA"/>
        </w:rPr>
        <w:br w:type="page"/>
      </w:r>
    </w:p>
    <w:p w14:paraId="3D3BCDA0">
      <w:pPr>
        <w:pStyle w:val="13"/>
        <w:widowControl/>
        <w:shd w:val="clear"/>
        <w:kinsoku w:val="0"/>
        <w:autoSpaceDE w:val="0"/>
        <w:autoSpaceDN w:val="0"/>
        <w:adjustRightInd w:val="0"/>
        <w:snapToGrid w:val="0"/>
        <w:spacing w:before="114" w:after="0" w:line="225" w:lineRule="auto"/>
        <w:ind w:left="3198"/>
        <w:jc w:val="both"/>
        <w:textAlignment w:val="baseline"/>
        <w:outlineLvl w:val="0"/>
        <w:rPr>
          <w:rFonts w:hint="eastAsia" w:ascii="仿宋" w:hAnsi="仿宋" w:eastAsia="仿宋" w:cs="仿宋"/>
          <w:b/>
          <w:bCs/>
          <w:snapToGrid w:val="0"/>
          <w:color w:val="auto"/>
          <w:spacing w:val="5"/>
          <w:kern w:val="0"/>
          <w:sz w:val="35"/>
          <w:szCs w:val="35"/>
          <w:highlight w:val="none"/>
          <w:lang w:val="en-US" w:eastAsia="zh-CN" w:bidi="ar-SA"/>
        </w:rPr>
      </w:pPr>
      <w:r>
        <w:rPr>
          <w:rFonts w:hint="eastAsia" w:ascii="仿宋" w:hAnsi="仿宋" w:eastAsia="仿宋" w:cs="仿宋"/>
          <w:b/>
          <w:bCs/>
          <w:snapToGrid w:val="0"/>
          <w:color w:val="auto"/>
          <w:spacing w:val="5"/>
          <w:kern w:val="0"/>
          <w:sz w:val="35"/>
          <w:szCs w:val="35"/>
          <w:highlight w:val="none"/>
          <w:lang w:val="en-US" w:eastAsia="zh-CN" w:bidi="ar-SA"/>
        </w:rPr>
        <w:t>第二章 投标人须知</w:t>
      </w:r>
      <w:bookmarkEnd w:id="104"/>
      <w:bookmarkEnd w:id="105"/>
    </w:p>
    <w:p w14:paraId="63FF165C">
      <w:pPr>
        <w:pStyle w:val="3"/>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仿宋" w:hAnsi="仿宋" w:eastAsia="仿宋" w:cs="仿宋"/>
          <w:b/>
          <w:bCs/>
          <w:color w:val="auto"/>
          <w:kern w:val="2"/>
          <w:sz w:val="28"/>
          <w:szCs w:val="28"/>
          <w:highlight w:val="none"/>
          <w:lang w:val="en-US" w:eastAsia="zh-CN" w:bidi="ar-SA"/>
        </w:rPr>
      </w:pPr>
      <w:bookmarkStart w:id="106" w:name="_Toc32038"/>
      <w:bookmarkStart w:id="107" w:name="_Toc155185868"/>
      <w:r>
        <w:rPr>
          <w:rFonts w:hint="eastAsia" w:ascii="仿宋" w:hAnsi="仿宋" w:eastAsia="仿宋" w:cs="仿宋"/>
          <w:b/>
          <w:bCs/>
          <w:color w:val="auto"/>
          <w:kern w:val="2"/>
          <w:sz w:val="28"/>
          <w:szCs w:val="28"/>
          <w:highlight w:val="none"/>
          <w:lang w:val="en-US" w:eastAsia="zh-CN" w:bidi="ar-SA"/>
        </w:rPr>
        <w:t>一、投标人须知前附表</w:t>
      </w:r>
      <w:bookmarkEnd w:id="106"/>
      <w:bookmarkEnd w:id="107"/>
    </w:p>
    <w:p w14:paraId="5BDA4D61">
      <w:pPr>
        <w:pStyle w:val="37"/>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rPr>
        <w:t>投标人应仔细阅读本招标文件的第二章“投标人须知”，下面所列资料是对“投标人须知”的具体补充和说明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如有矛盾，应以本表为准。</w:t>
      </w:r>
      <w:r>
        <w:rPr>
          <w:rFonts w:hint="eastAsia" w:ascii="仿宋" w:hAnsi="仿宋" w:eastAsia="仿宋" w:cs="仿宋"/>
          <w:color w:val="auto"/>
          <w:sz w:val="24"/>
          <w:szCs w:val="24"/>
          <w:highlight w:val="none"/>
          <w:lang w:val="en-US" w:eastAsia="zh-CN"/>
        </w:rPr>
        <w:t>标记“☑”的选项意为适用于本项目，标记“□”的选项意为不适用于本项目</w:t>
      </w:r>
      <w:r>
        <w:rPr>
          <w:rFonts w:hint="eastAsia" w:ascii="仿宋" w:hAnsi="仿宋" w:eastAsia="仿宋" w:cs="仿宋"/>
          <w:color w:val="auto"/>
          <w:highlight w:val="none"/>
          <w:lang w:val="en-US" w:eastAsia="zh-CN"/>
        </w:rPr>
        <w:t>。</w:t>
      </w:r>
    </w:p>
    <w:tbl>
      <w:tblPr>
        <w:tblStyle w:val="30"/>
        <w:tblW w:w="9408" w:type="dxa"/>
        <w:tblInd w:w="-35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08" w:type="dxa"/>
          <w:bottom w:w="57" w:type="dxa"/>
          <w:right w:w="108" w:type="dxa"/>
        </w:tblCellMar>
      </w:tblPr>
      <w:tblGrid>
        <w:gridCol w:w="970"/>
        <w:gridCol w:w="1744"/>
        <w:gridCol w:w="6694"/>
      </w:tblGrid>
      <w:tr w14:paraId="60A83A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397" w:hRule="atLeast"/>
          <w:tblHeader/>
        </w:trPr>
        <w:tc>
          <w:tcPr>
            <w:tcW w:w="97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6CD6C245">
            <w:pPr>
              <w:pStyle w:val="49"/>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条款号</w:t>
            </w:r>
          </w:p>
        </w:tc>
        <w:tc>
          <w:tcPr>
            <w:tcW w:w="174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4B91D79E">
            <w:pPr>
              <w:pStyle w:val="49"/>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条款名称</w:t>
            </w:r>
          </w:p>
        </w:tc>
        <w:tc>
          <w:tcPr>
            <w:tcW w:w="669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67826D63">
            <w:pPr>
              <w:pStyle w:val="49"/>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内  容</w:t>
            </w:r>
          </w:p>
        </w:tc>
      </w:tr>
      <w:tr w14:paraId="7ACC35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397" w:hRule="atLeast"/>
        </w:trPr>
        <w:tc>
          <w:tcPr>
            <w:tcW w:w="970" w:type="dxa"/>
            <w:vAlign w:val="center"/>
          </w:tcPr>
          <w:p w14:paraId="5CAA5D17">
            <w:pPr>
              <w:pStyle w:val="49"/>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w:t>
            </w:r>
          </w:p>
        </w:tc>
        <w:tc>
          <w:tcPr>
            <w:tcW w:w="1744" w:type="dxa"/>
            <w:shd w:val="clear" w:color="auto" w:fill="auto"/>
            <w:vAlign w:val="center"/>
          </w:tcPr>
          <w:p w14:paraId="1175C779">
            <w:pPr>
              <w:pStyle w:val="49"/>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服务包含的内容</w:t>
            </w:r>
          </w:p>
        </w:tc>
        <w:tc>
          <w:tcPr>
            <w:tcW w:w="6694" w:type="dxa"/>
            <w:shd w:val="clear" w:color="auto" w:fill="auto"/>
            <w:vAlign w:val="center"/>
          </w:tcPr>
          <w:p w14:paraId="6C418D44">
            <w:pPr>
              <w:pStyle w:val="49"/>
              <w:keepNext w:val="0"/>
              <w:keepLines w:val="0"/>
              <w:pageBreakBefore w:val="0"/>
              <w:kinsoku/>
              <w:wordWrap/>
              <w:overflowPunct/>
              <w:topLinePunct w:val="0"/>
              <w:bidi w:val="0"/>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☑主要内容：</w:t>
            </w:r>
            <w:r>
              <w:rPr>
                <w:rFonts w:hint="eastAsia" w:ascii="仿宋" w:hAnsi="仿宋" w:eastAsia="仿宋" w:cs="仿宋"/>
                <w:color w:val="auto"/>
                <w:sz w:val="24"/>
                <w:szCs w:val="24"/>
                <w:highlight w:val="none"/>
                <w:u w:val="none"/>
                <w:lang w:val="hr-HR"/>
              </w:rPr>
              <w:t>本次防洪规划工作，依据《防洪规划编制规程》（SL669-2014）等相关技术标准，在原防洪规划成果的基础上，按照自治区党委、乌鲁木齐市委、自治区水利厅关于乌鲁木齐高质量发展的总体要求，结合乌鲁木齐市经济社会发展规划布局要求、防洪现状及形势分析，对乌鲁木齐市各县区主要河流及山洪沟的防洪保护对象和防洪标准进行复核，防洪总体布局进行梳理分析，提出相应的防洪工程和非工程措施方案，编制并提交《乌鲁木齐市防洪规划报告》及《乌鲁木齐市防洪规划报告附图集》</w:t>
            </w:r>
            <w:r>
              <w:rPr>
                <w:rFonts w:hint="eastAsia" w:ascii="仿宋" w:hAnsi="仿宋" w:eastAsia="仿宋" w:cs="仿宋"/>
                <w:color w:val="auto"/>
                <w:sz w:val="24"/>
                <w:szCs w:val="24"/>
                <w:highlight w:val="none"/>
                <w:u w:val="none"/>
                <w:lang w:val="hr-HR" w:eastAsia="zh-CN"/>
              </w:rPr>
              <w:t>。</w:t>
            </w:r>
            <w:r>
              <w:rPr>
                <w:rFonts w:hint="eastAsia" w:ascii="仿宋" w:hAnsi="仿宋" w:eastAsia="仿宋" w:cs="仿宋"/>
                <w:color w:val="auto"/>
                <w:sz w:val="24"/>
                <w:szCs w:val="24"/>
                <w:highlight w:val="none"/>
                <w:u w:val="none"/>
                <w:lang w:val="hr-HR"/>
              </w:rPr>
              <w:t>具体详见招标文件第三</w:t>
            </w:r>
            <w:r>
              <w:rPr>
                <w:rFonts w:hint="eastAsia" w:ascii="仿宋" w:hAnsi="仿宋" w:eastAsia="仿宋" w:cs="仿宋"/>
                <w:color w:val="auto"/>
                <w:sz w:val="24"/>
                <w:szCs w:val="24"/>
                <w:highlight w:val="none"/>
                <w:u w:val="none"/>
                <w:lang w:val="en-US" w:eastAsia="zh-CN"/>
              </w:rPr>
              <w:t>章</w:t>
            </w:r>
            <w:r>
              <w:rPr>
                <w:rFonts w:hint="eastAsia" w:ascii="仿宋" w:hAnsi="仿宋" w:eastAsia="仿宋" w:cs="仿宋"/>
                <w:color w:val="auto"/>
                <w:sz w:val="24"/>
                <w:szCs w:val="24"/>
                <w:highlight w:val="none"/>
                <w:u w:val="none"/>
                <w:lang w:val="hr-HR"/>
              </w:rPr>
              <w:t>“采购需求”。</w:t>
            </w:r>
          </w:p>
          <w:p w14:paraId="56A9E7EB">
            <w:pPr>
              <w:pStyle w:val="49"/>
              <w:keepNext w:val="0"/>
              <w:keepLines w:val="0"/>
              <w:pageBreakBefore w:val="0"/>
              <w:kinsoku/>
              <w:wordWrap/>
              <w:overflowPunct/>
              <w:topLinePunct w:val="0"/>
              <w:bidi w:val="0"/>
              <w:snapToGrid/>
              <w:spacing w:line="40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□其他内容：</w:t>
            </w:r>
            <w:r>
              <w:rPr>
                <w:rFonts w:hint="eastAsia" w:ascii="仿宋" w:hAnsi="仿宋" w:eastAsia="仿宋" w:cs="仿宋"/>
                <w:color w:val="auto"/>
                <w:sz w:val="24"/>
                <w:szCs w:val="24"/>
                <w:highlight w:val="none"/>
                <w:u w:val="single"/>
                <w:lang w:val="en-US" w:eastAsia="zh-CN"/>
              </w:rPr>
              <w:t xml:space="preserve">       /           </w:t>
            </w:r>
            <w:r>
              <w:rPr>
                <w:rFonts w:hint="eastAsia" w:ascii="仿宋" w:hAnsi="仿宋" w:eastAsia="仿宋" w:cs="仿宋"/>
                <w:color w:val="auto"/>
                <w:sz w:val="24"/>
                <w:szCs w:val="24"/>
                <w:highlight w:val="none"/>
                <w:lang w:val="en-US" w:eastAsia="zh-CN"/>
              </w:rPr>
              <w:t>。</w:t>
            </w:r>
          </w:p>
        </w:tc>
      </w:tr>
      <w:tr w14:paraId="73F9B1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0" w:hRule="atLeast"/>
        </w:trPr>
        <w:tc>
          <w:tcPr>
            <w:tcW w:w="970" w:type="dxa"/>
            <w:vAlign w:val="center"/>
          </w:tcPr>
          <w:p w14:paraId="6B7B1837">
            <w:pPr>
              <w:pStyle w:val="49"/>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9.1</w:t>
            </w:r>
          </w:p>
        </w:tc>
        <w:tc>
          <w:tcPr>
            <w:tcW w:w="1744" w:type="dxa"/>
            <w:vAlign w:val="center"/>
          </w:tcPr>
          <w:p w14:paraId="1F4A23B5">
            <w:pPr>
              <w:pStyle w:val="49"/>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color w:val="auto"/>
                <w:sz w:val="24"/>
                <w:szCs w:val="24"/>
                <w:highlight w:val="none"/>
              </w:rPr>
            </w:pPr>
            <w:bookmarkStart w:id="108" w:name="_Hlk143529175"/>
            <w:r>
              <w:rPr>
                <w:rFonts w:hint="eastAsia" w:ascii="仿宋" w:hAnsi="仿宋" w:eastAsia="仿宋" w:cs="仿宋"/>
                <w:color w:val="auto"/>
                <w:sz w:val="24"/>
                <w:szCs w:val="24"/>
                <w:highlight w:val="none"/>
              </w:rPr>
              <w:t>现场考察</w:t>
            </w:r>
            <w:bookmarkEnd w:id="108"/>
          </w:p>
        </w:tc>
        <w:tc>
          <w:tcPr>
            <w:tcW w:w="6694" w:type="dxa"/>
            <w:vAlign w:val="center"/>
          </w:tcPr>
          <w:p w14:paraId="77FF83F3">
            <w:pPr>
              <w:pStyle w:val="49"/>
              <w:keepNext w:val="0"/>
              <w:keepLines w:val="0"/>
              <w:pageBreakBefore w:val="0"/>
              <w:kinsoku/>
              <w:wordWrap/>
              <w:overflowPunct/>
              <w:topLinePunct w:val="0"/>
              <w:bidi w:val="0"/>
              <w:snapToGrid/>
              <w:spacing w:line="40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sym w:font="Wingdings" w:char="00FE"/>
            </w:r>
            <w:r>
              <w:rPr>
                <w:rFonts w:hint="eastAsia" w:ascii="仿宋" w:hAnsi="仿宋" w:eastAsia="仿宋" w:cs="仿宋"/>
                <w:color w:val="auto"/>
                <w:sz w:val="24"/>
                <w:szCs w:val="24"/>
                <w:highlight w:val="none"/>
              </w:rPr>
              <w:t>不组织，投标人自行前往</w:t>
            </w:r>
            <w:r>
              <w:rPr>
                <w:rFonts w:hint="eastAsia" w:ascii="仿宋" w:hAnsi="仿宋" w:eastAsia="仿宋" w:cs="仿宋"/>
                <w:color w:val="auto"/>
                <w:sz w:val="24"/>
                <w:szCs w:val="24"/>
                <w:highlight w:val="none"/>
                <w:lang w:eastAsia="zh-CN"/>
              </w:rPr>
              <w:t>。</w:t>
            </w:r>
          </w:p>
          <w:p w14:paraId="1D25C90D">
            <w:pPr>
              <w:pStyle w:val="49"/>
              <w:keepNext w:val="0"/>
              <w:keepLines w:val="0"/>
              <w:pageBreakBefore w:val="0"/>
              <w:kinsoku/>
              <w:wordWrap/>
              <w:overflowPunct/>
              <w:topLinePunct w:val="0"/>
              <w:bidi w:val="0"/>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组织</w:t>
            </w:r>
          </w:p>
          <w:p w14:paraId="75AD4B69">
            <w:pPr>
              <w:pStyle w:val="49"/>
              <w:keepNext w:val="0"/>
              <w:keepLines w:val="0"/>
              <w:pageBreakBefore w:val="0"/>
              <w:kinsoku/>
              <w:wordWrap/>
              <w:overflowPunct/>
              <w:topLinePunct w:val="0"/>
              <w:bidi w:val="0"/>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7527CE09">
            <w:pPr>
              <w:pStyle w:val="49"/>
              <w:keepNext w:val="0"/>
              <w:keepLines w:val="0"/>
              <w:pageBreakBefore w:val="0"/>
              <w:kinsoku/>
              <w:wordWrap/>
              <w:overflowPunct/>
              <w:topLinePunct w:val="0"/>
              <w:bidi w:val="0"/>
              <w:snapToGrid/>
              <w:spacing w:line="400" w:lineRule="exact"/>
              <w:textAlignment w:val="auto"/>
              <w:rPr>
                <w:rFonts w:hint="default"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tc>
      </w:tr>
      <w:tr w14:paraId="7181F1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397" w:hRule="atLeast"/>
        </w:trPr>
        <w:tc>
          <w:tcPr>
            <w:tcW w:w="970" w:type="dxa"/>
            <w:shd w:val="clear" w:color="auto" w:fill="auto"/>
            <w:vAlign w:val="center"/>
          </w:tcPr>
          <w:p w14:paraId="211CDAB9">
            <w:pPr>
              <w:pStyle w:val="49"/>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9.5</w:t>
            </w:r>
          </w:p>
        </w:tc>
        <w:tc>
          <w:tcPr>
            <w:tcW w:w="1744" w:type="dxa"/>
            <w:shd w:val="clear" w:color="auto" w:fill="auto"/>
            <w:vAlign w:val="center"/>
          </w:tcPr>
          <w:p w14:paraId="6648443C">
            <w:pPr>
              <w:pStyle w:val="49"/>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答疑会</w:t>
            </w:r>
          </w:p>
        </w:tc>
        <w:tc>
          <w:tcPr>
            <w:tcW w:w="6694" w:type="dxa"/>
            <w:shd w:val="clear" w:color="auto" w:fill="auto"/>
            <w:vAlign w:val="center"/>
          </w:tcPr>
          <w:p w14:paraId="037CF7C2">
            <w:pPr>
              <w:pStyle w:val="49"/>
              <w:keepNext w:val="0"/>
              <w:keepLines w:val="0"/>
              <w:pageBreakBefore w:val="0"/>
              <w:kinsoku/>
              <w:wordWrap/>
              <w:overflowPunct/>
              <w:topLinePunct w:val="0"/>
              <w:bidi w:val="0"/>
              <w:snapToGrid/>
              <w:spacing w:line="40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sym w:font="Wingdings" w:char="00FE"/>
            </w:r>
            <w:r>
              <w:rPr>
                <w:rFonts w:hint="eastAsia" w:ascii="仿宋" w:hAnsi="仿宋" w:eastAsia="仿宋" w:cs="仿宋"/>
                <w:color w:val="auto"/>
                <w:sz w:val="24"/>
                <w:szCs w:val="24"/>
                <w:highlight w:val="none"/>
              </w:rPr>
              <w:t>不组织</w:t>
            </w:r>
          </w:p>
          <w:p w14:paraId="32938812">
            <w:pPr>
              <w:pStyle w:val="49"/>
              <w:keepNext w:val="0"/>
              <w:keepLines w:val="0"/>
              <w:pageBreakBefore w:val="0"/>
              <w:kinsoku/>
              <w:wordWrap/>
              <w:overflowPunct/>
              <w:topLinePunct w:val="0"/>
              <w:bidi w:val="0"/>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组织</w:t>
            </w:r>
          </w:p>
          <w:p w14:paraId="136F4D0F">
            <w:pPr>
              <w:pStyle w:val="49"/>
              <w:keepNext w:val="0"/>
              <w:keepLines w:val="0"/>
              <w:pageBreakBefore w:val="0"/>
              <w:kinsoku/>
              <w:wordWrap/>
              <w:overflowPunct/>
              <w:topLinePunct w:val="0"/>
              <w:bidi w:val="0"/>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55EE6827">
            <w:pPr>
              <w:pStyle w:val="49"/>
              <w:keepNext w:val="0"/>
              <w:keepLines w:val="0"/>
              <w:pageBreakBefore w:val="0"/>
              <w:kinsoku/>
              <w:wordWrap/>
              <w:overflowPunct/>
              <w:topLinePunct w:val="0"/>
              <w:bidi w:val="0"/>
              <w:snapToGrid/>
              <w:spacing w:line="40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tc>
      </w:tr>
      <w:tr w14:paraId="249A35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397" w:hRule="atLeast"/>
        </w:trPr>
        <w:tc>
          <w:tcPr>
            <w:tcW w:w="970" w:type="dxa"/>
            <w:vAlign w:val="center"/>
          </w:tcPr>
          <w:p w14:paraId="3BC1144E">
            <w:pPr>
              <w:pStyle w:val="49"/>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.1</w:t>
            </w:r>
          </w:p>
        </w:tc>
        <w:tc>
          <w:tcPr>
            <w:tcW w:w="1744" w:type="dxa"/>
            <w:vAlign w:val="center"/>
          </w:tcPr>
          <w:p w14:paraId="78AC47BB">
            <w:pPr>
              <w:pStyle w:val="49"/>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询问</w:t>
            </w:r>
          </w:p>
        </w:tc>
        <w:tc>
          <w:tcPr>
            <w:tcW w:w="6694" w:type="dxa"/>
            <w:vAlign w:val="center"/>
          </w:tcPr>
          <w:p w14:paraId="593EDC18">
            <w:pPr>
              <w:pStyle w:val="49"/>
              <w:keepNext w:val="0"/>
              <w:keepLines w:val="0"/>
              <w:pageBreakBefore w:val="0"/>
              <w:kinsoku/>
              <w:wordWrap/>
              <w:overflowPunct/>
              <w:topLinePunct w:val="0"/>
              <w:bidi w:val="0"/>
              <w:snapToGrid/>
              <w:spacing w:line="400" w:lineRule="exact"/>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1.方式：</w:t>
            </w:r>
            <w:r>
              <w:rPr>
                <w:rFonts w:hint="eastAsia" w:ascii="仿宋" w:hAnsi="仿宋" w:eastAsia="仿宋" w:cs="仿宋"/>
                <w:color w:val="auto"/>
                <w:sz w:val="24"/>
                <w:szCs w:val="24"/>
                <w:highlight w:val="none"/>
                <w:u w:val="single"/>
                <w:lang w:val="en-US" w:eastAsia="zh-CN"/>
              </w:rPr>
              <w:t>在投标人客户端中按照格式填写询问函，并在生成询问函后加盖电子印章提交</w:t>
            </w:r>
            <w:r>
              <w:rPr>
                <w:rFonts w:hint="eastAsia" w:ascii="仿宋" w:hAnsi="仿宋" w:eastAsia="仿宋" w:cs="仿宋"/>
                <w:color w:val="auto"/>
                <w:sz w:val="24"/>
                <w:szCs w:val="24"/>
                <w:highlight w:val="none"/>
                <w:lang w:val="en-US" w:eastAsia="zh-CN"/>
              </w:rPr>
              <w:t>；其他询问方式：</w:t>
            </w:r>
            <w:r>
              <w:rPr>
                <w:rFonts w:hint="eastAsia" w:ascii="仿宋" w:hAnsi="仿宋" w:eastAsia="仿宋" w:cs="仿宋"/>
                <w:color w:val="auto"/>
                <w:sz w:val="24"/>
                <w:szCs w:val="24"/>
                <w:highlight w:val="none"/>
                <w:u w:val="single"/>
                <w:lang w:val="en-US" w:eastAsia="zh-CN"/>
              </w:rPr>
              <w:t>电话询问，联系人：高子婷，联系方式：13201266431。</w:t>
            </w:r>
          </w:p>
          <w:p w14:paraId="39D290B5">
            <w:pPr>
              <w:pStyle w:val="49"/>
              <w:keepNext w:val="0"/>
              <w:keepLines w:val="0"/>
              <w:pageBreakBefore w:val="0"/>
              <w:kinsoku/>
              <w:wordWrap/>
              <w:overflowPunct/>
              <w:topLinePunct w:val="0"/>
              <w:bidi w:val="0"/>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2.时间要求：3个工作日内对投标人依法提出的询问作出答复。</w:t>
            </w:r>
          </w:p>
        </w:tc>
      </w:tr>
      <w:tr w14:paraId="391237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397" w:hRule="atLeast"/>
        </w:trPr>
        <w:tc>
          <w:tcPr>
            <w:tcW w:w="970" w:type="dxa"/>
            <w:vAlign w:val="center"/>
          </w:tcPr>
          <w:p w14:paraId="6CAEA30C">
            <w:pPr>
              <w:pStyle w:val="49"/>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.1</w:t>
            </w:r>
          </w:p>
        </w:tc>
        <w:tc>
          <w:tcPr>
            <w:tcW w:w="1744" w:type="dxa"/>
            <w:vAlign w:val="center"/>
          </w:tcPr>
          <w:p w14:paraId="4B713D5F">
            <w:pPr>
              <w:pStyle w:val="49"/>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投标有效期</w:t>
            </w:r>
          </w:p>
        </w:tc>
        <w:tc>
          <w:tcPr>
            <w:tcW w:w="6694" w:type="dxa"/>
            <w:vAlign w:val="center"/>
          </w:tcPr>
          <w:p w14:paraId="15307B52">
            <w:pPr>
              <w:pStyle w:val="49"/>
              <w:keepNext w:val="0"/>
              <w:keepLines w:val="0"/>
              <w:pageBreakBefore w:val="0"/>
              <w:kinsoku/>
              <w:wordWrap/>
              <w:overflowPunct/>
              <w:topLinePunct w:val="0"/>
              <w:bidi w:val="0"/>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投标截止</w:t>
            </w:r>
            <w:r>
              <w:rPr>
                <w:rFonts w:hint="eastAsia" w:ascii="仿宋" w:hAnsi="仿宋" w:eastAsia="仿宋" w:cs="仿宋"/>
                <w:color w:val="auto"/>
                <w:sz w:val="24"/>
                <w:szCs w:val="24"/>
                <w:highlight w:val="none"/>
                <w:lang w:val="en-US" w:eastAsia="zh-CN"/>
              </w:rPr>
              <w:t>时间</w:t>
            </w:r>
            <w:r>
              <w:rPr>
                <w:rFonts w:hint="eastAsia" w:ascii="仿宋" w:hAnsi="仿宋" w:eastAsia="仿宋" w:cs="仿宋"/>
                <w:color w:val="auto"/>
                <w:sz w:val="24"/>
                <w:szCs w:val="24"/>
                <w:highlight w:val="none"/>
              </w:rPr>
              <w:t>后</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u w:val="single"/>
              </w:rPr>
              <w:t>90</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日历日。</w:t>
            </w:r>
          </w:p>
        </w:tc>
      </w:tr>
      <w:tr w14:paraId="3E320A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397" w:hRule="atLeast"/>
        </w:trPr>
        <w:tc>
          <w:tcPr>
            <w:tcW w:w="970" w:type="dxa"/>
            <w:vAlign w:val="center"/>
          </w:tcPr>
          <w:p w14:paraId="5195B2D2">
            <w:pPr>
              <w:pStyle w:val="49"/>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17.1</w:t>
            </w:r>
          </w:p>
        </w:tc>
        <w:tc>
          <w:tcPr>
            <w:tcW w:w="1744" w:type="dxa"/>
            <w:vAlign w:val="center"/>
          </w:tcPr>
          <w:p w14:paraId="59E10C2F">
            <w:pPr>
              <w:pStyle w:val="49"/>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投标保证金</w:t>
            </w:r>
          </w:p>
        </w:tc>
        <w:tc>
          <w:tcPr>
            <w:tcW w:w="6694" w:type="dxa"/>
            <w:vAlign w:val="center"/>
          </w:tcPr>
          <w:p w14:paraId="36A7E4FE">
            <w:pPr>
              <w:pStyle w:val="86"/>
              <w:keepNext w:val="0"/>
              <w:keepLines w:val="0"/>
              <w:pageBreakBefore w:val="0"/>
              <w:widowControl/>
              <w:shd w:val="clear"/>
              <w:kinsoku/>
              <w:wordWrap/>
              <w:overflowPunct/>
              <w:topLinePunct w:val="0"/>
              <w:autoSpaceDE w:val="0"/>
              <w:autoSpaceDN w:val="0"/>
              <w:bidi w:val="0"/>
              <w:adjustRightInd w:val="0"/>
              <w:snapToGrid w:val="0"/>
              <w:spacing w:line="400" w:lineRule="exact"/>
              <w:ind w:left="0" w:right="0" w:firstLine="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1.金额：</w:t>
            </w:r>
          </w:p>
          <w:p w14:paraId="71D17D24">
            <w:pPr>
              <w:pStyle w:val="86"/>
              <w:keepNext w:val="0"/>
              <w:keepLines w:val="0"/>
              <w:pageBreakBefore w:val="0"/>
              <w:widowControl/>
              <w:shd w:val="clear"/>
              <w:kinsoku/>
              <w:wordWrap/>
              <w:overflowPunct/>
              <w:topLinePunct w:val="0"/>
              <w:autoSpaceDE w:val="0"/>
              <w:autoSpaceDN w:val="0"/>
              <w:bidi w:val="0"/>
              <w:adjustRightInd w:val="0"/>
              <w:snapToGrid w:val="0"/>
              <w:spacing w:line="400" w:lineRule="exact"/>
              <w:ind w:left="0" w:right="0" w:firstLine="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2"/>
                <w:sz w:val="24"/>
                <w:szCs w:val="24"/>
                <w:highlight w:val="none"/>
                <w:lang w:eastAsia="zh-CN"/>
              </w:rPr>
              <w:t>☑</w:t>
            </w:r>
            <w:r>
              <w:rPr>
                <w:rFonts w:hint="eastAsia" w:ascii="仿宋" w:hAnsi="仿宋" w:eastAsia="仿宋" w:cs="仿宋"/>
                <w:color w:val="auto"/>
                <w:spacing w:val="-12"/>
                <w:sz w:val="24"/>
                <w:szCs w:val="24"/>
                <w:highlight w:val="none"/>
              </w:rPr>
              <w:t>免收</w:t>
            </w:r>
          </w:p>
          <w:p w14:paraId="18C47D6E">
            <w:pPr>
              <w:pStyle w:val="86"/>
              <w:keepNext w:val="0"/>
              <w:keepLines w:val="0"/>
              <w:pageBreakBefore w:val="0"/>
              <w:widowControl/>
              <w:shd w:val="clear"/>
              <w:kinsoku/>
              <w:wordWrap/>
              <w:overflowPunct/>
              <w:topLinePunct w:val="0"/>
              <w:autoSpaceDE w:val="0"/>
              <w:autoSpaceDN w:val="0"/>
              <w:bidi w:val="0"/>
              <w:adjustRightInd w:val="0"/>
              <w:snapToGrid w:val="0"/>
              <w:spacing w:line="400" w:lineRule="exact"/>
              <w:ind w:left="0" w:right="0" w:firstLine="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pacing w:val="-4"/>
                <w:sz w:val="24"/>
                <w:szCs w:val="24"/>
                <w:highlight w:val="none"/>
              </w:rPr>
              <w:t>预算金额的</w:t>
            </w:r>
            <w:r>
              <w:rPr>
                <w:rFonts w:hint="eastAsia" w:ascii="仿宋" w:hAnsi="仿宋" w:eastAsia="仿宋" w:cs="仿宋"/>
                <w:color w:val="auto"/>
                <w:spacing w:val="-4"/>
                <w:sz w:val="24"/>
                <w:szCs w:val="24"/>
                <w:highlight w:val="none"/>
                <w:u w:val="single"/>
                <w:lang w:val="en-US" w:eastAsia="zh-CN"/>
              </w:rPr>
              <w:t xml:space="preserve"> </w:t>
            </w:r>
            <w:r>
              <w:rPr>
                <w:rFonts w:hint="eastAsia" w:ascii="仿宋" w:hAnsi="仿宋" w:eastAsia="仿宋" w:cs="仿宋"/>
                <w:color w:val="auto"/>
                <w:spacing w:val="-4"/>
                <w:sz w:val="24"/>
                <w:szCs w:val="24"/>
                <w:highlight w:val="none"/>
                <w:u w:val="single"/>
              </w:rPr>
              <w:t xml:space="preserve">  </w:t>
            </w:r>
            <w:r>
              <w:rPr>
                <w:rFonts w:hint="eastAsia" w:ascii="仿宋" w:hAnsi="仿宋" w:eastAsia="仿宋" w:cs="仿宋"/>
                <w:color w:val="auto"/>
                <w:spacing w:val="-4"/>
                <w:sz w:val="24"/>
                <w:szCs w:val="24"/>
                <w:highlight w:val="none"/>
                <w:u w:val="single"/>
                <w:lang w:val="en-US" w:eastAsia="zh-CN"/>
              </w:rPr>
              <w:t xml:space="preserve">  </w:t>
            </w:r>
            <w:r>
              <w:rPr>
                <w:rFonts w:hint="eastAsia" w:ascii="仿宋" w:hAnsi="仿宋" w:eastAsia="仿宋" w:cs="仿宋"/>
                <w:color w:val="auto"/>
                <w:spacing w:val="-4"/>
                <w:sz w:val="24"/>
                <w:szCs w:val="24"/>
                <w:highlight w:val="none"/>
                <w:u w:val="single"/>
              </w:rPr>
              <w:t xml:space="preserve"> </w:t>
            </w:r>
            <w:r>
              <w:rPr>
                <w:rFonts w:hint="eastAsia" w:ascii="仿宋" w:hAnsi="仿宋" w:eastAsia="仿宋" w:cs="仿宋"/>
                <w:color w:val="auto"/>
                <w:spacing w:val="-4"/>
                <w:sz w:val="24"/>
                <w:szCs w:val="24"/>
                <w:highlight w:val="none"/>
              </w:rPr>
              <w:t>%。</w:t>
            </w:r>
          </w:p>
          <w:p w14:paraId="4B5A0CC8">
            <w:pPr>
              <w:pStyle w:val="86"/>
              <w:keepNext w:val="0"/>
              <w:keepLines w:val="0"/>
              <w:pageBreakBefore w:val="0"/>
              <w:widowControl/>
              <w:shd w:val="clear"/>
              <w:kinsoku/>
              <w:wordWrap/>
              <w:overflowPunct/>
              <w:topLinePunct w:val="0"/>
              <w:autoSpaceDE w:val="0"/>
              <w:autoSpaceDN w:val="0"/>
              <w:bidi w:val="0"/>
              <w:adjustRightInd w:val="0"/>
              <w:snapToGrid w:val="0"/>
              <w:spacing w:line="400" w:lineRule="exact"/>
              <w:ind w:left="0" w:right="0" w:firstLine="0"/>
              <w:jc w:val="both"/>
              <w:textAlignment w:val="baseline"/>
              <w:rPr>
                <w:rFonts w:hint="eastAsia" w:ascii="仿宋" w:hAnsi="仿宋" w:eastAsia="仿宋" w:cs="仿宋"/>
                <w:color w:val="auto"/>
                <w:spacing w:val="-8"/>
                <w:sz w:val="24"/>
                <w:szCs w:val="24"/>
                <w:highlight w:val="none"/>
                <w:lang w:eastAsia="zh-CN"/>
              </w:rPr>
            </w:pPr>
            <w:r>
              <w:rPr>
                <w:rFonts w:hint="eastAsia" w:ascii="仿宋" w:hAnsi="仿宋" w:eastAsia="仿宋" w:cs="仿宋"/>
                <w:color w:val="auto"/>
                <w:spacing w:val="-8"/>
                <w:sz w:val="24"/>
                <w:szCs w:val="24"/>
                <w:highlight w:val="none"/>
                <w:lang w:eastAsia="zh-CN"/>
              </w:rPr>
              <w:t>□</w:t>
            </w:r>
            <w:r>
              <w:rPr>
                <w:rFonts w:hint="eastAsia" w:ascii="仿宋" w:hAnsi="仿宋" w:eastAsia="仿宋" w:cs="仿宋"/>
                <w:color w:val="auto"/>
                <w:spacing w:val="-8"/>
                <w:sz w:val="24"/>
                <w:szCs w:val="24"/>
                <w:highlight w:val="none"/>
              </w:rPr>
              <w:t>定额收取：人民币</w:t>
            </w:r>
            <w:r>
              <w:rPr>
                <w:rFonts w:hint="eastAsia" w:ascii="仿宋" w:hAnsi="仿宋" w:eastAsia="仿宋" w:cs="仿宋"/>
                <w:color w:val="auto"/>
                <w:spacing w:val="2"/>
                <w:sz w:val="24"/>
                <w:szCs w:val="24"/>
                <w:highlight w:val="none"/>
                <w:u w:val="single"/>
              </w:rPr>
              <w:t xml:space="preserve"> </w:t>
            </w:r>
            <w:r>
              <w:rPr>
                <w:rFonts w:hint="eastAsia" w:ascii="仿宋" w:hAnsi="仿宋" w:eastAsia="仿宋" w:cs="仿宋"/>
                <w:color w:val="auto"/>
                <w:spacing w:val="2"/>
                <w:sz w:val="24"/>
                <w:szCs w:val="24"/>
                <w:highlight w:val="none"/>
                <w:u w:val="single"/>
                <w:lang w:val="en-US" w:eastAsia="zh-CN"/>
              </w:rPr>
              <w:t xml:space="preserve">     </w:t>
            </w:r>
            <w:r>
              <w:rPr>
                <w:rFonts w:hint="eastAsia" w:ascii="仿宋" w:hAnsi="仿宋" w:eastAsia="仿宋" w:cs="仿宋"/>
                <w:color w:val="auto"/>
                <w:spacing w:val="2"/>
                <w:sz w:val="24"/>
                <w:szCs w:val="24"/>
                <w:highlight w:val="none"/>
                <w:u w:val="single"/>
              </w:rPr>
              <w:t xml:space="preserve"> </w:t>
            </w:r>
            <w:r>
              <w:rPr>
                <w:rFonts w:hint="eastAsia" w:ascii="仿宋" w:hAnsi="仿宋" w:eastAsia="仿宋" w:cs="仿宋"/>
                <w:color w:val="auto"/>
                <w:spacing w:val="-8"/>
                <w:sz w:val="24"/>
                <w:szCs w:val="24"/>
                <w:highlight w:val="none"/>
              </w:rPr>
              <w:t>元。</w:t>
            </w:r>
          </w:p>
          <w:p w14:paraId="016FE6EB">
            <w:pPr>
              <w:pStyle w:val="86"/>
              <w:keepNext w:val="0"/>
              <w:keepLines w:val="0"/>
              <w:pageBreakBefore w:val="0"/>
              <w:widowControl/>
              <w:numPr>
                <w:ilvl w:val="0"/>
                <w:numId w:val="4"/>
              </w:numPr>
              <w:shd w:val="clear"/>
              <w:kinsoku/>
              <w:wordWrap/>
              <w:overflowPunct/>
              <w:topLinePunct w:val="0"/>
              <w:autoSpaceDE w:val="0"/>
              <w:autoSpaceDN w:val="0"/>
              <w:bidi w:val="0"/>
              <w:adjustRightInd w:val="0"/>
              <w:snapToGrid w:val="0"/>
              <w:spacing w:line="400" w:lineRule="exact"/>
              <w:ind w:left="0" w:right="0" w:firstLine="0"/>
              <w:jc w:val="both"/>
              <w:textAlignment w:val="baseline"/>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支付方式：</w:t>
            </w:r>
            <w:r>
              <w:rPr>
                <w:rFonts w:hint="eastAsia" w:ascii="仿宋" w:hAnsi="仿宋" w:eastAsia="仿宋" w:cs="仿宋"/>
                <w:color w:val="auto"/>
                <w:spacing w:val="-2"/>
                <w:sz w:val="24"/>
                <w:szCs w:val="24"/>
                <w:highlight w:val="none"/>
                <w:lang w:val="en-US" w:eastAsia="zh-CN"/>
              </w:rPr>
              <w:t>投标人</w:t>
            </w:r>
            <w:r>
              <w:rPr>
                <w:rFonts w:hint="eastAsia" w:ascii="仿宋" w:hAnsi="仿宋" w:eastAsia="仿宋" w:cs="仿宋"/>
                <w:color w:val="auto"/>
                <w:spacing w:val="-2"/>
                <w:sz w:val="24"/>
                <w:szCs w:val="24"/>
                <w:highlight w:val="none"/>
              </w:rPr>
              <w:t>可自主选择以支票、汇票、本票、电汇、转账、网银、保函等非现金形式缴纳或提交保证金。</w:t>
            </w:r>
          </w:p>
          <w:p w14:paraId="40BA4448">
            <w:pPr>
              <w:pStyle w:val="86"/>
              <w:keepNext w:val="0"/>
              <w:keepLines w:val="0"/>
              <w:pageBreakBefore w:val="0"/>
              <w:widowControl/>
              <w:shd w:val="clear"/>
              <w:kinsoku/>
              <w:wordWrap/>
              <w:overflowPunct/>
              <w:topLinePunct w:val="0"/>
              <w:autoSpaceDE w:val="0"/>
              <w:autoSpaceDN w:val="0"/>
              <w:bidi w:val="0"/>
              <w:adjustRightInd w:val="0"/>
              <w:snapToGrid w:val="0"/>
              <w:spacing w:line="400" w:lineRule="exact"/>
              <w:ind w:left="0" w:right="0" w:firstLine="0"/>
              <w:jc w:val="both"/>
              <w:textAlignment w:val="baseline"/>
              <w:rPr>
                <w:rFonts w:hint="eastAsia" w:ascii="仿宋" w:hAnsi="仿宋" w:eastAsia="仿宋" w:cs="仿宋"/>
                <w:color w:val="auto"/>
                <w:spacing w:val="-2"/>
                <w:sz w:val="24"/>
                <w:szCs w:val="24"/>
                <w:highlight w:val="none"/>
                <w:lang w:val="en-US" w:eastAsia="zh-CN"/>
              </w:rPr>
            </w:pPr>
            <w:r>
              <w:rPr>
                <w:rFonts w:hint="eastAsia" w:ascii="仿宋" w:hAnsi="仿宋" w:eastAsia="仿宋" w:cs="仿宋"/>
                <w:color w:val="auto"/>
                <w:spacing w:val="-2"/>
                <w:sz w:val="24"/>
                <w:szCs w:val="24"/>
                <w:highlight w:val="none"/>
                <w:lang w:val="en-US" w:eastAsia="zh-CN"/>
              </w:rPr>
              <w:t>3.</w:t>
            </w:r>
            <w:r>
              <w:rPr>
                <w:rFonts w:hint="eastAsia" w:ascii="仿宋" w:hAnsi="仿宋" w:eastAsia="仿宋" w:cs="仿宋"/>
                <w:color w:val="auto"/>
                <w:spacing w:val="-2"/>
                <w:sz w:val="24"/>
                <w:szCs w:val="24"/>
                <w:highlight w:val="none"/>
              </w:rPr>
              <w:t>收取单位：新疆正元工程招标代理有限责任公司</w:t>
            </w:r>
          </w:p>
          <w:p w14:paraId="370CF310">
            <w:pPr>
              <w:pStyle w:val="86"/>
              <w:keepNext w:val="0"/>
              <w:keepLines w:val="0"/>
              <w:pageBreakBefore w:val="0"/>
              <w:widowControl/>
              <w:shd w:val="clear"/>
              <w:kinsoku/>
              <w:wordWrap/>
              <w:overflowPunct/>
              <w:topLinePunct w:val="0"/>
              <w:autoSpaceDE w:val="0"/>
              <w:autoSpaceDN w:val="0"/>
              <w:bidi w:val="0"/>
              <w:adjustRightInd w:val="0"/>
              <w:snapToGrid w:val="0"/>
              <w:spacing w:line="400" w:lineRule="exact"/>
              <w:ind w:left="0" w:right="0" w:firstLine="0"/>
              <w:jc w:val="both"/>
              <w:textAlignment w:val="baseline"/>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lang w:val="en-US" w:eastAsia="zh-CN"/>
              </w:rPr>
              <w:t>4.</w:t>
            </w:r>
            <w:r>
              <w:rPr>
                <w:rFonts w:hint="eastAsia" w:ascii="仿宋" w:hAnsi="仿宋" w:eastAsia="仿宋" w:cs="仿宋"/>
                <w:color w:val="auto"/>
                <w:spacing w:val="-2"/>
                <w:sz w:val="24"/>
                <w:szCs w:val="24"/>
                <w:highlight w:val="none"/>
              </w:rPr>
              <w:t>收取账号：991902947010802</w:t>
            </w:r>
          </w:p>
          <w:p w14:paraId="3DE59502">
            <w:pPr>
              <w:pStyle w:val="86"/>
              <w:keepNext w:val="0"/>
              <w:keepLines w:val="0"/>
              <w:pageBreakBefore w:val="0"/>
              <w:widowControl/>
              <w:shd w:val="clear"/>
              <w:kinsoku/>
              <w:wordWrap/>
              <w:overflowPunct/>
              <w:topLinePunct w:val="0"/>
              <w:autoSpaceDE w:val="0"/>
              <w:autoSpaceDN w:val="0"/>
              <w:bidi w:val="0"/>
              <w:adjustRightInd w:val="0"/>
              <w:snapToGrid w:val="0"/>
              <w:spacing w:line="400" w:lineRule="exact"/>
              <w:ind w:left="0" w:right="0" w:firstLine="0"/>
              <w:jc w:val="both"/>
              <w:textAlignment w:val="baseline"/>
              <w:rPr>
                <w:rFonts w:hint="eastAsia" w:ascii="仿宋" w:hAnsi="仿宋" w:eastAsia="仿宋" w:cs="仿宋"/>
                <w:color w:val="auto"/>
                <w:spacing w:val="-2"/>
                <w:sz w:val="24"/>
                <w:szCs w:val="24"/>
                <w:highlight w:val="none"/>
                <w:lang w:val="en-US" w:eastAsia="zh-CN"/>
              </w:rPr>
            </w:pPr>
            <w:r>
              <w:rPr>
                <w:rFonts w:hint="eastAsia" w:ascii="仿宋" w:hAnsi="仿宋" w:eastAsia="仿宋" w:cs="仿宋"/>
                <w:color w:val="auto"/>
                <w:spacing w:val="-2"/>
                <w:sz w:val="24"/>
                <w:szCs w:val="24"/>
                <w:highlight w:val="none"/>
                <w:lang w:val="en-US" w:eastAsia="zh-CN"/>
              </w:rPr>
              <w:t>5.</w:t>
            </w:r>
            <w:r>
              <w:rPr>
                <w:rFonts w:hint="eastAsia" w:ascii="仿宋" w:hAnsi="仿宋" w:eastAsia="仿宋" w:cs="仿宋"/>
                <w:color w:val="auto"/>
                <w:spacing w:val="-2"/>
                <w:sz w:val="24"/>
                <w:szCs w:val="24"/>
                <w:highlight w:val="none"/>
              </w:rPr>
              <w:t>开户行：招商银行乌鲁木齐分行</w:t>
            </w:r>
          </w:p>
          <w:p w14:paraId="5B059FF5">
            <w:pPr>
              <w:pStyle w:val="86"/>
              <w:keepNext w:val="0"/>
              <w:keepLines w:val="0"/>
              <w:pageBreakBefore w:val="0"/>
              <w:widowControl/>
              <w:shd w:val="clear"/>
              <w:kinsoku/>
              <w:wordWrap/>
              <w:overflowPunct/>
              <w:topLinePunct w:val="0"/>
              <w:autoSpaceDE w:val="0"/>
              <w:autoSpaceDN w:val="0"/>
              <w:bidi w:val="0"/>
              <w:adjustRightInd w:val="0"/>
              <w:snapToGrid w:val="0"/>
              <w:spacing w:line="400" w:lineRule="exact"/>
              <w:ind w:left="0" w:right="0" w:firstLine="0"/>
              <w:jc w:val="both"/>
              <w:textAlignment w:val="baseline"/>
              <w:rPr>
                <w:rFonts w:hint="eastAsia" w:ascii="仿宋" w:hAnsi="仿宋" w:eastAsia="仿宋" w:cs="仿宋"/>
                <w:color w:val="auto"/>
                <w:spacing w:val="-2"/>
                <w:sz w:val="24"/>
                <w:szCs w:val="24"/>
                <w:highlight w:val="none"/>
                <w:lang w:val="en-US" w:eastAsia="zh-CN"/>
              </w:rPr>
            </w:pPr>
            <w:r>
              <w:rPr>
                <w:rFonts w:hint="eastAsia" w:ascii="仿宋" w:hAnsi="仿宋" w:eastAsia="仿宋" w:cs="仿宋"/>
                <w:color w:val="auto"/>
                <w:spacing w:val="-2"/>
                <w:sz w:val="24"/>
                <w:szCs w:val="24"/>
                <w:highlight w:val="none"/>
                <w:lang w:val="en-US" w:eastAsia="zh-CN"/>
              </w:rPr>
              <w:t>6.退还时间：自中标通知书发出之日起 5 个工作日内退还未中</w:t>
            </w:r>
          </w:p>
          <w:p w14:paraId="77F32336">
            <w:pPr>
              <w:pStyle w:val="86"/>
              <w:keepNext w:val="0"/>
              <w:keepLines w:val="0"/>
              <w:pageBreakBefore w:val="0"/>
              <w:widowControl/>
              <w:shd w:val="clear"/>
              <w:kinsoku/>
              <w:wordWrap/>
              <w:overflowPunct/>
              <w:topLinePunct w:val="0"/>
              <w:autoSpaceDE w:val="0"/>
              <w:autoSpaceDN w:val="0"/>
              <w:bidi w:val="0"/>
              <w:adjustRightInd w:val="0"/>
              <w:snapToGrid w:val="0"/>
              <w:spacing w:line="400" w:lineRule="exact"/>
              <w:ind w:left="0" w:right="0" w:firstLine="0"/>
              <w:jc w:val="both"/>
              <w:textAlignment w:val="baseline"/>
              <w:rPr>
                <w:rFonts w:hint="eastAsia" w:ascii="仿宋" w:hAnsi="仿宋" w:eastAsia="仿宋" w:cs="仿宋"/>
                <w:color w:val="auto"/>
                <w:spacing w:val="-2"/>
                <w:sz w:val="24"/>
                <w:szCs w:val="24"/>
                <w:highlight w:val="none"/>
                <w:lang w:val="en-US" w:eastAsia="zh-CN"/>
              </w:rPr>
            </w:pPr>
            <w:r>
              <w:rPr>
                <w:rFonts w:hint="eastAsia" w:ascii="仿宋" w:hAnsi="仿宋" w:eastAsia="仿宋" w:cs="仿宋"/>
                <w:color w:val="auto"/>
                <w:spacing w:val="-2"/>
                <w:sz w:val="24"/>
                <w:szCs w:val="24"/>
                <w:highlight w:val="none"/>
                <w:lang w:val="en-US" w:eastAsia="zh-CN"/>
              </w:rPr>
              <w:t>标供应商的投标保证金，自政府采购合同签订之日起 5 个工作</w:t>
            </w:r>
          </w:p>
          <w:p w14:paraId="2E2F7D83">
            <w:pPr>
              <w:pStyle w:val="86"/>
              <w:keepNext w:val="0"/>
              <w:keepLines w:val="0"/>
              <w:pageBreakBefore w:val="0"/>
              <w:widowControl/>
              <w:shd w:val="clear"/>
              <w:kinsoku/>
              <w:wordWrap/>
              <w:overflowPunct/>
              <w:topLinePunct w:val="0"/>
              <w:autoSpaceDE w:val="0"/>
              <w:autoSpaceDN w:val="0"/>
              <w:bidi w:val="0"/>
              <w:adjustRightInd w:val="0"/>
              <w:snapToGrid w:val="0"/>
              <w:spacing w:line="400" w:lineRule="exact"/>
              <w:ind w:left="0" w:right="0" w:firstLine="0"/>
              <w:jc w:val="both"/>
              <w:textAlignment w:val="baseline"/>
              <w:rPr>
                <w:rFonts w:hint="eastAsia" w:ascii="仿宋" w:hAnsi="仿宋" w:eastAsia="仿宋" w:cs="仿宋"/>
                <w:color w:val="auto"/>
                <w:spacing w:val="-2"/>
                <w:sz w:val="24"/>
                <w:szCs w:val="24"/>
                <w:highlight w:val="none"/>
                <w:lang w:val="en-US" w:eastAsia="zh-CN"/>
              </w:rPr>
            </w:pPr>
            <w:r>
              <w:rPr>
                <w:rFonts w:hint="eastAsia" w:ascii="仿宋" w:hAnsi="仿宋" w:eastAsia="仿宋" w:cs="仿宋"/>
                <w:color w:val="auto"/>
                <w:spacing w:val="-2"/>
                <w:sz w:val="24"/>
                <w:szCs w:val="24"/>
                <w:highlight w:val="none"/>
                <w:lang w:val="en-US" w:eastAsia="zh-CN"/>
              </w:rPr>
              <w:t>日内退还中标供应商的投标保证金。</w:t>
            </w:r>
          </w:p>
          <w:p w14:paraId="71F05B5C">
            <w:pPr>
              <w:pStyle w:val="86"/>
              <w:keepNext w:val="0"/>
              <w:keepLines w:val="0"/>
              <w:pageBreakBefore w:val="0"/>
              <w:widowControl/>
              <w:shd w:val="clear"/>
              <w:kinsoku/>
              <w:wordWrap/>
              <w:overflowPunct/>
              <w:topLinePunct w:val="0"/>
              <w:autoSpaceDE w:val="0"/>
              <w:autoSpaceDN w:val="0"/>
              <w:bidi w:val="0"/>
              <w:adjustRightInd w:val="0"/>
              <w:snapToGrid w:val="0"/>
              <w:spacing w:line="400" w:lineRule="exact"/>
              <w:ind w:left="0" w:right="0" w:firstLine="0"/>
              <w:jc w:val="both"/>
              <w:textAlignment w:val="baseline"/>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注意事项：</w:t>
            </w:r>
          </w:p>
          <w:p w14:paraId="7FB24AFD">
            <w:pPr>
              <w:pStyle w:val="86"/>
              <w:keepNext w:val="0"/>
              <w:keepLines w:val="0"/>
              <w:pageBreakBefore w:val="0"/>
              <w:widowControl/>
              <w:shd w:val="clear"/>
              <w:kinsoku/>
              <w:wordWrap/>
              <w:overflowPunct/>
              <w:topLinePunct w:val="0"/>
              <w:autoSpaceDE w:val="0"/>
              <w:autoSpaceDN w:val="0"/>
              <w:bidi w:val="0"/>
              <w:adjustRightInd w:val="0"/>
              <w:snapToGrid w:val="0"/>
              <w:spacing w:line="400" w:lineRule="exact"/>
              <w:ind w:left="0" w:right="0" w:firstLine="0"/>
              <w:jc w:val="both"/>
              <w:textAlignment w:val="baseline"/>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1.以上各类机构出具的以担保函、保证保险承担责任的方式均须满足无条件见索即付条件。</w:t>
            </w:r>
          </w:p>
          <w:p w14:paraId="702920A9">
            <w:pPr>
              <w:pStyle w:val="53"/>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2.以担保函、保证保险形式缴纳投标保证金的，受益人和收取单位须为采购人。</w:t>
            </w:r>
          </w:p>
        </w:tc>
      </w:tr>
      <w:tr w14:paraId="5C01AC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397" w:hRule="atLeast"/>
        </w:trPr>
        <w:tc>
          <w:tcPr>
            <w:tcW w:w="970" w:type="dxa"/>
            <w:vAlign w:val="center"/>
          </w:tcPr>
          <w:p w14:paraId="5812E8CD">
            <w:pPr>
              <w:pStyle w:val="49"/>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p>
        </w:tc>
        <w:tc>
          <w:tcPr>
            <w:tcW w:w="1744" w:type="dxa"/>
            <w:vAlign w:val="center"/>
          </w:tcPr>
          <w:p w14:paraId="25F0285D">
            <w:pPr>
              <w:pStyle w:val="49"/>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实物样品</w:t>
            </w:r>
          </w:p>
        </w:tc>
        <w:tc>
          <w:tcPr>
            <w:tcW w:w="6694" w:type="dxa"/>
            <w:vAlign w:val="center"/>
          </w:tcPr>
          <w:p w14:paraId="13DBDE2F">
            <w:pPr>
              <w:pStyle w:val="4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投标样品递交：</w:t>
            </w:r>
          </w:p>
          <w:p w14:paraId="493D3171">
            <w:pPr>
              <w:pStyle w:val="4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☑不需要</w:t>
            </w:r>
          </w:p>
          <w:p w14:paraId="08876A56">
            <w:pPr>
              <w:pStyle w:val="4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□需要，具体要求如下：</w:t>
            </w:r>
          </w:p>
          <w:p w14:paraId="2FADDE00">
            <w:pPr>
              <w:pStyle w:val="4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1.样品制作的标准和要求：</w:t>
            </w:r>
            <w:r>
              <w:rPr>
                <w:rFonts w:hint="eastAsia" w:ascii="仿宋" w:hAnsi="仿宋" w:eastAsia="仿宋" w:cs="仿宋"/>
                <w:color w:val="auto"/>
                <w:sz w:val="24"/>
                <w:szCs w:val="24"/>
                <w:highlight w:val="none"/>
                <w:u w:val="single"/>
                <w:lang w:val="en-US" w:eastAsia="zh-CN"/>
              </w:rPr>
              <w:t>_________</w:t>
            </w:r>
            <w:r>
              <w:rPr>
                <w:rFonts w:hint="eastAsia" w:ascii="仿宋" w:hAnsi="仿宋" w:eastAsia="仿宋" w:cs="仿宋"/>
                <w:color w:val="auto"/>
                <w:sz w:val="24"/>
                <w:szCs w:val="24"/>
                <w:highlight w:val="none"/>
                <w:lang w:val="en-US" w:eastAsia="zh-CN"/>
              </w:rPr>
              <w:t>；</w:t>
            </w:r>
          </w:p>
          <w:p w14:paraId="2BF23DAC">
            <w:pPr>
              <w:pStyle w:val="4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2.是否需要随样品提交相关检测报告：</w:t>
            </w:r>
          </w:p>
          <w:p w14:paraId="54D7B33A">
            <w:pPr>
              <w:pStyle w:val="4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□不需要</w:t>
            </w:r>
          </w:p>
          <w:p w14:paraId="485E9A7E">
            <w:pPr>
              <w:pStyle w:val="4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□需要</w:t>
            </w:r>
          </w:p>
          <w:p w14:paraId="29AC9BFE">
            <w:pPr>
              <w:pStyle w:val="49"/>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样品递交要求：</w:t>
            </w:r>
          </w:p>
          <w:p w14:paraId="7343AEEE">
            <w:pPr>
              <w:pStyle w:val="49"/>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递交时间：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p>
          <w:p w14:paraId="0CE43B63">
            <w:pPr>
              <w:pStyle w:val="4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递交</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，逾期提供的样品将不予接受。</w:t>
            </w:r>
          </w:p>
          <w:p w14:paraId="7659FA8B">
            <w:pPr>
              <w:pStyle w:val="4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4.未中标人样品退还：</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w:t>
            </w:r>
          </w:p>
          <w:p w14:paraId="3AA1E680">
            <w:pPr>
              <w:pStyle w:val="4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5.中标人样品保管、封存及退还：_________；</w:t>
            </w:r>
          </w:p>
          <w:p w14:paraId="3BF9F08E">
            <w:pPr>
              <w:pStyle w:val="4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6.其他要求（如有）：_________。</w:t>
            </w:r>
          </w:p>
        </w:tc>
      </w:tr>
      <w:tr w14:paraId="0457D0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397" w:hRule="atLeast"/>
        </w:trPr>
        <w:tc>
          <w:tcPr>
            <w:tcW w:w="970" w:type="dxa"/>
            <w:vAlign w:val="center"/>
          </w:tcPr>
          <w:p w14:paraId="0878514C">
            <w:pPr>
              <w:pStyle w:val="49"/>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w:t>
            </w:r>
          </w:p>
        </w:tc>
        <w:tc>
          <w:tcPr>
            <w:tcW w:w="1744" w:type="dxa"/>
            <w:vAlign w:val="center"/>
          </w:tcPr>
          <w:p w14:paraId="483E8E02">
            <w:pPr>
              <w:pStyle w:val="49"/>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演示</w:t>
            </w:r>
          </w:p>
        </w:tc>
        <w:tc>
          <w:tcPr>
            <w:tcW w:w="6694" w:type="dxa"/>
            <w:vAlign w:val="center"/>
          </w:tcPr>
          <w:p w14:paraId="1C4C8043">
            <w:pPr>
              <w:pStyle w:val="49"/>
              <w:keepNext w:val="0"/>
              <w:keepLines w:val="0"/>
              <w:pageBreakBefore w:val="0"/>
              <w:kinsoku/>
              <w:wordWrap/>
              <w:overflowPunct/>
              <w:topLinePunct w:val="0"/>
              <w:bidi w:val="0"/>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sym w:font="Wingdings" w:char="00FE"/>
            </w:r>
            <w:r>
              <w:rPr>
                <w:rFonts w:hint="eastAsia" w:ascii="仿宋" w:hAnsi="仿宋" w:eastAsia="仿宋" w:cs="仿宋"/>
                <w:color w:val="auto"/>
                <w:sz w:val="24"/>
                <w:szCs w:val="24"/>
                <w:highlight w:val="none"/>
              </w:rPr>
              <w:t>不进行</w:t>
            </w:r>
          </w:p>
          <w:p w14:paraId="0C6EACE0">
            <w:pPr>
              <w:pStyle w:val="49"/>
              <w:keepNext w:val="0"/>
              <w:keepLines w:val="0"/>
              <w:pageBreakBefore w:val="0"/>
              <w:kinsoku/>
              <w:wordWrap/>
              <w:overflowPunct/>
              <w:topLinePunct w:val="0"/>
              <w:bidi w:val="0"/>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进行，远程线上演示/现场演示</w:t>
            </w:r>
          </w:p>
          <w:p w14:paraId="585ED522">
            <w:pPr>
              <w:pStyle w:val="49"/>
              <w:keepNext w:val="0"/>
              <w:keepLines w:val="0"/>
              <w:pageBreakBefore w:val="0"/>
              <w:kinsoku/>
              <w:wordWrap/>
              <w:overflowPunct/>
              <w:topLinePunct w:val="0"/>
              <w:bidi w:val="0"/>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1.演示时间不得超过</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分钟；</w:t>
            </w:r>
          </w:p>
          <w:p w14:paraId="4576BCF0">
            <w:pPr>
              <w:pStyle w:val="49"/>
              <w:keepNext w:val="0"/>
              <w:keepLines w:val="0"/>
              <w:pageBreakBefore w:val="0"/>
              <w:kinsoku/>
              <w:wordWrap/>
              <w:overflowPunct/>
              <w:topLinePunct w:val="0"/>
              <w:bidi w:val="0"/>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2.进行远程线上演示的，投标人应提前自行准备好演示的软硬配置环境和网络环境，做好演示的各项准备工作。因投标人自身原因无法演示或者演示效果不理想的，导致的后果由投标人自行承担；</w:t>
            </w:r>
          </w:p>
          <w:p w14:paraId="660878E8">
            <w:pPr>
              <w:pStyle w:val="49"/>
              <w:keepNext w:val="0"/>
              <w:keepLines w:val="0"/>
              <w:pageBreakBefore w:val="0"/>
              <w:kinsoku/>
              <w:wordWrap/>
              <w:overflowPunct/>
              <w:topLinePunct w:val="0"/>
              <w:bidi w:val="0"/>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3.进行现场演示的，演示人员不得超过</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人，演示现场提供</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tc>
      </w:tr>
      <w:tr w14:paraId="537D92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397" w:hRule="atLeast"/>
        </w:trPr>
        <w:tc>
          <w:tcPr>
            <w:tcW w:w="970" w:type="dxa"/>
            <w:vAlign w:val="center"/>
          </w:tcPr>
          <w:p w14:paraId="30E477EE">
            <w:pPr>
              <w:pStyle w:val="49"/>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.3</w:t>
            </w:r>
          </w:p>
        </w:tc>
        <w:tc>
          <w:tcPr>
            <w:tcW w:w="1744" w:type="dxa"/>
            <w:vAlign w:val="center"/>
          </w:tcPr>
          <w:p w14:paraId="683EC9A7">
            <w:pPr>
              <w:pStyle w:val="49"/>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解密投标文件的时限</w:t>
            </w:r>
          </w:p>
        </w:tc>
        <w:tc>
          <w:tcPr>
            <w:tcW w:w="6694" w:type="dxa"/>
            <w:vAlign w:val="center"/>
          </w:tcPr>
          <w:p w14:paraId="6C2A5344">
            <w:pPr>
              <w:pStyle w:val="49"/>
              <w:keepNext w:val="0"/>
              <w:keepLines w:val="0"/>
              <w:pageBreakBefore w:val="0"/>
              <w:kinsoku/>
              <w:wordWrap/>
              <w:overflowPunct/>
              <w:topLinePunct w:val="0"/>
              <w:bidi w:val="0"/>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不见面开标默认解密时长：</w:t>
            </w:r>
            <w:r>
              <w:rPr>
                <w:rFonts w:hint="eastAsia" w:ascii="仿宋" w:hAnsi="仿宋" w:eastAsia="仿宋" w:cs="仿宋"/>
                <w:color w:val="auto"/>
                <w:sz w:val="24"/>
                <w:szCs w:val="24"/>
                <w:highlight w:val="none"/>
                <w:u w:val="single"/>
                <w:lang w:val="en-US" w:eastAsia="zh-CN"/>
              </w:rPr>
              <w:t xml:space="preserve"> 30 </w:t>
            </w:r>
            <w:r>
              <w:rPr>
                <w:rFonts w:hint="eastAsia" w:ascii="仿宋" w:hAnsi="仿宋" w:eastAsia="仿宋" w:cs="仿宋"/>
                <w:color w:val="auto"/>
                <w:sz w:val="24"/>
                <w:szCs w:val="24"/>
                <w:highlight w:val="none"/>
                <w:lang w:val="en-US" w:eastAsia="zh-CN"/>
              </w:rPr>
              <w:t>分钟。</w:t>
            </w:r>
          </w:p>
          <w:p w14:paraId="41367F44">
            <w:pPr>
              <w:pStyle w:val="49"/>
              <w:keepNext w:val="0"/>
              <w:keepLines w:val="0"/>
              <w:pageBreakBefore w:val="0"/>
              <w:kinsoku/>
              <w:wordWrap/>
              <w:overflowPunct/>
              <w:topLinePunct w:val="0"/>
              <w:bidi w:val="0"/>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除因交易平台发生故障导致投标文件无法按时解密外，投标文件未按时解密的，视为未按规定提交投标文件</w:t>
            </w:r>
            <w:r>
              <w:rPr>
                <w:rFonts w:hint="eastAsia" w:ascii="仿宋" w:hAnsi="仿宋" w:eastAsia="仿宋" w:cs="仿宋"/>
                <w:color w:val="auto"/>
                <w:sz w:val="24"/>
                <w:szCs w:val="24"/>
                <w:highlight w:val="none"/>
              </w:rPr>
              <w:t>。</w:t>
            </w:r>
          </w:p>
        </w:tc>
      </w:tr>
      <w:tr w14:paraId="6C0963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397" w:hRule="atLeast"/>
        </w:trPr>
        <w:tc>
          <w:tcPr>
            <w:tcW w:w="970" w:type="dxa"/>
            <w:vAlign w:val="center"/>
          </w:tcPr>
          <w:p w14:paraId="6B7669B2">
            <w:pPr>
              <w:pStyle w:val="49"/>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29.1</w:t>
            </w:r>
          </w:p>
        </w:tc>
        <w:tc>
          <w:tcPr>
            <w:tcW w:w="1744" w:type="dxa"/>
            <w:vAlign w:val="center"/>
          </w:tcPr>
          <w:p w14:paraId="278D5932">
            <w:pPr>
              <w:pStyle w:val="49"/>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评标方法</w:t>
            </w:r>
          </w:p>
        </w:tc>
        <w:tc>
          <w:tcPr>
            <w:tcW w:w="6694" w:type="dxa"/>
            <w:vAlign w:val="center"/>
          </w:tcPr>
          <w:p w14:paraId="6747A282">
            <w:pPr>
              <w:pStyle w:val="49"/>
              <w:keepNext w:val="0"/>
              <w:keepLines w:val="0"/>
              <w:pageBreakBefore w:val="0"/>
              <w:kinsoku/>
              <w:wordWrap/>
              <w:overflowPunct/>
              <w:topLinePunct w:val="0"/>
              <w:bidi w:val="0"/>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sym w:font="Wingdings" w:char="00FE"/>
            </w:r>
            <w:r>
              <w:rPr>
                <w:rFonts w:hint="eastAsia" w:ascii="仿宋" w:hAnsi="仿宋" w:eastAsia="仿宋" w:cs="仿宋"/>
                <w:color w:val="auto"/>
                <w:sz w:val="24"/>
                <w:szCs w:val="24"/>
                <w:highlight w:val="none"/>
                <w:lang w:val="en-US" w:eastAsia="zh-CN"/>
              </w:rPr>
              <w:t>综合评分法</w:t>
            </w:r>
          </w:p>
          <w:p w14:paraId="5188EC1C">
            <w:pPr>
              <w:pStyle w:val="49"/>
              <w:keepNext w:val="0"/>
              <w:keepLines w:val="0"/>
              <w:pageBreakBefore w:val="0"/>
              <w:kinsoku/>
              <w:wordWrap/>
              <w:overflowPunct/>
              <w:topLinePunct w:val="0"/>
              <w:bidi w:val="0"/>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lang w:val="en-US" w:eastAsia="zh-CN"/>
              </w:rPr>
              <w:t>最低评标价法</w:t>
            </w:r>
          </w:p>
        </w:tc>
      </w:tr>
      <w:tr w14:paraId="771289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397" w:hRule="atLeast"/>
        </w:trPr>
        <w:tc>
          <w:tcPr>
            <w:tcW w:w="970" w:type="dxa"/>
            <w:vAlign w:val="center"/>
          </w:tcPr>
          <w:p w14:paraId="055CBA4F">
            <w:pPr>
              <w:pStyle w:val="49"/>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29</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p>
        </w:tc>
        <w:tc>
          <w:tcPr>
            <w:tcW w:w="1744" w:type="dxa"/>
            <w:vAlign w:val="center"/>
          </w:tcPr>
          <w:p w14:paraId="606830E6">
            <w:pPr>
              <w:pStyle w:val="4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推荐中标候选人</w:t>
            </w:r>
          </w:p>
        </w:tc>
        <w:tc>
          <w:tcPr>
            <w:tcW w:w="6694" w:type="dxa"/>
            <w:vAlign w:val="center"/>
          </w:tcPr>
          <w:p w14:paraId="5D6AEB40">
            <w:pPr>
              <w:pStyle w:val="49"/>
              <w:keepNext w:val="0"/>
              <w:keepLines w:val="0"/>
              <w:pageBreakBefore w:val="0"/>
              <w:kinsoku/>
              <w:wordWrap/>
              <w:overflowPunct/>
              <w:topLinePunct w:val="0"/>
              <w:bidi w:val="0"/>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中标候选人数量</w:t>
            </w:r>
            <w:r>
              <w:rPr>
                <w:rFonts w:hint="eastAsia" w:ascii="仿宋" w:hAnsi="仿宋" w:eastAsia="仿宋" w:cs="仿宋"/>
                <w:color w:val="auto"/>
                <w:sz w:val="24"/>
                <w:szCs w:val="24"/>
                <w:highlight w:val="none"/>
                <w:u w:val="single"/>
                <w:lang w:val="en-US" w:eastAsia="zh-CN"/>
              </w:rPr>
              <w:t xml:space="preserve"> 3 </w:t>
            </w:r>
            <w:r>
              <w:rPr>
                <w:rFonts w:hint="eastAsia" w:ascii="仿宋" w:hAnsi="仿宋" w:eastAsia="仿宋" w:cs="仿宋"/>
                <w:color w:val="auto"/>
                <w:sz w:val="24"/>
                <w:szCs w:val="24"/>
                <w:highlight w:val="none"/>
              </w:rPr>
              <w:t>家</w:t>
            </w:r>
          </w:p>
        </w:tc>
      </w:tr>
      <w:tr w14:paraId="450573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397" w:hRule="atLeast"/>
        </w:trPr>
        <w:tc>
          <w:tcPr>
            <w:tcW w:w="970" w:type="dxa"/>
            <w:vAlign w:val="center"/>
          </w:tcPr>
          <w:p w14:paraId="5DA1B36D">
            <w:pPr>
              <w:pStyle w:val="49"/>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.1</w:t>
            </w:r>
          </w:p>
        </w:tc>
        <w:tc>
          <w:tcPr>
            <w:tcW w:w="1744" w:type="dxa"/>
            <w:vAlign w:val="center"/>
          </w:tcPr>
          <w:p w14:paraId="5A6B6B59">
            <w:pPr>
              <w:pStyle w:val="49"/>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确定中标人</w:t>
            </w:r>
          </w:p>
        </w:tc>
        <w:tc>
          <w:tcPr>
            <w:tcW w:w="6694" w:type="dxa"/>
            <w:vAlign w:val="center"/>
          </w:tcPr>
          <w:p w14:paraId="2307F89C">
            <w:pPr>
              <w:pStyle w:val="49"/>
              <w:keepNext w:val="0"/>
              <w:keepLines w:val="0"/>
              <w:pageBreakBefore w:val="0"/>
              <w:kinsoku/>
              <w:wordWrap/>
              <w:overflowPunct/>
              <w:topLinePunct w:val="0"/>
              <w:bidi w:val="0"/>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FE"/>
            </w:r>
            <w:r>
              <w:rPr>
                <w:rFonts w:hint="eastAsia" w:ascii="仿宋" w:hAnsi="仿宋" w:eastAsia="仿宋" w:cs="仿宋"/>
                <w:color w:val="auto"/>
                <w:sz w:val="24"/>
                <w:szCs w:val="24"/>
                <w:highlight w:val="none"/>
              </w:rPr>
              <w:t>采购人按评审报告中推荐的中标候选人排序确定中标人。</w:t>
            </w:r>
          </w:p>
          <w:p w14:paraId="44B311C9">
            <w:pPr>
              <w:pStyle w:val="49"/>
              <w:keepNext w:val="0"/>
              <w:keepLines w:val="0"/>
              <w:pageBreakBefore w:val="0"/>
              <w:kinsoku/>
              <w:wordWrap/>
              <w:overflowPunct/>
              <w:topLinePunct w:val="0"/>
              <w:bidi w:val="0"/>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采购人委托评标委员会直接确定中标人。</w:t>
            </w:r>
          </w:p>
        </w:tc>
      </w:tr>
      <w:tr w14:paraId="1D3332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397" w:hRule="atLeast"/>
        </w:trPr>
        <w:tc>
          <w:tcPr>
            <w:tcW w:w="970" w:type="dxa"/>
            <w:shd w:val="clear" w:color="auto" w:fill="auto"/>
            <w:vAlign w:val="center"/>
          </w:tcPr>
          <w:p w14:paraId="77BF4A43">
            <w:pPr>
              <w:pStyle w:val="49"/>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w:t>
            </w:r>
          </w:p>
        </w:tc>
        <w:tc>
          <w:tcPr>
            <w:tcW w:w="1744" w:type="dxa"/>
            <w:shd w:val="clear" w:color="auto" w:fill="auto"/>
            <w:vAlign w:val="center"/>
          </w:tcPr>
          <w:p w14:paraId="1FEACB17">
            <w:pPr>
              <w:pStyle w:val="49"/>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履约保证金</w:t>
            </w:r>
          </w:p>
        </w:tc>
        <w:tc>
          <w:tcPr>
            <w:tcW w:w="6694" w:type="dxa"/>
            <w:shd w:val="clear" w:color="auto" w:fill="auto"/>
            <w:vAlign w:val="center"/>
          </w:tcPr>
          <w:p w14:paraId="268CC8A8">
            <w:pPr>
              <w:pStyle w:val="4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金额：</w:t>
            </w:r>
          </w:p>
          <w:p w14:paraId="6080BF9E">
            <w:pPr>
              <w:pStyle w:val="4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免收</w:t>
            </w:r>
          </w:p>
          <w:p w14:paraId="56B8B8D4">
            <w:pPr>
              <w:pStyle w:val="4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□定额收取：人民币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p>
          <w:p w14:paraId="3837FBB5">
            <w:pPr>
              <w:pStyle w:val="4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支付方式：</w:t>
            </w:r>
          </w:p>
          <w:p w14:paraId="5E0020AF">
            <w:pPr>
              <w:pStyle w:val="53"/>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投标人可自主选择以支票、汇票、本票、电汇、转账、网银、保函等非现金形式缴纳或提交保证金。</w:t>
            </w:r>
          </w:p>
          <w:p w14:paraId="4B5F2E2F">
            <w:pPr>
              <w:pStyle w:val="4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注意事项：</w:t>
            </w:r>
          </w:p>
          <w:p w14:paraId="3091C55E">
            <w:pPr>
              <w:pStyle w:val="4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以上各类机构出具的以担保函、保证保险承担责任的方式均须满足无条件见索即付条件。</w:t>
            </w:r>
          </w:p>
          <w:p w14:paraId="07BAA7DD">
            <w:pPr>
              <w:pStyle w:val="4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以担保函、保证保险形式缴纳履约保证金的，受益人和收取单位须为采购人。</w:t>
            </w:r>
          </w:p>
          <w:p w14:paraId="2102A4A7">
            <w:pPr>
              <w:pStyle w:val="49"/>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3.在中标通知书发放后合同签订之前，中标人与采购人联系获取采购人账户信息。</w:t>
            </w:r>
          </w:p>
        </w:tc>
      </w:tr>
      <w:tr w14:paraId="5A8F27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397" w:hRule="atLeast"/>
        </w:trPr>
        <w:tc>
          <w:tcPr>
            <w:tcW w:w="970" w:type="dxa"/>
            <w:vAlign w:val="center"/>
          </w:tcPr>
          <w:p w14:paraId="46A8C919">
            <w:pPr>
              <w:pStyle w:val="49"/>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34.5</w:t>
            </w:r>
          </w:p>
        </w:tc>
        <w:tc>
          <w:tcPr>
            <w:tcW w:w="1744" w:type="dxa"/>
            <w:vAlign w:val="center"/>
          </w:tcPr>
          <w:p w14:paraId="69C608E4">
            <w:pPr>
              <w:pStyle w:val="49"/>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中标后分包</w:t>
            </w:r>
          </w:p>
        </w:tc>
        <w:tc>
          <w:tcPr>
            <w:tcW w:w="6694" w:type="dxa"/>
            <w:vAlign w:val="center"/>
          </w:tcPr>
          <w:p w14:paraId="536452C0">
            <w:pPr>
              <w:pStyle w:val="49"/>
              <w:keepNext w:val="0"/>
              <w:keepLines w:val="0"/>
              <w:pageBreakBefore w:val="0"/>
              <w:kinsoku/>
              <w:wordWrap/>
              <w:overflowPunct/>
              <w:topLinePunct w:val="0"/>
              <w:bidi w:val="0"/>
              <w:snapToGrid/>
              <w:spacing w:line="40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本项目的非主体、非关键性工作是否允许分包：</w:t>
            </w:r>
          </w:p>
          <w:p w14:paraId="2D551562">
            <w:pPr>
              <w:pStyle w:val="49"/>
              <w:keepNext w:val="0"/>
              <w:keepLines w:val="0"/>
              <w:pageBreakBefore w:val="0"/>
              <w:kinsoku/>
              <w:wordWrap/>
              <w:overflowPunct/>
              <w:topLinePunct w:val="0"/>
              <w:bidi w:val="0"/>
              <w:snapToGrid/>
              <w:spacing w:line="40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☑不允许</w:t>
            </w:r>
          </w:p>
          <w:p w14:paraId="2E614E66">
            <w:pPr>
              <w:pStyle w:val="49"/>
              <w:keepNext w:val="0"/>
              <w:keepLines w:val="0"/>
              <w:pageBreakBefore w:val="0"/>
              <w:kinsoku/>
              <w:wordWrap/>
              <w:overflowPunct/>
              <w:topLinePunct w:val="0"/>
              <w:bidi w:val="0"/>
              <w:snapToGrid/>
              <w:spacing w:line="40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□允许，具体要求：</w:t>
            </w:r>
          </w:p>
          <w:p w14:paraId="1367FF21">
            <w:pPr>
              <w:pStyle w:val="49"/>
              <w:keepNext w:val="0"/>
              <w:keepLines w:val="0"/>
              <w:pageBreakBefore w:val="0"/>
              <w:kinsoku/>
              <w:wordWrap/>
              <w:overflowPunct/>
              <w:topLinePunct w:val="0"/>
              <w:bidi w:val="0"/>
              <w:snapToGrid/>
              <w:spacing w:line="40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1.可以分包履行的具体内容：</w:t>
            </w:r>
            <w:r>
              <w:rPr>
                <w:rFonts w:hint="eastAsia" w:ascii="仿宋" w:hAnsi="仿宋" w:eastAsia="仿宋" w:cs="仿宋"/>
                <w:color w:val="auto"/>
                <w:kern w:val="2"/>
                <w:sz w:val="24"/>
                <w:szCs w:val="24"/>
                <w:highlight w:val="none"/>
                <w:u w:val="single"/>
                <w:lang w:val="en-US" w:eastAsia="zh-CN" w:bidi="ar-SA"/>
              </w:rPr>
              <w:t>_____</w:t>
            </w:r>
            <w:r>
              <w:rPr>
                <w:rFonts w:hint="eastAsia" w:ascii="仿宋" w:hAnsi="仿宋" w:eastAsia="仿宋" w:cs="仿宋"/>
                <w:color w:val="auto"/>
                <w:kern w:val="2"/>
                <w:sz w:val="24"/>
                <w:szCs w:val="24"/>
                <w:highlight w:val="none"/>
                <w:lang w:val="en-US" w:eastAsia="zh-CN" w:bidi="ar-SA"/>
              </w:rPr>
              <w:t>；</w:t>
            </w:r>
          </w:p>
          <w:p w14:paraId="2E76FA16">
            <w:pPr>
              <w:pStyle w:val="49"/>
              <w:keepNext w:val="0"/>
              <w:keepLines w:val="0"/>
              <w:pageBreakBefore w:val="0"/>
              <w:kinsoku/>
              <w:wordWrap/>
              <w:overflowPunct/>
              <w:topLinePunct w:val="0"/>
              <w:bidi w:val="0"/>
              <w:snapToGrid/>
              <w:spacing w:line="40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2.允许分包的金额或者比例：</w:t>
            </w:r>
            <w:r>
              <w:rPr>
                <w:rFonts w:hint="eastAsia" w:ascii="仿宋" w:hAnsi="仿宋" w:eastAsia="仿宋" w:cs="仿宋"/>
                <w:color w:val="auto"/>
                <w:kern w:val="2"/>
                <w:sz w:val="24"/>
                <w:szCs w:val="24"/>
                <w:highlight w:val="none"/>
                <w:u w:val="single"/>
                <w:lang w:val="en-US" w:eastAsia="zh-CN" w:bidi="ar-SA"/>
              </w:rPr>
              <w:t>_____</w:t>
            </w:r>
            <w:r>
              <w:rPr>
                <w:rFonts w:hint="eastAsia" w:ascii="仿宋" w:hAnsi="仿宋" w:eastAsia="仿宋" w:cs="仿宋"/>
                <w:color w:val="auto"/>
                <w:kern w:val="2"/>
                <w:sz w:val="24"/>
                <w:szCs w:val="24"/>
                <w:highlight w:val="none"/>
                <w:lang w:val="en-US" w:eastAsia="zh-CN" w:bidi="ar-SA"/>
              </w:rPr>
              <w:t>；</w:t>
            </w:r>
          </w:p>
          <w:p w14:paraId="297802C8">
            <w:pPr>
              <w:pStyle w:val="49"/>
              <w:keepNext w:val="0"/>
              <w:keepLines w:val="0"/>
              <w:pageBreakBefore w:val="0"/>
              <w:kinsoku/>
              <w:wordWrap/>
              <w:overflowPunct/>
              <w:topLinePunct w:val="0"/>
              <w:bidi w:val="0"/>
              <w:snapToGrid/>
              <w:spacing w:line="40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3.其他要求：</w:t>
            </w:r>
            <w:r>
              <w:rPr>
                <w:rFonts w:hint="eastAsia" w:ascii="仿宋" w:hAnsi="仿宋" w:eastAsia="仿宋" w:cs="仿宋"/>
                <w:color w:val="auto"/>
                <w:kern w:val="2"/>
                <w:sz w:val="24"/>
                <w:szCs w:val="24"/>
                <w:highlight w:val="none"/>
                <w:u w:val="single"/>
                <w:lang w:val="en-US" w:eastAsia="zh-CN" w:bidi="ar-SA"/>
              </w:rPr>
              <w:t>_____</w:t>
            </w:r>
            <w:r>
              <w:rPr>
                <w:rFonts w:hint="eastAsia" w:ascii="仿宋" w:hAnsi="仿宋" w:eastAsia="仿宋" w:cs="仿宋"/>
                <w:color w:val="auto"/>
                <w:kern w:val="2"/>
                <w:sz w:val="24"/>
                <w:szCs w:val="24"/>
                <w:highlight w:val="none"/>
                <w:lang w:val="en-US" w:eastAsia="zh-CN" w:bidi="ar-SA"/>
              </w:rPr>
              <w:t>。</w:t>
            </w:r>
          </w:p>
        </w:tc>
      </w:tr>
      <w:tr w14:paraId="38B6A3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397" w:hRule="atLeast"/>
        </w:trPr>
        <w:tc>
          <w:tcPr>
            <w:tcW w:w="970" w:type="dxa"/>
            <w:vAlign w:val="center"/>
          </w:tcPr>
          <w:p w14:paraId="1D4512C1">
            <w:pPr>
              <w:pStyle w:val="49"/>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35.1</w:t>
            </w:r>
          </w:p>
        </w:tc>
        <w:tc>
          <w:tcPr>
            <w:tcW w:w="1744" w:type="dxa"/>
            <w:vAlign w:val="center"/>
          </w:tcPr>
          <w:p w14:paraId="26F7E979">
            <w:pPr>
              <w:pStyle w:val="49"/>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质疑</w:t>
            </w:r>
          </w:p>
        </w:tc>
        <w:tc>
          <w:tcPr>
            <w:tcW w:w="6694" w:type="dxa"/>
            <w:vAlign w:val="center"/>
          </w:tcPr>
          <w:p w14:paraId="405009A9">
            <w:pPr>
              <w:pStyle w:val="66"/>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kern w:val="2"/>
                <w:sz w:val="24"/>
                <w:szCs w:val="24"/>
                <w:highlight w:val="none"/>
                <w:u w:val="single"/>
                <w:lang w:val="zh-CN" w:eastAsia="zh-CN" w:bidi="ar-SA"/>
              </w:rPr>
            </w:pPr>
            <w:r>
              <w:rPr>
                <w:rFonts w:hint="eastAsia" w:ascii="仿宋" w:hAnsi="仿宋" w:eastAsia="仿宋" w:cs="仿宋"/>
                <w:color w:val="auto"/>
                <w:kern w:val="2"/>
                <w:sz w:val="24"/>
                <w:szCs w:val="24"/>
                <w:highlight w:val="none"/>
                <w:lang w:val="zh-CN" w:eastAsia="zh-CN" w:bidi="ar-SA"/>
              </w:rPr>
              <w:t>递交方式：</w:t>
            </w:r>
            <w:r>
              <w:rPr>
                <w:rFonts w:hint="eastAsia" w:ascii="仿宋" w:hAnsi="仿宋" w:eastAsia="仿宋" w:cs="仿宋"/>
                <w:color w:val="auto"/>
                <w:kern w:val="2"/>
                <w:sz w:val="24"/>
                <w:szCs w:val="24"/>
                <w:highlight w:val="none"/>
                <w:u w:val="single"/>
                <w:lang w:val="zh-CN" w:eastAsia="zh-CN" w:bidi="ar-SA"/>
              </w:rPr>
              <w:t>书面形式递交</w:t>
            </w:r>
          </w:p>
          <w:p w14:paraId="22534729">
            <w:pPr>
              <w:pStyle w:val="66"/>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kern w:val="2"/>
                <w:sz w:val="24"/>
                <w:szCs w:val="24"/>
                <w:highlight w:val="none"/>
                <w:u w:val="single"/>
                <w:lang w:val="zh-CN" w:eastAsia="zh-CN" w:bidi="ar-SA"/>
              </w:rPr>
            </w:pPr>
            <w:r>
              <w:rPr>
                <w:rFonts w:hint="eastAsia" w:ascii="仿宋" w:hAnsi="仿宋" w:eastAsia="仿宋" w:cs="仿宋"/>
                <w:color w:val="auto"/>
                <w:kern w:val="2"/>
                <w:sz w:val="24"/>
                <w:szCs w:val="24"/>
                <w:highlight w:val="none"/>
                <w:lang w:val="zh-CN" w:eastAsia="zh-CN" w:bidi="ar-SA"/>
              </w:rPr>
              <w:t>接收部门：</w:t>
            </w:r>
            <w:r>
              <w:rPr>
                <w:rFonts w:hint="eastAsia" w:ascii="仿宋" w:hAnsi="仿宋" w:eastAsia="仿宋" w:cs="仿宋"/>
                <w:color w:val="auto"/>
                <w:kern w:val="2"/>
                <w:sz w:val="24"/>
                <w:szCs w:val="24"/>
                <w:highlight w:val="none"/>
                <w:u w:val="single"/>
                <w:lang w:val="zh-CN" w:eastAsia="zh-CN" w:bidi="ar-SA"/>
              </w:rPr>
              <w:t>新疆正元工程招标有限责任公司</w:t>
            </w:r>
          </w:p>
          <w:p w14:paraId="3B432B73">
            <w:pPr>
              <w:pStyle w:val="66"/>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kern w:val="2"/>
                <w:sz w:val="24"/>
                <w:szCs w:val="24"/>
                <w:highlight w:val="none"/>
                <w:u w:val="single"/>
                <w:lang w:val="zh-CN" w:eastAsia="zh-CN" w:bidi="ar-SA"/>
              </w:rPr>
            </w:pPr>
            <w:r>
              <w:rPr>
                <w:rFonts w:hint="eastAsia" w:ascii="仿宋" w:hAnsi="仿宋" w:eastAsia="仿宋" w:cs="仿宋"/>
                <w:color w:val="auto"/>
                <w:kern w:val="2"/>
                <w:sz w:val="24"/>
                <w:szCs w:val="24"/>
                <w:highlight w:val="none"/>
                <w:lang w:val="zh-CN" w:eastAsia="zh-CN" w:bidi="ar-SA"/>
              </w:rPr>
              <w:t>联系电话：</w:t>
            </w:r>
            <w:r>
              <w:rPr>
                <w:rFonts w:hint="eastAsia" w:ascii="仿宋" w:hAnsi="仿宋" w:eastAsia="仿宋" w:cs="仿宋"/>
                <w:color w:val="auto"/>
                <w:kern w:val="2"/>
                <w:sz w:val="24"/>
                <w:szCs w:val="24"/>
                <w:highlight w:val="none"/>
                <w:u w:val="single"/>
                <w:lang w:val="zh-CN" w:eastAsia="zh-CN" w:bidi="ar-SA"/>
              </w:rPr>
              <w:t>0991-3722209</w:t>
            </w:r>
          </w:p>
          <w:p w14:paraId="05CBB36A">
            <w:pPr>
              <w:pStyle w:val="66"/>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通讯地址：</w:t>
            </w:r>
            <w:r>
              <w:rPr>
                <w:rFonts w:hint="eastAsia" w:ascii="仿宋" w:hAnsi="仿宋" w:eastAsia="仿宋" w:cs="仿宋"/>
                <w:color w:val="auto"/>
                <w:kern w:val="2"/>
                <w:sz w:val="24"/>
                <w:szCs w:val="24"/>
                <w:highlight w:val="none"/>
                <w:u w:val="single"/>
                <w:lang w:val="zh-CN" w:eastAsia="zh-CN" w:bidi="ar-SA"/>
              </w:rPr>
              <w:t>新疆乌鲁木齐市维泰北路616号建咨大厦12楼</w:t>
            </w:r>
          </w:p>
        </w:tc>
      </w:tr>
      <w:tr w14:paraId="09FBF1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397" w:hRule="atLeast"/>
        </w:trPr>
        <w:tc>
          <w:tcPr>
            <w:tcW w:w="970" w:type="dxa"/>
            <w:vAlign w:val="center"/>
          </w:tcPr>
          <w:p w14:paraId="67AD9AE6">
            <w:pPr>
              <w:pStyle w:val="49"/>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.1</w:t>
            </w:r>
          </w:p>
        </w:tc>
        <w:tc>
          <w:tcPr>
            <w:tcW w:w="1744" w:type="dxa"/>
            <w:vAlign w:val="center"/>
          </w:tcPr>
          <w:p w14:paraId="27F1597E">
            <w:pPr>
              <w:pStyle w:val="49"/>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w:t>
            </w:r>
          </w:p>
          <w:p w14:paraId="5C35F15B">
            <w:pPr>
              <w:pStyle w:val="49"/>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服务费</w:t>
            </w:r>
          </w:p>
        </w:tc>
        <w:tc>
          <w:tcPr>
            <w:tcW w:w="6694" w:type="dxa"/>
            <w:vAlign w:val="top"/>
          </w:tcPr>
          <w:p w14:paraId="35F9AD1B">
            <w:pPr>
              <w:pStyle w:val="66"/>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1.收费对象：□采购人支付 ☑中标人支付</w:t>
            </w:r>
          </w:p>
          <w:p w14:paraId="591656F2">
            <w:pPr>
              <w:pStyle w:val="66"/>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kern w:val="2"/>
                <w:sz w:val="24"/>
                <w:szCs w:val="24"/>
                <w:highlight w:val="none"/>
                <w:u w:val="single"/>
                <w:lang w:val="zh-CN" w:eastAsia="zh-CN" w:bidi="ar-SA"/>
              </w:rPr>
            </w:pPr>
            <w:r>
              <w:rPr>
                <w:rFonts w:hint="eastAsia" w:ascii="仿宋" w:hAnsi="仿宋" w:eastAsia="仿宋" w:cs="仿宋"/>
                <w:color w:val="auto"/>
                <w:kern w:val="2"/>
                <w:sz w:val="24"/>
                <w:szCs w:val="24"/>
                <w:highlight w:val="none"/>
                <w:lang w:val="en-US" w:eastAsia="zh-CN" w:bidi="ar-SA"/>
              </w:rPr>
              <w:t>2.收费标准：</w:t>
            </w:r>
            <w:r>
              <w:rPr>
                <w:rFonts w:hint="eastAsia" w:ascii="仿宋" w:hAnsi="仿宋" w:eastAsia="仿宋" w:cs="仿宋"/>
                <w:color w:val="auto"/>
                <w:kern w:val="2"/>
                <w:sz w:val="24"/>
                <w:szCs w:val="24"/>
                <w:highlight w:val="none"/>
                <w:u w:val="single"/>
                <w:lang w:val="en-US" w:eastAsia="zh-CN" w:bidi="ar-SA"/>
              </w:rPr>
              <w:t>以中标价为计算基数，参照国家计委计价格〔2002〕1980号、发改办价格〔2003〕857号、发改价格〔2011〕534号文下浮35%执行。</w:t>
            </w:r>
          </w:p>
          <w:p w14:paraId="635CB014">
            <w:pPr>
              <w:pStyle w:val="66"/>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kern w:val="2"/>
                <w:sz w:val="24"/>
                <w:szCs w:val="24"/>
                <w:highlight w:val="none"/>
                <w:u w:val="single"/>
                <w:lang w:val="zh-CN" w:eastAsia="zh-CN" w:bidi="ar-SA"/>
              </w:rPr>
            </w:pPr>
            <w:r>
              <w:rPr>
                <w:rFonts w:hint="eastAsia" w:ascii="仿宋" w:hAnsi="仿宋" w:eastAsia="仿宋" w:cs="仿宋"/>
                <w:color w:val="auto"/>
                <w:kern w:val="2"/>
                <w:sz w:val="24"/>
                <w:szCs w:val="24"/>
                <w:highlight w:val="none"/>
                <w:lang w:val="en-US" w:eastAsia="zh-CN" w:bidi="ar-SA"/>
              </w:rPr>
              <w:t>3.收取时间：</w:t>
            </w:r>
            <w:r>
              <w:rPr>
                <w:rFonts w:hint="eastAsia" w:ascii="仿宋" w:hAnsi="仿宋" w:eastAsia="仿宋" w:cs="仿宋"/>
                <w:color w:val="auto"/>
                <w:kern w:val="2"/>
                <w:sz w:val="24"/>
                <w:szCs w:val="24"/>
                <w:highlight w:val="none"/>
                <w:u w:val="single"/>
                <w:lang w:val="en-US" w:eastAsia="zh-CN" w:bidi="ar-SA"/>
              </w:rPr>
              <w:t>在《中标通知书》核发前，向采购代理机构支付</w:t>
            </w:r>
          </w:p>
          <w:p w14:paraId="39704123">
            <w:pPr>
              <w:pStyle w:val="66"/>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u w:val="single"/>
                <w:lang w:val="en-US" w:eastAsia="zh-CN" w:bidi="ar-SA"/>
              </w:rPr>
              <w:t>采购代理服务费。</w:t>
            </w:r>
          </w:p>
          <w:p w14:paraId="5EAF4B15">
            <w:pPr>
              <w:pStyle w:val="66"/>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lang w:val="en-US" w:eastAsia="zh-CN" w:bidi="ar-SA"/>
              </w:rPr>
              <w:t>4.收取方式：</w:t>
            </w:r>
            <w:r>
              <w:rPr>
                <w:rFonts w:hint="eastAsia" w:ascii="仿宋" w:hAnsi="仿宋" w:eastAsia="仿宋" w:cs="仿宋"/>
                <w:color w:val="auto"/>
                <w:kern w:val="2"/>
                <w:sz w:val="24"/>
                <w:szCs w:val="24"/>
                <w:highlight w:val="none"/>
                <w:u w:val="single"/>
                <w:lang w:val="en-US" w:eastAsia="zh-CN" w:bidi="ar-SA"/>
              </w:rPr>
              <w:t>银行转账</w:t>
            </w:r>
          </w:p>
          <w:p w14:paraId="28406D7C">
            <w:pPr>
              <w:pStyle w:val="66"/>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6.收款单位：</w:t>
            </w:r>
            <w:r>
              <w:rPr>
                <w:rFonts w:hint="eastAsia" w:ascii="仿宋" w:hAnsi="仿宋" w:eastAsia="仿宋" w:cs="仿宋"/>
                <w:color w:val="auto"/>
                <w:kern w:val="2"/>
                <w:sz w:val="24"/>
                <w:szCs w:val="24"/>
                <w:highlight w:val="none"/>
                <w:u w:val="single"/>
                <w:lang w:val="en-US" w:eastAsia="zh-CN" w:bidi="ar-SA"/>
              </w:rPr>
              <w:t>新疆正元工程招标代理有限责任公司</w:t>
            </w:r>
          </w:p>
          <w:p w14:paraId="70014435">
            <w:pPr>
              <w:pStyle w:val="66"/>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7.开户银行：</w:t>
            </w:r>
            <w:r>
              <w:rPr>
                <w:rFonts w:hint="eastAsia" w:ascii="仿宋" w:hAnsi="仿宋" w:eastAsia="仿宋" w:cs="仿宋"/>
                <w:color w:val="auto"/>
                <w:kern w:val="2"/>
                <w:sz w:val="24"/>
                <w:szCs w:val="24"/>
                <w:highlight w:val="none"/>
                <w:u w:val="single"/>
                <w:lang w:val="en-US" w:eastAsia="zh-CN" w:bidi="ar-SA"/>
              </w:rPr>
              <w:t>中国农业银行股份有限公司乌鲁木齐红山路（兵团）支行</w:t>
            </w:r>
          </w:p>
          <w:p w14:paraId="70800104">
            <w:pPr>
              <w:pStyle w:val="66"/>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8.银行账号：</w:t>
            </w:r>
            <w:r>
              <w:rPr>
                <w:rFonts w:hint="eastAsia" w:ascii="仿宋" w:hAnsi="仿宋" w:eastAsia="仿宋" w:cs="仿宋"/>
                <w:color w:val="auto"/>
                <w:kern w:val="2"/>
                <w:sz w:val="24"/>
                <w:szCs w:val="24"/>
                <w:highlight w:val="none"/>
                <w:u w:val="single"/>
                <w:lang w:val="en-US" w:eastAsia="zh-CN" w:bidi="ar-SA"/>
              </w:rPr>
              <w:t>30704601040003562</w:t>
            </w:r>
          </w:p>
          <w:tbl>
            <w:tblPr>
              <w:tblStyle w:val="30"/>
              <w:tblW w:w="62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09"/>
              <w:gridCol w:w="1614"/>
              <w:gridCol w:w="1615"/>
              <w:gridCol w:w="1262"/>
            </w:tblGrid>
            <w:tr w14:paraId="14848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6200" w:type="dxa"/>
                  <w:gridSpan w:val="4"/>
                  <w:tcBorders>
                    <w:top w:val="nil"/>
                    <w:left w:val="nil"/>
                    <w:bottom w:val="nil"/>
                    <w:right w:val="nil"/>
                  </w:tcBorders>
                  <w:noWrap/>
                  <w:vAlign w:val="center"/>
                </w:tcPr>
                <w:p w14:paraId="61F47112">
                  <w:pPr>
                    <w:keepNext w:val="0"/>
                    <w:keepLines w:val="0"/>
                    <w:pageBreakBefore w:val="0"/>
                    <w:widowControl/>
                    <w:suppressLineNumbers w:val="0"/>
                    <w:kinsoku/>
                    <w:wordWrap/>
                    <w:overflowPunct/>
                    <w:topLinePunct w:val="0"/>
                    <w:bidi w:val="0"/>
                    <w:spacing w:line="400" w:lineRule="exact"/>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招标代理服务收取标准（费率）</w:t>
                  </w:r>
                </w:p>
              </w:tc>
            </w:tr>
            <w:tr w14:paraId="1840E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709" w:type="dxa"/>
                  <w:tcBorders>
                    <w:top w:val="single" w:color="000000" w:sz="4" w:space="0"/>
                    <w:left w:val="single" w:color="000000" w:sz="4" w:space="0"/>
                    <w:bottom w:val="single" w:color="auto" w:sz="4" w:space="0"/>
                    <w:right w:val="single" w:color="000000" w:sz="4" w:space="0"/>
                  </w:tcBorders>
                  <w:noWrap/>
                  <w:vAlign w:val="center"/>
                </w:tcPr>
                <w:p w14:paraId="2199BA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中标金额（万元）</w:t>
                  </w:r>
                </w:p>
              </w:tc>
              <w:tc>
                <w:tcPr>
                  <w:tcW w:w="1614" w:type="dxa"/>
                  <w:tcBorders>
                    <w:top w:val="single" w:color="000000" w:sz="4" w:space="0"/>
                    <w:left w:val="single" w:color="000000" w:sz="4" w:space="0"/>
                    <w:bottom w:val="single" w:color="auto" w:sz="4" w:space="0"/>
                    <w:right w:val="single" w:color="000000" w:sz="4" w:space="0"/>
                  </w:tcBorders>
                  <w:noWrap/>
                  <w:vAlign w:val="center"/>
                </w:tcPr>
                <w:p w14:paraId="3F9BD0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货物招标</w:t>
                  </w:r>
                </w:p>
              </w:tc>
              <w:tc>
                <w:tcPr>
                  <w:tcW w:w="1615" w:type="dxa"/>
                  <w:tcBorders>
                    <w:top w:val="single" w:color="000000" w:sz="4" w:space="0"/>
                    <w:left w:val="single" w:color="000000" w:sz="4" w:space="0"/>
                    <w:bottom w:val="single" w:color="auto" w:sz="4" w:space="0"/>
                    <w:right w:val="single" w:color="000000" w:sz="4" w:space="0"/>
                  </w:tcBorders>
                  <w:noWrap/>
                  <w:vAlign w:val="center"/>
                </w:tcPr>
                <w:p w14:paraId="21D6C0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服务招标</w:t>
                  </w:r>
                </w:p>
              </w:tc>
              <w:tc>
                <w:tcPr>
                  <w:tcW w:w="1262" w:type="dxa"/>
                  <w:tcBorders>
                    <w:top w:val="single" w:color="000000" w:sz="4" w:space="0"/>
                    <w:left w:val="single" w:color="000000" w:sz="4" w:space="0"/>
                    <w:bottom w:val="single" w:color="auto" w:sz="4" w:space="0"/>
                    <w:right w:val="single" w:color="000000" w:sz="4" w:space="0"/>
                  </w:tcBorders>
                  <w:noWrap/>
                  <w:vAlign w:val="center"/>
                </w:tcPr>
                <w:p w14:paraId="4E6397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工程招标</w:t>
                  </w:r>
                </w:p>
              </w:tc>
            </w:tr>
            <w:tr w14:paraId="571DA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709" w:type="dxa"/>
                  <w:tcBorders>
                    <w:top w:val="single" w:color="auto" w:sz="4" w:space="0"/>
                    <w:left w:val="single" w:color="auto" w:sz="4" w:space="0"/>
                    <w:bottom w:val="single" w:color="auto" w:sz="4" w:space="0"/>
                    <w:right w:val="single" w:color="auto" w:sz="4" w:space="0"/>
                  </w:tcBorders>
                  <w:noWrap/>
                  <w:vAlign w:val="center"/>
                </w:tcPr>
                <w:p w14:paraId="3113BB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100以下</w:t>
                  </w:r>
                </w:p>
              </w:tc>
              <w:tc>
                <w:tcPr>
                  <w:tcW w:w="1614" w:type="dxa"/>
                  <w:tcBorders>
                    <w:top w:val="single" w:color="auto" w:sz="4" w:space="0"/>
                    <w:left w:val="single" w:color="auto" w:sz="4" w:space="0"/>
                    <w:bottom w:val="single" w:color="auto" w:sz="4" w:space="0"/>
                    <w:right w:val="single" w:color="auto" w:sz="4" w:space="0"/>
                  </w:tcBorders>
                  <w:noWrap/>
                  <w:vAlign w:val="center"/>
                </w:tcPr>
                <w:p w14:paraId="60FB7E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1.50%</w:t>
                  </w:r>
                </w:p>
              </w:tc>
              <w:tc>
                <w:tcPr>
                  <w:tcW w:w="1615" w:type="dxa"/>
                  <w:tcBorders>
                    <w:top w:val="single" w:color="auto" w:sz="4" w:space="0"/>
                    <w:left w:val="single" w:color="auto" w:sz="4" w:space="0"/>
                    <w:bottom w:val="single" w:color="auto" w:sz="4" w:space="0"/>
                    <w:right w:val="single" w:color="auto" w:sz="4" w:space="0"/>
                  </w:tcBorders>
                  <w:noWrap/>
                  <w:vAlign w:val="center"/>
                </w:tcPr>
                <w:p w14:paraId="10678E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1.50%</w:t>
                  </w:r>
                </w:p>
              </w:tc>
              <w:tc>
                <w:tcPr>
                  <w:tcW w:w="1262" w:type="dxa"/>
                  <w:tcBorders>
                    <w:top w:val="single" w:color="auto" w:sz="4" w:space="0"/>
                    <w:left w:val="single" w:color="auto" w:sz="4" w:space="0"/>
                    <w:bottom w:val="single" w:color="auto" w:sz="4" w:space="0"/>
                    <w:right w:val="single" w:color="auto" w:sz="4" w:space="0"/>
                  </w:tcBorders>
                  <w:noWrap/>
                  <w:vAlign w:val="center"/>
                </w:tcPr>
                <w:p w14:paraId="5D3296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w:t>
                  </w:r>
                </w:p>
              </w:tc>
            </w:tr>
            <w:tr w14:paraId="31FB4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709" w:type="dxa"/>
                  <w:tcBorders>
                    <w:top w:val="single" w:color="auto" w:sz="4" w:space="0"/>
                    <w:left w:val="single" w:color="auto" w:sz="4" w:space="0"/>
                    <w:bottom w:val="single" w:color="auto" w:sz="4" w:space="0"/>
                    <w:right w:val="single" w:color="auto" w:sz="4" w:space="0"/>
                  </w:tcBorders>
                  <w:noWrap/>
                  <w:vAlign w:val="center"/>
                </w:tcPr>
                <w:p w14:paraId="409C25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100-500</w:t>
                  </w:r>
                </w:p>
              </w:tc>
              <w:tc>
                <w:tcPr>
                  <w:tcW w:w="1614" w:type="dxa"/>
                  <w:tcBorders>
                    <w:top w:val="single" w:color="auto" w:sz="4" w:space="0"/>
                    <w:left w:val="single" w:color="auto" w:sz="4" w:space="0"/>
                    <w:bottom w:val="single" w:color="auto" w:sz="4" w:space="0"/>
                    <w:right w:val="single" w:color="auto" w:sz="4" w:space="0"/>
                  </w:tcBorders>
                  <w:noWrap/>
                  <w:vAlign w:val="center"/>
                </w:tcPr>
                <w:p w14:paraId="02AF75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1.10%</w:t>
                  </w:r>
                </w:p>
              </w:tc>
              <w:tc>
                <w:tcPr>
                  <w:tcW w:w="1615" w:type="dxa"/>
                  <w:tcBorders>
                    <w:top w:val="single" w:color="auto" w:sz="4" w:space="0"/>
                    <w:left w:val="single" w:color="auto" w:sz="4" w:space="0"/>
                    <w:bottom w:val="single" w:color="auto" w:sz="4" w:space="0"/>
                    <w:right w:val="single" w:color="auto" w:sz="4" w:space="0"/>
                  </w:tcBorders>
                  <w:noWrap/>
                  <w:vAlign w:val="center"/>
                </w:tcPr>
                <w:p w14:paraId="055EE0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0.80%</w:t>
                  </w:r>
                </w:p>
              </w:tc>
              <w:tc>
                <w:tcPr>
                  <w:tcW w:w="1262" w:type="dxa"/>
                  <w:tcBorders>
                    <w:top w:val="single" w:color="auto" w:sz="4" w:space="0"/>
                    <w:left w:val="single" w:color="auto" w:sz="4" w:space="0"/>
                    <w:bottom w:val="single" w:color="auto" w:sz="4" w:space="0"/>
                    <w:right w:val="single" w:color="auto" w:sz="4" w:space="0"/>
                  </w:tcBorders>
                  <w:noWrap/>
                  <w:vAlign w:val="center"/>
                </w:tcPr>
                <w:p w14:paraId="48EC8D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0.70%</w:t>
                  </w:r>
                </w:p>
              </w:tc>
            </w:tr>
            <w:tr w14:paraId="1C093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709" w:type="dxa"/>
                  <w:tcBorders>
                    <w:top w:val="single" w:color="auto" w:sz="4" w:space="0"/>
                    <w:left w:val="single" w:color="auto" w:sz="4" w:space="0"/>
                    <w:bottom w:val="single" w:color="auto" w:sz="4" w:space="0"/>
                    <w:right w:val="single" w:color="auto" w:sz="4" w:space="0"/>
                  </w:tcBorders>
                  <w:noWrap/>
                  <w:vAlign w:val="center"/>
                </w:tcPr>
                <w:p w14:paraId="192924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500-1000</w:t>
                  </w:r>
                </w:p>
              </w:tc>
              <w:tc>
                <w:tcPr>
                  <w:tcW w:w="1614" w:type="dxa"/>
                  <w:tcBorders>
                    <w:top w:val="single" w:color="auto" w:sz="4" w:space="0"/>
                    <w:left w:val="single" w:color="auto" w:sz="4" w:space="0"/>
                    <w:bottom w:val="single" w:color="auto" w:sz="4" w:space="0"/>
                    <w:right w:val="single" w:color="auto" w:sz="4" w:space="0"/>
                  </w:tcBorders>
                  <w:noWrap/>
                  <w:vAlign w:val="center"/>
                </w:tcPr>
                <w:p w14:paraId="61DEEF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0.80%</w:t>
                  </w:r>
                </w:p>
              </w:tc>
              <w:tc>
                <w:tcPr>
                  <w:tcW w:w="1615" w:type="dxa"/>
                  <w:tcBorders>
                    <w:top w:val="single" w:color="auto" w:sz="4" w:space="0"/>
                    <w:left w:val="single" w:color="auto" w:sz="4" w:space="0"/>
                    <w:bottom w:val="single" w:color="auto" w:sz="4" w:space="0"/>
                    <w:right w:val="single" w:color="auto" w:sz="4" w:space="0"/>
                  </w:tcBorders>
                  <w:noWrap/>
                  <w:vAlign w:val="center"/>
                </w:tcPr>
                <w:p w14:paraId="24D9E0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0.45%</w:t>
                  </w:r>
                </w:p>
              </w:tc>
              <w:tc>
                <w:tcPr>
                  <w:tcW w:w="1262" w:type="dxa"/>
                  <w:tcBorders>
                    <w:top w:val="single" w:color="auto" w:sz="4" w:space="0"/>
                    <w:left w:val="single" w:color="auto" w:sz="4" w:space="0"/>
                    <w:bottom w:val="single" w:color="auto" w:sz="4" w:space="0"/>
                    <w:right w:val="single" w:color="auto" w:sz="4" w:space="0"/>
                  </w:tcBorders>
                  <w:noWrap/>
                  <w:vAlign w:val="center"/>
                </w:tcPr>
                <w:p w14:paraId="656B02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0.55%</w:t>
                  </w:r>
                </w:p>
              </w:tc>
            </w:tr>
          </w:tbl>
          <w:p w14:paraId="699829EC">
            <w:pPr>
              <w:pStyle w:val="86"/>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both"/>
              <w:textAlignment w:val="baseline"/>
              <w:rPr>
                <w:rFonts w:hint="eastAsia" w:ascii="仿宋" w:hAnsi="仿宋" w:eastAsia="仿宋" w:cs="仿宋"/>
                <w:color w:val="auto"/>
                <w:kern w:val="2"/>
                <w:sz w:val="24"/>
                <w:szCs w:val="24"/>
                <w:u w:val="single" w:color="auto"/>
                <w:lang w:val="en-US" w:eastAsia="zh-CN" w:bidi="ar-SA"/>
              </w:rPr>
            </w:pPr>
          </w:p>
        </w:tc>
      </w:tr>
      <w:tr w14:paraId="274ACC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397" w:hRule="atLeast"/>
        </w:trPr>
        <w:tc>
          <w:tcPr>
            <w:tcW w:w="970" w:type="dxa"/>
            <w:vAlign w:val="center"/>
          </w:tcPr>
          <w:p w14:paraId="129DFE75">
            <w:pPr>
              <w:pStyle w:val="49"/>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1</w:t>
            </w:r>
          </w:p>
        </w:tc>
        <w:tc>
          <w:tcPr>
            <w:tcW w:w="1744" w:type="dxa"/>
            <w:vAlign w:val="center"/>
          </w:tcPr>
          <w:p w14:paraId="5E234D4C">
            <w:pPr>
              <w:pStyle w:val="49"/>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支持中小企业政策</w:t>
            </w:r>
            <w:r>
              <w:rPr>
                <w:rStyle w:val="33"/>
                <w:rFonts w:hint="eastAsia" w:ascii="仿宋" w:hAnsi="仿宋" w:eastAsia="仿宋" w:cs="仿宋"/>
                <w:b w:val="0"/>
                <w:color w:val="auto"/>
                <w:sz w:val="24"/>
                <w:szCs w:val="24"/>
                <w:highlight w:val="none"/>
                <w:lang w:val="en-US" w:eastAsia="zh-CN"/>
              </w:rPr>
              <w:t>（非专门面向中小企业采购项目适用）</w:t>
            </w:r>
          </w:p>
        </w:tc>
        <w:tc>
          <w:tcPr>
            <w:tcW w:w="6694" w:type="dxa"/>
            <w:vAlign w:val="center"/>
          </w:tcPr>
          <w:p w14:paraId="128A1BCB">
            <w:pPr>
              <w:pStyle w:val="81"/>
              <w:keepNext w:val="0"/>
              <w:keepLines w:val="0"/>
              <w:pageBreakBefore w:val="0"/>
              <w:widowControl w:val="0"/>
              <w:kinsoku/>
              <w:wordWrap/>
              <w:overflowPunct/>
              <w:topLinePunct w:val="0"/>
              <w:bidi w:val="0"/>
              <w:snapToGrid/>
              <w:spacing w:before="0" w:beforeAutospacing="0" w:after="0" w:afterAutospacing="0" w:line="400" w:lineRule="exact"/>
              <w:jc w:val="both"/>
              <w:textAlignment w:val="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w:t>
            </w:r>
            <w:r>
              <w:rPr>
                <w:rFonts w:hint="eastAsia" w:ascii="仿宋" w:hAnsi="仿宋" w:eastAsia="仿宋" w:cs="仿宋"/>
                <w:b w:val="0"/>
                <w:color w:val="auto"/>
                <w:sz w:val="24"/>
                <w:szCs w:val="24"/>
                <w:highlight w:val="none"/>
                <w:lang w:val="en-US" w:eastAsia="zh-CN"/>
              </w:rPr>
              <w:t>.</w:t>
            </w:r>
            <w:r>
              <w:rPr>
                <w:rFonts w:hint="eastAsia" w:ascii="仿宋" w:hAnsi="仿宋" w:eastAsia="仿宋" w:cs="仿宋"/>
                <w:b w:val="0"/>
                <w:color w:val="auto"/>
                <w:sz w:val="24"/>
                <w:szCs w:val="24"/>
                <w:highlight w:val="none"/>
              </w:rPr>
              <w:t>小型和微型企业价格扣除：</w:t>
            </w:r>
            <w:r>
              <w:rPr>
                <w:rFonts w:hint="eastAsia" w:ascii="仿宋" w:hAnsi="仿宋" w:eastAsia="仿宋" w:cs="仿宋"/>
                <w:b w:val="0"/>
                <w:color w:val="auto"/>
                <w:sz w:val="24"/>
                <w:szCs w:val="24"/>
                <w:highlight w:val="none"/>
                <w:u w:val="single"/>
                <w:lang w:val="en-US" w:eastAsia="zh-CN"/>
              </w:rPr>
              <w:t xml:space="preserve"> 10%</w:t>
            </w:r>
            <w:r>
              <w:rPr>
                <w:rFonts w:hint="eastAsia" w:ascii="仿宋" w:hAnsi="仿宋" w:eastAsia="仿宋" w:cs="仿宋"/>
                <w:b w:val="0"/>
                <w:color w:val="auto"/>
                <w:sz w:val="24"/>
                <w:szCs w:val="24"/>
                <w:highlight w:val="none"/>
                <w:u w:val="single"/>
                <w:lang w:val="en-US" w:eastAsia="zh-CN"/>
              </w:rPr>
              <w:t xml:space="preserve"> </w:t>
            </w:r>
            <w:r>
              <w:rPr>
                <w:rFonts w:hint="eastAsia" w:ascii="仿宋" w:hAnsi="仿宋" w:eastAsia="仿宋" w:cs="仿宋"/>
                <w:b w:val="0"/>
                <w:color w:val="auto"/>
                <w:sz w:val="24"/>
                <w:szCs w:val="24"/>
                <w:highlight w:val="none"/>
              </w:rPr>
              <w:t>。</w:t>
            </w:r>
          </w:p>
          <w:p w14:paraId="71FE6AD0">
            <w:pPr>
              <w:pStyle w:val="81"/>
              <w:keepNext w:val="0"/>
              <w:keepLines w:val="0"/>
              <w:pageBreakBefore w:val="0"/>
              <w:widowControl w:val="0"/>
              <w:kinsoku/>
              <w:wordWrap/>
              <w:overflowPunct/>
              <w:topLinePunct w:val="0"/>
              <w:bidi w:val="0"/>
              <w:snapToGrid/>
              <w:spacing w:before="0" w:beforeAutospacing="0" w:after="0" w:afterAutospacing="0" w:line="400" w:lineRule="exact"/>
              <w:jc w:val="both"/>
              <w:textAlignment w:val="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w:t>
            </w:r>
            <w:r>
              <w:rPr>
                <w:rFonts w:hint="eastAsia" w:ascii="仿宋" w:hAnsi="仿宋" w:eastAsia="仿宋" w:cs="仿宋"/>
                <w:b w:val="0"/>
                <w:color w:val="auto"/>
                <w:sz w:val="24"/>
                <w:szCs w:val="24"/>
                <w:highlight w:val="none"/>
                <w:lang w:val="en-US" w:eastAsia="zh-CN"/>
              </w:rPr>
              <w:t>.</w:t>
            </w:r>
            <w:r>
              <w:rPr>
                <w:rFonts w:hint="eastAsia" w:ascii="仿宋" w:hAnsi="仿宋" w:eastAsia="仿宋" w:cs="仿宋"/>
                <w:b w:val="0"/>
                <w:color w:val="auto"/>
                <w:sz w:val="24"/>
                <w:szCs w:val="24"/>
                <w:highlight w:val="none"/>
              </w:rPr>
              <w:t>监狱企业价格扣除：</w:t>
            </w:r>
            <w:r>
              <w:rPr>
                <w:rFonts w:hint="eastAsia" w:ascii="仿宋" w:hAnsi="仿宋" w:eastAsia="仿宋" w:cs="仿宋"/>
                <w:b w:val="0"/>
                <w:color w:val="auto"/>
                <w:sz w:val="24"/>
                <w:szCs w:val="24"/>
                <w:highlight w:val="none"/>
                <w:u w:val="none"/>
              </w:rPr>
              <w:t>同小型和微型企业</w:t>
            </w:r>
            <w:r>
              <w:rPr>
                <w:rFonts w:hint="eastAsia" w:ascii="仿宋" w:hAnsi="仿宋" w:eastAsia="仿宋" w:cs="仿宋"/>
                <w:b w:val="0"/>
                <w:color w:val="auto"/>
                <w:sz w:val="24"/>
                <w:szCs w:val="24"/>
                <w:highlight w:val="none"/>
              </w:rPr>
              <w:t>。</w:t>
            </w:r>
          </w:p>
          <w:p w14:paraId="63F5BC12">
            <w:pPr>
              <w:pStyle w:val="81"/>
              <w:keepNext w:val="0"/>
              <w:keepLines w:val="0"/>
              <w:pageBreakBefore w:val="0"/>
              <w:widowControl w:val="0"/>
              <w:kinsoku/>
              <w:wordWrap/>
              <w:overflowPunct/>
              <w:topLinePunct w:val="0"/>
              <w:bidi w:val="0"/>
              <w:snapToGrid/>
              <w:spacing w:before="0" w:beforeAutospacing="0" w:after="0" w:afterAutospacing="0" w:line="400" w:lineRule="exact"/>
              <w:jc w:val="both"/>
              <w:textAlignment w:val="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w:t>
            </w:r>
            <w:r>
              <w:rPr>
                <w:rFonts w:hint="eastAsia" w:ascii="仿宋" w:hAnsi="仿宋" w:eastAsia="仿宋" w:cs="仿宋"/>
                <w:b w:val="0"/>
                <w:color w:val="auto"/>
                <w:sz w:val="24"/>
                <w:szCs w:val="24"/>
                <w:highlight w:val="none"/>
                <w:lang w:val="en-US" w:eastAsia="zh-CN"/>
              </w:rPr>
              <w:t>.</w:t>
            </w:r>
            <w:r>
              <w:rPr>
                <w:rFonts w:hint="eastAsia" w:ascii="仿宋" w:hAnsi="仿宋" w:eastAsia="仿宋" w:cs="仿宋"/>
                <w:b w:val="0"/>
                <w:color w:val="auto"/>
                <w:sz w:val="24"/>
                <w:szCs w:val="24"/>
                <w:highlight w:val="none"/>
              </w:rPr>
              <w:t>残疾人福利性单位价格扣除：</w:t>
            </w:r>
            <w:r>
              <w:rPr>
                <w:rFonts w:hint="eastAsia" w:ascii="仿宋" w:hAnsi="仿宋" w:eastAsia="仿宋" w:cs="仿宋"/>
                <w:b w:val="0"/>
                <w:color w:val="auto"/>
                <w:sz w:val="24"/>
                <w:szCs w:val="24"/>
                <w:highlight w:val="none"/>
                <w:u w:val="none"/>
              </w:rPr>
              <w:t>同小型和微型企业</w:t>
            </w:r>
            <w:r>
              <w:rPr>
                <w:rFonts w:hint="eastAsia" w:ascii="仿宋" w:hAnsi="仿宋" w:eastAsia="仿宋" w:cs="仿宋"/>
                <w:b w:val="0"/>
                <w:color w:val="auto"/>
                <w:sz w:val="24"/>
                <w:szCs w:val="24"/>
                <w:highlight w:val="none"/>
              </w:rPr>
              <w:t>。</w:t>
            </w:r>
          </w:p>
          <w:p w14:paraId="400137EB">
            <w:pPr>
              <w:pStyle w:val="81"/>
              <w:keepNext w:val="0"/>
              <w:keepLines w:val="0"/>
              <w:pageBreakBefore w:val="0"/>
              <w:widowControl w:val="0"/>
              <w:kinsoku/>
              <w:wordWrap/>
              <w:overflowPunct/>
              <w:topLinePunct w:val="0"/>
              <w:bidi w:val="0"/>
              <w:snapToGrid/>
              <w:spacing w:before="0" w:beforeAutospacing="0" w:after="0" w:afterAutospacing="0" w:line="400" w:lineRule="exact"/>
              <w:jc w:val="both"/>
              <w:textAlignment w:val="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4</w:t>
            </w:r>
            <w:r>
              <w:rPr>
                <w:rFonts w:hint="eastAsia" w:ascii="仿宋" w:hAnsi="仿宋" w:eastAsia="仿宋" w:cs="仿宋"/>
                <w:b w:val="0"/>
                <w:color w:val="auto"/>
                <w:sz w:val="24"/>
                <w:szCs w:val="24"/>
                <w:highlight w:val="none"/>
                <w:lang w:val="en-US" w:eastAsia="zh-CN"/>
              </w:rPr>
              <w:t>.</w:t>
            </w:r>
            <w:r>
              <w:rPr>
                <w:rFonts w:hint="eastAsia" w:ascii="仿宋" w:hAnsi="仿宋" w:eastAsia="仿宋" w:cs="仿宋"/>
                <w:b w:val="0"/>
                <w:color w:val="auto"/>
                <w:sz w:val="24"/>
                <w:szCs w:val="24"/>
                <w:highlight w:val="none"/>
              </w:rPr>
              <w:t>符合条件的联合体价格扣除：</w:t>
            </w:r>
            <w:r>
              <w:rPr>
                <w:rFonts w:hint="eastAsia" w:ascii="仿宋" w:hAnsi="仿宋" w:eastAsia="仿宋" w:cs="仿宋"/>
                <w:b w:val="0"/>
                <w:color w:val="auto"/>
                <w:sz w:val="24"/>
                <w:szCs w:val="24"/>
                <w:highlight w:val="none"/>
                <w:u w:val="single"/>
                <w:lang w:val="en-US" w:eastAsia="zh-CN"/>
              </w:rPr>
              <w:t xml:space="preserve"> / </w:t>
            </w:r>
            <w:r>
              <w:rPr>
                <w:rFonts w:hint="eastAsia" w:ascii="仿宋" w:hAnsi="仿宋" w:eastAsia="仿宋" w:cs="仿宋"/>
                <w:b w:val="0"/>
                <w:color w:val="auto"/>
                <w:sz w:val="24"/>
                <w:szCs w:val="24"/>
                <w:highlight w:val="none"/>
              </w:rPr>
              <w:t>。</w:t>
            </w:r>
          </w:p>
          <w:p w14:paraId="6F143CD9">
            <w:pPr>
              <w:pStyle w:val="81"/>
              <w:keepNext w:val="0"/>
              <w:keepLines w:val="0"/>
              <w:pageBreakBefore w:val="0"/>
              <w:widowControl w:val="0"/>
              <w:kinsoku/>
              <w:wordWrap/>
              <w:overflowPunct/>
              <w:topLinePunct w:val="0"/>
              <w:bidi w:val="0"/>
              <w:snapToGrid/>
              <w:spacing w:before="0" w:beforeAutospacing="0" w:after="0" w:afterAutospacing="0" w:line="400" w:lineRule="exact"/>
              <w:jc w:val="both"/>
              <w:textAlignment w:val="auto"/>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color w:val="auto"/>
                <w:sz w:val="24"/>
                <w:szCs w:val="24"/>
                <w:highlight w:val="none"/>
              </w:rPr>
              <w:t>5</w:t>
            </w:r>
            <w:r>
              <w:rPr>
                <w:rFonts w:hint="eastAsia" w:ascii="仿宋" w:hAnsi="仿宋" w:eastAsia="仿宋" w:cs="仿宋"/>
                <w:b w:val="0"/>
                <w:color w:val="auto"/>
                <w:sz w:val="24"/>
                <w:szCs w:val="24"/>
                <w:highlight w:val="none"/>
                <w:lang w:val="en-US" w:eastAsia="zh-CN"/>
              </w:rPr>
              <w:t>.</w:t>
            </w:r>
            <w:r>
              <w:rPr>
                <w:rFonts w:hint="eastAsia" w:ascii="仿宋" w:hAnsi="仿宋" w:eastAsia="仿宋" w:cs="仿宋"/>
                <w:b w:val="0"/>
                <w:color w:val="auto"/>
                <w:sz w:val="24"/>
                <w:szCs w:val="24"/>
                <w:highlight w:val="none"/>
              </w:rPr>
              <w:t>符合条件的向小微企业分包的大中型企业价格扣除：</w:t>
            </w:r>
            <w:r>
              <w:rPr>
                <w:rFonts w:hint="eastAsia" w:ascii="仿宋" w:hAnsi="仿宋" w:eastAsia="仿宋" w:cs="仿宋"/>
                <w:b w:val="0"/>
                <w:color w:val="auto"/>
                <w:sz w:val="24"/>
                <w:szCs w:val="24"/>
                <w:highlight w:val="none"/>
                <w:u w:val="single"/>
                <w:lang w:val="en-US" w:eastAsia="zh-CN"/>
              </w:rPr>
              <w:t xml:space="preserve"> / </w:t>
            </w:r>
            <w:r>
              <w:rPr>
                <w:rFonts w:hint="eastAsia" w:ascii="仿宋" w:hAnsi="仿宋" w:eastAsia="仿宋" w:cs="仿宋"/>
                <w:b w:val="0"/>
                <w:color w:val="auto"/>
                <w:sz w:val="24"/>
                <w:szCs w:val="24"/>
                <w:highlight w:val="none"/>
              </w:rPr>
              <w:t>。</w:t>
            </w:r>
            <w:r>
              <w:rPr>
                <w:rFonts w:hint="eastAsia" w:ascii="仿宋" w:hAnsi="仿宋" w:eastAsia="仿宋" w:cs="仿宋"/>
                <w:b w:val="0"/>
                <w:i w:val="0"/>
                <w:iCs/>
                <w:color w:val="auto"/>
                <w:sz w:val="24"/>
                <w:szCs w:val="24"/>
                <w:highlight w:val="none"/>
              </w:rPr>
              <w:t>（允许大中型企业向小微企业分包的项目适用）</w:t>
            </w:r>
          </w:p>
        </w:tc>
      </w:tr>
      <w:tr w14:paraId="3C7118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397" w:hRule="atLeast"/>
        </w:trPr>
        <w:tc>
          <w:tcPr>
            <w:tcW w:w="970" w:type="dxa"/>
            <w:vAlign w:val="center"/>
          </w:tcPr>
          <w:p w14:paraId="30ADB108">
            <w:pPr>
              <w:pStyle w:val="49"/>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41.5</w:t>
            </w:r>
          </w:p>
        </w:tc>
        <w:tc>
          <w:tcPr>
            <w:tcW w:w="1744" w:type="dxa"/>
            <w:vAlign w:val="center"/>
          </w:tcPr>
          <w:p w14:paraId="2419A37F">
            <w:pPr>
              <w:pStyle w:val="49"/>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标的所属行业</w:t>
            </w:r>
          </w:p>
        </w:tc>
        <w:tc>
          <w:tcPr>
            <w:tcW w:w="6694" w:type="dxa"/>
            <w:vAlign w:val="bottom"/>
          </w:tcPr>
          <w:p w14:paraId="3896F7FF">
            <w:pPr>
              <w:keepNext w:val="0"/>
              <w:keepLines w:val="0"/>
              <w:pageBreakBefore w:val="0"/>
              <w:widowControl/>
              <w:suppressLineNumbers w:val="0"/>
              <w:kinsoku/>
              <w:wordWrap/>
              <w:overflowPunct/>
              <w:topLinePunct w:val="0"/>
              <w:bidi w:val="0"/>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本项目采购标的对应的中小企业划分标准所属行业：</w:t>
            </w:r>
          </w:p>
          <w:tbl>
            <w:tblPr>
              <w:tblStyle w:val="31"/>
              <w:tblW w:w="61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1824"/>
              <w:gridCol w:w="3245"/>
            </w:tblGrid>
            <w:tr w14:paraId="40416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center"/>
                </w:tcPr>
                <w:p w14:paraId="232E2DFB">
                  <w:pPr>
                    <w:keepNext w:val="0"/>
                    <w:keepLines w:val="0"/>
                    <w:pageBreakBefore w:val="0"/>
                    <w:widowControl/>
                    <w:suppressLineNumbers w:val="0"/>
                    <w:kinsoku/>
                    <w:wordWrap/>
                    <w:overflowPunct/>
                    <w:topLinePunct w:val="0"/>
                    <w:bidi w:val="0"/>
                    <w:snapToGrid/>
                    <w:spacing w:line="400" w:lineRule="exact"/>
                    <w:jc w:val="center"/>
                    <w:textAlignment w:val="auto"/>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lang w:val="en-US" w:eastAsia="zh-CN" w:bidi="ar"/>
                    </w:rPr>
                    <w:t>包号</w:t>
                  </w:r>
                </w:p>
              </w:tc>
              <w:tc>
                <w:tcPr>
                  <w:tcW w:w="1824" w:type="dxa"/>
                  <w:vAlign w:val="center"/>
                </w:tcPr>
                <w:p w14:paraId="37990684">
                  <w:pPr>
                    <w:keepNext w:val="0"/>
                    <w:keepLines w:val="0"/>
                    <w:pageBreakBefore w:val="0"/>
                    <w:widowControl/>
                    <w:suppressLineNumbers w:val="0"/>
                    <w:kinsoku/>
                    <w:wordWrap/>
                    <w:overflowPunct/>
                    <w:topLinePunct w:val="0"/>
                    <w:bidi w:val="0"/>
                    <w:snapToGrid/>
                    <w:spacing w:line="400" w:lineRule="exact"/>
                    <w:jc w:val="center"/>
                    <w:textAlignment w:val="auto"/>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lang w:val="en-US" w:eastAsia="zh-CN" w:bidi="ar"/>
                    </w:rPr>
                    <w:t>标的名称</w:t>
                  </w:r>
                </w:p>
              </w:tc>
              <w:tc>
                <w:tcPr>
                  <w:tcW w:w="3245" w:type="dxa"/>
                  <w:vAlign w:val="center"/>
                </w:tcPr>
                <w:p w14:paraId="6F1F51FC">
                  <w:pPr>
                    <w:keepNext w:val="0"/>
                    <w:keepLines w:val="0"/>
                    <w:pageBreakBefore w:val="0"/>
                    <w:widowControl/>
                    <w:suppressLineNumbers w:val="0"/>
                    <w:kinsoku/>
                    <w:wordWrap/>
                    <w:overflowPunct/>
                    <w:topLinePunct w:val="0"/>
                    <w:bidi w:val="0"/>
                    <w:snapToGrid/>
                    <w:spacing w:line="400" w:lineRule="exact"/>
                    <w:jc w:val="center"/>
                    <w:textAlignment w:val="auto"/>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lang w:val="en-US" w:eastAsia="zh-CN" w:bidi="ar"/>
                    </w:rPr>
                    <w:t>中小企业划分标准所属行业</w:t>
                  </w:r>
                </w:p>
              </w:tc>
            </w:tr>
            <w:tr w14:paraId="60623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center"/>
                </w:tcPr>
                <w:p w14:paraId="1E4B46C9">
                  <w:pPr>
                    <w:keepNext w:val="0"/>
                    <w:keepLines w:val="0"/>
                    <w:pageBreakBefore w:val="0"/>
                    <w:widowControl/>
                    <w:suppressLineNumbers w:val="0"/>
                    <w:kinsoku/>
                    <w:wordWrap/>
                    <w:overflowPunct/>
                    <w:topLinePunct w:val="0"/>
                    <w:bidi w:val="0"/>
                    <w:snapToGrid/>
                    <w:spacing w:line="400" w:lineRule="exact"/>
                    <w:jc w:val="center"/>
                    <w:textAlignment w:val="auto"/>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第1包</w:t>
                  </w:r>
                </w:p>
              </w:tc>
              <w:tc>
                <w:tcPr>
                  <w:tcW w:w="1824" w:type="dxa"/>
                  <w:vAlign w:val="center"/>
                </w:tcPr>
                <w:p w14:paraId="13933742">
                  <w:pPr>
                    <w:keepNext w:val="0"/>
                    <w:keepLines w:val="0"/>
                    <w:pageBreakBefore w:val="0"/>
                    <w:widowControl/>
                    <w:suppressLineNumbers w:val="0"/>
                    <w:kinsoku/>
                    <w:wordWrap/>
                    <w:overflowPunct/>
                    <w:topLinePunct w:val="0"/>
                    <w:bidi w:val="0"/>
                    <w:snapToGrid/>
                    <w:spacing w:line="400" w:lineRule="exact"/>
                    <w:jc w:val="center"/>
                    <w:textAlignment w:val="auto"/>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lang w:bidi="ar"/>
                    </w:rPr>
                    <w:t>防洪规划</w:t>
                  </w:r>
                </w:p>
              </w:tc>
              <w:tc>
                <w:tcPr>
                  <w:tcW w:w="3245" w:type="dxa"/>
                  <w:vAlign w:val="center"/>
                </w:tcPr>
                <w:p w14:paraId="18862272">
                  <w:pPr>
                    <w:keepNext w:val="0"/>
                    <w:keepLines w:val="0"/>
                    <w:pageBreakBefore w:val="0"/>
                    <w:widowControl/>
                    <w:suppressLineNumbers w:val="0"/>
                    <w:kinsoku/>
                    <w:wordWrap/>
                    <w:overflowPunct/>
                    <w:topLinePunct w:val="0"/>
                    <w:bidi w:val="0"/>
                    <w:snapToGrid/>
                    <w:spacing w:line="400" w:lineRule="exact"/>
                    <w:jc w:val="center"/>
                    <w:textAlignment w:val="auto"/>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其他未列明行业</w:t>
                  </w:r>
                </w:p>
              </w:tc>
            </w:tr>
          </w:tbl>
          <w:p w14:paraId="323ED277">
            <w:pPr>
              <w:pStyle w:val="49"/>
              <w:keepNext w:val="0"/>
              <w:keepLines w:val="0"/>
              <w:pageBreakBefore w:val="0"/>
              <w:kinsoku/>
              <w:wordWrap/>
              <w:overflowPunct/>
              <w:topLinePunct w:val="0"/>
              <w:bidi w:val="0"/>
              <w:snapToGrid/>
              <w:spacing w:line="400" w:lineRule="exact"/>
              <w:jc w:val="both"/>
              <w:textAlignment w:val="auto"/>
              <w:rPr>
                <w:rFonts w:hint="eastAsia" w:ascii="仿宋" w:hAnsi="仿宋" w:eastAsia="仿宋" w:cs="仿宋"/>
                <w:color w:val="auto"/>
                <w:sz w:val="24"/>
                <w:szCs w:val="24"/>
                <w:highlight w:val="none"/>
              </w:rPr>
            </w:pPr>
          </w:p>
        </w:tc>
      </w:tr>
      <w:tr w14:paraId="541422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2538" w:hRule="atLeast"/>
        </w:trPr>
        <w:tc>
          <w:tcPr>
            <w:tcW w:w="970" w:type="dxa"/>
            <w:tcBorders>
              <w:right w:val="single" w:color="auto" w:sz="4" w:space="0"/>
            </w:tcBorders>
            <w:vAlign w:val="center"/>
          </w:tcPr>
          <w:p w14:paraId="415E3C24">
            <w:pPr>
              <w:pStyle w:val="49"/>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2</w:t>
            </w:r>
          </w:p>
        </w:tc>
        <w:tc>
          <w:tcPr>
            <w:tcW w:w="1744" w:type="dxa"/>
            <w:tcBorders>
              <w:right w:val="single" w:color="auto" w:sz="4" w:space="0"/>
            </w:tcBorders>
            <w:vAlign w:val="center"/>
          </w:tcPr>
          <w:p w14:paraId="041F8C33">
            <w:pPr>
              <w:pStyle w:val="49"/>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需要补充的其他内容</w:t>
            </w:r>
          </w:p>
        </w:tc>
        <w:tc>
          <w:tcPr>
            <w:tcW w:w="6694" w:type="dxa"/>
            <w:tcBorders>
              <w:left w:val="single" w:color="auto" w:sz="4" w:space="0"/>
            </w:tcBorders>
            <w:vAlign w:val="center"/>
          </w:tcPr>
          <w:p w14:paraId="56969CA5">
            <w:pPr>
              <w:pStyle w:val="49"/>
              <w:keepNext w:val="0"/>
              <w:keepLines w:val="0"/>
              <w:pageBreakBefore w:val="0"/>
              <w:numPr>
                <w:ilvl w:val="0"/>
                <w:numId w:val="6"/>
              </w:numPr>
              <w:kinsoku/>
              <w:wordWrap/>
              <w:overflowPunct/>
              <w:topLinePunct w:val="0"/>
              <w:bidi w:val="0"/>
              <w:snapToGrid/>
              <w:spacing w:line="40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本项目的招标投标活动以及相关当事人须接受财政监督部门依法实施的监督。</w:t>
            </w:r>
          </w:p>
          <w:p w14:paraId="5497BC32">
            <w:pPr>
              <w:pStyle w:val="49"/>
              <w:keepNext w:val="0"/>
              <w:keepLines w:val="0"/>
              <w:pageBreakBefore w:val="0"/>
              <w:numPr>
                <w:ilvl w:val="0"/>
                <w:numId w:val="6"/>
              </w:numPr>
              <w:kinsoku/>
              <w:wordWrap/>
              <w:overflowPunct/>
              <w:topLinePunct w:val="0"/>
              <w:bidi w:val="0"/>
              <w:snapToGrid/>
              <w:spacing w:line="40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单位负责人为同一人或者存在直接控股、管理关系的不同供应商，不得参加同一合同项下的政府采购活动。</w:t>
            </w:r>
          </w:p>
          <w:p w14:paraId="1050BA13">
            <w:pPr>
              <w:pStyle w:val="49"/>
              <w:keepNext w:val="0"/>
              <w:keepLines w:val="0"/>
              <w:pageBreakBefore w:val="0"/>
              <w:numPr>
                <w:ilvl w:val="0"/>
                <w:numId w:val="6"/>
              </w:numPr>
              <w:kinsoku/>
              <w:wordWrap/>
              <w:overflowPunct/>
              <w:topLinePunct w:val="0"/>
              <w:bidi w:val="0"/>
              <w:snapToGrid/>
              <w:spacing w:line="40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中标人在领取中标通知书时须向采购代理机构递交纸质</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lang w:eastAsia="zh-CN"/>
              </w:rPr>
              <w:t>文件两份。</w:t>
            </w:r>
          </w:p>
        </w:tc>
      </w:tr>
      <w:tr w14:paraId="4C68CB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397" w:hRule="atLeast"/>
        </w:trPr>
        <w:tc>
          <w:tcPr>
            <w:tcW w:w="9408" w:type="dxa"/>
            <w:gridSpan w:val="3"/>
            <w:vAlign w:val="center"/>
          </w:tcPr>
          <w:p w14:paraId="1542F6BC">
            <w:pPr>
              <w:pStyle w:val="49"/>
              <w:keepNext w:val="0"/>
              <w:keepLines w:val="0"/>
              <w:pageBreakBefore w:val="0"/>
              <w:kinsoku/>
              <w:wordWrap/>
              <w:overflowPunct/>
              <w:topLinePunct w:val="0"/>
              <w:bidi w:val="0"/>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备注:</w:t>
            </w:r>
            <w:r>
              <w:rPr>
                <w:rFonts w:hint="eastAsia" w:ascii="仿宋" w:hAnsi="仿宋" w:eastAsia="仿宋" w:cs="仿宋"/>
                <w:color w:val="auto"/>
                <w:sz w:val="24"/>
                <w:szCs w:val="24"/>
                <w:highlight w:val="none"/>
              </w:rPr>
              <w:t>1.除本招标文件另有规定外，招标文件中出现的类似于“近三年”或“前三年”、“近五年”或“前五年”均指递交投标文件</w:t>
            </w:r>
            <w:r>
              <w:rPr>
                <w:rFonts w:hint="eastAsia" w:ascii="仿宋" w:hAnsi="仿宋" w:eastAsia="仿宋" w:cs="仿宋"/>
                <w:color w:val="auto"/>
                <w:sz w:val="24"/>
                <w:szCs w:val="24"/>
                <w:highlight w:val="none"/>
                <w:lang w:val="en-US" w:eastAsia="zh-CN"/>
              </w:rPr>
              <w:t>截止</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lang w:val="en-US" w:eastAsia="zh-CN"/>
              </w:rPr>
              <w:t>之</w:t>
            </w:r>
            <w:r>
              <w:rPr>
                <w:rFonts w:hint="eastAsia" w:ascii="仿宋" w:hAnsi="仿宋" w:eastAsia="仿宋" w:cs="仿宋"/>
                <w:color w:val="auto"/>
                <w:sz w:val="24"/>
                <w:szCs w:val="24"/>
                <w:highlight w:val="none"/>
              </w:rPr>
              <w:t>前三年或前五年，以此类推。如：递交投标文件时间为</w:t>
            </w:r>
            <w:r>
              <w:rPr>
                <w:rFonts w:hint="eastAsia" w:ascii="仿宋" w:hAnsi="仿宋" w:eastAsia="仿宋" w:cs="仿宋"/>
                <w:color w:val="auto"/>
                <w:sz w:val="24"/>
                <w:szCs w:val="24"/>
                <w:highlight w:val="none"/>
                <w:lang w:val="en-US" w:eastAsia="zh-CN"/>
              </w:rPr>
              <w:t>2025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08</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rPr>
              <w:t>日，则“近三年”是指</w:t>
            </w:r>
            <w:r>
              <w:rPr>
                <w:rFonts w:hint="eastAsia" w:ascii="仿宋" w:hAnsi="仿宋" w:eastAsia="仿宋" w:cs="仿宋"/>
                <w:color w:val="auto"/>
                <w:sz w:val="24"/>
                <w:szCs w:val="24"/>
                <w:highlight w:val="none"/>
                <w:lang w:val="en-US" w:eastAsia="zh-CN"/>
              </w:rPr>
              <w:t>2022</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01</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01</w:t>
            </w:r>
            <w:r>
              <w:rPr>
                <w:rFonts w:hint="eastAsia" w:ascii="仿宋" w:hAnsi="仿宋" w:eastAsia="仿宋" w:cs="仿宋"/>
                <w:color w:val="auto"/>
                <w:sz w:val="24"/>
                <w:szCs w:val="24"/>
                <w:highlight w:val="none"/>
              </w:rPr>
              <w:t>日至</w:t>
            </w:r>
            <w:r>
              <w:rPr>
                <w:rFonts w:hint="eastAsia" w:ascii="仿宋" w:hAnsi="仿宋" w:eastAsia="仿宋" w:cs="仿宋"/>
                <w:color w:val="auto"/>
                <w:sz w:val="24"/>
                <w:szCs w:val="24"/>
                <w:highlight w:val="none"/>
                <w:lang w:val="en-US" w:eastAsia="zh-CN"/>
              </w:rPr>
              <w:t>今</w:t>
            </w:r>
            <w:r>
              <w:rPr>
                <w:rFonts w:hint="eastAsia" w:ascii="仿宋" w:hAnsi="仿宋" w:eastAsia="仿宋" w:cs="仿宋"/>
                <w:color w:val="auto"/>
                <w:sz w:val="24"/>
                <w:szCs w:val="24"/>
                <w:highlight w:val="none"/>
              </w:rPr>
              <w:t>。</w:t>
            </w:r>
          </w:p>
          <w:p w14:paraId="40186F65">
            <w:pPr>
              <w:pStyle w:val="49"/>
              <w:keepNext w:val="0"/>
              <w:keepLines w:val="0"/>
              <w:pageBreakBefore w:val="0"/>
              <w:kinsoku/>
              <w:wordWrap/>
              <w:overflowPunct/>
              <w:topLinePunct w:val="0"/>
              <w:bidi w:val="0"/>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2.本招标文件所称的“以上”、“以下”、“内”、“以内”，包括本数；所称的“不足”，不包括本数。</w:t>
            </w:r>
          </w:p>
        </w:tc>
      </w:tr>
    </w:tbl>
    <w:p w14:paraId="41287273">
      <w:pPr>
        <w:rPr>
          <w:rFonts w:hint="eastAsia" w:ascii="仿宋" w:hAnsi="仿宋" w:eastAsia="仿宋" w:cs="仿宋"/>
          <w:color w:val="auto"/>
          <w:highlight w:val="none"/>
        </w:rPr>
      </w:pPr>
    </w:p>
    <w:p w14:paraId="4C43BCBF">
      <w:pPr>
        <w:rPr>
          <w:rFonts w:hint="eastAsia" w:ascii="仿宋" w:hAnsi="仿宋" w:eastAsia="仿宋" w:cs="仿宋"/>
          <w:b/>
          <w:bCs/>
          <w:color w:val="auto"/>
          <w:kern w:val="2"/>
          <w:sz w:val="32"/>
          <w:szCs w:val="32"/>
          <w:highlight w:val="none"/>
          <w:lang w:val="en-US" w:eastAsia="zh-CN" w:bidi="ar-SA"/>
        </w:rPr>
      </w:pPr>
      <w:bookmarkStart w:id="109" w:name="_Toc155185869"/>
      <w:r>
        <w:rPr>
          <w:rFonts w:hint="eastAsia" w:ascii="仿宋" w:hAnsi="仿宋" w:eastAsia="仿宋" w:cs="仿宋"/>
          <w:b/>
          <w:bCs/>
          <w:color w:val="auto"/>
          <w:kern w:val="2"/>
          <w:sz w:val="32"/>
          <w:szCs w:val="32"/>
          <w:highlight w:val="none"/>
          <w:lang w:val="en-US" w:eastAsia="zh-CN" w:bidi="ar-SA"/>
        </w:rPr>
        <w:br w:type="page"/>
      </w:r>
    </w:p>
    <w:p w14:paraId="247861F7">
      <w:pPr>
        <w:pStyle w:val="13"/>
        <w:keepNext w:val="0"/>
        <w:keepLines w:val="0"/>
        <w:pageBreakBefore w:val="0"/>
        <w:widowControl/>
        <w:kinsoku w:val="0"/>
        <w:overflowPunct/>
        <w:topLinePunct w:val="0"/>
        <w:autoSpaceDE w:val="0"/>
        <w:autoSpaceDN w:val="0"/>
        <w:bidi w:val="0"/>
        <w:adjustRightInd w:val="0"/>
        <w:snapToGrid w:val="0"/>
        <w:spacing w:before="91" w:after="0" w:line="440" w:lineRule="exact"/>
        <w:ind w:left="29"/>
        <w:jc w:val="left"/>
        <w:textAlignment w:val="baseline"/>
        <w:outlineLvl w:val="1"/>
        <w:rPr>
          <w:rFonts w:hint="eastAsia" w:ascii="仿宋" w:hAnsi="仿宋" w:eastAsia="仿宋" w:cs="仿宋"/>
          <w:b/>
          <w:bCs/>
          <w:snapToGrid w:val="0"/>
          <w:color w:val="auto"/>
          <w:spacing w:val="-4"/>
          <w:kern w:val="0"/>
          <w:sz w:val="28"/>
          <w:szCs w:val="28"/>
          <w:lang w:val="en-US" w:eastAsia="zh-CN"/>
        </w:rPr>
      </w:pPr>
      <w:bookmarkStart w:id="110" w:name="_Toc18554"/>
      <w:r>
        <w:rPr>
          <w:rFonts w:hint="eastAsia" w:ascii="仿宋" w:hAnsi="仿宋" w:eastAsia="仿宋" w:cs="仿宋"/>
          <w:b/>
          <w:bCs/>
          <w:snapToGrid w:val="0"/>
          <w:color w:val="auto"/>
          <w:spacing w:val="-4"/>
          <w:kern w:val="0"/>
          <w:sz w:val="28"/>
          <w:szCs w:val="28"/>
          <w:lang w:val="en-US" w:eastAsia="zh-CN"/>
        </w:rPr>
        <w:t>二、投标人须知</w:t>
      </w:r>
      <w:bookmarkEnd w:id="109"/>
      <w:bookmarkEnd w:id="110"/>
    </w:p>
    <w:p w14:paraId="28E39708">
      <w:pPr>
        <w:pStyle w:val="4"/>
        <w:keepNext w:val="0"/>
        <w:keepLines w:val="0"/>
        <w:pageBreakBefore w:val="0"/>
        <w:widowControl w:val="0"/>
        <w:numPr>
          <w:ilvl w:val="0"/>
          <w:numId w:val="0"/>
        </w:numPr>
        <w:kinsoku/>
        <w:wordWrap/>
        <w:overflowPunct/>
        <w:topLinePunct w:val="0"/>
        <w:autoSpaceDE/>
        <w:autoSpaceDN/>
        <w:bidi w:val="0"/>
        <w:adjustRightInd/>
        <w:snapToGrid/>
        <w:spacing w:before="120" w:after="120" w:line="440" w:lineRule="exact"/>
        <w:ind w:left="420" w:leftChars="0" w:hanging="420" w:firstLineChars="0"/>
        <w:textAlignment w:val="auto"/>
        <w:rPr>
          <w:rFonts w:hint="eastAsia" w:ascii="仿宋" w:hAnsi="仿宋" w:eastAsia="仿宋" w:cs="仿宋"/>
          <w:b/>
          <w:bCs/>
          <w:color w:val="auto"/>
          <w:kern w:val="2"/>
          <w:sz w:val="24"/>
          <w:szCs w:val="24"/>
          <w:highlight w:val="none"/>
          <w:lang w:val="en-US" w:eastAsia="zh-CN" w:bidi="ar-SA"/>
        </w:rPr>
      </w:pPr>
      <w:bookmarkStart w:id="111" w:name="_Toc155185870"/>
      <w:bookmarkStart w:id="112" w:name="_Toc28135"/>
      <w:bookmarkStart w:id="113" w:name="_Toc163492822"/>
      <w:bookmarkStart w:id="114" w:name="_Toc5011"/>
      <w:bookmarkStart w:id="115" w:name="_Toc9308"/>
      <w:r>
        <w:rPr>
          <w:rFonts w:hint="eastAsia" w:ascii="仿宋" w:hAnsi="仿宋" w:eastAsia="仿宋" w:cs="仿宋"/>
          <w:b/>
          <w:bCs/>
          <w:color w:val="auto"/>
          <w:kern w:val="2"/>
          <w:sz w:val="24"/>
          <w:szCs w:val="24"/>
          <w:highlight w:val="none"/>
          <w:lang w:val="en-US" w:eastAsia="zh-CN" w:bidi="ar-SA"/>
        </w:rPr>
        <w:t>（一）总则</w:t>
      </w:r>
      <w:bookmarkEnd w:id="111"/>
      <w:bookmarkEnd w:id="112"/>
      <w:bookmarkEnd w:id="113"/>
      <w:bookmarkEnd w:id="114"/>
      <w:bookmarkEnd w:id="115"/>
    </w:p>
    <w:p w14:paraId="7EAC8536">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仿宋" w:hAnsi="仿宋" w:eastAsia="仿宋" w:cs="仿宋"/>
          <w:b/>
          <w:bCs/>
          <w:color w:val="auto"/>
          <w:kern w:val="2"/>
          <w:sz w:val="24"/>
          <w:szCs w:val="24"/>
          <w:highlight w:val="none"/>
          <w:lang w:val="en-US" w:eastAsia="zh-CN" w:bidi="ar-SA"/>
        </w:rPr>
      </w:pPr>
      <w:bookmarkStart w:id="116" w:name="_Toc109900469"/>
      <w:bookmarkStart w:id="117" w:name="_Toc31233"/>
      <w:bookmarkStart w:id="118" w:name="_Toc109899631"/>
      <w:bookmarkStart w:id="119" w:name="_Toc1399"/>
      <w:bookmarkStart w:id="120" w:name="_Toc155095689"/>
      <w:bookmarkStart w:id="121" w:name="_Toc163492823"/>
      <w:bookmarkStart w:id="122" w:name="_Toc109897532"/>
      <w:bookmarkStart w:id="123" w:name="_Toc109900050"/>
      <w:bookmarkStart w:id="124" w:name="_Toc24126"/>
      <w:bookmarkStart w:id="125" w:name="_Toc22777"/>
      <w:r>
        <w:rPr>
          <w:rFonts w:hint="eastAsia" w:ascii="仿宋" w:hAnsi="仿宋" w:eastAsia="仿宋" w:cs="仿宋"/>
          <w:b/>
          <w:bCs/>
          <w:color w:val="auto"/>
          <w:kern w:val="2"/>
          <w:sz w:val="24"/>
          <w:szCs w:val="24"/>
          <w:highlight w:val="none"/>
          <w:lang w:val="en-US" w:eastAsia="zh-CN" w:bidi="ar-SA"/>
        </w:rPr>
        <w:t>1.适用范围</w:t>
      </w:r>
      <w:bookmarkEnd w:id="116"/>
      <w:bookmarkEnd w:id="117"/>
      <w:bookmarkEnd w:id="118"/>
      <w:bookmarkEnd w:id="119"/>
      <w:bookmarkEnd w:id="120"/>
      <w:bookmarkEnd w:id="121"/>
      <w:bookmarkEnd w:id="122"/>
      <w:bookmarkEnd w:id="123"/>
      <w:bookmarkEnd w:id="124"/>
      <w:bookmarkEnd w:id="125"/>
    </w:p>
    <w:p w14:paraId="6FE1679F">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1.1本招标文件仅适用于本项目的采购活动。</w:t>
      </w:r>
    </w:p>
    <w:p w14:paraId="691E2472">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仿宋" w:hAnsi="仿宋" w:eastAsia="仿宋" w:cs="仿宋"/>
          <w:b/>
          <w:bCs/>
          <w:color w:val="auto"/>
          <w:kern w:val="2"/>
          <w:sz w:val="24"/>
          <w:szCs w:val="24"/>
          <w:highlight w:val="none"/>
          <w:lang w:val="en-US" w:eastAsia="zh-CN" w:bidi="ar-SA"/>
        </w:rPr>
      </w:pPr>
      <w:bookmarkStart w:id="126" w:name="_Toc163492824"/>
      <w:bookmarkStart w:id="127" w:name="_Toc11954"/>
      <w:bookmarkStart w:id="128" w:name="_Toc8394"/>
      <w:bookmarkStart w:id="129" w:name="_Toc11043"/>
      <w:r>
        <w:rPr>
          <w:rFonts w:hint="eastAsia" w:ascii="仿宋" w:hAnsi="仿宋" w:eastAsia="仿宋" w:cs="仿宋"/>
          <w:b/>
          <w:bCs/>
          <w:color w:val="auto"/>
          <w:kern w:val="2"/>
          <w:sz w:val="24"/>
          <w:szCs w:val="24"/>
          <w:highlight w:val="none"/>
          <w:lang w:val="en-US" w:eastAsia="zh-CN" w:bidi="ar-SA"/>
        </w:rPr>
        <w:t>2.基本定义</w:t>
      </w:r>
      <w:bookmarkEnd w:id="126"/>
      <w:bookmarkEnd w:id="127"/>
      <w:bookmarkEnd w:id="128"/>
      <w:bookmarkEnd w:id="129"/>
    </w:p>
    <w:p w14:paraId="53BBE00C">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2.1根据《中华人民共和国政府采购法》及其实施条例等有关法律、法规和规章的规定，制定本招标文件。</w:t>
      </w:r>
    </w:p>
    <w:p w14:paraId="0277CBAD">
      <w:pPr>
        <w:keepNext w:val="0"/>
        <w:keepLines w:val="0"/>
        <w:pageBreakBefore w:val="0"/>
        <w:widowControl w:val="0"/>
        <w:suppressLineNumbers w:val="0"/>
        <w:kinsoku/>
        <w:overflowPunct/>
        <w:topLinePunct w:val="0"/>
        <w:autoSpaceDE/>
        <w:autoSpaceDN/>
        <w:bidi w:val="0"/>
        <w:adjustRightInd/>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2.2采购人：</w:t>
      </w:r>
      <w:r>
        <w:rPr>
          <w:rFonts w:hint="eastAsia" w:ascii="仿宋" w:hAnsi="仿宋" w:eastAsia="仿宋" w:cs="仿宋"/>
          <w:color w:val="auto"/>
          <w:kern w:val="0"/>
          <w:sz w:val="24"/>
          <w:szCs w:val="24"/>
          <w:highlight w:val="none"/>
          <w:lang w:val="en-US" w:eastAsia="zh-CN" w:bidi="ar"/>
        </w:rPr>
        <w:t>指依法进行政府采购的国家机关、事业单位、团体组织</w:t>
      </w:r>
      <w:r>
        <w:rPr>
          <w:rFonts w:hint="eastAsia" w:ascii="仿宋" w:hAnsi="仿宋" w:eastAsia="仿宋" w:cs="仿宋"/>
          <w:color w:val="auto"/>
          <w:sz w:val="24"/>
          <w:szCs w:val="24"/>
          <w:highlight w:val="none"/>
        </w:rPr>
        <w:t>。</w:t>
      </w:r>
    </w:p>
    <w:p w14:paraId="737074E5">
      <w:pPr>
        <w:keepNext w:val="0"/>
        <w:keepLines w:val="0"/>
        <w:pageBreakBefore w:val="0"/>
        <w:widowControl w:val="0"/>
        <w:suppressLineNumbers w:val="0"/>
        <w:kinsoku/>
        <w:overflowPunct/>
        <w:topLinePunct w:val="0"/>
        <w:autoSpaceDE/>
        <w:autoSpaceDN/>
        <w:bidi w:val="0"/>
        <w:adjustRightInd/>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2.3采购代理机构：</w:t>
      </w:r>
      <w:r>
        <w:rPr>
          <w:rFonts w:hint="eastAsia" w:ascii="仿宋" w:hAnsi="仿宋" w:eastAsia="仿宋" w:cs="仿宋"/>
          <w:color w:val="auto"/>
          <w:kern w:val="0"/>
          <w:sz w:val="24"/>
          <w:szCs w:val="24"/>
          <w:highlight w:val="none"/>
          <w:lang w:val="en-US" w:eastAsia="zh-CN" w:bidi="ar"/>
        </w:rPr>
        <w:t>指依法进行政府采购的国家机关、事业单位、团体组织</w:t>
      </w:r>
      <w:r>
        <w:rPr>
          <w:rFonts w:hint="eastAsia" w:ascii="仿宋" w:hAnsi="仿宋" w:eastAsia="仿宋" w:cs="仿宋"/>
          <w:color w:val="auto"/>
          <w:sz w:val="24"/>
          <w:szCs w:val="24"/>
          <w:highlight w:val="none"/>
          <w:lang w:val="en-US" w:eastAsia="zh-CN"/>
        </w:rPr>
        <w:t>委托的采购代理机构</w:t>
      </w:r>
      <w:r>
        <w:rPr>
          <w:rFonts w:hint="eastAsia" w:ascii="仿宋" w:hAnsi="仿宋" w:eastAsia="仿宋" w:cs="仿宋"/>
          <w:color w:val="auto"/>
          <w:sz w:val="24"/>
          <w:szCs w:val="24"/>
          <w:highlight w:val="none"/>
        </w:rPr>
        <w:t>。</w:t>
      </w:r>
    </w:p>
    <w:p w14:paraId="6BD96634">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2.4政府采购监督管理部门：各级人民政府财政部门是负责政府采购监督管理的部门，依法履行对政府采购活动的监督管理职责。各级人民政府其他有关部门依法履行与政府采购活动有关的监督管理职责。</w:t>
      </w:r>
    </w:p>
    <w:p w14:paraId="49B897FD">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2.5服务包含的内容见</w:t>
      </w:r>
      <w:r>
        <w:rPr>
          <w:rFonts w:hint="eastAsia" w:ascii="仿宋" w:hAnsi="仿宋" w:eastAsia="仿宋" w:cs="仿宋"/>
          <w:color w:val="auto"/>
          <w:sz w:val="24"/>
          <w:szCs w:val="24"/>
          <w:highlight w:val="none"/>
        </w:rPr>
        <w:t>“投标人须知前附表”</w:t>
      </w:r>
      <w:r>
        <w:rPr>
          <w:rFonts w:hint="eastAsia" w:ascii="仿宋" w:hAnsi="仿宋" w:eastAsia="仿宋" w:cs="仿宋"/>
          <w:color w:val="auto"/>
          <w:sz w:val="24"/>
          <w:szCs w:val="24"/>
          <w:highlight w:val="none"/>
          <w:lang w:val="en-US" w:eastAsia="zh-CN"/>
        </w:rPr>
        <w:t>。</w:t>
      </w:r>
    </w:p>
    <w:p w14:paraId="7FC391C9">
      <w:pPr>
        <w:keepNext w:val="0"/>
        <w:keepLines w:val="0"/>
        <w:pageBreakBefore w:val="0"/>
        <w:overflowPunct/>
        <w:topLinePunct w:val="0"/>
        <w:bidi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iCs/>
          <w:color w:val="auto"/>
          <w:sz w:val="24"/>
          <w:szCs w:val="24"/>
          <w:highlight w:val="none"/>
          <w:shd w:val="clear" w:color="auto" w:fill="FFFFFF" w:themeFill="background1"/>
        </w:rPr>
        <w:t>2.6投标人（也称“供应商”、“申请人”）：指向采购人提供货物、工程或者服务的法人、其他组织或者自然人。</w:t>
      </w:r>
      <w:r>
        <w:rPr>
          <w:rFonts w:hint="eastAsia" w:ascii="仿宋" w:hAnsi="仿宋" w:eastAsia="仿宋" w:cs="仿宋"/>
          <w:color w:val="auto"/>
          <w:sz w:val="24"/>
          <w:szCs w:val="24"/>
          <w:highlight w:val="none"/>
        </w:rPr>
        <w:t>分支机构不得参加政府采购活动，但银行、保险、石油石化、电力、电信等</w:t>
      </w:r>
      <w:r>
        <w:rPr>
          <w:rFonts w:hint="eastAsia" w:ascii="仿宋" w:hAnsi="仿宋" w:eastAsia="仿宋" w:cs="仿宋"/>
          <w:color w:val="auto"/>
          <w:sz w:val="24"/>
          <w:szCs w:val="24"/>
          <w:highlight w:val="none"/>
          <w:lang w:val="en-US" w:eastAsia="zh-CN"/>
        </w:rPr>
        <w:t>有</w:t>
      </w:r>
      <w:r>
        <w:rPr>
          <w:rFonts w:hint="eastAsia" w:ascii="仿宋" w:hAnsi="仿宋" w:eastAsia="仿宋" w:cs="仿宋"/>
          <w:color w:val="auto"/>
          <w:sz w:val="24"/>
          <w:szCs w:val="24"/>
          <w:highlight w:val="none"/>
        </w:rPr>
        <w:t>行业特殊</w:t>
      </w:r>
      <w:r>
        <w:rPr>
          <w:rFonts w:hint="eastAsia" w:ascii="仿宋" w:hAnsi="仿宋" w:eastAsia="仿宋" w:cs="仿宋"/>
          <w:color w:val="auto"/>
          <w:sz w:val="24"/>
          <w:szCs w:val="24"/>
          <w:highlight w:val="none"/>
          <w:lang w:val="en-US" w:eastAsia="zh-CN"/>
        </w:rPr>
        <w:t>情况的</w:t>
      </w:r>
      <w:r>
        <w:rPr>
          <w:rFonts w:hint="eastAsia" w:ascii="仿宋" w:hAnsi="仿宋" w:eastAsia="仿宋" w:cs="仿宋"/>
          <w:color w:val="auto"/>
          <w:sz w:val="24"/>
          <w:szCs w:val="24"/>
          <w:highlight w:val="none"/>
        </w:rPr>
        <w:t>除外。本项目的投标人须满足以下条件：</w:t>
      </w:r>
    </w:p>
    <w:p w14:paraId="705D68F8">
      <w:pPr>
        <w:keepNext w:val="0"/>
        <w:keepLines w:val="0"/>
        <w:pageBreakBefore w:val="0"/>
        <w:overflowPunct/>
        <w:topLinePunct w:val="0"/>
        <w:bidi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2.6.1具备《中华人民共和国政府采购法》第二十二条规定的条件，遵守本项目采购人本级和上级财政部门政府采购的有关规定。</w:t>
      </w:r>
    </w:p>
    <w:p w14:paraId="13CEDB0F">
      <w:pPr>
        <w:keepNext w:val="0"/>
        <w:keepLines w:val="0"/>
        <w:pageBreakBefore w:val="0"/>
        <w:overflowPunct/>
        <w:topLinePunct w:val="0"/>
        <w:bidi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2.6.2以招标公告中发布的方式依法获得了本项目的招标文件。</w:t>
      </w:r>
    </w:p>
    <w:p w14:paraId="4CDB8B83">
      <w:pPr>
        <w:keepNext w:val="0"/>
        <w:keepLines w:val="0"/>
        <w:pageBreakBefore w:val="0"/>
        <w:overflowPunct/>
        <w:topLinePunct w:val="0"/>
        <w:bidi w:val="0"/>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2.6.3符合本招标文件规定并参加投标的供应商。</w:t>
      </w:r>
    </w:p>
    <w:p w14:paraId="69AF741C">
      <w:pPr>
        <w:pStyle w:val="37"/>
        <w:keepNext w:val="0"/>
        <w:keepLines w:val="0"/>
        <w:pageBreakBefore w:val="0"/>
        <w:widowControl w:val="0"/>
        <w:kinsoku/>
        <w:overflowPunct/>
        <w:topLinePunct w:val="0"/>
        <w:autoSpaceDE/>
        <w:autoSpaceDN/>
        <w:bidi w:val="0"/>
        <w:adjustRightInd/>
        <w:spacing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2.7</w:t>
      </w:r>
      <w:r>
        <w:rPr>
          <w:rFonts w:hint="eastAsia" w:ascii="仿宋" w:hAnsi="仿宋" w:eastAsia="仿宋" w:cs="仿宋"/>
          <w:iCs/>
          <w:color w:val="auto"/>
          <w:sz w:val="24"/>
          <w:szCs w:val="24"/>
          <w:highlight w:val="none"/>
          <w:shd w:val="clear" w:color="auto" w:fill="FFFFFF" w:themeFill="background1"/>
        </w:rPr>
        <w:t>潜在投标人、潜在供应商</w:t>
      </w:r>
      <w:r>
        <w:rPr>
          <w:rFonts w:hint="eastAsia" w:ascii="仿宋" w:hAnsi="仿宋" w:eastAsia="仿宋" w:cs="仿宋"/>
          <w:iCs/>
          <w:color w:val="auto"/>
          <w:sz w:val="24"/>
          <w:szCs w:val="24"/>
          <w:highlight w:val="none"/>
          <w:shd w:val="clear" w:color="auto" w:fill="FFFFFF" w:themeFill="background1"/>
          <w:lang w:eastAsia="zh-CN"/>
        </w:rPr>
        <w:t>：</w:t>
      </w:r>
      <w:r>
        <w:rPr>
          <w:rFonts w:hint="eastAsia" w:ascii="仿宋" w:hAnsi="仿宋" w:eastAsia="仿宋" w:cs="仿宋"/>
          <w:iCs/>
          <w:color w:val="auto"/>
          <w:sz w:val="24"/>
          <w:szCs w:val="24"/>
          <w:highlight w:val="none"/>
          <w:shd w:val="clear" w:color="auto" w:fill="FFFFFF" w:themeFill="background1"/>
          <w:lang w:val="en-US" w:eastAsia="zh-CN"/>
        </w:rPr>
        <w:t>指</w:t>
      </w:r>
      <w:r>
        <w:rPr>
          <w:rFonts w:hint="eastAsia" w:ascii="仿宋" w:hAnsi="仿宋" w:eastAsia="仿宋" w:cs="仿宋"/>
          <w:color w:val="auto"/>
          <w:sz w:val="24"/>
          <w:szCs w:val="24"/>
          <w:highlight w:val="none"/>
          <w:lang w:val="en-US" w:eastAsia="zh-CN"/>
        </w:rPr>
        <w:t>符合本招标文件规定的供应商</w:t>
      </w:r>
      <w:r>
        <w:rPr>
          <w:rFonts w:hint="eastAsia" w:ascii="仿宋" w:hAnsi="仿宋" w:eastAsia="仿宋" w:cs="仿宋"/>
          <w:color w:val="auto"/>
          <w:sz w:val="24"/>
          <w:szCs w:val="24"/>
          <w:highlight w:val="none"/>
        </w:rPr>
        <w:t>。</w:t>
      </w:r>
    </w:p>
    <w:p w14:paraId="32FC689C">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仿宋" w:hAnsi="仿宋" w:eastAsia="仿宋" w:cs="仿宋"/>
          <w:b/>
          <w:bCs/>
          <w:color w:val="auto"/>
          <w:kern w:val="2"/>
          <w:sz w:val="24"/>
          <w:szCs w:val="24"/>
          <w:highlight w:val="none"/>
          <w:lang w:val="en-US" w:eastAsia="zh-CN" w:bidi="ar-SA"/>
        </w:rPr>
      </w:pPr>
      <w:bookmarkStart w:id="130" w:name="_Toc140132758"/>
      <w:bookmarkStart w:id="131" w:name="_Toc15923"/>
      <w:bookmarkStart w:id="132" w:name="_Toc22315"/>
      <w:bookmarkStart w:id="133" w:name="_Toc27150"/>
      <w:bookmarkStart w:id="134" w:name="_Toc163492825"/>
      <w:r>
        <w:rPr>
          <w:rFonts w:hint="eastAsia" w:ascii="仿宋" w:hAnsi="仿宋" w:eastAsia="仿宋" w:cs="仿宋"/>
          <w:b/>
          <w:bCs/>
          <w:color w:val="auto"/>
          <w:kern w:val="2"/>
          <w:sz w:val="24"/>
          <w:szCs w:val="24"/>
          <w:highlight w:val="none"/>
          <w:lang w:val="en-US" w:eastAsia="zh-CN" w:bidi="ar-SA"/>
        </w:rPr>
        <w:t>3.资金来源</w:t>
      </w:r>
      <w:bookmarkEnd w:id="130"/>
      <w:bookmarkEnd w:id="131"/>
      <w:bookmarkEnd w:id="132"/>
      <w:bookmarkEnd w:id="133"/>
      <w:bookmarkEnd w:id="134"/>
    </w:p>
    <w:p w14:paraId="7007A5BA">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3.1资金来源：</w:t>
      </w:r>
      <w:r>
        <w:rPr>
          <w:rFonts w:hint="eastAsia" w:ascii="仿宋" w:hAnsi="仿宋" w:eastAsia="仿宋" w:cs="仿宋"/>
          <w:color w:val="auto"/>
          <w:sz w:val="24"/>
          <w:szCs w:val="24"/>
          <w:highlight w:val="none"/>
          <w:lang w:val="en-US" w:eastAsia="zh-CN"/>
        </w:rPr>
        <w:t>为财政性资金即</w:t>
      </w:r>
      <w:r>
        <w:rPr>
          <w:rFonts w:hint="eastAsia" w:ascii="仿宋" w:hAnsi="仿宋" w:eastAsia="仿宋" w:cs="仿宋"/>
          <w:color w:val="auto"/>
          <w:sz w:val="24"/>
          <w:szCs w:val="24"/>
          <w:highlight w:val="none"/>
        </w:rPr>
        <w:t>纳入预算管理的资金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以财政性资金作为还款来源的借贷资金，视同财政性资金。财政性资金与非财政性资金无法分割采购的，统一适用《中华人民共和国政府采购法》及其实施条例。</w:t>
      </w:r>
    </w:p>
    <w:p w14:paraId="564CD2A4">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仿宋" w:hAnsi="仿宋" w:eastAsia="仿宋" w:cs="仿宋"/>
          <w:b/>
          <w:bCs/>
          <w:color w:val="auto"/>
          <w:kern w:val="2"/>
          <w:sz w:val="24"/>
          <w:szCs w:val="24"/>
          <w:highlight w:val="none"/>
          <w:lang w:val="en-US" w:eastAsia="zh-CN" w:bidi="ar-SA"/>
        </w:rPr>
      </w:pPr>
      <w:bookmarkStart w:id="135" w:name="_Toc15559"/>
      <w:bookmarkStart w:id="136" w:name="_Toc163492826"/>
      <w:bookmarkStart w:id="137" w:name="_Toc140132760"/>
      <w:bookmarkStart w:id="138" w:name="_Toc4285"/>
      <w:bookmarkStart w:id="139" w:name="_Toc21872"/>
      <w:r>
        <w:rPr>
          <w:rFonts w:hint="eastAsia" w:ascii="仿宋" w:hAnsi="仿宋" w:eastAsia="仿宋" w:cs="仿宋"/>
          <w:b/>
          <w:bCs/>
          <w:color w:val="auto"/>
          <w:kern w:val="2"/>
          <w:sz w:val="24"/>
          <w:szCs w:val="24"/>
          <w:highlight w:val="none"/>
          <w:lang w:val="en-US" w:eastAsia="zh-CN" w:bidi="ar-SA"/>
        </w:rPr>
        <w:t>4.投标人资格要求</w:t>
      </w:r>
      <w:bookmarkEnd w:id="135"/>
      <w:bookmarkEnd w:id="136"/>
      <w:bookmarkEnd w:id="137"/>
      <w:bookmarkEnd w:id="138"/>
      <w:bookmarkEnd w:id="139"/>
    </w:p>
    <w:p w14:paraId="3CC516AC">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4.1投标人资格要求：见“</w:t>
      </w:r>
      <w:r>
        <w:rPr>
          <w:rFonts w:hint="eastAsia" w:ascii="仿宋" w:hAnsi="仿宋" w:eastAsia="仿宋" w:cs="仿宋"/>
          <w:color w:val="auto"/>
          <w:sz w:val="24"/>
          <w:szCs w:val="24"/>
          <w:highlight w:val="none"/>
          <w:lang w:val="en-US" w:eastAsia="zh-CN"/>
        </w:rPr>
        <w:t>第一章 招标公告</w:t>
      </w:r>
      <w:r>
        <w:rPr>
          <w:rFonts w:hint="eastAsia" w:ascii="仿宋" w:hAnsi="仿宋" w:eastAsia="仿宋" w:cs="仿宋"/>
          <w:color w:val="auto"/>
          <w:sz w:val="24"/>
          <w:szCs w:val="24"/>
          <w:highlight w:val="none"/>
        </w:rPr>
        <w:t>”；</w:t>
      </w:r>
    </w:p>
    <w:p w14:paraId="7AF00B7F">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第一章 招标公告</w:t>
      </w:r>
      <w:r>
        <w:rPr>
          <w:rFonts w:hint="eastAsia" w:ascii="仿宋" w:hAnsi="仿宋" w:eastAsia="仿宋" w:cs="仿宋"/>
          <w:color w:val="auto"/>
          <w:sz w:val="24"/>
          <w:szCs w:val="24"/>
          <w:highlight w:val="none"/>
          <w:lang w:val="zh-CN" w:eastAsia="zh-CN"/>
        </w:rPr>
        <w:t>”规定接受联合体投标的，还应遵守以下规定：</w:t>
      </w:r>
    </w:p>
    <w:p w14:paraId="529B9C76">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iCs/>
          <w:color w:val="auto"/>
          <w:kern w:val="2"/>
          <w:sz w:val="24"/>
          <w:szCs w:val="24"/>
          <w:highlight w:val="none"/>
          <w:shd w:val="clear" w:color="auto" w:fill="FFFFFF" w:themeFill="background1"/>
          <w:lang w:val="zh-CN" w:eastAsia="zh-CN" w:bidi="ar-SA"/>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eastAsia="zh-CN"/>
        </w:rPr>
        <w:t>1两个以上的自然人、法人或者其他组织可以组成一个联合体，以一个</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lang w:val="zh-CN" w:eastAsia="zh-CN"/>
        </w:rPr>
        <w:t>的身份共同参加政府采购。</w:t>
      </w:r>
      <w:r>
        <w:rPr>
          <w:rFonts w:hint="eastAsia" w:ascii="仿宋" w:hAnsi="仿宋" w:eastAsia="仿宋" w:cs="仿宋"/>
          <w:iCs/>
          <w:color w:val="auto"/>
          <w:kern w:val="2"/>
          <w:sz w:val="24"/>
          <w:szCs w:val="24"/>
          <w:highlight w:val="none"/>
          <w:shd w:val="clear" w:color="auto" w:fill="FFFFFF" w:themeFill="background1"/>
          <w:lang w:val="zh-CN" w:eastAsia="zh-CN" w:bidi="ar-SA"/>
        </w:rPr>
        <w:t>以联合体形式进行政府采购的，参加联合体的供应商均应当具备《</w:t>
      </w:r>
      <w:r>
        <w:rPr>
          <w:rFonts w:hint="eastAsia" w:ascii="仿宋" w:hAnsi="仿宋" w:eastAsia="仿宋" w:cs="仿宋"/>
          <w:color w:val="auto"/>
          <w:sz w:val="24"/>
          <w:szCs w:val="24"/>
          <w:highlight w:val="none"/>
        </w:rPr>
        <w:t>中华人民共和国政府采购法</w:t>
      </w:r>
      <w:r>
        <w:rPr>
          <w:rFonts w:hint="eastAsia" w:ascii="仿宋" w:hAnsi="仿宋" w:eastAsia="仿宋" w:cs="仿宋"/>
          <w:iCs/>
          <w:color w:val="auto"/>
          <w:kern w:val="2"/>
          <w:sz w:val="24"/>
          <w:szCs w:val="24"/>
          <w:highlight w:val="none"/>
          <w:shd w:val="clear" w:color="auto" w:fill="FFFFFF" w:themeFill="background1"/>
          <w:lang w:val="zh-CN" w:eastAsia="zh-CN" w:bidi="ar-SA"/>
        </w:rPr>
        <w:t>》第二十二条规定的条件。</w:t>
      </w:r>
    </w:p>
    <w:p w14:paraId="7945FA12">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iCs/>
          <w:color w:val="auto"/>
          <w:kern w:val="2"/>
          <w:sz w:val="24"/>
          <w:szCs w:val="24"/>
          <w:highlight w:val="none"/>
          <w:shd w:val="clear" w:color="auto" w:fill="FFFFFF" w:themeFill="background1"/>
          <w:lang w:val="zh-CN" w:eastAsia="zh-CN" w:bidi="ar-SA"/>
        </w:rPr>
      </w:pPr>
      <w:r>
        <w:rPr>
          <w:rFonts w:hint="eastAsia" w:ascii="仿宋" w:hAnsi="仿宋" w:eastAsia="仿宋" w:cs="仿宋"/>
          <w:iCs/>
          <w:color w:val="auto"/>
          <w:kern w:val="2"/>
          <w:sz w:val="24"/>
          <w:szCs w:val="24"/>
          <w:highlight w:val="none"/>
          <w:shd w:val="clear" w:color="auto" w:fill="FFFFFF" w:themeFill="background1"/>
          <w:lang w:val="en-US" w:eastAsia="zh-CN" w:bidi="ar-SA"/>
        </w:rPr>
        <w:t>4</w:t>
      </w:r>
      <w:r>
        <w:rPr>
          <w:rFonts w:hint="eastAsia" w:ascii="仿宋" w:hAnsi="仿宋" w:eastAsia="仿宋" w:cs="仿宋"/>
          <w:iCs/>
          <w:color w:val="auto"/>
          <w:kern w:val="2"/>
          <w:sz w:val="24"/>
          <w:szCs w:val="24"/>
          <w:highlight w:val="none"/>
          <w:shd w:val="clear" w:color="auto" w:fill="FFFFFF" w:themeFill="background1"/>
          <w:lang w:val="zh-CN" w:eastAsia="zh-CN" w:bidi="ar-SA"/>
        </w:rPr>
        <w:t>.</w:t>
      </w:r>
      <w:r>
        <w:rPr>
          <w:rFonts w:hint="eastAsia" w:ascii="仿宋" w:hAnsi="仿宋" w:eastAsia="仿宋" w:cs="仿宋"/>
          <w:iCs/>
          <w:color w:val="auto"/>
          <w:kern w:val="2"/>
          <w:sz w:val="24"/>
          <w:szCs w:val="24"/>
          <w:highlight w:val="none"/>
          <w:shd w:val="clear" w:color="auto" w:fill="FFFFFF" w:themeFill="background1"/>
          <w:lang w:val="en-US" w:eastAsia="zh-CN" w:bidi="ar-SA"/>
        </w:rPr>
        <w:t>2.2</w:t>
      </w:r>
      <w:r>
        <w:rPr>
          <w:rFonts w:hint="eastAsia" w:ascii="仿宋" w:hAnsi="仿宋" w:eastAsia="仿宋" w:cs="仿宋"/>
          <w:iCs/>
          <w:color w:val="auto"/>
          <w:kern w:val="2"/>
          <w:sz w:val="24"/>
          <w:szCs w:val="24"/>
          <w:highlight w:val="none"/>
          <w:shd w:val="clear" w:color="auto" w:fill="FFFFFF" w:themeFill="background1"/>
          <w:lang w:val="zh-CN" w:eastAsia="zh-CN" w:bidi="ar-SA"/>
        </w:rPr>
        <w:t>联合体各方应按招标文件提供的格式签订联合</w:t>
      </w:r>
      <w:r>
        <w:rPr>
          <w:rFonts w:hint="eastAsia" w:ascii="仿宋" w:hAnsi="仿宋" w:eastAsia="仿宋" w:cs="仿宋"/>
          <w:iCs/>
          <w:color w:val="auto"/>
          <w:kern w:val="2"/>
          <w:sz w:val="24"/>
          <w:szCs w:val="24"/>
          <w:highlight w:val="none"/>
          <w:shd w:val="clear" w:color="auto" w:fill="FFFFFF" w:themeFill="background1"/>
          <w:lang w:val="en-US" w:eastAsia="zh-CN" w:bidi="ar-SA"/>
        </w:rPr>
        <w:t>体</w:t>
      </w:r>
      <w:r>
        <w:rPr>
          <w:rFonts w:hint="eastAsia" w:ascii="仿宋" w:hAnsi="仿宋" w:eastAsia="仿宋" w:cs="仿宋"/>
          <w:iCs/>
          <w:color w:val="auto"/>
          <w:kern w:val="2"/>
          <w:sz w:val="24"/>
          <w:szCs w:val="24"/>
          <w:highlight w:val="none"/>
          <w:shd w:val="clear" w:color="auto" w:fill="FFFFFF" w:themeFill="background1"/>
          <w:lang w:val="zh-CN" w:eastAsia="zh-CN" w:bidi="ar-SA"/>
        </w:rPr>
        <w:t>协议</w:t>
      </w:r>
      <w:r>
        <w:rPr>
          <w:rFonts w:hint="eastAsia" w:ascii="仿宋" w:hAnsi="仿宋" w:eastAsia="仿宋" w:cs="仿宋"/>
          <w:iCs/>
          <w:color w:val="auto"/>
          <w:kern w:val="2"/>
          <w:sz w:val="24"/>
          <w:szCs w:val="24"/>
          <w:highlight w:val="none"/>
          <w:shd w:val="clear" w:color="auto" w:fill="FFFFFF" w:themeFill="background1"/>
          <w:lang w:val="en-US" w:eastAsia="zh-CN" w:bidi="ar-SA"/>
        </w:rPr>
        <w:t>书</w:t>
      </w:r>
      <w:r>
        <w:rPr>
          <w:rFonts w:hint="eastAsia" w:ascii="仿宋" w:hAnsi="仿宋" w:eastAsia="仿宋" w:cs="仿宋"/>
          <w:iCs/>
          <w:color w:val="auto"/>
          <w:kern w:val="2"/>
          <w:sz w:val="24"/>
          <w:szCs w:val="24"/>
          <w:highlight w:val="none"/>
          <w:shd w:val="clear" w:color="auto" w:fill="FFFFFF" w:themeFill="background1"/>
          <w:lang w:val="zh-CN" w:eastAsia="zh-CN" w:bidi="ar-SA"/>
        </w:rPr>
        <w:t>，明确约定联合体各方承担的工作和相应的责任，并将联合</w:t>
      </w:r>
      <w:r>
        <w:rPr>
          <w:rFonts w:hint="eastAsia" w:ascii="仿宋" w:hAnsi="仿宋" w:eastAsia="仿宋" w:cs="仿宋"/>
          <w:iCs/>
          <w:color w:val="auto"/>
          <w:kern w:val="2"/>
          <w:sz w:val="24"/>
          <w:szCs w:val="24"/>
          <w:highlight w:val="none"/>
          <w:shd w:val="clear" w:color="auto" w:fill="FFFFFF" w:themeFill="background1"/>
          <w:lang w:val="en-US" w:eastAsia="zh-CN" w:bidi="ar-SA"/>
        </w:rPr>
        <w:t>体</w:t>
      </w:r>
      <w:r>
        <w:rPr>
          <w:rFonts w:hint="eastAsia" w:ascii="仿宋" w:hAnsi="仿宋" w:eastAsia="仿宋" w:cs="仿宋"/>
          <w:iCs/>
          <w:color w:val="auto"/>
          <w:kern w:val="2"/>
          <w:sz w:val="24"/>
          <w:szCs w:val="24"/>
          <w:highlight w:val="none"/>
          <w:shd w:val="clear" w:color="auto" w:fill="FFFFFF" w:themeFill="background1"/>
          <w:lang w:val="zh-CN" w:eastAsia="zh-CN" w:bidi="ar-SA"/>
        </w:rPr>
        <w:t>协议</w:t>
      </w:r>
      <w:r>
        <w:rPr>
          <w:rFonts w:hint="eastAsia" w:ascii="仿宋" w:hAnsi="仿宋" w:eastAsia="仿宋" w:cs="仿宋"/>
          <w:iCs/>
          <w:color w:val="auto"/>
          <w:kern w:val="2"/>
          <w:sz w:val="24"/>
          <w:szCs w:val="24"/>
          <w:highlight w:val="none"/>
          <w:shd w:val="clear" w:color="auto" w:fill="FFFFFF" w:themeFill="background1"/>
          <w:lang w:val="en-US" w:eastAsia="zh-CN" w:bidi="ar-SA"/>
        </w:rPr>
        <w:t>书</w:t>
      </w:r>
      <w:r>
        <w:rPr>
          <w:rFonts w:hint="eastAsia" w:ascii="仿宋" w:hAnsi="仿宋" w:eastAsia="仿宋" w:cs="仿宋"/>
          <w:iCs/>
          <w:color w:val="auto"/>
          <w:kern w:val="2"/>
          <w:sz w:val="24"/>
          <w:szCs w:val="24"/>
          <w:highlight w:val="none"/>
          <w:shd w:val="clear" w:color="auto" w:fill="FFFFFF" w:themeFill="background1"/>
          <w:lang w:val="zh-CN" w:eastAsia="zh-CN" w:bidi="ar-SA"/>
        </w:rPr>
        <w:t>作为投标文件的一部分提交，该协议书对联合</w:t>
      </w:r>
      <w:r>
        <w:rPr>
          <w:rFonts w:hint="eastAsia" w:ascii="仿宋" w:hAnsi="仿宋" w:eastAsia="仿宋" w:cs="仿宋"/>
          <w:iCs/>
          <w:color w:val="auto"/>
          <w:kern w:val="2"/>
          <w:sz w:val="24"/>
          <w:szCs w:val="24"/>
          <w:highlight w:val="none"/>
          <w:shd w:val="clear" w:color="auto" w:fill="FFFFFF" w:themeFill="background1"/>
          <w:lang w:val="en-US" w:eastAsia="zh-CN" w:bidi="ar-SA"/>
        </w:rPr>
        <w:t>体所有成员</w:t>
      </w:r>
      <w:r>
        <w:rPr>
          <w:rFonts w:hint="eastAsia" w:ascii="仿宋" w:hAnsi="仿宋" w:eastAsia="仿宋" w:cs="仿宋"/>
          <w:iCs/>
          <w:color w:val="auto"/>
          <w:kern w:val="2"/>
          <w:sz w:val="24"/>
          <w:szCs w:val="24"/>
          <w:highlight w:val="none"/>
          <w:shd w:val="clear" w:color="auto" w:fill="FFFFFF" w:themeFill="background1"/>
          <w:lang w:val="zh-CN" w:eastAsia="zh-CN" w:bidi="ar-SA"/>
        </w:rPr>
        <w:t>均具有法律约束力。</w:t>
      </w:r>
    </w:p>
    <w:p w14:paraId="79B664F3">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iCs/>
          <w:color w:val="auto"/>
          <w:kern w:val="2"/>
          <w:sz w:val="24"/>
          <w:szCs w:val="24"/>
          <w:highlight w:val="none"/>
          <w:shd w:val="clear" w:color="auto" w:fill="FFFFFF" w:themeFill="background1"/>
          <w:lang w:val="zh-CN" w:eastAsia="zh-CN" w:bidi="ar-SA"/>
        </w:rPr>
      </w:pPr>
      <w:r>
        <w:rPr>
          <w:rFonts w:hint="eastAsia" w:ascii="仿宋" w:hAnsi="仿宋" w:eastAsia="仿宋" w:cs="仿宋"/>
          <w:iCs/>
          <w:color w:val="auto"/>
          <w:kern w:val="2"/>
          <w:sz w:val="24"/>
          <w:szCs w:val="24"/>
          <w:highlight w:val="none"/>
          <w:shd w:val="clear" w:color="auto" w:fill="FFFFFF" w:themeFill="background1"/>
          <w:lang w:val="en-US" w:eastAsia="zh-CN" w:bidi="ar-SA"/>
        </w:rPr>
        <w:t>4.2.3</w:t>
      </w:r>
      <w:r>
        <w:rPr>
          <w:rFonts w:hint="eastAsia" w:ascii="仿宋" w:hAnsi="仿宋" w:eastAsia="仿宋" w:cs="仿宋"/>
          <w:iCs/>
          <w:color w:val="auto"/>
          <w:kern w:val="2"/>
          <w:sz w:val="24"/>
          <w:szCs w:val="24"/>
          <w:highlight w:val="none"/>
          <w:shd w:val="clear" w:color="auto" w:fill="FFFFFF" w:themeFill="background1"/>
          <w:lang w:val="zh-CN" w:eastAsia="zh-CN" w:bidi="ar-SA"/>
        </w:rPr>
        <w:t>联合体中有同类资质的供应商按照联合体分工承担相同工作的，应当按照资质等级较低的供应商确定资质等级。</w:t>
      </w:r>
    </w:p>
    <w:p w14:paraId="24C83DB3">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iCs/>
          <w:color w:val="auto"/>
          <w:kern w:val="2"/>
          <w:sz w:val="24"/>
          <w:szCs w:val="24"/>
          <w:highlight w:val="none"/>
          <w:shd w:val="clear" w:color="auto" w:fill="FFFFFF" w:themeFill="background1"/>
          <w:lang w:val="zh-CN" w:eastAsia="zh-CN" w:bidi="ar-SA"/>
        </w:rPr>
      </w:pPr>
      <w:r>
        <w:rPr>
          <w:rFonts w:hint="eastAsia" w:ascii="仿宋" w:hAnsi="仿宋" w:eastAsia="仿宋" w:cs="仿宋"/>
          <w:iCs/>
          <w:color w:val="auto"/>
          <w:kern w:val="2"/>
          <w:sz w:val="24"/>
          <w:szCs w:val="24"/>
          <w:highlight w:val="none"/>
          <w:shd w:val="clear" w:color="auto" w:fill="FFFFFF" w:themeFill="background1"/>
          <w:lang w:val="en-US" w:eastAsia="zh-CN" w:bidi="ar-SA"/>
        </w:rPr>
        <w:t>4.2</w:t>
      </w:r>
      <w:r>
        <w:rPr>
          <w:rFonts w:hint="eastAsia" w:ascii="仿宋" w:hAnsi="仿宋" w:eastAsia="仿宋" w:cs="仿宋"/>
          <w:iCs/>
          <w:color w:val="auto"/>
          <w:kern w:val="2"/>
          <w:sz w:val="24"/>
          <w:szCs w:val="24"/>
          <w:highlight w:val="none"/>
          <w:shd w:val="clear" w:color="auto" w:fill="FFFFFF" w:themeFill="background1"/>
          <w:lang w:val="zh-CN" w:eastAsia="zh-CN" w:bidi="ar-SA"/>
        </w:rPr>
        <w:t>.</w:t>
      </w:r>
      <w:r>
        <w:rPr>
          <w:rFonts w:hint="eastAsia" w:ascii="仿宋" w:hAnsi="仿宋" w:eastAsia="仿宋" w:cs="仿宋"/>
          <w:iCs/>
          <w:color w:val="auto"/>
          <w:kern w:val="2"/>
          <w:sz w:val="24"/>
          <w:szCs w:val="24"/>
          <w:highlight w:val="none"/>
          <w:shd w:val="clear" w:color="auto" w:fill="FFFFFF" w:themeFill="background1"/>
          <w:lang w:val="en-US" w:eastAsia="zh-CN" w:bidi="ar-SA"/>
        </w:rPr>
        <w:t>4</w:t>
      </w:r>
      <w:r>
        <w:rPr>
          <w:rFonts w:hint="eastAsia" w:ascii="仿宋" w:hAnsi="仿宋" w:eastAsia="仿宋" w:cs="仿宋"/>
          <w:iCs/>
          <w:color w:val="auto"/>
          <w:kern w:val="2"/>
          <w:sz w:val="24"/>
          <w:szCs w:val="24"/>
          <w:highlight w:val="none"/>
          <w:shd w:val="clear" w:color="auto" w:fill="FFFFFF" w:themeFill="background1"/>
          <w:lang w:val="zh-CN" w:eastAsia="zh-CN" w:bidi="ar-SA"/>
        </w:rPr>
        <w:t>以联合体形式参加政府采购活动的，联合体各方不得再单独参加或者与其他供应商另外组成联合体参加</w:t>
      </w:r>
      <w:r>
        <w:rPr>
          <w:rFonts w:hint="eastAsia" w:ascii="仿宋" w:hAnsi="仿宋" w:eastAsia="仿宋" w:cs="仿宋"/>
          <w:iCs/>
          <w:color w:val="auto"/>
          <w:kern w:val="2"/>
          <w:sz w:val="24"/>
          <w:szCs w:val="24"/>
          <w:highlight w:val="none"/>
          <w:shd w:val="clear" w:color="auto" w:fill="FFFFFF" w:themeFill="background1"/>
          <w:lang w:val="en-US" w:eastAsia="zh-CN" w:bidi="ar-SA"/>
        </w:rPr>
        <w:t>同一合同项下的</w:t>
      </w:r>
      <w:r>
        <w:rPr>
          <w:rFonts w:hint="eastAsia" w:ascii="仿宋" w:hAnsi="仿宋" w:eastAsia="仿宋" w:cs="仿宋"/>
          <w:iCs/>
          <w:color w:val="auto"/>
          <w:kern w:val="2"/>
          <w:sz w:val="24"/>
          <w:szCs w:val="24"/>
          <w:highlight w:val="none"/>
          <w:shd w:val="clear" w:color="auto" w:fill="FFFFFF" w:themeFill="background1"/>
          <w:lang w:val="zh-CN" w:eastAsia="zh-CN" w:bidi="ar-SA"/>
        </w:rPr>
        <w:t>投标，否则相关投标将被认定为</w:t>
      </w:r>
      <w:r>
        <w:rPr>
          <w:rFonts w:hint="eastAsia" w:ascii="仿宋" w:hAnsi="仿宋" w:eastAsia="仿宋" w:cs="仿宋"/>
          <w:b/>
          <w:bCs/>
          <w:iCs/>
          <w:color w:val="auto"/>
          <w:kern w:val="2"/>
          <w:sz w:val="24"/>
          <w:szCs w:val="24"/>
          <w:highlight w:val="none"/>
          <w:shd w:val="clear" w:color="auto" w:fill="FFFFFF" w:themeFill="background1"/>
          <w:lang w:val="zh-CN" w:eastAsia="zh-CN" w:bidi="ar-SA"/>
        </w:rPr>
        <w:t>投标无效</w:t>
      </w:r>
      <w:r>
        <w:rPr>
          <w:rFonts w:hint="eastAsia" w:ascii="仿宋" w:hAnsi="仿宋" w:eastAsia="仿宋" w:cs="仿宋"/>
          <w:iCs/>
          <w:color w:val="auto"/>
          <w:kern w:val="2"/>
          <w:sz w:val="24"/>
          <w:szCs w:val="24"/>
          <w:highlight w:val="none"/>
          <w:shd w:val="clear" w:color="auto" w:fill="FFFFFF" w:themeFill="background1"/>
          <w:lang w:val="zh-CN" w:eastAsia="zh-CN" w:bidi="ar-SA"/>
        </w:rPr>
        <w:t>。</w:t>
      </w:r>
    </w:p>
    <w:p w14:paraId="058ACA70">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iCs/>
          <w:color w:val="auto"/>
          <w:kern w:val="2"/>
          <w:sz w:val="24"/>
          <w:szCs w:val="24"/>
          <w:highlight w:val="none"/>
          <w:shd w:val="clear" w:color="auto" w:fill="FFFFFF" w:themeFill="background1"/>
          <w:lang w:val="zh-CN" w:eastAsia="zh-CN" w:bidi="ar-SA"/>
        </w:rPr>
      </w:pPr>
      <w:r>
        <w:rPr>
          <w:rFonts w:hint="eastAsia" w:ascii="仿宋" w:hAnsi="仿宋" w:eastAsia="仿宋" w:cs="仿宋"/>
          <w:iCs/>
          <w:color w:val="auto"/>
          <w:kern w:val="2"/>
          <w:sz w:val="24"/>
          <w:szCs w:val="24"/>
          <w:highlight w:val="none"/>
          <w:shd w:val="clear" w:color="auto" w:fill="FFFFFF" w:themeFill="background1"/>
          <w:lang w:val="en-US" w:eastAsia="zh-CN" w:bidi="ar-SA"/>
        </w:rPr>
        <w:t>4.2</w:t>
      </w:r>
      <w:r>
        <w:rPr>
          <w:rFonts w:hint="eastAsia" w:ascii="仿宋" w:hAnsi="仿宋" w:eastAsia="仿宋" w:cs="仿宋"/>
          <w:iCs/>
          <w:color w:val="auto"/>
          <w:kern w:val="2"/>
          <w:sz w:val="24"/>
          <w:szCs w:val="24"/>
          <w:highlight w:val="none"/>
          <w:shd w:val="clear" w:color="auto" w:fill="FFFFFF" w:themeFill="background1"/>
          <w:lang w:val="zh-CN" w:eastAsia="zh-CN" w:bidi="ar-SA"/>
        </w:rPr>
        <w:t>.5大中型企业、其他自然人、法人或者非法人组织与小型、微型企业组成联合体共同参加投标</w:t>
      </w:r>
      <w:r>
        <w:rPr>
          <w:rFonts w:hint="eastAsia" w:ascii="仿宋" w:hAnsi="仿宋" w:eastAsia="仿宋" w:cs="仿宋"/>
          <w:iCs/>
          <w:color w:val="auto"/>
          <w:kern w:val="2"/>
          <w:sz w:val="24"/>
          <w:szCs w:val="24"/>
          <w:highlight w:val="none"/>
          <w:shd w:val="clear" w:color="auto" w:fill="FFFFFF" w:themeFill="background1"/>
          <w:lang w:val="en-US" w:eastAsia="zh-CN" w:bidi="ar-SA"/>
        </w:rPr>
        <w:t>的</w:t>
      </w:r>
      <w:r>
        <w:rPr>
          <w:rFonts w:hint="eastAsia" w:ascii="仿宋" w:hAnsi="仿宋" w:eastAsia="仿宋" w:cs="仿宋"/>
          <w:iCs/>
          <w:color w:val="auto"/>
          <w:kern w:val="2"/>
          <w:sz w:val="24"/>
          <w:szCs w:val="24"/>
          <w:highlight w:val="none"/>
          <w:shd w:val="clear" w:color="auto" w:fill="FFFFFF" w:themeFill="background1"/>
          <w:lang w:val="zh-CN" w:eastAsia="zh-CN" w:bidi="ar-SA"/>
        </w:rPr>
        <w:t>，联合</w:t>
      </w:r>
      <w:r>
        <w:rPr>
          <w:rFonts w:hint="eastAsia" w:ascii="仿宋" w:hAnsi="仿宋" w:eastAsia="仿宋" w:cs="仿宋"/>
          <w:iCs/>
          <w:color w:val="auto"/>
          <w:kern w:val="2"/>
          <w:sz w:val="24"/>
          <w:szCs w:val="24"/>
          <w:highlight w:val="none"/>
          <w:shd w:val="clear" w:color="auto" w:fill="FFFFFF" w:themeFill="background1"/>
          <w:lang w:val="en-US" w:eastAsia="zh-CN" w:bidi="ar-SA"/>
        </w:rPr>
        <w:t>体</w:t>
      </w:r>
      <w:r>
        <w:rPr>
          <w:rFonts w:hint="eastAsia" w:ascii="仿宋" w:hAnsi="仿宋" w:eastAsia="仿宋" w:cs="仿宋"/>
          <w:iCs/>
          <w:color w:val="auto"/>
          <w:kern w:val="2"/>
          <w:sz w:val="24"/>
          <w:szCs w:val="24"/>
          <w:highlight w:val="none"/>
          <w:shd w:val="clear" w:color="auto" w:fill="FFFFFF" w:themeFill="background1"/>
          <w:lang w:val="zh-CN" w:eastAsia="zh-CN" w:bidi="ar-SA"/>
        </w:rPr>
        <w:t>协议</w:t>
      </w:r>
      <w:r>
        <w:rPr>
          <w:rFonts w:hint="eastAsia" w:ascii="仿宋" w:hAnsi="仿宋" w:eastAsia="仿宋" w:cs="仿宋"/>
          <w:iCs/>
          <w:color w:val="auto"/>
          <w:kern w:val="2"/>
          <w:sz w:val="24"/>
          <w:szCs w:val="24"/>
          <w:highlight w:val="none"/>
          <w:shd w:val="clear" w:color="auto" w:fill="FFFFFF" w:themeFill="background1"/>
          <w:lang w:val="en-US" w:eastAsia="zh-CN" w:bidi="ar-SA"/>
        </w:rPr>
        <w:t>书</w:t>
      </w:r>
      <w:r>
        <w:rPr>
          <w:rFonts w:hint="eastAsia" w:ascii="仿宋" w:hAnsi="仿宋" w:eastAsia="仿宋" w:cs="仿宋"/>
          <w:iCs/>
          <w:color w:val="auto"/>
          <w:kern w:val="2"/>
          <w:sz w:val="24"/>
          <w:szCs w:val="24"/>
          <w:highlight w:val="none"/>
          <w:shd w:val="clear" w:color="auto" w:fill="FFFFFF" w:themeFill="background1"/>
          <w:lang w:val="zh-CN" w:eastAsia="zh-CN" w:bidi="ar-SA"/>
        </w:rPr>
        <w:t>中应写明小型、微型企业的合同金额占到联合</w:t>
      </w:r>
      <w:r>
        <w:rPr>
          <w:rFonts w:hint="eastAsia" w:ascii="仿宋" w:hAnsi="仿宋" w:eastAsia="仿宋" w:cs="仿宋"/>
          <w:iCs/>
          <w:color w:val="auto"/>
          <w:kern w:val="2"/>
          <w:sz w:val="24"/>
          <w:szCs w:val="24"/>
          <w:highlight w:val="none"/>
          <w:shd w:val="clear" w:color="auto" w:fill="FFFFFF" w:themeFill="background1"/>
          <w:lang w:val="en-US" w:eastAsia="zh-CN" w:bidi="ar-SA"/>
        </w:rPr>
        <w:t>体</w:t>
      </w:r>
      <w:r>
        <w:rPr>
          <w:rFonts w:hint="eastAsia" w:ascii="仿宋" w:hAnsi="仿宋" w:eastAsia="仿宋" w:cs="仿宋"/>
          <w:iCs/>
          <w:color w:val="auto"/>
          <w:kern w:val="2"/>
          <w:sz w:val="24"/>
          <w:szCs w:val="24"/>
          <w:highlight w:val="none"/>
          <w:shd w:val="clear" w:color="auto" w:fill="FFFFFF" w:themeFill="background1"/>
          <w:lang w:val="zh-CN" w:eastAsia="zh-CN" w:bidi="ar-SA"/>
        </w:rPr>
        <w:t>投标</w:t>
      </w:r>
      <w:r>
        <w:rPr>
          <w:rFonts w:hint="eastAsia" w:ascii="仿宋" w:hAnsi="仿宋" w:eastAsia="仿宋" w:cs="仿宋"/>
          <w:iCs/>
          <w:color w:val="auto"/>
          <w:kern w:val="2"/>
          <w:sz w:val="24"/>
          <w:szCs w:val="24"/>
          <w:highlight w:val="none"/>
          <w:shd w:val="clear" w:color="auto" w:fill="FFFFFF" w:themeFill="background1"/>
          <w:lang w:val="en-US" w:eastAsia="zh-CN" w:bidi="ar-SA"/>
        </w:rPr>
        <w:t>合同</w:t>
      </w:r>
      <w:r>
        <w:rPr>
          <w:rFonts w:hint="eastAsia" w:ascii="仿宋" w:hAnsi="仿宋" w:eastAsia="仿宋" w:cs="仿宋"/>
          <w:iCs/>
          <w:color w:val="auto"/>
          <w:kern w:val="2"/>
          <w:sz w:val="24"/>
          <w:szCs w:val="24"/>
          <w:highlight w:val="none"/>
          <w:shd w:val="clear" w:color="auto" w:fill="FFFFFF" w:themeFill="background1"/>
          <w:lang w:val="zh-CN" w:eastAsia="zh-CN" w:bidi="ar-SA"/>
        </w:rPr>
        <w:t>总金额的比例。</w:t>
      </w:r>
    </w:p>
    <w:p w14:paraId="5B6C6E1C">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iCs/>
          <w:color w:val="auto"/>
          <w:kern w:val="2"/>
          <w:sz w:val="24"/>
          <w:szCs w:val="24"/>
          <w:highlight w:val="none"/>
          <w:shd w:val="clear" w:color="auto" w:fill="FFFFFF" w:themeFill="background1"/>
          <w:lang w:val="zh-CN" w:eastAsia="zh-CN" w:bidi="ar-SA"/>
        </w:rPr>
      </w:pPr>
      <w:r>
        <w:rPr>
          <w:rFonts w:hint="eastAsia" w:ascii="仿宋" w:hAnsi="仿宋" w:eastAsia="仿宋" w:cs="仿宋"/>
          <w:iCs/>
          <w:color w:val="auto"/>
          <w:kern w:val="2"/>
          <w:sz w:val="24"/>
          <w:szCs w:val="24"/>
          <w:highlight w:val="none"/>
          <w:shd w:val="clear" w:color="auto" w:fill="FFFFFF" w:themeFill="background1"/>
          <w:lang w:val="zh-CN" w:eastAsia="zh-CN" w:bidi="ar-SA"/>
        </w:rPr>
        <w:t>4.2</w:t>
      </w:r>
      <w:r>
        <w:rPr>
          <w:rFonts w:hint="eastAsia" w:ascii="仿宋" w:hAnsi="仿宋" w:eastAsia="仿宋" w:cs="仿宋"/>
          <w:iCs/>
          <w:color w:val="auto"/>
          <w:kern w:val="2"/>
          <w:sz w:val="24"/>
          <w:szCs w:val="24"/>
          <w:highlight w:val="none"/>
          <w:shd w:val="clear" w:color="auto" w:fill="FFFFFF" w:themeFill="background1"/>
          <w:lang w:val="en-US" w:eastAsia="zh-CN" w:bidi="ar-SA"/>
        </w:rPr>
        <w:t>.6</w:t>
      </w:r>
      <w:r>
        <w:rPr>
          <w:rFonts w:hint="eastAsia" w:ascii="仿宋" w:hAnsi="仿宋" w:eastAsia="仿宋" w:cs="仿宋"/>
          <w:iCs/>
          <w:color w:val="auto"/>
          <w:kern w:val="2"/>
          <w:sz w:val="24"/>
          <w:szCs w:val="24"/>
          <w:highlight w:val="none"/>
          <w:shd w:val="clear" w:color="auto" w:fill="FFFFFF" w:themeFill="background1"/>
          <w:lang w:val="zh-CN" w:eastAsia="zh-CN" w:bidi="ar-SA"/>
        </w:rPr>
        <w:t>联合体中标</w:t>
      </w:r>
      <w:r>
        <w:rPr>
          <w:rFonts w:hint="eastAsia" w:ascii="仿宋" w:hAnsi="仿宋" w:eastAsia="仿宋" w:cs="仿宋"/>
          <w:iCs/>
          <w:color w:val="auto"/>
          <w:kern w:val="2"/>
          <w:sz w:val="24"/>
          <w:szCs w:val="24"/>
          <w:highlight w:val="none"/>
          <w:shd w:val="clear" w:color="auto" w:fill="FFFFFF" w:themeFill="background1"/>
          <w:lang w:val="en-US" w:eastAsia="zh-CN" w:bidi="ar-SA"/>
        </w:rPr>
        <w:t>的</w:t>
      </w:r>
      <w:r>
        <w:rPr>
          <w:rFonts w:hint="eastAsia" w:ascii="仿宋" w:hAnsi="仿宋" w:eastAsia="仿宋" w:cs="仿宋"/>
          <w:iCs/>
          <w:color w:val="auto"/>
          <w:kern w:val="2"/>
          <w:sz w:val="24"/>
          <w:szCs w:val="24"/>
          <w:highlight w:val="none"/>
          <w:shd w:val="clear" w:color="auto" w:fill="FFFFFF" w:themeFill="background1"/>
          <w:lang w:val="zh-CN" w:eastAsia="zh-CN" w:bidi="ar-SA"/>
        </w:rPr>
        <w:t>，</w:t>
      </w:r>
      <w:r>
        <w:rPr>
          <w:rFonts w:hint="eastAsia" w:ascii="仿宋" w:hAnsi="仿宋" w:eastAsia="仿宋" w:cs="仿宋"/>
          <w:iCs/>
          <w:color w:val="auto"/>
          <w:kern w:val="2"/>
          <w:sz w:val="24"/>
          <w:szCs w:val="24"/>
          <w:highlight w:val="none"/>
          <w:shd w:val="clear" w:color="auto" w:fill="FFFFFF" w:themeFill="background1"/>
          <w:lang w:val="en-US" w:eastAsia="zh-CN" w:bidi="ar-SA"/>
        </w:rPr>
        <w:t>采购</w:t>
      </w:r>
      <w:r>
        <w:rPr>
          <w:rFonts w:hint="eastAsia" w:ascii="仿宋" w:hAnsi="仿宋" w:eastAsia="仿宋" w:cs="仿宋"/>
          <w:iCs/>
          <w:color w:val="auto"/>
          <w:kern w:val="2"/>
          <w:sz w:val="24"/>
          <w:szCs w:val="24"/>
          <w:highlight w:val="none"/>
          <w:shd w:val="clear" w:color="auto" w:fill="FFFFFF" w:themeFill="background1"/>
          <w:lang w:val="zh-CN" w:eastAsia="zh-CN" w:bidi="ar-SA"/>
        </w:rPr>
        <w:t>合同应由</w:t>
      </w:r>
      <w:r>
        <w:rPr>
          <w:rFonts w:hint="eastAsia" w:ascii="仿宋" w:hAnsi="仿宋" w:eastAsia="仿宋" w:cs="仿宋"/>
          <w:iCs/>
          <w:color w:val="auto"/>
          <w:kern w:val="2"/>
          <w:sz w:val="24"/>
          <w:szCs w:val="24"/>
          <w:highlight w:val="none"/>
          <w:shd w:val="clear" w:color="auto" w:fill="FFFFFF" w:themeFill="background1"/>
          <w:lang w:val="en-US" w:eastAsia="zh-CN" w:bidi="ar-SA"/>
        </w:rPr>
        <w:t>联合体</w:t>
      </w:r>
      <w:r>
        <w:rPr>
          <w:rFonts w:hint="eastAsia" w:ascii="仿宋" w:hAnsi="仿宋" w:eastAsia="仿宋" w:cs="仿宋"/>
          <w:iCs/>
          <w:color w:val="auto"/>
          <w:kern w:val="2"/>
          <w:sz w:val="24"/>
          <w:szCs w:val="24"/>
          <w:highlight w:val="none"/>
          <w:shd w:val="clear" w:color="auto" w:fill="FFFFFF" w:themeFill="background1"/>
          <w:lang w:val="zh-CN" w:eastAsia="zh-CN" w:bidi="ar-SA"/>
        </w:rPr>
        <w:t>各成员的合法授权代表签字</w:t>
      </w:r>
      <w:r>
        <w:rPr>
          <w:rFonts w:hint="eastAsia" w:ascii="仿宋" w:hAnsi="仿宋" w:eastAsia="仿宋" w:cs="仿宋"/>
          <w:iCs/>
          <w:color w:val="auto"/>
          <w:kern w:val="2"/>
          <w:sz w:val="24"/>
          <w:szCs w:val="24"/>
          <w:highlight w:val="none"/>
          <w:shd w:val="clear" w:color="auto" w:fill="FFFFFF" w:themeFill="background1"/>
          <w:lang w:val="en-US" w:eastAsia="zh-CN" w:bidi="ar-SA"/>
        </w:rPr>
        <w:t>及</w:t>
      </w:r>
      <w:r>
        <w:rPr>
          <w:rFonts w:hint="eastAsia" w:ascii="仿宋" w:hAnsi="仿宋" w:eastAsia="仿宋" w:cs="仿宋"/>
          <w:iCs/>
          <w:color w:val="auto"/>
          <w:kern w:val="2"/>
          <w:sz w:val="24"/>
          <w:szCs w:val="24"/>
          <w:highlight w:val="none"/>
          <w:shd w:val="clear" w:color="auto" w:fill="FFFFFF" w:themeFill="background1"/>
          <w:lang w:val="zh-CN" w:eastAsia="zh-CN" w:bidi="ar-SA"/>
        </w:rPr>
        <w:t>加盖</w:t>
      </w:r>
      <w:r>
        <w:rPr>
          <w:rFonts w:hint="eastAsia" w:ascii="仿宋" w:hAnsi="仿宋" w:eastAsia="仿宋" w:cs="仿宋"/>
          <w:iCs/>
          <w:color w:val="auto"/>
          <w:kern w:val="2"/>
          <w:sz w:val="24"/>
          <w:szCs w:val="24"/>
          <w:highlight w:val="none"/>
          <w:shd w:val="clear" w:color="auto" w:fill="FFFFFF" w:themeFill="background1"/>
          <w:lang w:val="en-US" w:eastAsia="zh-CN" w:bidi="ar-SA"/>
        </w:rPr>
        <w:t>联合体</w:t>
      </w:r>
      <w:r>
        <w:rPr>
          <w:rFonts w:hint="eastAsia" w:ascii="仿宋" w:hAnsi="仿宋" w:eastAsia="仿宋" w:cs="仿宋"/>
          <w:iCs/>
          <w:color w:val="auto"/>
          <w:kern w:val="2"/>
          <w:sz w:val="24"/>
          <w:szCs w:val="24"/>
          <w:highlight w:val="none"/>
          <w:shd w:val="clear" w:color="auto" w:fill="FFFFFF" w:themeFill="background1"/>
          <w:lang w:val="zh-CN" w:eastAsia="zh-CN" w:bidi="ar-SA"/>
        </w:rPr>
        <w:t>各成员公章，</w:t>
      </w:r>
      <w:r>
        <w:rPr>
          <w:rFonts w:hint="eastAsia" w:ascii="仿宋" w:hAnsi="仿宋" w:eastAsia="仿宋" w:cs="仿宋"/>
          <w:iCs/>
          <w:color w:val="auto"/>
          <w:kern w:val="2"/>
          <w:sz w:val="24"/>
          <w:szCs w:val="24"/>
          <w:highlight w:val="none"/>
          <w:shd w:val="clear" w:color="auto" w:fill="FFFFFF" w:themeFill="background1"/>
          <w:lang w:val="en-US" w:eastAsia="zh-CN" w:bidi="ar-SA"/>
        </w:rPr>
        <w:t>并</w:t>
      </w:r>
      <w:r>
        <w:rPr>
          <w:rFonts w:hint="eastAsia" w:ascii="仿宋" w:hAnsi="仿宋" w:eastAsia="仿宋" w:cs="仿宋"/>
          <w:iCs/>
          <w:color w:val="auto"/>
          <w:kern w:val="2"/>
          <w:sz w:val="24"/>
          <w:szCs w:val="24"/>
          <w:highlight w:val="none"/>
          <w:shd w:val="clear" w:color="auto" w:fill="FFFFFF" w:themeFill="background1"/>
          <w:lang w:val="zh-CN" w:eastAsia="zh-CN" w:bidi="ar-SA"/>
        </w:rPr>
        <w:t>对联合体成员作为整体和他们各自作为独立体均具有法律约束力，但若该签字或公章不齐全或缺乏，该联合体的牵头人的签署或类似的意思表示人具有代表该联合体的签署或意思表示的法律效力，并且据此各成员为履行合同应向采购人与采购代理机构承担连带责任。</w:t>
      </w:r>
    </w:p>
    <w:p w14:paraId="2840C80B">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iCs/>
          <w:color w:val="auto"/>
          <w:kern w:val="2"/>
          <w:sz w:val="24"/>
          <w:szCs w:val="24"/>
          <w:highlight w:val="none"/>
          <w:shd w:val="clear" w:color="auto" w:fill="FFFFFF" w:themeFill="background1"/>
          <w:lang w:val="zh-CN" w:eastAsia="zh-CN" w:bidi="ar-SA"/>
        </w:rPr>
      </w:pPr>
      <w:r>
        <w:rPr>
          <w:rFonts w:hint="eastAsia" w:ascii="仿宋" w:hAnsi="仿宋" w:eastAsia="仿宋" w:cs="仿宋"/>
          <w:iCs/>
          <w:color w:val="auto"/>
          <w:kern w:val="2"/>
          <w:sz w:val="24"/>
          <w:szCs w:val="24"/>
          <w:highlight w:val="none"/>
          <w:shd w:val="clear" w:color="auto" w:fill="FFFFFF" w:themeFill="background1"/>
          <w:lang w:val="zh-CN" w:eastAsia="zh-CN" w:bidi="ar-SA"/>
        </w:rPr>
        <w:t>4.2</w:t>
      </w:r>
      <w:r>
        <w:rPr>
          <w:rFonts w:hint="eastAsia" w:ascii="仿宋" w:hAnsi="仿宋" w:eastAsia="仿宋" w:cs="仿宋"/>
          <w:iCs/>
          <w:color w:val="auto"/>
          <w:kern w:val="2"/>
          <w:sz w:val="24"/>
          <w:szCs w:val="24"/>
          <w:highlight w:val="none"/>
          <w:shd w:val="clear" w:color="auto" w:fill="FFFFFF" w:themeFill="background1"/>
          <w:lang w:val="en-US" w:eastAsia="zh-CN" w:bidi="ar-SA"/>
        </w:rPr>
        <w:t>.7</w:t>
      </w:r>
      <w:r>
        <w:rPr>
          <w:rFonts w:hint="eastAsia" w:ascii="仿宋" w:hAnsi="仿宋" w:eastAsia="仿宋" w:cs="仿宋"/>
          <w:iCs/>
          <w:color w:val="auto"/>
          <w:kern w:val="2"/>
          <w:sz w:val="24"/>
          <w:szCs w:val="24"/>
          <w:highlight w:val="none"/>
          <w:shd w:val="clear" w:color="auto" w:fill="FFFFFF" w:themeFill="background1"/>
          <w:lang w:val="zh-CN" w:eastAsia="zh-CN" w:bidi="ar-SA"/>
        </w:rPr>
        <w:t>联合体或其成员不得将其在合同项下的权利或义务全部或部分转让给第三人，有关分包事项须事先取得采购</w:t>
      </w:r>
      <w:r>
        <w:rPr>
          <w:rFonts w:hint="eastAsia" w:ascii="仿宋" w:hAnsi="仿宋" w:eastAsia="仿宋" w:cs="仿宋"/>
          <w:iCs/>
          <w:color w:val="auto"/>
          <w:kern w:val="2"/>
          <w:sz w:val="24"/>
          <w:szCs w:val="24"/>
          <w:highlight w:val="none"/>
          <w:shd w:val="clear" w:color="auto" w:fill="FFFFFF" w:themeFill="background1"/>
          <w:lang w:val="en-US" w:eastAsia="zh-CN" w:bidi="ar-SA"/>
        </w:rPr>
        <w:t>人</w:t>
      </w:r>
      <w:r>
        <w:rPr>
          <w:rFonts w:hint="eastAsia" w:ascii="仿宋" w:hAnsi="仿宋" w:eastAsia="仿宋" w:cs="仿宋"/>
          <w:iCs/>
          <w:color w:val="auto"/>
          <w:kern w:val="2"/>
          <w:sz w:val="24"/>
          <w:szCs w:val="24"/>
          <w:highlight w:val="none"/>
          <w:shd w:val="clear" w:color="auto" w:fill="FFFFFF" w:themeFill="background1"/>
          <w:lang w:val="zh-CN" w:eastAsia="zh-CN" w:bidi="ar-SA"/>
        </w:rPr>
        <w:t>书面同意并且须遵守相关法律、法规、本次招标的全部相关规定。</w:t>
      </w:r>
    </w:p>
    <w:p w14:paraId="08948CC6">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iCs/>
          <w:color w:val="auto"/>
          <w:kern w:val="2"/>
          <w:sz w:val="24"/>
          <w:szCs w:val="24"/>
          <w:highlight w:val="none"/>
          <w:shd w:val="clear" w:color="auto" w:fill="FFFFFF" w:themeFill="background1"/>
          <w:lang w:val="zh-CN" w:eastAsia="zh-CN" w:bidi="ar-SA"/>
        </w:rPr>
      </w:pPr>
      <w:r>
        <w:rPr>
          <w:rFonts w:hint="eastAsia" w:ascii="仿宋" w:hAnsi="仿宋" w:eastAsia="仿宋" w:cs="仿宋"/>
          <w:iCs/>
          <w:color w:val="auto"/>
          <w:kern w:val="2"/>
          <w:sz w:val="24"/>
          <w:szCs w:val="24"/>
          <w:highlight w:val="none"/>
          <w:shd w:val="clear" w:color="auto" w:fill="FFFFFF" w:themeFill="background1"/>
          <w:lang w:val="en-US" w:eastAsia="zh-CN" w:bidi="ar-SA"/>
        </w:rPr>
        <w:t>4.2</w:t>
      </w:r>
      <w:r>
        <w:rPr>
          <w:rFonts w:hint="eastAsia" w:ascii="仿宋" w:hAnsi="仿宋" w:eastAsia="仿宋" w:cs="仿宋"/>
          <w:iCs/>
          <w:color w:val="auto"/>
          <w:kern w:val="2"/>
          <w:sz w:val="24"/>
          <w:szCs w:val="24"/>
          <w:highlight w:val="none"/>
          <w:shd w:val="clear" w:color="auto" w:fill="FFFFFF" w:themeFill="background1"/>
          <w:lang w:val="zh-CN" w:eastAsia="zh-CN" w:bidi="ar-SA"/>
        </w:rPr>
        <w:t>.</w:t>
      </w:r>
      <w:r>
        <w:rPr>
          <w:rFonts w:hint="eastAsia" w:ascii="仿宋" w:hAnsi="仿宋" w:eastAsia="仿宋" w:cs="仿宋"/>
          <w:iCs/>
          <w:color w:val="auto"/>
          <w:kern w:val="2"/>
          <w:sz w:val="24"/>
          <w:szCs w:val="24"/>
          <w:highlight w:val="none"/>
          <w:shd w:val="clear" w:color="auto" w:fill="FFFFFF" w:themeFill="background1"/>
          <w:lang w:val="en-US" w:eastAsia="zh-CN" w:bidi="ar-SA"/>
        </w:rPr>
        <w:t>8</w:t>
      </w:r>
      <w:r>
        <w:rPr>
          <w:rFonts w:hint="eastAsia" w:ascii="仿宋" w:hAnsi="仿宋" w:eastAsia="仿宋" w:cs="仿宋"/>
          <w:iCs/>
          <w:color w:val="auto"/>
          <w:kern w:val="2"/>
          <w:sz w:val="24"/>
          <w:szCs w:val="24"/>
          <w:highlight w:val="none"/>
          <w:shd w:val="clear" w:color="auto" w:fill="FFFFFF" w:themeFill="background1"/>
          <w:lang w:val="zh-CN" w:eastAsia="zh-CN" w:bidi="ar-SA"/>
        </w:rPr>
        <w:t>对联合体投标的其他资格要求见</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第一章 招标公告</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中的“二、</w:t>
      </w:r>
      <w:r>
        <w:rPr>
          <w:rFonts w:hint="eastAsia" w:ascii="仿宋" w:hAnsi="仿宋" w:eastAsia="仿宋" w:cs="仿宋"/>
          <w:iCs/>
          <w:color w:val="auto"/>
          <w:kern w:val="2"/>
          <w:sz w:val="24"/>
          <w:szCs w:val="24"/>
          <w:highlight w:val="none"/>
          <w:shd w:val="clear" w:color="auto" w:fill="FFFFFF" w:themeFill="background1"/>
          <w:lang w:val="en-US" w:eastAsia="zh-CN" w:bidi="ar-SA"/>
        </w:rPr>
        <w:t>申请人的</w:t>
      </w:r>
      <w:r>
        <w:rPr>
          <w:rFonts w:hint="eastAsia" w:ascii="仿宋" w:hAnsi="仿宋" w:eastAsia="仿宋" w:cs="仿宋"/>
          <w:iCs/>
          <w:color w:val="auto"/>
          <w:kern w:val="2"/>
          <w:sz w:val="24"/>
          <w:szCs w:val="24"/>
          <w:highlight w:val="none"/>
          <w:shd w:val="clear" w:color="auto" w:fill="FFFFFF" w:themeFill="background1"/>
          <w:lang w:val="zh-CN" w:eastAsia="zh-CN" w:bidi="ar-SA"/>
        </w:rPr>
        <w:t>资格</w:t>
      </w:r>
      <w:r>
        <w:rPr>
          <w:rFonts w:hint="eastAsia" w:ascii="仿宋" w:hAnsi="仿宋" w:eastAsia="仿宋" w:cs="仿宋"/>
          <w:iCs/>
          <w:color w:val="auto"/>
          <w:kern w:val="2"/>
          <w:sz w:val="24"/>
          <w:szCs w:val="24"/>
          <w:highlight w:val="none"/>
          <w:shd w:val="clear" w:color="auto" w:fill="FFFFFF" w:themeFill="background1"/>
          <w:lang w:val="en-US" w:eastAsia="zh-CN" w:bidi="ar-SA"/>
        </w:rPr>
        <w:t>要求”</w:t>
      </w:r>
      <w:r>
        <w:rPr>
          <w:rFonts w:hint="eastAsia" w:ascii="仿宋" w:hAnsi="仿宋" w:eastAsia="仿宋" w:cs="仿宋"/>
          <w:iCs/>
          <w:color w:val="auto"/>
          <w:kern w:val="2"/>
          <w:sz w:val="24"/>
          <w:szCs w:val="24"/>
          <w:highlight w:val="none"/>
          <w:shd w:val="clear" w:color="auto" w:fill="FFFFFF" w:themeFill="background1"/>
          <w:lang w:val="zh-CN" w:eastAsia="zh-CN" w:bidi="ar-SA"/>
        </w:rPr>
        <w:t>。</w:t>
      </w:r>
    </w:p>
    <w:p w14:paraId="6EB36DAC">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仿宋" w:hAnsi="仿宋" w:eastAsia="仿宋" w:cs="仿宋"/>
          <w:b/>
          <w:bCs/>
          <w:color w:val="auto"/>
          <w:kern w:val="2"/>
          <w:sz w:val="24"/>
          <w:szCs w:val="24"/>
          <w:highlight w:val="none"/>
          <w:lang w:val="en-US" w:eastAsia="zh-CN" w:bidi="ar-SA"/>
        </w:rPr>
      </w:pPr>
      <w:bookmarkStart w:id="140" w:name="_Toc18213"/>
      <w:bookmarkStart w:id="141" w:name="_Toc19194"/>
      <w:bookmarkStart w:id="142" w:name="_Toc1799"/>
      <w:bookmarkStart w:id="143" w:name="_Toc163492827"/>
      <w:r>
        <w:rPr>
          <w:rFonts w:hint="eastAsia" w:ascii="仿宋" w:hAnsi="仿宋" w:eastAsia="仿宋" w:cs="仿宋"/>
          <w:b/>
          <w:bCs/>
          <w:color w:val="auto"/>
          <w:kern w:val="2"/>
          <w:sz w:val="24"/>
          <w:szCs w:val="24"/>
          <w:highlight w:val="none"/>
          <w:lang w:val="en-US" w:eastAsia="zh-CN" w:bidi="ar-SA"/>
        </w:rPr>
        <w:t>5.费用承担</w:t>
      </w:r>
      <w:bookmarkEnd w:id="140"/>
      <w:bookmarkEnd w:id="141"/>
      <w:bookmarkEnd w:id="142"/>
      <w:bookmarkEnd w:id="143"/>
    </w:p>
    <w:p w14:paraId="67B96D1C">
      <w:pPr>
        <w:pStyle w:val="37"/>
        <w:keepNext w:val="0"/>
        <w:keepLines w:val="0"/>
        <w:pageBreakBefore w:val="0"/>
        <w:widowControl w:val="0"/>
        <w:kinsoku/>
        <w:overflowPunct/>
        <w:topLinePunct w:val="0"/>
        <w:autoSpaceDE/>
        <w:autoSpaceDN/>
        <w:bidi w:val="0"/>
        <w:adjustRightInd/>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w:t>
      </w:r>
      <w:r>
        <w:rPr>
          <w:rFonts w:hint="eastAsia" w:ascii="仿宋" w:hAnsi="仿宋" w:eastAsia="仿宋" w:cs="仿宋"/>
          <w:color w:val="auto"/>
          <w:sz w:val="24"/>
          <w:szCs w:val="24"/>
          <w:highlight w:val="none"/>
          <w:lang w:val="en-US" w:eastAsia="zh-CN"/>
        </w:rPr>
        <w:t>不论投标的结果如何，投标人应承担所有与准备和参加投标有关的费用。</w:t>
      </w:r>
    </w:p>
    <w:p w14:paraId="76FEE013">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仿宋" w:hAnsi="仿宋" w:eastAsia="仿宋" w:cs="仿宋"/>
          <w:b/>
          <w:bCs/>
          <w:color w:val="auto"/>
          <w:kern w:val="2"/>
          <w:sz w:val="24"/>
          <w:szCs w:val="24"/>
          <w:highlight w:val="none"/>
          <w:lang w:val="en-US" w:eastAsia="zh-CN" w:bidi="ar-SA"/>
        </w:rPr>
      </w:pPr>
      <w:bookmarkStart w:id="144" w:name="_Toc12320"/>
      <w:bookmarkStart w:id="145" w:name="_Toc19870"/>
      <w:bookmarkStart w:id="146" w:name="_Toc29375"/>
      <w:bookmarkStart w:id="147" w:name="_Toc163492828"/>
      <w:bookmarkStart w:id="148" w:name="_Toc140132761"/>
      <w:r>
        <w:rPr>
          <w:rFonts w:hint="eastAsia" w:ascii="仿宋" w:hAnsi="仿宋" w:eastAsia="仿宋" w:cs="仿宋"/>
          <w:b/>
          <w:bCs/>
          <w:color w:val="auto"/>
          <w:kern w:val="2"/>
          <w:sz w:val="24"/>
          <w:szCs w:val="24"/>
          <w:highlight w:val="none"/>
          <w:lang w:val="en-US" w:eastAsia="zh-CN" w:bidi="ar-SA"/>
        </w:rPr>
        <w:t>6.保密</w:t>
      </w:r>
      <w:bookmarkEnd w:id="144"/>
      <w:bookmarkEnd w:id="145"/>
      <w:bookmarkEnd w:id="146"/>
      <w:bookmarkEnd w:id="147"/>
      <w:bookmarkEnd w:id="148"/>
    </w:p>
    <w:p w14:paraId="1438417A">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6.1参与招标投标活动的各方应对招标文件和投标文件中的商业和技术等秘密保密，否则应承担相应的法律责任。</w:t>
      </w:r>
    </w:p>
    <w:p w14:paraId="569D4E8A">
      <w:pPr>
        <w:pStyle w:val="62"/>
        <w:keepNext w:val="0"/>
        <w:keepLines w:val="0"/>
        <w:pageBreakBefore w:val="0"/>
        <w:widowControl w:val="0"/>
        <w:shd w:val="clear" w:color="auto" w:fill="auto"/>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6</w:t>
      </w: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lang w:val="en-US" w:eastAsia="zh-CN"/>
        </w:rPr>
        <w:t>2</w:t>
      </w:r>
      <w:r>
        <w:rPr>
          <w:rFonts w:hint="eastAsia" w:ascii="仿宋" w:hAnsi="仿宋" w:eastAsia="仿宋" w:cs="仿宋"/>
          <w:color w:val="auto"/>
          <w:kern w:val="2"/>
          <w:sz w:val="24"/>
          <w:szCs w:val="24"/>
          <w:highlight w:val="none"/>
        </w:rPr>
        <w:t>投标人自领取招标文件之日起，须承担本招标项目保密义务，不得将因本次招标获得的信息向第三人外传。由采购人向投标人提供的图纸、详细资料、样品、模型、模件和所有其它资料，被视为保密资料，仅被用于它所规定的用途。除非得到采购人的同意，不能向任何第三方透露。开标结束后，应采购人要求，投标人应归还所有从采购人处获得的保密资料。</w:t>
      </w:r>
    </w:p>
    <w:p w14:paraId="50B4BDBA">
      <w:pPr>
        <w:pStyle w:val="62"/>
        <w:keepNext w:val="0"/>
        <w:keepLines w:val="0"/>
        <w:pageBreakBefore w:val="0"/>
        <w:widowControl w:val="0"/>
        <w:shd w:val="clear" w:color="auto" w:fill="auto"/>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6</w:t>
      </w: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lang w:val="en-US" w:eastAsia="zh-CN"/>
        </w:rPr>
        <w:t>3</w:t>
      </w:r>
      <w:r>
        <w:rPr>
          <w:rFonts w:hint="eastAsia" w:ascii="仿宋" w:hAnsi="仿宋" w:eastAsia="仿宋" w:cs="仿宋"/>
          <w:color w:val="auto"/>
          <w:kern w:val="2"/>
          <w:sz w:val="24"/>
          <w:szCs w:val="24"/>
          <w:highlight w:val="none"/>
        </w:rPr>
        <w:t>采购代理机构有权将投标人提供的所有资料向有关政府部门或评审</w:t>
      </w:r>
      <w:r>
        <w:rPr>
          <w:rFonts w:hint="eastAsia" w:ascii="仿宋" w:hAnsi="仿宋" w:eastAsia="仿宋" w:cs="仿宋"/>
          <w:color w:val="auto"/>
          <w:kern w:val="2"/>
          <w:sz w:val="24"/>
          <w:szCs w:val="24"/>
          <w:highlight w:val="none"/>
          <w:lang w:val="en-US" w:eastAsia="zh-CN"/>
        </w:rPr>
        <w:t>投标文件</w:t>
      </w:r>
      <w:r>
        <w:rPr>
          <w:rFonts w:hint="eastAsia" w:ascii="仿宋" w:hAnsi="仿宋" w:eastAsia="仿宋" w:cs="仿宋"/>
          <w:color w:val="auto"/>
          <w:kern w:val="2"/>
          <w:sz w:val="24"/>
          <w:szCs w:val="24"/>
          <w:highlight w:val="none"/>
        </w:rPr>
        <w:t>的有关人员披露。</w:t>
      </w:r>
    </w:p>
    <w:p w14:paraId="47BCDC9E">
      <w:pPr>
        <w:pStyle w:val="62"/>
        <w:keepNext w:val="0"/>
        <w:keepLines w:val="0"/>
        <w:pageBreakBefore w:val="0"/>
        <w:widowControl w:val="0"/>
        <w:shd w:val="clear" w:color="auto" w:fill="auto"/>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6</w:t>
      </w: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lang w:val="en-US" w:eastAsia="zh-CN"/>
        </w:rPr>
        <w:t>4各级人民政府财政部门对政府采购活动进行监督检查，有权查阅、复制有关文件、资料，相关单位和人员应当予以配合</w:t>
      </w:r>
      <w:r>
        <w:rPr>
          <w:rFonts w:hint="eastAsia" w:ascii="仿宋" w:hAnsi="仿宋" w:eastAsia="仿宋" w:cs="仿宋"/>
          <w:color w:val="auto"/>
          <w:kern w:val="2"/>
          <w:sz w:val="24"/>
          <w:szCs w:val="24"/>
          <w:highlight w:val="none"/>
        </w:rPr>
        <w:t>。</w:t>
      </w:r>
    </w:p>
    <w:p w14:paraId="0D722ABB">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仿宋" w:hAnsi="仿宋" w:eastAsia="仿宋" w:cs="仿宋"/>
          <w:b/>
          <w:bCs/>
          <w:color w:val="auto"/>
          <w:kern w:val="2"/>
          <w:sz w:val="24"/>
          <w:szCs w:val="24"/>
          <w:highlight w:val="none"/>
          <w:lang w:val="en-US" w:eastAsia="zh-CN" w:bidi="ar-SA"/>
        </w:rPr>
      </w:pPr>
      <w:bookmarkStart w:id="149" w:name="_Toc2247"/>
      <w:bookmarkStart w:id="150" w:name="_Toc23819"/>
      <w:bookmarkStart w:id="151" w:name="_Toc489"/>
      <w:bookmarkStart w:id="152" w:name="_Toc163492829"/>
      <w:bookmarkStart w:id="153" w:name="_Toc140132762"/>
      <w:r>
        <w:rPr>
          <w:rFonts w:hint="eastAsia" w:ascii="仿宋" w:hAnsi="仿宋" w:eastAsia="仿宋" w:cs="仿宋"/>
          <w:b/>
          <w:bCs/>
          <w:color w:val="auto"/>
          <w:kern w:val="2"/>
          <w:sz w:val="24"/>
          <w:szCs w:val="24"/>
          <w:highlight w:val="none"/>
          <w:lang w:val="en-US" w:eastAsia="zh-CN" w:bidi="ar-SA"/>
        </w:rPr>
        <w:t>7.语言文字</w:t>
      </w:r>
      <w:bookmarkEnd w:id="149"/>
      <w:bookmarkEnd w:id="150"/>
      <w:bookmarkEnd w:id="151"/>
      <w:bookmarkEnd w:id="152"/>
      <w:bookmarkEnd w:id="153"/>
    </w:p>
    <w:p w14:paraId="4DBCEC07">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7.1招标投标</w:t>
      </w:r>
      <w:r>
        <w:rPr>
          <w:rFonts w:hint="eastAsia" w:ascii="仿宋" w:hAnsi="仿宋" w:eastAsia="仿宋" w:cs="仿宋"/>
          <w:color w:val="auto"/>
          <w:sz w:val="24"/>
          <w:szCs w:val="24"/>
          <w:highlight w:val="none"/>
          <w:lang w:val="en-US" w:eastAsia="zh-CN"/>
        </w:rPr>
        <w:t>过程</w:t>
      </w:r>
      <w:r>
        <w:rPr>
          <w:rFonts w:hint="eastAsia" w:ascii="仿宋" w:hAnsi="仿宋" w:eastAsia="仿宋" w:cs="仿宋"/>
          <w:color w:val="auto"/>
          <w:sz w:val="24"/>
          <w:szCs w:val="24"/>
          <w:highlight w:val="none"/>
        </w:rPr>
        <w:t>文件使用的语言文字为中文。专用术语使用外文的，应附有中文注释。</w:t>
      </w:r>
      <w:r>
        <w:rPr>
          <w:rFonts w:hint="eastAsia" w:ascii="仿宋" w:hAnsi="仿宋" w:eastAsia="仿宋" w:cs="仿宋"/>
          <w:color w:val="auto"/>
          <w:sz w:val="24"/>
          <w:szCs w:val="24"/>
          <w:highlight w:val="none"/>
          <w:lang w:val="en-US" w:eastAsia="zh-CN"/>
        </w:rPr>
        <w:t>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424DD769">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仿宋" w:hAnsi="仿宋" w:eastAsia="仿宋" w:cs="仿宋"/>
          <w:b/>
          <w:bCs/>
          <w:color w:val="auto"/>
          <w:kern w:val="2"/>
          <w:sz w:val="24"/>
          <w:szCs w:val="24"/>
          <w:highlight w:val="none"/>
          <w:lang w:val="en-US" w:eastAsia="zh-CN" w:bidi="ar-SA"/>
        </w:rPr>
      </w:pPr>
      <w:bookmarkStart w:id="154" w:name="_Toc163492830"/>
      <w:bookmarkStart w:id="155" w:name="_Toc18687"/>
      <w:bookmarkStart w:id="156" w:name="_Toc23417"/>
      <w:bookmarkStart w:id="157" w:name="_Toc140132763"/>
      <w:bookmarkStart w:id="158" w:name="_Toc9364"/>
      <w:r>
        <w:rPr>
          <w:rFonts w:hint="eastAsia" w:ascii="仿宋" w:hAnsi="仿宋" w:eastAsia="仿宋" w:cs="仿宋"/>
          <w:b/>
          <w:bCs/>
          <w:color w:val="auto"/>
          <w:kern w:val="2"/>
          <w:sz w:val="24"/>
          <w:szCs w:val="24"/>
          <w:highlight w:val="none"/>
          <w:lang w:val="en-US" w:eastAsia="zh-CN" w:bidi="ar-SA"/>
        </w:rPr>
        <w:t>8.计量单位</w:t>
      </w:r>
      <w:bookmarkEnd w:id="154"/>
      <w:bookmarkEnd w:id="155"/>
      <w:bookmarkEnd w:id="156"/>
      <w:bookmarkEnd w:id="157"/>
      <w:bookmarkEnd w:id="158"/>
    </w:p>
    <w:p w14:paraId="04334FA8">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8.1所有计量均采用中华人民共和国法定计量单位。</w:t>
      </w:r>
    </w:p>
    <w:p w14:paraId="1200CF7B">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仿宋" w:hAnsi="仿宋" w:eastAsia="仿宋" w:cs="仿宋"/>
          <w:b/>
          <w:bCs/>
          <w:color w:val="auto"/>
          <w:kern w:val="2"/>
          <w:sz w:val="24"/>
          <w:szCs w:val="24"/>
          <w:highlight w:val="none"/>
          <w:lang w:val="en-US" w:eastAsia="zh-CN" w:bidi="ar-SA"/>
        </w:rPr>
      </w:pPr>
      <w:bookmarkStart w:id="159" w:name="_Toc11023"/>
      <w:bookmarkStart w:id="160" w:name="_Toc31192"/>
      <w:bookmarkStart w:id="161" w:name="_Toc11937"/>
      <w:bookmarkStart w:id="162" w:name="_Toc140132764"/>
      <w:bookmarkStart w:id="163" w:name="_Toc163492831"/>
      <w:r>
        <w:rPr>
          <w:rFonts w:hint="eastAsia" w:ascii="仿宋" w:hAnsi="仿宋" w:eastAsia="仿宋" w:cs="仿宋"/>
          <w:b/>
          <w:bCs/>
          <w:color w:val="auto"/>
          <w:kern w:val="2"/>
          <w:sz w:val="24"/>
          <w:szCs w:val="24"/>
          <w:highlight w:val="none"/>
          <w:lang w:val="en-US" w:eastAsia="zh-CN" w:bidi="ar-SA"/>
        </w:rPr>
        <w:t>9.现场考察和答疑会</w:t>
      </w:r>
      <w:bookmarkEnd w:id="159"/>
      <w:bookmarkEnd w:id="160"/>
      <w:bookmarkEnd w:id="161"/>
      <w:bookmarkEnd w:id="162"/>
      <w:bookmarkEnd w:id="163"/>
    </w:p>
    <w:p w14:paraId="4350A1B0">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bookmarkStart w:id="164" w:name="_Hlk143529198"/>
      <w:r>
        <w:rPr>
          <w:rFonts w:hint="eastAsia" w:ascii="仿宋" w:hAnsi="仿宋" w:eastAsia="仿宋" w:cs="仿宋"/>
          <w:color w:val="auto"/>
          <w:sz w:val="24"/>
          <w:szCs w:val="24"/>
          <w:highlight w:val="none"/>
        </w:rPr>
        <w:t>9.1“投标人须知前附表”规定组织现场考察的，采购代理机构按“投标人须知前附表”规定的时间、地点组织投标人项目现场考察。</w:t>
      </w:r>
    </w:p>
    <w:p w14:paraId="165CC51B">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9.2投标人现场考察发生的费用自理。</w:t>
      </w:r>
    </w:p>
    <w:p w14:paraId="36033BD9">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9.3在现场考察中，因投标人自身原因发生的人员伤亡和财产损失，由投标人自行负责。</w:t>
      </w:r>
    </w:p>
    <w:p w14:paraId="5E039955">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9.4采购人在现场考察中介绍的项目场地和相关的周边环境情况，仅供投标人在编制投标文件时参考，采购人和采购代理机构不对投标人据此作出的判断和决策负责。</w:t>
      </w:r>
    </w:p>
    <w:p w14:paraId="2C418742">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9.5“投标人须知前附表”规定召开答疑会的，采购代理机构按“投标人须知前附表”规定的时间和地点召开答疑会，澄清投标人提出的问题。</w:t>
      </w:r>
    </w:p>
    <w:p w14:paraId="0E55A878">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9.6由于未参加现场考察或未参加标前答疑会而导致对项目实际情况不了解，影响投标文件编制、投标报价准确性、综合因素响应不全面等问题的，由投标人自行承担不利评审后果。</w:t>
      </w:r>
    </w:p>
    <w:bookmarkEnd w:id="164"/>
    <w:p w14:paraId="00A88CAA">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仿宋" w:hAnsi="仿宋" w:eastAsia="仿宋" w:cs="仿宋"/>
          <w:b/>
          <w:bCs/>
          <w:color w:val="auto"/>
          <w:kern w:val="2"/>
          <w:sz w:val="24"/>
          <w:szCs w:val="24"/>
          <w:highlight w:val="none"/>
          <w:lang w:val="en-US" w:eastAsia="zh-CN" w:bidi="ar-SA"/>
        </w:rPr>
      </w:pPr>
      <w:bookmarkStart w:id="165" w:name="_Toc28644"/>
      <w:bookmarkStart w:id="166" w:name="_Toc24524"/>
      <w:bookmarkStart w:id="167" w:name="_Toc155185858"/>
      <w:bookmarkStart w:id="168" w:name="_Toc3693"/>
      <w:bookmarkStart w:id="169" w:name="_Toc163492833"/>
      <w:bookmarkStart w:id="170" w:name="_Toc155185871"/>
      <w:r>
        <w:rPr>
          <w:rFonts w:hint="eastAsia" w:ascii="仿宋" w:hAnsi="仿宋" w:eastAsia="仿宋" w:cs="仿宋"/>
          <w:b/>
          <w:bCs/>
          <w:color w:val="auto"/>
          <w:kern w:val="2"/>
          <w:sz w:val="24"/>
          <w:szCs w:val="24"/>
          <w:highlight w:val="none"/>
          <w:lang w:val="en-US" w:eastAsia="zh-CN" w:bidi="ar-SA"/>
        </w:rPr>
        <w:t>10.电子投标说明</w:t>
      </w:r>
      <w:bookmarkEnd w:id="165"/>
      <w:bookmarkEnd w:id="166"/>
      <w:bookmarkEnd w:id="167"/>
      <w:bookmarkEnd w:id="168"/>
      <w:bookmarkEnd w:id="169"/>
    </w:p>
    <w:p w14:paraId="04159CF7">
      <w:pPr>
        <w:pStyle w:val="37"/>
        <w:keepNext w:val="0"/>
        <w:keepLines w:val="0"/>
        <w:pageBreakBefore w:val="0"/>
        <w:widowControl w:val="0"/>
        <w:kinsoku/>
        <w:overflowPunct/>
        <w:topLinePunct w:val="0"/>
        <w:bidi w:val="0"/>
        <w:spacing w:line="440" w:lineRule="exact"/>
        <w:ind w:firstLine="480"/>
        <w:textAlignment w:val="auto"/>
        <w:rPr>
          <w:rFonts w:hint="eastAsia" w:ascii="仿宋" w:hAnsi="仿宋" w:eastAsia="仿宋" w:cs="仿宋"/>
          <w:i w:val="0"/>
          <w:iCs w:val="0"/>
          <w:color w:val="auto"/>
          <w:sz w:val="24"/>
          <w:szCs w:val="24"/>
          <w:highlight w:val="none"/>
          <w:lang w:val="en-US" w:eastAsia="zh-CN"/>
        </w:rPr>
      </w:pPr>
      <w:bookmarkStart w:id="171" w:name="_Toc28416"/>
      <w:bookmarkStart w:id="172" w:name="_Toc2746"/>
      <w:bookmarkStart w:id="173" w:name="_Toc163492834"/>
      <w:bookmarkStart w:id="174" w:name="_Toc26264"/>
      <w:r>
        <w:rPr>
          <w:rFonts w:hint="eastAsia" w:ascii="仿宋" w:hAnsi="仿宋" w:eastAsia="仿宋" w:cs="仿宋"/>
          <w:i w:val="0"/>
          <w:iCs w:val="0"/>
          <w:color w:val="auto"/>
          <w:sz w:val="24"/>
          <w:szCs w:val="24"/>
          <w:highlight w:val="none"/>
          <w:lang w:val="en-US" w:eastAsia="zh-CN"/>
        </w:rPr>
        <w:t>10.1 本次采购采用电子交易方式，电子交易平台为新疆政府采购电子交易云平台（网址：https://www.zcygov.cn/）。供应商参与本项目电子交易活动前，应在政采云平台上注册供应商账号。编制电子响应文件前还需申领 CA 证书并绑定帐号。供应商应充分考虑完成平台注册、申领 CA 证书等所需的时间。潜在供应商领取文件须提前完成注册、CA 证书和电子签章申领和绑定、下载投标客户端。因未办理 CA 数字证书、CA 证书故障、操作不当等原因造成无法磋商或磋商失败等后果由供应商自行承担。供应商登录新疆政府采购网“供应商注册 ”—“新疆维吾尔自治区供应商入驻登记 ”—“立即登记 ”进行自助注册绑定。</w:t>
      </w:r>
    </w:p>
    <w:p w14:paraId="0B92045B">
      <w:pPr>
        <w:pStyle w:val="37"/>
        <w:keepNext w:val="0"/>
        <w:keepLines w:val="0"/>
        <w:pageBreakBefore w:val="0"/>
        <w:widowControl w:val="0"/>
        <w:kinsoku/>
        <w:overflowPunct/>
        <w:topLinePunct w:val="0"/>
        <w:bidi w:val="0"/>
        <w:spacing w:line="440" w:lineRule="exact"/>
        <w:ind w:firstLine="480"/>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10.2 供应商将新疆政府采购电子交易云平台电子交易客户端下载、安装完成后，可通过账号密码或 CA 登录客户端进行响应文件制作。在使用政采云投标客户端时，建议使用WIN7 及以上操作系统。供应商登录新疆政府采购网“下载专区”—“电子招投标客户端下载”下载相关客户端，如有问题可拨打政采云客户服务热线95763进行咨询。</w:t>
      </w:r>
    </w:p>
    <w:p w14:paraId="066262A5">
      <w:pPr>
        <w:pStyle w:val="37"/>
        <w:keepNext w:val="0"/>
        <w:keepLines w:val="0"/>
        <w:pageBreakBefore w:val="0"/>
        <w:widowControl w:val="0"/>
        <w:kinsoku/>
        <w:overflowPunct/>
        <w:topLinePunct w:val="0"/>
        <w:bidi w:val="0"/>
        <w:spacing w:line="440" w:lineRule="exact"/>
        <w:ind w:firstLine="480"/>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10.3 加密的电子响应文件应在响应文件递交截止时间前通过政采云平台上传完成。逾期上传或者未上传指定地点的响应文件，不予受理。</w:t>
      </w:r>
    </w:p>
    <w:p w14:paraId="13E8C374">
      <w:pPr>
        <w:pStyle w:val="37"/>
        <w:keepNext w:val="0"/>
        <w:keepLines w:val="0"/>
        <w:pageBreakBefore w:val="0"/>
        <w:widowControl w:val="0"/>
        <w:kinsoku/>
        <w:overflowPunct/>
        <w:topLinePunct w:val="0"/>
        <w:bidi w:val="0"/>
        <w:spacing w:line="440" w:lineRule="exact"/>
        <w:ind w:firstLine="480"/>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10.4 供应商在磋商前须提前配置好电脑及浏览器，磋商时请使用制作加密电子响应文件的 CA 锁进行解密及报价确认。本项目响应文件解密时间详“供应商须知前附表”，如因自身原因导致无法正常解密，后果由供应商自行承担。</w:t>
      </w:r>
    </w:p>
    <w:p w14:paraId="10F0D575">
      <w:pPr>
        <w:pStyle w:val="37"/>
        <w:keepNext w:val="0"/>
        <w:keepLines w:val="0"/>
        <w:pageBreakBefore w:val="0"/>
        <w:widowControl w:val="0"/>
        <w:kinsoku/>
        <w:overflowPunct/>
        <w:topLinePunct w:val="0"/>
        <w:bidi w:val="0"/>
        <w:spacing w:line="440" w:lineRule="exact"/>
        <w:ind w:firstLine="480"/>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10.5 如遇“新疆政府采购电子交易云平台（网址：https://www.zcygov.cn/）”电子交易规则调整，以最新要求为准。</w:t>
      </w:r>
    </w:p>
    <w:p w14:paraId="2C36CE4A">
      <w:pPr>
        <w:pStyle w:val="37"/>
        <w:keepNext w:val="0"/>
        <w:keepLines w:val="0"/>
        <w:pageBreakBefore w:val="0"/>
        <w:widowControl w:val="0"/>
        <w:kinsoku/>
        <w:overflowPunct/>
        <w:topLinePunct w:val="0"/>
        <w:bidi w:val="0"/>
        <w:spacing w:line="440" w:lineRule="exact"/>
        <w:ind w:firstLine="480"/>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10.6 电子交易系统咨询：供应商应当充分考虑到电子响应可能会发生的各种问题和风险，特别是响应文件签署、提交等问题，可按照“第一章 竞争性磋商公告”的联系方式咨询相关人员。</w:t>
      </w:r>
    </w:p>
    <w:p w14:paraId="724DFB08">
      <w:pPr>
        <w:pStyle w:val="37"/>
        <w:keepNext w:val="0"/>
        <w:keepLines w:val="0"/>
        <w:pageBreakBefore w:val="0"/>
        <w:widowControl w:val="0"/>
        <w:kinsoku/>
        <w:overflowPunct/>
        <w:topLinePunct w:val="0"/>
        <w:bidi w:val="0"/>
        <w:spacing w:line="440" w:lineRule="exact"/>
        <w:ind w:firstLine="480"/>
        <w:textAlignment w:val="auto"/>
        <w:rPr>
          <w:rFonts w:hint="eastAsia" w:ascii="仿宋" w:hAnsi="仿宋" w:eastAsia="仿宋" w:cs="仿宋"/>
          <w:b/>
          <w:bCs/>
          <w:i w:val="0"/>
          <w:iCs w:val="0"/>
          <w:color w:val="auto"/>
          <w:kern w:val="2"/>
          <w:sz w:val="24"/>
          <w:szCs w:val="24"/>
          <w:highlight w:val="none"/>
          <w:lang w:val="en-US" w:eastAsia="zh-CN" w:bidi="ar-SA"/>
        </w:rPr>
      </w:pPr>
      <w:r>
        <w:rPr>
          <w:rFonts w:hint="eastAsia" w:ascii="仿宋" w:hAnsi="仿宋" w:eastAsia="仿宋" w:cs="仿宋"/>
          <w:i w:val="0"/>
          <w:iCs w:val="0"/>
          <w:color w:val="auto"/>
          <w:sz w:val="24"/>
          <w:szCs w:val="24"/>
          <w:highlight w:val="none"/>
          <w:lang w:val="en-US" w:eastAsia="zh-CN"/>
        </w:rPr>
        <w:t>10.7 由于本项目采用电子磋商方式，潜在供应商的名单将在递交响应文件截止时间后才会解密。因此，采购人或采购代理机构无法通过传统的传真或邮件方式，将竞争性磋商文件的澄清或修改内容逐一通知到每位已获取竞争性磋商文件的潜在供应商。为确保信息的及时性和准确性，澄清或修改的内容将仅在政采云平台以更正公告的形式发布。潜在供应商需密切关注该网站，及时查看并下载相关更正公告。若因潜在供应商未能及时查看或下载相关更正公告，而导致的一切后果，将由潜在供应商自行承担。</w:t>
      </w:r>
    </w:p>
    <w:p w14:paraId="67345ED6">
      <w:pPr>
        <w:pStyle w:val="4"/>
        <w:keepNext w:val="0"/>
        <w:keepLines w:val="0"/>
        <w:pageBreakBefore w:val="0"/>
        <w:widowControl w:val="0"/>
        <w:numPr>
          <w:ilvl w:val="0"/>
          <w:numId w:val="0"/>
        </w:numPr>
        <w:kinsoku/>
        <w:wordWrap/>
        <w:overflowPunct/>
        <w:topLinePunct w:val="0"/>
        <w:autoSpaceDE/>
        <w:autoSpaceDN/>
        <w:bidi w:val="0"/>
        <w:adjustRightInd/>
        <w:snapToGrid/>
        <w:spacing w:before="120" w:after="120" w:line="440" w:lineRule="exact"/>
        <w:ind w:left="420" w:leftChars="0" w:hanging="420" w:firstLineChars="0"/>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（二）招标文件</w:t>
      </w:r>
      <w:bookmarkEnd w:id="170"/>
      <w:bookmarkEnd w:id="171"/>
      <w:bookmarkEnd w:id="172"/>
      <w:bookmarkEnd w:id="173"/>
      <w:bookmarkEnd w:id="174"/>
    </w:p>
    <w:p w14:paraId="2A3C3751">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仿宋" w:hAnsi="仿宋" w:eastAsia="仿宋" w:cs="仿宋"/>
          <w:b/>
          <w:bCs/>
          <w:color w:val="auto"/>
          <w:kern w:val="2"/>
          <w:sz w:val="24"/>
          <w:szCs w:val="24"/>
          <w:highlight w:val="none"/>
          <w:lang w:val="en-US" w:eastAsia="zh-CN" w:bidi="ar-SA"/>
        </w:rPr>
      </w:pPr>
      <w:bookmarkStart w:id="175" w:name="_Toc8199"/>
      <w:bookmarkStart w:id="176" w:name="_Toc140132768"/>
      <w:bookmarkStart w:id="177" w:name="_Toc24748"/>
      <w:bookmarkStart w:id="178" w:name="_Toc163492835"/>
      <w:bookmarkStart w:id="179" w:name="_Toc21231"/>
      <w:r>
        <w:rPr>
          <w:rFonts w:hint="eastAsia" w:ascii="仿宋" w:hAnsi="仿宋" w:eastAsia="仿宋" w:cs="仿宋"/>
          <w:b/>
          <w:bCs/>
          <w:color w:val="auto"/>
          <w:kern w:val="2"/>
          <w:sz w:val="24"/>
          <w:szCs w:val="24"/>
          <w:highlight w:val="none"/>
          <w:lang w:val="en-US" w:eastAsia="zh-CN" w:bidi="ar-SA"/>
        </w:rPr>
        <w:t>11.招标文件的组成</w:t>
      </w:r>
      <w:bookmarkEnd w:id="175"/>
      <w:bookmarkEnd w:id="176"/>
      <w:bookmarkEnd w:id="177"/>
      <w:bookmarkEnd w:id="178"/>
      <w:bookmarkEnd w:id="179"/>
    </w:p>
    <w:p w14:paraId="521DA7F7">
      <w:pPr>
        <w:keepNext w:val="0"/>
        <w:keepLines w:val="0"/>
        <w:pageBreakBefore w:val="0"/>
        <w:widowControl w:val="0"/>
        <w:kinsoku/>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.1本招标文件包括下列文件及根据本章第9款、第1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款对招标文件所作的澄清或者修改。</w:t>
      </w:r>
    </w:p>
    <w:p w14:paraId="0372718D">
      <w:pPr>
        <w:keepNext w:val="0"/>
        <w:keepLines w:val="0"/>
        <w:pageBreakBefore w:val="0"/>
        <w:widowControl w:val="0"/>
        <w:kinsoku/>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第一章 </w:t>
      </w:r>
      <w:r>
        <w:rPr>
          <w:rFonts w:hint="eastAsia" w:ascii="仿宋" w:hAnsi="仿宋" w:eastAsia="仿宋" w:cs="仿宋"/>
          <w:color w:val="auto"/>
          <w:sz w:val="24"/>
          <w:szCs w:val="24"/>
          <w:highlight w:val="none"/>
          <w:lang w:val="en-US" w:eastAsia="zh-CN"/>
        </w:rPr>
        <w:t>招标公告</w:t>
      </w:r>
    </w:p>
    <w:p w14:paraId="0109D28A">
      <w:pPr>
        <w:keepNext w:val="0"/>
        <w:keepLines w:val="0"/>
        <w:pageBreakBefore w:val="0"/>
        <w:widowControl w:val="0"/>
        <w:kinsoku/>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第二章 投标人须知</w:t>
      </w:r>
    </w:p>
    <w:p w14:paraId="7A1F5EA9">
      <w:pPr>
        <w:keepNext w:val="0"/>
        <w:keepLines w:val="0"/>
        <w:pageBreakBefore w:val="0"/>
        <w:widowControl w:val="0"/>
        <w:kinsoku/>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第三章 采购需求</w:t>
      </w:r>
    </w:p>
    <w:p w14:paraId="59374EAD">
      <w:pPr>
        <w:keepNext w:val="0"/>
        <w:keepLines w:val="0"/>
        <w:pageBreakBefore w:val="0"/>
        <w:widowControl w:val="0"/>
        <w:kinsoku/>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第四章 资格审查</w:t>
      </w:r>
    </w:p>
    <w:p w14:paraId="5B5BEEFE">
      <w:pPr>
        <w:keepNext w:val="0"/>
        <w:keepLines w:val="0"/>
        <w:pageBreakBefore w:val="0"/>
        <w:widowControl w:val="0"/>
        <w:kinsoku/>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第五章 评标</w:t>
      </w:r>
      <w:r>
        <w:rPr>
          <w:rFonts w:hint="eastAsia" w:ascii="仿宋" w:hAnsi="仿宋" w:eastAsia="仿宋" w:cs="仿宋"/>
          <w:color w:val="auto"/>
          <w:sz w:val="24"/>
          <w:szCs w:val="24"/>
          <w:highlight w:val="none"/>
          <w:lang w:val="en-US" w:eastAsia="zh-CN"/>
        </w:rPr>
        <w:t>方</w:t>
      </w:r>
      <w:r>
        <w:rPr>
          <w:rFonts w:hint="eastAsia" w:ascii="仿宋" w:hAnsi="仿宋" w:eastAsia="仿宋" w:cs="仿宋"/>
          <w:color w:val="auto"/>
          <w:sz w:val="24"/>
          <w:szCs w:val="24"/>
          <w:highlight w:val="none"/>
        </w:rPr>
        <w:t>法及标准</w:t>
      </w:r>
    </w:p>
    <w:p w14:paraId="2A61BDD0">
      <w:pPr>
        <w:keepNext w:val="0"/>
        <w:keepLines w:val="0"/>
        <w:pageBreakBefore w:val="0"/>
        <w:widowControl w:val="0"/>
        <w:kinsoku/>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第六章 合同草案</w:t>
      </w:r>
    </w:p>
    <w:p w14:paraId="30883529">
      <w:pPr>
        <w:keepNext w:val="0"/>
        <w:keepLines w:val="0"/>
        <w:pageBreakBefore w:val="0"/>
        <w:widowControl w:val="0"/>
        <w:kinsoku/>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第七章 投标文件的格式</w:t>
      </w:r>
    </w:p>
    <w:p w14:paraId="321ADB9A">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仿宋" w:hAnsi="仿宋" w:eastAsia="仿宋" w:cs="仿宋"/>
          <w:b/>
          <w:bCs/>
          <w:color w:val="auto"/>
          <w:kern w:val="2"/>
          <w:sz w:val="24"/>
          <w:szCs w:val="24"/>
          <w:highlight w:val="none"/>
          <w:lang w:val="en-US" w:eastAsia="zh-CN" w:bidi="ar-SA"/>
        </w:rPr>
      </w:pPr>
      <w:bookmarkStart w:id="180" w:name="_Toc19359"/>
      <w:bookmarkStart w:id="181" w:name="_Toc1043"/>
      <w:bookmarkStart w:id="182" w:name="_Toc163492836"/>
      <w:bookmarkStart w:id="183" w:name="_Toc140132769"/>
      <w:bookmarkStart w:id="184" w:name="_Toc23749"/>
      <w:r>
        <w:rPr>
          <w:rFonts w:hint="eastAsia" w:ascii="仿宋" w:hAnsi="仿宋" w:eastAsia="仿宋" w:cs="仿宋"/>
          <w:b/>
          <w:bCs/>
          <w:color w:val="auto"/>
          <w:kern w:val="2"/>
          <w:sz w:val="24"/>
          <w:szCs w:val="24"/>
          <w:highlight w:val="none"/>
          <w:lang w:val="en-US" w:eastAsia="zh-CN" w:bidi="ar-SA"/>
        </w:rPr>
        <w:t>12.招标文件的询问、澄清或者修改</w:t>
      </w:r>
      <w:bookmarkEnd w:id="180"/>
      <w:bookmarkEnd w:id="181"/>
      <w:bookmarkEnd w:id="182"/>
      <w:bookmarkEnd w:id="183"/>
      <w:bookmarkEnd w:id="184"/>
    </w:p>
    <w:p w14:paraId="537A0083">
      <w:pPr>
        <w:keepNext w:val="0"/>
        <w:keepLines w:val="0"/>
        <w:pageBreakBefore w:val="0"/>
        <w:widowControl w:val="0"/>
        <w:kinsoku/>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1投标人对采购项目有疑问的，可以按照“投标人须知前附表”中的规定提出询问。提出后，请投标人及时通过交易平台“答疑文件下载”栏目查看答疑文件或澄清文件。必要时，采购代理机构将组织相关专家召开答疑会，如召开，答疑会安排另行通知。采购人或采购代理机构将在收到询问后依法予以答复。对招标文件询问的答复，在必要时将以澄清形式推送给每个获取招标文件的潜在投标人(答复中不包括问题的来源)。</w:t>
      </w:r>
    </w:p>
    <w:p w14:paraId="437CA506">
      <w:pPr>
        <w:keepNext w:val="0"/>
        <w:keepLines w:val="0"/>
        <w:pageBreakBefore w:val="0"/>
        <w:widowControl w:val="0"/>
        <w:kinsoku/>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投标人在规定的时间内未对招标文件提出疑问或要求澄清的，采购代理机构将视其为同意，对在“投标人须知前附表”中“</w:t>
      </w:r>
      <w:r>
        <w:rPr>
          <w:rFonts w:hint="eastAsia" w:ascii="仿宋" w:hAnsi="仿宋" w:eastAsia="仿宋" w:cs="仿宋"/>
          <w:color w:val="auto"/>
          <w:sz w:val="24"/>
          <w:szCs w:val="24"/>
          <w:highlight w:val="none"/>
          <w:lang w:val="en-US" w:eastAsia="zh-CN"/>
        </w:rPr>
        <w:t>提出询问的</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lang w:val="en-US" w:eastAsia="zh-CN"/>
        </w:rPr>
        <w:t>要求</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之</w:t>
      </w:r>
      <w:r>
        <w:rPr>
          <w:rFonts w:hint="eastAsia" w:ascii="仿宋" w:hAnsi="仿宋" w:eastAsia="仿宋" w:cs="仿宋"/>
          <w:color w:val="auto"/>
          <w:sz w:val="24"/>
          <w:szCs w:val="24"/>
          <w:highlight w:val="none"/>
        </w:rPr>
        <w:t>后就招标文件内容提出的疑问及澄清要求将不予受理。</w:t>
      </w:r>
    </w:p>
    <w:p w14:paraId="2F7FA807">
      <w:pPr>
        <w:keepNext w:val="0"/>
        <w:keepLines w:val="0"/>
        <w:pageBreakBefore w:val="0"/>
        <w:widowControl w:val="0"/>
        <w:kinsoku/>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.2采购人或者采购代理机构可以对已发出的招标文件进行必要的澄清或者修改。澄清或修改的内容为招标文件的组成部分，并对所有获取招标文件的潜在投标人具有约束力。</w:t>
      </w:r>
    </w:p>
    <w:p w14:paraId="0239B216">
      <w:pPr>
        <w:keepNext w:val="0"/>
        <w:keepLines w:val="0"/>
        <w:pageBreakBefore w:val="0"/>
        <w:widowControl w:val="0"/>
        <w:kinsoku/>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.3招标文件的澄清或者修改以当面交接、邮寄、传真或电子邮件、网站披露等其中至少一种方式，发给所有领取招标文件的</w:t>
      </w:r>
      <w:r>
        <w:rPr>
          <w:rFonts w:hint="eastAsia" w:ascii="仿宋" w:hAnsi="仿宋" w:eastAsia="仿宋" w:cs="仿宋"/>
          <w:color w:val="auto"/>
          <w:sz w:val="24"/>
          <w:szCs w:val="24"/>
          <w:highlight w:val="none"/>
          <w:lang w:val="en-US" w:eastAsia="zh-CN"/>
        </w:rPr>
        <w:t>潜在</w:t>
      </w:r>
      <w:r>
        <w:rPr>
          <w:rFonts w:hint="eastAsia" w:ascii="仿宋" w:hAnsi="仿宋" w:eastAsia="仿宋" w:cs="仿宋"/>
          <w:color w:val="auto"/>
          <w:sz w:val="24"/>
          <w:szCs w:val="24"/>
          <w:highlight w:val="none"/>
        </w:rPr>
        <w:t>投标人，但不包括问题的来源。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70CAFAD7">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投标人须知”所称“书面形式”包括系统消息、政府采购</w:t>
      </w:r>
      <w:r>
        <w:rPr>
          <w:rFonts w:hint="eastAsia" w:ascii="仿宋" w:hAnsi="仿宋" w:eastAsia="仿宋" w:cs="仿宋"/>
          <w:color w:val="auto"/>
          <w:sz w:val="24"/>
          <w:szCs w:val="24"/>
          <w:highlight w:val="none"/>
          <w:lang w:val="en-US" w:eastAsia="zh-CN"/>
        </w:rPr>
        <w:t>云平台</w:t>
      </w:r>
      <w:r>
        <w:rPr>
          <w:rFonts w:hint="eastAsia" w:ascii="仿宋" w:hAnsi="仿宋" w:eastAsia="仿宋" w:cs="仿宋"/>
          <w:color w:val="auto"/>
          <w:sz w:val="24"/>
          <w:szCs w:val="24"/>
          <w:highlight w:val="none"/>
        </w:rPr>
        <w:t>发布的公告。</w:t>
      </w:r>
    </w:p>
    <w:p w14:paraId="478DB18B">
      <w:pPr>
        <w:pStyle w:val="62"/>
        <w:keepNext w:val="0"/>
        <w:keepLines w:val="0"/>
        <w:pageBreakBefore w:val="0"/>
        <w:widowControl w:val="0"/>
        <w:shd w:val="clear" w:color="auto" w:fill="auto"/>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w:t>
      </w:r>
      <w:r>
        <w:rPr>
          <w:rFonts w:hint="eastAsia" w:ascii="仿宋" w:hAnsi="仿宋" w:eastAsia="仿宋" w:cs="仿宋"/>
          <w:color w:val="auto"/>
          <w:kern w:val="2"/>
          <w:sz w:val="24"/>
          <w:szCs w:val="24"/>
          <w:highlight w:val="none"/>
          <w:lang w:val="en-US" w:eastAsia="zh-CN"/>
        </w:rPr>
        <w:t>2</w:t>
      </w: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lang w:val="en-US" w:eastAsia="zh-CN"/>
        </w:rPr>
        <w:t>5</w:t>
      </w:r>
      <w:r>
        <w:rPr>
          <w:rFonts w:hint="eastAsia" w:ascii="仿宋" w:hAnsi="仿宋" w:eastAsia="仿宋" w:cs="仿宋"/>
          <w:color w:val="auto"/>
          <w:kern w:val="2"/>
          <w:sz w:val="24"/>
          <w:szCs w:val="24"/>
          <w:highlight w:val="none"/>
        </w:rPr>
        <w:t>采购代理机构一旦对招标文件作出了澄清、修改，即刻发生效力，采购代理机构有关的澄清、修改文件，将作为招标文件的组成部分，对所有现实的或潜在的投标人均具有约束力，而无论是否已经实际收到上述文件。同时，采购代理机构和投标人的权利及义务将受到新的截止期的约束。</w:t>
      </w:r>
    </w:p>
    <w:p w14:paraId="6CDB3ED9">
      <w:pPr>
        <w:pStyle w:val="62"/>
        <w:keepNext w:val="0"/>
        <w:keepLines w:val="0"/>
        <w:pageBreakBefore w:val="0"/>
        <w:widowControl w:val="0"/>
        <w:shd w:val="clear" w:color="auto" w:fill="auto"/>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w:t>
      </w:r>
      <w:r>
        <w:rPr>
          <w:rFonts w:hint="eastAsia" w:ascii="仿宋" w:hAnsi="仿宋" w:eastAsia="仿宋" w:cs="仿宋"/>
          <w:color w:val="auto"/>
          <w:kern w:val="2"/>
          <w:sz w:val="24"/>
          <w:szCs w:val="24"/>
          <w:highlight w:val="none"/>
          <w:lang w:val="en-US" w:eastAsia="zh-CN"/>
        </w:rPr>
        <w:t>2</w:t>
      </w: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lang w:val="en-US" w:eastAsia="zh-CN"/>
        </w:rPr>
        <w:t>6</w:t>
      </w:r>
      <w:r>
        <w:rPr>
          <w:rFonts w:hint="eastAsia" w:ascii="仿宋" w:hAnsi="仿宋" w:eastAsia="仿宋" w:cs="仿宋"/>
          <w:color w:val="auto"/>
          <w:kern w:val="2"/>
          <w:sz w:val="24"/>
          <w:szCs w:val="24"/>
          <w:highlight w:val="none"/>
        </w:rPr>
        <w:t>采购代理机构对招标文件作出的澄清、修改在平台内进行披露，请投标人及时关注并获取相关资料。因登记有误、线路故障或其它任何意外情形，导致投标人未及时获取的，采购代理机构不因此承担任何责任，且有关的招标活动继续有效地进行。当招标文件的澄清、修改及进行其他答复等就同一内容的表述不一致时，以最后发布的内容为准。</w:t>
      </w:r>
    </w:p>
    <w:p w14:paraId="1F7C24AE">
      <w:pPr>
        <w:pStyle w:val="4"/>
        <w:keepNext w:val="0"/>
        <w:keepLines w:val="0"/>
        <w:pageBreakBefore w:val="0"/>
        <w:widowControl w:val="0"/>
        <w:numPr>
          <w:ilvl w:val="0"/>
          <w:numId w:val="0"/>
        </w:numPr>
        <w:kinsoku/>
        <w:wordWrap/>
        <w:overflowPunct/>
        <w:topLinePunct w:val="0"/>
        <w:autoSpaceDE/>
        <w:autoSpaceDN/>
        <w:bidi w:val="0"/>
        <w:adjustRightInd/>
        <w:snapToGrid/>
        <w:spacing w:before="120" w:after="120" w:line="440" w:lineRule="exact"/>
        <w:ind w:left="420" w:leftChars="0" w:hanging="420" w:firstLineChars="0"/>
        <w:textAlignment w:val="auto"/>
        <w:rPr>
          <w:rFonts w:hint="eastAsia" w:ascii="仿宋" w:hAnsi="仿宋" w:eastAsia="仿宋" w:cs="仿宋"/>
          <w:b/>
          <w:bCs/>
          <w:color w:val="auto"/>
          <w:kern w:val="2"/>
          <w:sz w:val="24"/>
          <w:szCs w:val="24"/>
          <w:highlight w:val="none"/>
          <w:lang w:val="en-US" w:eastAsia="zh-CN" w:bidi="ar-SA"/>
        </w:rPr>
      </w:pPr>
      <w:bookmarkStart w:id="185" w:name="_Toc155185872"/>
      <w:bookmarkStart w:id="186" w:name="_Toc10238"/>
      <w:bookmarkStart w:id="187" w:name="_Toc28118"/>
      <w:bookmarkStart w:id="188" w:name="_Toc163492837"/>
      <w:bookmarkStart w:id="189" w:name="_Toc21031"/>
      <w:r>
        <w:rPr>
          <w:rFonts w:hint="eastAsia" w:ascii="仿宋" w:hAnsi="仿宋" w:eastAsia="仿宋" w:cs="仿宋"/>
          <w:b/>
          <w:bCs/>
          <w:color w:val="auto"/>
          <w:kern w:val="2"/>
          <w:sz w:val="24"/>
          <w:szCs w:val="24"/>
          <w:highlight w:val="none"/>
          <w:lang w:val="en-US" w:eastAsia="zh-CN" w:bidi="ar-SA"/>
        </w:rPr>
        <w:t>（三）投标文件</w:t>
      </w:r>
      <w:bookmarkEnd w:id="185"/>
      <w:bookmarkEnd w:id="186"/>
      <w:bookmarkEnd w:id="187"/>
      <w:bookmarkEnd w:id="188"/>
      <w:bookmarkEnd w:id="189"/>
    </w:p>
    <w:p w14:paraId="71EFF155">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仿宋" w:hAnsi="仿宋" w:eastAsia="仿宋" w:cs="仿宋"/>
          <w:b/>
          <w:bCs/>
          <w:color w:val="auto"/>
          <w:kern w:val="2"/>
          <w:sz w:val="24"/>
          <w:szCs w:val="24"/>
          <w:highlight w:val="none"/>
          <w:lang w:val="en-US" w:eastAsia="zh-CN" w:bidi="ar-SA"/>
        </w:rPr>
      </w:pPr>
      <w:bookmarkStart w:id="190" w:name="_Toc10645"/>
      <w:bookmarkStart w:id="191" w:name="_Toc25559"/>
      <w:bookmarkStart w:id="192" w:name="_Toc31491"/>
      <w:bookmarkStart w:id="193" w:name="_Toc163492838"/>
      <w:r>
        <w:rPr>
          <w:rFonts w:hint="eastAsia" w:ascii="仿宋" w:hAnsi="仿宋" w:eastAsia="仿宋" w:cs="仿宋"/>
          <w:b/>
          <w:bCs/>
          <w:color w:val="auto"/>
          <w:kern w:val="2"/>
          <w:sz w:val="24"/>
          <w:szCs w:val="24"/>
          <w:highlight w:val="none"/>
          <w:lang w:val="en-US" w:eastAsia="zh-CN" w:bidi="ar-SA"/>
        </w:rPr>
        <w:t>13.投标文件的组成</w:t>
      </w:r>
      <w:bookmarkEnd w:id="190"/>
      <w:bookmarkEnd w:id="191"/>
      <w:bookmarkEnd w:id="192"/>
      <w:bookmarkEnd w:id="193"/>
    </w:p>
    <w:p w14:paraId="26C1CF76">
      <w:pPr>
        <w:pStyle w:val="62"/>
        <w:keepNext w:val="0"/>
        <w:keepLines w:val="0"/>
        <w:pageBreakBefore w:val="0"/>
        <w:widowControl w:val="0"/>
        <w:shd w:val="clear" w:color="auto" w:fill="auto"/>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kern w:val="2"/>
          <w:sz w:val="24"/>
          <w:szCs w:val="24"/>
          <w:highlight w:val="none"/>
        </w:rPr>
      </w:pPr>
      <w:bookmarkStart w:id="194" w:name="_Toc163492839"/>
      <w:bookmarkStart w:id="195" w:name="_Toc140132772"/>
      <w:r>
        <w:rPr>
          <w:rFonts w:hint="eastAsia" w:ascii="仿宋" w:hAnsi="仿宋" w:eastAsia="仿宋" w:cs="仿宋"/>
          <w:color w:val="auto"/>
          <w:kern w:val="2"/>
          <w:sz w:val="24"/>
          <w:szCs w:val="24"/>
          <w:highlight w:val="none"/>
          <w:lang w:val="en-US" w:eastAsia="zh-CN"/>
        </w:rPr>
        <w:t>13</w:t>
      </w:r>
      <w:r>
        <w:rPr>
          <w:rFonts w:hint="eastAsia" w:ascii="仿宋" w:hAnsi="仿宋" w:eastAsia="仿宋" w:cs="仿宋"/>
          <w:color w:val="auto"/>
          <w:kern w:val="2"/>
          <w:sz w:val="24"/>
          <w:szCs w:val="24"/>
          <w:highlight w:val="none"/>
        </w:rPr>
        <w:t>.1投标人应完整地按招标文件提供的投标文件格式及要求编写投标文件，具体内容详见</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lang w:val="en-US" w:eastAsia="zh-CN"/>
        </w:rPr>
        <w:t xml:space="preserve">第七章 </w:t>
      </w:r>
      <w:r>
        <w:rPr>
          <w:rFonts w:hint="eastAsia" w:ascii="仿宋" w:hAnsi="仿宋" w:eastAsia="仿宋" w:cs="仿宋"/>
          <w:color w:val="auto"/>
          <w:kern w:val="2"/>
          <w:sz w:val="24"/>
          <w:szCs w:val="24"/>
          <w:highlight w:val="none"/>
        </w:rPr>
        <w:t>投标文件格式</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rPr>
        <w:t>的相关内容。</w:t>
      </w:r>
    </w:p>
    <w:p w14:paraId="1562B6BF">
      <w:pPr>
        <w:pStyle w:val="62"/>
        <w:keepNext w:val="0"/>
        <w:keepLines w:val="0"/>
        <w:pageBreakBefore w:val="0"/>
        <w:widowControl w:val="0"/>
        <w:shd w:val="clear" w:color="auto" w:fill="auto"/>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13.2</w:t>
      </w:r>
      <w:r>
        <w:rPr>
          <w:rFonts w:hint="eastAsia" w:ascii="仿宋" w:hAnsi="仿宋" w:eastAsia="仿宋" w:cs="仿宋"/>
          <w:color w:val="auto"/>
          <w:kern w:val="2"/>
          <w:sz w:val="24"/>
          <w:szCs w:val="24"/>
          <w:highlight w:val="none"/>
        </w:rPr>
        <w:t>投标人应提交招标文件要求的证明文件，证明其投标内容符合招标文件规定</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rPr>
        <w:t>该证明文件是投标文件的一部分</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rPr>
        <w:t>证明文件</w:t>
      </w:r>
      <w:r>
        <w:rPr>
          <w:rFonts w:hint="eastAsia" w:ascii="仿宋" w:hAnsi="仿宋" w:eastAsia="仿宋" w:cs="仿宋"/>
          <w:color w:val="auto"/>
          <w:kern w:val="2"/>
          <w:sz w:val="24"/>
          <w:szCs w:val="24"/>
          <w:highlight w:val="none"/>
          <w:lang w:val="en-US" w:eastAsia="zh-CN"/>
        </w:rPr>
        <w:t>形式</w:t>
      </w:r>
      <w:r>
        <w:rPr>
          <w:rFonts w:hint="eastAsia" w:ascii="仿宋" w:hAnsi="仿宋" w:eastAsia="仿宋" w:cs="仿宋"/>
          <w:color w:val="auto"/>
          <w:kern w:val="2"/>
          <w:sz w:val="24"/>
          <w:szCs w:val="24"/>
          <w:highlight w:val="none"/>
        </w:rPr>
        <w:t>可以是文字资料、图纸和数据</w:t>
      </w:r>
      <w:bookmarkStart w:id="196" w:name="_Hlk11703583"/>
      <w:r>
        <w:rPr>
          <w:rFonts w:hint="eastAsia" w:ascii="仿宋" w:hAnsi="仿宋" w:eastAsia="仿宋" w:cs="仿宋"/>
          <w:color w:val="auto"/>
          <w:kern w:val="2"/>
          <w:sz w:val="24"/>
          <w:szCs w:val="24"/>
          <w:highlight w:val="none"/>
          <w:lang w:val="en-US" w:eastAsia="zh-CN"/>
        </w:rPr>
        <w:t>等。</w:t>
      </w:r>
    </w:p>
    <w:bookmarkEnd w:id="196"/>
    <w:p w14:paraId="119BF0D3">
      <w:pPr>
        <w:pStyle w:val="62"/>
        <w:keepNext w:val="0"/>
        <w:keepLines w:val="0"/>
        <w:pageBreakBefore w:val="0"/>
        <w:widowControl w:val="0"/>
        <w:shd w:val="clear" w:color="auto" w:fill="auto"/>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13.3</w:t>
      </w:r>
      <w:r>
        <w:rPr>
          <w:rFonts w:hint="eastAsia" w:ascii="仿宋" w:hAnsi="仿宋" w:eastAsia="仿宋" w:cs="仿宋"/>
          <w:color w:val="auto"/>
          <w:kern w:val="2"/>
          <w:sz w:val="24"/>
          <w:szCs w:val="24"/>
          <w:highlight w:val="none"/>
        </w:rPr>
        <w:t>为保证公平公正，除非</w:t>
      </w:r>
      <w:r>
        <w:rPr>
          <w:rFonts w:hint="eastAsia" w:ascii="仿宋" w:hAnsi="仿宋" w:eastAsia="仿宋" w:cs="仿宋"/>
          <w:color w:val="auto"/>
          <w:kern w:val="2"/>
          <w:sz w:val="24"/>
          <w:szCs w:val="24"/>
          <w:highlight w:val="none"/>
          <w:lang w:val="en-US" w:eastAsia="zh-CN"/>
        </w:rPr>
        <w:t>本招标文件</w:t>
      </w:r>
      <w:r>
        <w:rPr>
          <w:rFonts w:hint="eastAsia" w:ascii="仿宋" w:hAnsi="仿宋" w:eastAsia="仿宋" w:cs="仿宋"/>
          <w:color w:val="auto"/>
          <w:kern w:val="2"/>
          <w:sz w:val="24"/>
          <w:szCs w:val="24"/>
          <w:highlight w:val="none"/>
        </w:rPr>
        <w:t>另有规定或说明，投标人对同一项目投标时，不得同时提供备选投标方案。</w:t>
      </w:r>
    </w:p>
    <w:p w14:paraId="4EBD1C12">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仿宋" w:hAnsi="仿宋" w:eastAsia="仿宋" w:cs="仿宋"/>
          <w:b/>
          <w:bCs/>
          <w:color w:val="auto"/>
          <w:kern w:val="2"/>
          <w:sz w:val="24"/>
          <w:szCs w:val="24"/>
          <w:highlight w:val="none"/>
          <w:lang w:val="en-US" w:eastAsia="zh-CN" w:bidi="ar-SA"/>
        </w:rPr>
      </w:pPr>
      <w:bookmarkStart w:id="197" w:name="_Toc24665"/>
      <w:bookmarkStart w:id="198" w:name="_Toc27765"/>
      <w:bookmarkStart w:id="199" w:name="_Toc12829"/>
      <w:r>
        <w:rPr>
          <w:rFonts w:hint="eastAsia" w:ascii="仿宋" w:hAnsi="仿宋" w:eastAsia="仿宋" w:cs="仿宋"/>
          <w:b/>
          <w:bCs/>
          <w:color w:val="auto"/>
          <w:kern w:val="2"/>
          <w:sz w:val="24"/>
          <w:szCs w:val="24"/>
          <w:highlight w:val="none"/>
          <w:lang w:val="en-US" w:eastAsia="zh-CN" w:bidi="ar-SA"/>
        </w:rPr>
        <w:t>14.投标报价</w:t>
      </w:r>
      <w:bookmarkEnd w:id="194"/>
      <w:bookmarkEnd w:id="195"/>
      <w:bookmarkEnd w:id="197"/>
      <w:bookmarkEnd w:id="198"/>
      <w:bookmarkEnd w:id="199"/>
    </w:p>
    <w:p w14:paraId="11CE20DD">
      <w:pPr>
        <w:keepNext w:val="0"/>
        <w:keepLines w:val="0"/>
        <w:pageBreakBefore w:val="0"/>
        <w:widowControl w:val="0"/>
        <w:kinsoku/>
        <w:overflowPunct/>
        <w:topLinePunct w:val="0"/>
        <w:autoSpaceDE/>
        <w:autoSpaceDN/>
        <w:bidi w:val="0"/>
        <w:adjustRightInd/>
        <w:spacing w:line="440" w:lineRule="exact"/>
        <w:ind w:firstLine="480" w:firstLineChars="200"/>
        <w:textAlignment w:val="auto"/>
        <w:rPr>
          <w:rFonts w:hint="eastAsia" w:ascii="仿宋" w:hAnsi="仿宋" w:eastAsia="仿宋" w:cs="仿宋"/>
          <w:snapToGrid w:val="0"/>
          <w:color w:val="auto"/>
          <w:sz w:val="24"/>
          <w:szCs w:val="24"/>
          <w:highlight w:val="none"/>
          <w:lang w:val="zh-CN"/>
        </w:rPr>
      </w:pPr>
      <w:r>
        <w:rPr>
          <w:rFonts w:hint="eastAsia" w:ascii="仿宋" w:hAnsi="仿宋" w:eastAsia="仿宋" w:cs="仿宋"/>
          <w:snapToGrid w:val="0"/>
          <w:color w:val="auto"/>
          <w:sz w:val="24"/>
          <w:szCs w:val="24"/>
          <w:highlight w:val="none"/>
        </w:rPr>
        <w:t>1</w:t>
      </w:r>
      <w:r>
        <w:rPr>
          <w:rFonts w:hint="eastAsia" w:ascii="仿宋" w:hAnsi="仿宋" w:eastAsia="仿宋" w:cs="仿宋"/>
          <w:snapToGrid w:val="0"/>
          <w:color w:val="auto"/>
          <w:sz w:val="24"/>
          <w:szCs w:val="24"/>
          <w:highlight w:val="none"/>
          <w:lang w:val="en-US" w:eastAsia="zh-CN"/>
        </w:rPr>
        <w:t>4</w:t>
      </w:r>
      <w:r>
        <w:rPr>
          <w:rFonts w:hint="eastAsia" w:ascii="仿宋" w:hAnsi="仿宋" w:eastAsia="仿宋" w:cs="仿宋"/>
          <w:snapToGrid w:val="0"/>
          <w:color w:val="auto"/>
          <w:sz w:val="24"/>
          <w:szCs w:val="24"/>
          <w:highlight w:val="none"/>
        </w:rPr>
        <w:t>.1</w:t>
      </w:r>
      <w:r>
        <w:rPr>
          <w:rFonts w:hint="eastAsia" w:ascii="仿宋" w:hAnsi="仿宋" w:eastAsia="仿宋" w:cs="仿宋"/>
          <w:snapToGrid w:val="0"/>
          <w:color w:val="auto"/>
          <w:sz w:val="24"/>
          <w:szCs w:val="24"/>
          <w:highlight w:val="none"/>
          <w:lang w:val="zh-CN"/>
        </w:rPr>
        <w:t>投标人的报价均应以人民币进行报价。</w:t>
      </w:r>
    </w:p>
    <w:p w14:paraId="1658FB72">
      <w:pPr>
        <w:keepNext w:val="0"/>
        <w:keepLines w:val="0"/>
        <w:pageBreakBefore w:val="0"/>
        <w:widowControl w:val="0"/>
        <w:kinsoku/>
        <w:overflowPunct/>
        <w:topLinePunct w:val="0"/>
        <w:autoSpaceDE/>
        <w:autoSpaceDN/>
        <w:bidi w:val="0"/>
        <w:adjustRightInd/>
        <w:spacing w:line="440" w:lineRule="exact"/>
        <w:ind w:firstLine="480" w:firstLineChars="200"/>
        <w:textAlignment w:val="auto"/>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1</w:t>
      </w:r>
      <w:r>
        <w:rPr>
          <w:rFonts w:hint="eastAsia" w:ascii="仿宋" w:hAnsi="仿宋" w:eastAsia="仿宋" w:cs="仿宋"/>
          <w:snapToGrid w:val="0"/>
          <w:color w:val="auto"/>
          <w:sz w:val="24"/>
          <w:szCs w:val="24"/>
          <w:highlight w:val="none"/>
          <w:lang w:val="en-US" w:eastAsia="zh-CN"/>
        </w:rPr>
        <w:t>4</w:t>
      </w:r>
      <w:r>
        <w:rPr>
          <w:rFonts w:hint="eastAsia" w:ascii="仿宋" w:hAnsi="仿宋" w:eastAsia="仿宋" w:cs="仿宋"/>
          <w:snapToGrid w:val="0"/>
          <w:color w:val="auto"/>
          <w:sz w:val="24"/>
          <w:szCs w:val="24"/>
          <w:highlight w:val="none"/>
        </w:rPr>
        <w:t>.2投标人应按照本招标文件规定的报价方式进行报价，投标报价中不得包含招标文件要求以外的内容，否则，在评标时不予核减。投标报价中也不得遗漏招标文件所要求的内容，否则其</w:t>
      </w:r>
      <w:r>
        <w:rPr>
          <w:rFonts w:hint="eastAsia" w:ascii="仿宋" w:hAnsi="仿宋" w:eastAsia="仿宋" w:cs="仿宋"/>
          <w:b/>
          <w:bCs/>
          <w:snapToGrid w:val="0"/>
          <w:color w:val="auto"/>
          <w:sz w:val="24"/>
          <w:szCs w:val="24"/>
          <w:highlight w:val="none"/>
        </w:rPr>
        <w:t>投标无效</w:t>
      </w:r>
      <w:r>
        <w:rPr>
          <w:rFonts w:hint="eastAsia" w:ascii="仿宋" w:hAnsi="仿宋" w:eastAsia="仿宋" w:cs="仿宋"/>
          <w:snapToGrid w:val="0"/>
          <w:color w:val="auto"/>
          <w:sz w:val="24"/>
          <w:szCs w:val="24"/>
          <w:highlight w:val="none"/>
        </w:rPr>
        <w:t>。</w:t>
      </w:r>
    </w:p>
    <w:p w14:paraId="29DA2629">
      <w:pPr>
        <w:keepNext w:val="0"/>
        <w:keepLines w:val="0"/>
        <w:pageBreakBefore w:val="0"/>
        <w:widowControl w:val="0"/>
        <w:kinsoku/>
        <w:overflowPunct/>
        <w:topLinePunct w:val="0"/>
        <w:autoSpaceDE/>
        <w:autoSpaceDN/>
        <w:bidi w:val="0"/>
        <w:adjustRightInd/>
        <w:spacing w:line="440" w:lineRule="exact"/>
        <w:ind w:firstLine="480" w:firstLineChars="200"/>
        <w:textAlignment w:val="auto"/>
        <w:rPr>
          <w:rFonts w:hint="eastAsia" w:ascii="仿宋" w:hAnsi="仿宋" w:eastAsia="仿宋" w:cs="仿宋"/>
          <w:snapToGrid w:val="0"/>
          <w:color w:val="auto"/>
          <w:sz w:val="24"/>
          <w:szCs w:val="24"/>
          <w:highlight w:val="none"/>
        </w:rPr>
      </w:pPr>
      <w:r>
        <w:rPr>
          <w:rFonts w:hint="eastAsia" w:ascii="仿宋" w:hAnsi="仿宋" w:eastAsia="仿宋" w:cs="仿宋"/>
          <w:color w:val="auto"/>
          <w:kern w:val="2"/>
          <w:sz w:val="24"/>
          <w:szCs w:val="24"/>
          <w:highlight w:val="none"/>
          <w:lang w:val="en-US" w:eastAsia="zh-CN"/>
        </w:rPr>
        <w:t>14.3</w:t>
      </w:r>
      <w:r>
        <w:rPr>
          <w:rFonts w:hint="eastAsia" w:ascii="仿宋" w:hAnsi="仿宋" w:eastAsia="仿宋" w:cs="仿宋"/>
          <w:snapToGrid w:val="0"/>
          <w:color w:val="auto"/>
          <w:sz w:val="24"/>
          <w:szCs w:val="24"/>
          <w:highlight w:val="none"/>
          <w:lang w:val="en-US" w:eastAsia="zh-CN"/>
        </w:rPr>
        <w:t>投标人的报价应包括为完成本项目所发生的一切费用和税费，采购人将不再支付报价以外的任何费用。只要投报了一个确定数额的总价，无论分项价格是否全部填报了相应的金额或免费字样，报价应被视为已经包含了但并不限于本次招标全部采购需求所应提供的服务，以及伴随的货物和工程等的费用和所需缴纳的所有价格、税、费。在其他情况下，由于分项报价填报不完整、不清楚或存在其他任何失误，所导致的任何不利后果均应当由投标人自行承担</w:t>
      </w:r>
      <w:r>
        <w:rPr>
          <w:rFonts w:hint="eastAsia" w:ascii="仿宋" w:hAnsi="仿宋" w:eastAsia="仿宋" w:cs="仿宋"/>
          <w:snapToGrid w:val="0"/>
          <w:color w:val="auto"/>
          <w:sz w:val="24"/>
          <w:szCs w:val="24"/>
          <w:highlight w:val="none"/>
        </w:rPr>
        <w:t>。</w:t>
      </w:r>
    </w:p>
    <w:p w14:paraId="798576F3">
      <w:pPr>
        <w:pStyle w:val="10"/>
        <w:keepNext w:val="0"/>
        <w:keepLines w:val="0"/>
        <w:pageBreakBefore w:val="0"/>
        <w:overflowPunct/>
        <w:topLinePunct w:val="0"/>
        <w:bidi w:val="0"/>
        <w:spacing w:line="44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14.4投标人的报价应包括但不限于按照招标文件要求完成本项目的全部相关费用。</w:t>
      </w:r>
    </w:p>
    <w:p w14:paraId="26570A17">
      <w:pPr>
        <w:keepNext w:val="0"/>
        <w:keepLines w:val="0"/>
        <w:pageBreakBefore w:val="0"/>
        <w:overflowPunct/>
        <w:topLinePunct w:val="0"/>
        <w:bidi w:val="0"/>
        <w:spacing w:line="440" w:lineRule="exact"/>
        <w:ind w:firstLine="480" w:firstLineChars="200"/>
        <w:rPr>
          <w:rFonts w:hint="eastAsia" w:ascii="仿宋" w:hAnsi="仿宋" w:eastAsia="仿宋" w:cs="仿宋"/>
          <w:snapToGrid w:val="0"/>
          <w:color w:val="auto"/>
          <w:sz w:val="24"/>
          <w:szCs w:val="24"/>
          <w:highlight w:val="none"/>
          <w:lang w:val="zh-CN"/>
        </w:rPr>
      </w:pPr>
      <w:r>
        <w:rPr>
          <w:rFonts w:hint="eastAsia" w:ascii="仿宋" w:hAnsi="仿宋" w:eastAsia="仿宋" w:cs="仿宋"/>
          <w:color w:val="auto"/>
          <w:kern w:val="2"/>
          <w:sz w:val="24"/>
          <w:szCs w:val="24"/>
          <w:highlight w:val="none"/>
          <w:lang w:val="en-US" w:eastAsia="zh-CN" w:bidi="ar-SA"/>
        </w:rPr>
        <w:t>14.5投标人须严格按照分项报价表规定的内容填写服务单价以及其他事项。</w:t>
      </w:r>
      <w:r>
        <w:rPr>
          <w:rFonts w:hint="eastAsia" w:ascii="仿宋" w:hAnsi="仿宋" w:eastAsia="仿宋" w:cs="仿宋"/>
          <w:snapToGrid w:val="0"/>
          <w:color w:val="auto"/>
          <w:sz w:val="24"/>
          <w:szCs w:val="24"/>
          <w:highlight w:val="none"/>
          <w:lang w:val="zh-CN"/>
        </w:rPr>
        <w:t>投标人应根据本招标文件的规定和要求、市场价格水平及其走势、投标人的管理水平、投标人的方案和由这些因素决定的投标人之于本项目的成本水平等提出自己的报价。报价应合理，并包含完成本招标文件采购需求全部内容的所有费用，所有根据本招标文件或其它原因应由投标人支付的税款和其他应交纳的费用都应包括在投标人提交的投标报价中。</w:t>
      </w:r>
    </w:p>
    <w:p w14:paraId="078EB78B">
      <w:pPr>
        <w:keepNext w:val="0"/>
        <w:keepLines w:val="0"/>
        <w:pageBreakBefore w:val="0"/>
        <w:overflowPunct/>
        <w:topLinePunct w:val="0"/>
        <w:bidi w:val="0"/>
        <w:spacing w:line="44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14.6投标人在投标文件中注明免费的项目将视为包含在投标报价中。</w:t>
      </w:r>
    </w:p>
    <w:p w14:paraId="4264D4FC">
      <w:pPr>
        <w:pStyle w:val="10"/>
        <w:keepNext w:val="0"/>
        <w:keepLines w:val="0"/>
        <w:pageBreakBefore w:val="0"/>
        <w:overflowPunct/>
        <w:topLinePunct w:val="0"/>
        <w:bidi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14.7每一种采购内容只允许</w:t>
      </w:r>
      <w:r>
        <w:rPr>
          <w:rFonts w:hint="eastAsia" w:ascii="仿宋" w:hAnsi="仿宋" w:eastAsia="仿宋" w:cs="仿宋"/>
          <w:snapToGrid w:val="0"/>
          <w:color w:val="auto"/>
          <w:sz w:val="24"/>
          <w:szCs w:val="24"/>
          <w:highlight w:val="none"/>
        </w:rPr>
        <w:t>有一个报价，否则其</w:t>
      </w:r>
      <w:r>
        <w:rPr>
          <w:rFonts w:hint="eastAsia" w:ascii="仿宋" w:hAnsi="仿宋" w:eastAsia="仿宋" w:cs="仿宋"/>
          <w:b/>
          <w:bCs/>
          <w:snapToGrid w:val="0"/>
          <w:color w:val="auto"/>
          <w:sz w:val="24"/>
          <w:szCs w:val="24"/>
          <w:highlight w:val="none"/>
        </w:rPr>
        <w:t>投标无效</w:t>
      </w:r>
      <w:r>
        <w:rPr>
          <w:rFonts w:hint="eastAsia" w:ascii="仿宋" w:hAnsi="仿宋" w:eastAsia="仿宋" w:cs="仿宋"/>
          <w:snapToGrid w:val="0"/>
          <w:color w:val="auto"/>
          <w:sz w:val="24"/>
          <w:szCs w:val="24"/>
          <w:highlight w:val="none"/>
        </w:rPr>
        <w:t>。</w:t>
      </w:r>
      <w:r>
        <w:rPr>
          <w:rFonts w:hint="eastAsia" w:ascii="仿宋" w:hAnsi="仿宋" w:eastAsia="仿宋" w:cs="仿宋"/>
          <w:color w:val="auto"/>
          <w:kern w:val="2"/>
          <w:sz w:val="24"/>
          <w:szCs w:val="24"/>
          <w:highlight w:val="none"/>
        </w:rPr>
        <w:t>除非招标文件另有规定，不接受可选择或可调整的投标方案和报价，任何有选择的或可调整的投标方案和报价将被视为非</w:t>
      </w:r>
      <w:r>
        <w:rPr>
          <w:rFonts w:hint="eastAsia" w:ascii="仿宋" w:hAnsi="仿宋" w:eastAsia="仿宋" w:cs="仿宋"/>
          <w:color w:val="auto"/>
          <w:kern w:val="2"/>
          <w:sz w:val="24"/>
          <w:szCs w:val="24"/>
          <w:highlight w:val="none"/>
          <w:lang w:val="en-US" w:eastAsia="zh-CN"/>
        </w:rPr>
        <w:t>实质性</w:t>
      </w:r>
      <w:r>
        <w:rPr>
          <w:rFonts w:hint="eastAsia" w:ascii="仿宋" w:hAnsi="仿宋" w:eastAsia="仿宋" w:cs="仿宋"/>
          <w:color w:val="auto"/>
          <w:kern w:val="2"/>
          <w:sz w:val="24"/>
          <w:szCs w:val="24"/>
          <w:highlight w:val="none"/>
        </w:rPr>
        <w:t>响应</w:t>
      </w:r>
      <w:r>
        <w:rPr>
          <w:rFonts w:hint="eastAsia" w:ascii="仿宋" w:hAnsi="仿宋" w:eastAsia="仿宋" w:cs="仿宋"/>
          <w:color w:val="auto"/>
          <w:kern w:val="2"/>
          <w:sz w:val="24"/>
          <w:szCs w:val="24"/>
          <w:highlight w:val="none"/>
          <w:lang w:val="en-US" w:eastAsia="zh-CN"/>
        </w:rPr>
        <w:t>招标文件,其</w:t>
      </w:r>
      <w:r>
        <w:rPr>
          <w:rFonts w:hint="eastAsia" w:ascii="仿宋" w:hAnsi="仿宋" w:eastAsia="仿宋" w:cs="仿宋"/>
          <w:b/>
          <w:bCs/>
          <w:color w:val="auto"/>
          <w:kern w:val="2"/>
          <w:sz w:val="24"/>
          <w:szCs w:val="24"/>
          <w:highlight w:val="none"/>
          <w:lang w:eastAsia="zh-CN"/>
        </w:rPr>
        <w:t>投标无效</w:t>
      </w:r>
      <w:r>
        <w:rPr>
          <w:rFonts w:hint="eastAsia" w:ascii="仿宋" w:hAnsi="仿宋" w:eastAsia="仿宋" w:cs="仿宋"/>
          <w:color w:val="auto"/>
          <w:kern w:val="2"/>
          <w:sz w:val="24"/>
          <w:szCs w:val="24"/>
          <w:highlight w:val="none"/>
        </w:rPr>
        <w:t>。</w:t>
      </w:r>
    </w:p>
    <w:p w14:paraId="16EA3526">
      <w:pPr>
        <w:keepNext w:val="0"/>
        <w:keepLines w:val="0"/>
        <w:pageBreakBefore w:val="0"/>
        <w:overflowPunct/>
        <w:topLinePunct w:val="0"/>
        <w:bidi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投标报价不得超过“</w:t>
      </w:r>
      <w:r>
        <w:rPr>
          <w:rFonts w:hint="eastAsia" w:ascii="仿宋" w:hAnsi="仿宋" w:eastAsia="仿宋" w:cs="仿宋"/>
          <w:color w:val="auto"/>
          <w:sz w:val="24"/>
          <w:szCs w:val="24"/>
          <w:highlight w:val="none"/>
          <w:lang w:val="en-US" w:eastAsia="zh-CN"/>
        </w:rPr>
        <w:t>第一章 招标公告</w:t>
      </w:r>
      <w:r>
        <w:rPr>
          <w:rFonts w:hint="eastAsia" w:ascii="仿宋" w:hAnsi="仿宋" w:eastAsia="仿宋" w:cs="仿宋"/>
          <w:color w:val="auto"/>
          <w:sz w:val="24"/>
          <w:szCs w:val="24"/>
          <w:highlight w:val="none"/>
        </w:rPr>
        <w:t>”中规定的最高投标限价</w:t>
      </w:r>
      <w:r>
        <w:rPr>
          <w:rFonts w:hint="eastAsia" w:ascii="仿宋" w:hAnsi="仿宋" w:eastAsia="仿宋" w:cs="仿宋"/>
          <w:color w:val="auto"/>
          <w:sz w:val="24"/>
          <w:szCs w:val="24"/>
          <w:highlight w:val="none"/>
          <w:lang w:val="en-US" w:eastAsia="zh-CN"/>
        </w:rPr>
        <w:t>或者预算金额</w:t>
      </w:r>
      <w:r>
        <w:rPr>
          <w:rFonts w:hint="eastAsia" w:ascii="仿宋" w:hAnsi="仿宋" w:eastAsia="仿宋" w:cs="仿宋"/>
          <w:color w:val="auto"/>
          <w:sz w:val="24"/>
          <w:szCs w:val="24"/>
          <w:highlight w:val="none"/>
        </w:rPr>
        <w:t>，否则评标委员会将</w:t>
      </w:r>
      <w:r>
        <w:rPr>
          <w:rFonts w:hint="eastAsia" w:ascii="仿宋" w:hAnsi="仿宋" w:eastAsia="仿宋" w:cs="仿宋"/>
          <w:b w:val="0"/>
          <w:bCs w:val="0"/>
          <w:color w:val="auto"/>
          <w:sz w:val="24"/>
          <w:szCs w:val="24"/>
          <w:highlight w:val="none"/>
          <w:lang w:val="en-US" w:eastAsia="zh-CN"/>
        </w:rPr>
        <w:t>对</w:t>
      </w:r>
      <w:r>
        <w:rPr>
          <w:rFonts w:hint="eastAsia" w:ascii="仿宋" w:hAnsi="仿宋" w:eastAsia="仿宋" w:cs="仿宋"/>
          <w:b w:val="0"/>
          <w:bCs w:val="0"/>
          <w:color w:val="auto"/>
          <w:sz w:val="24"/>
          <w:szCs w:val="24"/>
          <w:highlight w:val="none"/>
        </w:rPr>
        <w:t>其</w:t>
      </w:r>
      <w:r>
        <w:rPr>
          <w:rFonts w:hint="eastAsia" w:ascii="仿宋" w:hAnsi="仿宋" w:eastAsia="仿宋" w:cs="仿宋"/>
          <w:b w:val="0"/>
          <w:bCs w:val="0"/>
          <w:color w:val="auto"/>
          <w:sz w:val="24"/>
          <w:szCs w:val="24"/>
          <w:highlight w:val="none"/>
          <w:lang w:val="en-US" w:eastAsia="zh-CN"/>
        </w:rPr>
        <w:t>作</w:t>
      </w:r>
      <w:r>
        <w:rPr>
          <w:rFonts w:hint="eastAsia" w:ascii="仿宋" w:hAnsi="仿宋" w:eastAsia="仿宋" w:cs="仿宋"/>
          <w:b/>
          <w:bCs/>
          <w:color w:val="auto"/>
          <w:sz w:val="24"/>
          <w:szCs w:val="24"/>
          <w:highlight w:val="none"/>
          <w:lang w:val="en-US" w:eastAsia="zh-CN"/>
        </w:rPr>
        <w:t>无效</w:t>
      </w:r>
      <w:r>
        <w:rPr>
          <w:rFonts w:hint="eastAsia" w:ascii="仿宋" w:hAnsi="仿宋" w:eastAsia="仿宋" w:cs="仿宋"/>
          <w:b/>
          <w:bCs/>
          <w:color w:val="auto"/>
          <w:sz w:val="24"/>
          <w:szCs w:val="24"/>
          <w:highlight w:val="none"/>
        </w:rPr>
        <w:t>投标</w:t>
      </w:r>
      <w:r>
        <w:rPr>
          <w:rFonts w:hint="eastAsia" w:ascii="仿宋" w:hAnsi="仿宋" w:eastAsia="仿宋" w:cs="仿宋"/>
          <w:b/>
          <w:bCs/>
          <w:color w:val="auto"/>
          <w:sz w:val="24"/>
          <w:szCs w:val="24"/>
          <w:highlight w:val="none"/>
          <w:lang w:val="en-US" w:eastAsia="zh-CN"/>
        </w:rPr>
        <w:t>处理</w:t>
      </w:r>
      <w:r>
        <w:rPr>
          <w:rFonts w:hint="eastAsia" w:ascii="仿宋" w:hAnsi="仿宋" w:eastAsia="仿宋" w:cs="仿宋"/>
          <w:color w:val="auto"/>
          <w:sz w:val="24"/>
          <w:szCs w:val="24"/>
          <w:highlight w:val="none"/>
        </w:rPr>
        <w:t>。</w:t>
      </w:r>
    </w:p>
    <w:p w14:paraId="71416187">
      <w:pPr>
        <w:pStyle w:val="62"/>
        <w:keepNext w:val="0"/>
        <w:keepLines w:val="0"/>
        <w:pageBreakBefore w:val="0"/>
        <w:shd w:val="clear" w:color="auto" w:fill="auto"/>
        <w:kinsoku/>
        <w:wordWrap/>
        <w:overflowPunct/>
        <w:topLinePunct w:val="0"/>
        <w:bidi w:val="0"/>
        <w:spacing w:line="440" w:lineRule="exact"/>
        <w:ind w:firstLine="480" w:firstLineChars="2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w:t>
      </w:r>
      <w:r>
        <w:rPr>
          <w:rFonts w:hint="eastAsia" w:ascii="仿宋" w:hAnsi="仿宋" w:eastAsia="仿宋" w:cs="仿宋"/>
          <w:color w:val="auto"/>
          <w:kern w:val="2"/>
          <w:sz w:val="24"/>
          <w:szCs w:val="24"/>
          <w:highlight w:val="none"/>
          <w:lang w:val="en-US" w:eastAsia="zh-CN"/>
        </w:rPr>
        <w:t>4</w:t>
      </w: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lang w:val="en-US" w:eastAsia="zh-CN"/>
        </w:rPr>
        <w:t>9</w:t>
      </w:r>
      <w:r>
        <w:rPr>
          <w:rFonts w:hint="eastAsia" w:ascii="仿宋" w:hAnsi="仿宋" w:eastAsia="仿宋" w:cs="仿宋"/>
          <w:color w:val="auto"/>
          <w:kern w:val="2"/>
          <w:sz w:val="24"/>
          <w:szCs w:val="24"/>
          <w:highlight w:val="none"/>
        </w:rPr>
        <w:t>投标人对投标报价若有说明应在投标文件中显著处注明。</w:t>
      </w:r>
    </w:p>
    <w:p w14:paraId="1C4F7877">
      <w:pPr>
        <w:pStyle w:val="62"/>
        <w:keepNext w:val="0"/>
        <w:keepLines w:val="0"/>
        <w:pageBreakBefore w:val="0"/>
        <w:shd w:val="clear" w:color="auto" w:fill="auto"/>
        <w:kinsoku/>
        <w:wordWrap/>
        <w:overflowPunct/>
        <w:topLinePunct w:val="0"/>
        <w:bidi w:val="0"/>
        <w:spacing w:line="440" w:lineRule="exact"/>
        <w:ind w:firstLine="480" w:firstLineChars="2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除政策性文件规定以外，投标人所报价格在合同实施期间不因市场变化因素而变动。</w:t>
      </w:r>
    </w:p>
    <w:p w14:paraId="3277F215">
      <w:pPr>
        <w:pStyle w:val="62"/>
        <w:keepNext w:val="0"/>
        <w:keepLines w:val="0"/>
        <w:pageBreakBefore w:val="0"/>
        <w:shd w:val="clear" w:color="auto" w:fill="auto"/>
        <w:kinsoku/>
        <w:wordWrap/>
        <w:overflowPunct/>
        <w:topLinePunct w:val="0"/>
        <w:bidi w:val="0"/>
        <w:spacing w:line="440" w:lineRule="exact"/>
        <w:ind w:firstLine="480" w:firstLineChars="2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w:t>
      </w:r>
      <w:r>
        <w:rPr>
          <w:rFonts w:hint="eastAsia" w:ascii="仿宋" w:hAnsi="仿宋" w:eastAsia="仿宋" w:cs="仿宋"/>
          <w:color w:val="auto"/>
          <w:kern w:val="2"/>
          <w:sz w:val="24"/>
          <w:szCs w:val="24"/>
          <w:highlight w:val="none"/>
          <w:lang w:val="en-US" w:eastAsia="zh-CN"/>
        </w:rPr>
        <w:t>4</w:t>
      </w: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lang w:val="en-US" w:eastAsia="zh-CN"/>
        </w:rPr>
        <w:t>10</w:t>
      </w:r>
      <w:r>
        <w:rPr>
          <w:rFonts w:hint="eastAsia" w:ascii="仿宋" w:hAnsi="仿宋" w:eastAsia="仿宋" w:cs="仿宋"/>
          <w:color w:val="auto"/>
          <w:kern w:val="2"/>
          <w:sz w:val="24"/>
          <w:szCs w:val="24"/>
          <w:highlight w:val="none"/>
        </w:rPr>
        <w:t>最低报价不能作为中标的保证。</w:t>
      </w:r>
    </w:p>
    <w:p w14:paraId="08E947C4">
      <w:pPr>
        <w:pStyle w:val="10"/>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14.11</w:t>
      </w:r>
      <w:r>
        <w:rPr>
          <w:rFonts w:hint="eastAsia" w:ascii="仿宋" w:hAnsi="仿宋" w:eastAsia="仿宋" w:cs="仿宋"/>
          <w:color w:val="auto"/>
          <w:kern w:val="0"/>
          <w:sz w:val="24"/>
          <w:szCs w:val="24"/>
          <w:highlight w:val="none"/>
          <w:lang w:val="en-US" w:eastAsia="zh-CN" w:bidi="ar"/>
        </w:rPr>
        <w:t>采购人不得向投标人索要或者接受其给予的赠品、回扣或者与采购无关的其他商品、服务。</w:t>
      </w:r>
    </w:p>
    <w:p w14:paraId="2771AB21">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仿宋" w:hAnsi="仿宋" w:eastAsia="仿宋" w:cs="仿宋"/>
          <w:b/>
          <w:bCs/>
          <w:color w:val="auto"/>
          <w:kern w:val="2"/>
          <w:sz w:val="24"/>
          <w:szCs w:val="24"/>
          <w:highlight w:val="none"/>
          <w:lang w:val="en-US" w:eastAsia="zh-CN" w:bidi="ar-SA"/>
        </w:rPr>
      </w:pPr>
      <w:bookmarkStart w:id="200" w:name="_Toc24520"/>
      <w:bookmarkStart w:id="201" w:name="_Toc140132773"/>
      <w:bookmarkStart w:id="202" w:name="_Toc9162"/>
      <w:bookmarkStart w:id="203" w:name="_Toc163492840"/>
      <w:bookmarkStart w:id="204" w:name="_Toc24048"/>
      <w:r>
        <w:rPr>
          <w:rFonts w:hint="eastAsia" w:ascii="仿宋" w:hAnsi="仿宋" w:eastAsia="仿宋" w:cs="仿宋"/>
          <w:b/>
          <w:bCs/>
          <w:color w:val="auto"/>
          <w:kern w:val="2"/>
          <w:sz w:val="24"/>
          <w:szCs w:val="24"/>
          <w:highlight w:val="none"/>
          <w:lang w:val="en-US" w:eastAsia="zh-CN" w:bidi="ar-SA"/>
        </w:rPr>
        <w:t>15.投标有效期</w:t>
      </w:r>
      <w:bookmarkEnd w:id="200"/>
      <w:bookmarkEnd w:id="201"/>
      <w:bookmarkEnd w:id="202"/>
      <w:bookmarkEnd w:id="203"/>
      <w:bookmarkEnd w:id="204"/>
    </w:p>
    <w:p w14:paraId="57DD27AA">
      <w:pPr>
        <w:keepNext w:val="0"/>
        <w:keepLines w:val="0"/>
        <w:pageBreakBefore w:val="0"/>
        <w:widowControl w:val="0"/>
        <w:kinsoku/>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.1</w:t>
      </w:r>
      <w:r>
        <w:rPr>
          <w:rFonts w:hint="eastAsia" w:ascii="仿宋" w:hAnsi="仿宋" w:eastAsia="仿宋" w:cs="仿宋"/>
          <w:color w:val="auto"/>
          <w:kern w:val="0"/>
          <w:sz w:val="24"/>
          <w:szCs w:val="24"/>
          <w:highlight w:val="none"/>
          <w:lang w:val="en"/>
        </w:rPr>
        <w:t>投标有效期</w:t>
      </w:r>
      <w:r>
        <w:rPr>
          <w:rFonts w:hint="eastAsia" w:ascii="仿宋" w:hAnsi="仿宋" w:eastAsia="仿宋" w:cs="仿宋"/>
          <w:color w:val="auto"/>
          <w:sz w:val="24"/>
          <w:szCs w:val="24"/>
          <w:highlight w:val="none"/>
        </w:rPr>
        <w:t>见“</w:t>
      </w:r>
      <w:r>
        <w:rPr>
          <w:rFonts w:hint="eastAsia" w:ascii="仿宋" w:hAnsi="仿宋" w:eastAsia="仿宋" w:cs="仿宋"/>
          <w:color w:val="auto"/>
          <w:sz w:val="24"/>
          <w:szCs w:val="24"/>
          <w:highlight w:val="none"/>
          <w:lang w:val="en-US" w:eastAsia="zh-CN"/>
        </w:rPr>
        <w:t xml:space="preserve">第二章 </w:t>
      </w:r>
      <w:r>
        <w:rPr>
          <w:rFonts w:hint="eastAsia" w:ascii="仿宋" w:hAnsi="仿宋" w:eastAsia="仿宋" w:cs="仿宋"/>
          <w:color w:val="auto"/>
          <w:sz w:val="24"/>
          <w:szCs w:val="24"/>
          <w:highlight w:val="none"/>
        </w:rPr>
        <w:t>投标人须知前附表”，投标人承诺的投标有效期</w:t>
      </w:r>
      <w:r>
        <w:rPr>
          <w:rFonts w:hint="eastAsia" w:ascii="仿宋" w:hAnsi="仿宋" w:eastAsia="仿宋" w:cs="仿宋"/>
          <w:snapToGrid w:val="0"/>
          <w:color w:val="auto"/>
          <w:sz w:val="24"/>
          <w:szCs w:val="24"/>
          <w:highlight w:val="none"/>
          <w:lang w:val="zh-CN" w:eastAsia="zh-CN"/>
        </w:rPr>
        <w:t>少于</w:t>
      </w:r>
      <w:r>
        <w:rPr>
          <w:rFonts w:hint="eastAsia" w:ascii="仿宋" w:hAnsi="仿宋" w:eastAsia="仿宋" w:cs="仿宋"/>
          <w:snapToGrid w:val="0"/>
          <w:color w:val="auto"/>
          <w:sz w:val="24"/>
          <w:szCs w:val="24"/>
          <w:highlight w:val="none"/>
          <w:lang w:val="en-US" w:eastAsia="zh-CN"/>
        </w:rPr>
        <w:t>招标</w:t>
      </w:r>
      <w:r>
        <w:rPr>
          <w:rFonts w:hint="eastAsia" w:ascii="仿宋" w:hAnsi="仿宋" w:eastAsia="仿宋" w:cs="仿宋"/>
          <w:snapToGrid w:val="0"/>
          <w:color w:val="auto"/>
          <w:sz w:val="24"/>
          <w:szCs w:val="24"/>
          <w:highlight w:val="none"/>
          <w:lang w:val="zh-CN" w:eastAsia="zh-CN"/>
        </w:rPr>
        <w:t>文件规定期限的，其</w:t>
      </w:r>
      <w:r>
        <w:rPr>
          <w:rFonts w:hint="eastAsia" w:ascii="仿宋" w:hAnsi="仿宋" w:eastAsia="仿宋" w:cs="仿宋"/>
          <w:b/>
          <w:bCs/>
          <w:snapToGrid w:val="0"/>
          <w:color w:val="auto"/>
          <w:sz w:val="24"/>
          <w:szCs w:val="24"/>
          <w:highlight w:val="none"/>
          <w:lang w:val="en-US" w:eastAsia="zh-CN"/>
        </w:rPr>
        <w:t>投标</w:t>
      </w:r>
      <w:r>
        <w:rPr>
          <w:rFonts w:hint="eastAsia" w:ascii="仿宋" w:hAnsi="仿宋" w:eastAsia="仿宋" w:cs="仿宋"/>
          <w:b/>
          <w:bCs/>
          <w:snapToGrid w:val="0"/>
          <w:color w:val="auto"/>
          <w:sz w:val="24"/>
          <w:szCs w:val="24"/>
          <w:highlight w:val="none"/>
          <w:lang w:val="zh-CN" w:eastAsia="zh-CN"/>
        </w:rPr>
        <w:t>无效</w:t>
      </w:r>
      <w:r>
        <w:rPr>
          <w:rFonts w:hint="eastAsia" w:ascii="仿宋" w:hAnsi="仿宋" w:eastAsia="仿宋" w:cs="仿宋"/>
          <w:snapToGrid w:val="0"/>
          <w:color w:val="auto"/>
          <w:sz w:val="24"/>
          <w:szCs w:val="24"/>
          <w:highlight w:val="none"/>
          <w:lang w:val="zh-CN" w:eastAsia="zh-CN"/>
        </w:rPr>
        <w:t>。</w:t>
      </w:r>
    </w:p>
    <w:p w14:paraId="7A6F4CED">
      <w:pPr>
        <w:keepNext w:val="0"/>
        <w:keepLines w:val="0"/>
        <w:pageBreakBefore w:val="0"/>
        <w:widowControl w:val="0"/>
        <w:kinsoku/>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15.2投标有效期从提交投标文件的截止之日起算。投标文件中承诺的投标有效期应当不少于招标文件中载明的投标有效期。投标有效期内投标人撤销投标文件的，采购人或者采购代理机构可以不退还投标保证金。</w:t>
      </w:r>
    </w:p>
    <w:p w14:paraId="3CE25C34">
      <w:pPr>
        <w:keepNext w:val="0"/>
        <w:keepLines w:val="0"/>
        <w:pageBreakBefore w:val="0"/>
        <w:widowControl w:val="0"/>
        <w:kinsoku/>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特殊情况下，在原投标文件有效期截止之前，采购代理机构或采购人可要求投标人延长投标有效期。需要延长投标有效期时，采购代理机构或采购人将以书面形式通知所有投标人，投标人应以书面形式答复是否同意延长投标有效期。</w:t>
      </w:r>
    </w:p>
    <w:p w14:paraId="5394D366">
      <w:pPr>
        <w:keepNext w:val="0"/>
        <w:keepLines w:val="0"/>
        <w:pageBreakBefore w:val="0"/>
        <w:widowControl w:val="0"/>
        <w:kinsoku/>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投标人同意延长的，</w:t>
      </w:r>
      <w:r>
        <w:rPr>
          <w:rFonts w:hint="eastAsia" w:ascii="仿宋" w:hAnsi="仿宋" w:eastAsia="仿宋" w:cs="仿宋"/>
          <w:color w:val="auto"/>
          <w:kern w:val="2"/>
          <w:sz w:val="24"/>
          <w:szCs w:val="24"/>
          <w:highlight w:val="none"/>
          <w:lang w:val="en-US" w:eastAsia="zh-CN"/>
        </w:rPr>
        <w:t>其</w:t>
      </w:r>
      <w:r>
        <w:rPr>
          <w:rFonts w:hint="eastAsia" w:ascii="仿宋" w:hAnsi="仿宋" w:eastAsia="仿宋" w:cs="仿宋"/>
          <w:color w:val="auto"/>
          <w:kern w:val="2"/>
          <w:sz w:val="24"/>
          <w:szCs w:val="24"/>
          <w:highlight w:val="none"/>
        </w:rPr>
        <w:t>投标保证金的有效期也相应延长</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lang w:val="en-US" w:eastAsia="zh-CN"/>
        </w:rPr>
        <w:t>但</w:t>
      </w:r>
      <w:r>
        <w:rPr>
          <w:rFonts w:hint="eastAsia" w:ascii="仿宋" w:hAnsi="仿宋" w:eastAsia="仿宋" w:cs="仿宋"/>
          <w:color w:val="auto"/>
          <w:sz w:val="24"/>
          <w:szCs w:val="24"/>
          <w:highlight w:val="none"/>
        </w:rPr>
        <w:t>不得要求或被允许修改或撤销其投标文件；</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拒绝延长的，其投标文件在原投标有效期满后将不再有效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但其提交的投标保证金可予以退还</w:t>
      </w:r>
      <w:r>
        <w:rPr>
          <w:rFonts w:hint="eastAsia" w:ascii="仿宋" w:hAnsi="仿宋" w:eastAsia="仿宋" w:cs="仿宋"/>
          <w:color w:val="auto"/>
          <w:sz w:val="24"/>
          <w:szCs w:val="24"/>
          <w:highlight w:val="none"/>
        </w:rPr>
        <w:t>。</w:t>
      </w:r>
    </w:p>
    <w:p w14:paraId="3D15C0E2">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仿宋" w:hAnsi="仿宋" w:eastAsia="仿宋" w:cs="仿宋"/>
          <w:b/>
          <w:bCs/>
          <w:color w:val="auto"/>
          <w:kern w:val="2"/>
          <w:sz w:val="24"/>
          <w:szCs w:val="24"/>
          <w:highlight w:val="none"/>
          <w:lang w:val="en-US" w:eastAsia="zh-CN" w:bidi="ar-SA"/>
        </w:rPr>
      </w:pPr>
      <w:bookmarkStart w:id="205" w:name="_Toc9620"/>
      <w:bookmarkStart w:id="206" w:name="_Toc17887"/>
      <w:bookmarkStart w:id="207" w:name="_Toc21362"/>
      <w:bookmarkStart w:id="208" w:name="_Toc140132774"/>
      <w:bookmarkStart w:id="209" w:name="_Toc163492841"/>
      <w:r>
        <w:rPr>
          <w:rFonts w:hint="eastAsia" w:ascii="仿宋" w:hAnsi="仿宋" w:eastAsia="仿宋" w:cs="仿宋"/>
          <w:b/>
          <w:bCs/>
          <w:color w:val="auto"/>
          <w:kern w:val="2"/>
          <w:sz w:val="24"/>
          <w:szCs w:val="24"/>
          <w:highlight w:val="none"/>
          <w:lang w:val="en-US" w:eastAsia="zh-CN" w:bidi="ar-SA"/>
        </w:rPr>
        <w:t>16.投标文件的编制</w:t>
      </w:r>
      <w:bookmarkEnd w:id="205"/>
      <w:bookmarkEnd w:id="206"/>
      <w:bookmarkEnd w:id="207"/>
      <w:bookmarkEnd w:id="208"/>
      <w:bookmarkEnd w:id="209"/>
    </w:p>
    <w:p w14:paraId="7F83F339">
      <w:pPr>
        <w:keepNext w:val="0"/>
        <w:keepLines w:val="0"/>
        <w:pageBreakBefore w:val="0"/>
        <w:widowControl w:val="0"/>
        <w:kinsoku/>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.1投标文件应在供应商客户端中进行编制，在投标文件中要求加盖印章的，除有特殊说明之外，</w:t>
      </w:r>
      <w:r>
        <w:rPr>
          <w:rFonts w:hint="eastAsia" w:ascii="仿宋" w:hAnsi="仿宋" w:eastAsia="仿宋" w:cs="仿宋"/>
          <w:color w:val="auto"/>
          <w:sz w:val="24"/>
          <w:szCs w:val="24"/>
          <w:highlight w:val="none"/>
          <w:lang w:val="en-US" w:eastAsia="zh-CN"/>
        </w:rPr>
        <w:t>可</w:t>
      </w:r>
      <w:r>
        <w:rPr>
          <w:rFonts w:hint="eastAsia" w:ascii="仿宋" w:hAnsi="仿宋" w:eastAsia="仿宋" w:cs="仿宋"/>
          <w:color w:val="auto"/>
          <w:sz w:val="24"/>
          <w:szCs w:val="24"/>
          <w:highlight w:val="none"/>
        </w:rPr>
        <w:t>使用电子签章签署。</w:t>
      </w:r>
    </w:p>
    <w:p w14:paraId="2724B155">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bookmarkStart w:id="210" w:name="_Hlk143528557"/>
      <w:r>
        <w:rPr>
          <w:rFonts w:hint="eastAsia" w:ascii="仿宋" w:hAnsi="仿宋" w:eastAsia="仿宋" w:cs="仿宋"/>
          <w:color w:val="auto"/>
          <w:sz w:val="24"/>
          <w:szCs w:val="24"/>
          <w:highlight w:val="none"/>
        </w:rPr>
        <w:t>2投标人在供应商客户端中按照供应商客户端中的格式要求填写响应内容后，生成投标文件。投标人须按照招标文件的要求使用电子签章对要求加盖印章的部分逐一进行签章。</w:t>
      </w:r>
      <w:bookmarkEnd w:id="210"/>
    </w:p>
    <w:p w14:paraId="4E109C3C">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投标人应详细阅读招标文件的全部内容。投标文件须对招标文件中的内容作出实质性和完整的响应，如果投标文件填报的内容不详，或没有提供招标文件中所要求的全部资料及数据，将可能</w:t>
      </w:r>
      <w:r>
        <w:rPr>
          <w:rFonts w:hint="eastAsia" w:ascii="仿宋" w:hAnsi="仿宋" w:eastAsia="仿宋" w:cs="仿宋"/>
          <w:b/>
          <w:bCs/>
          <w:color w:val="auto"/>
          <w:sz w:val="24"/>
          <w:szCs w:val="24"/>
          <w:highlight w:val="none"/>
        </w:rPr>
        <w:t>导致</w:t>
      </w:r>
      <w:r>
        <w:rPr>
          <w:rFonts w:hint="eastAsia" w:ascii="仿宋" w:hAnsi="仿宋" w:eastAsia="仿宋" w:cs="仿宋"/>
          <w:b/>
          <w:bCs/>
          <w:color w:val="auto"/>
          <w:sz w:val="24"/>
          <w:szCs w:val="24"/>
          <w:highlight w:val="none"/>
          <w:lang w:val="en-US" w:eastAsia="zh-CN"/>
        </w:rPr>
        <w:t>其</w:t>
      </w:r>
      <w:r>
        <w:rPr>
          <w:rFonts w:hint="eastAsia" w:ascii="仿宋" w:hAnsi="仿宋" w:eastAsia="仿宋" w:cs="仿宋"/>
          <w:b/>
          <w:bCs/>
          <w:color w:val="auto"/>
          <w:sz w:val="24"/>
          <w:szCs w:val="24"/>
          <w:highlight w:val="none"/>
        </w:rPr>
        <w:t>投标</w:t>
      </w:r>
      <w:r>
        <w:rPr>
          <w:rFonts w:hint="eastAsia" w:ascii="仿宋" w:hAnsi="仿宋" w:eastAsia="仿宋" w:cs="仿宋"/>
          <w:b/>
          <w:bCs/>
          <w:color w:val="auto"/>
          <w:sz w:val="24"/>
          <w:szCs w:val="24"/>
          <w:highlight w:val="none"/>
          <w:lang w:val="en-US" w:eastAsia="zh-CN"/>
        </w:rPr>
        <w:t>无效</w:t>
      </w:r>
      <w:r>
        <w:rPr>
          <w:rFonts w:hint="eastAsia" w:ascii="仿宋" w:hAnsi="仿宋" w:eastAsia="仿宋" w:cs="仿宋"/>
          <w:color w:val="auto"/>
          <w:sz w:val="24"/>
          <w:szCs w:val="24"/>
          <w:highlight w:val="none"/>
        </w:rPr>
        <w:t>。</w:t>
      </w:r>
    </w:p>
    <w:p w14:paraId="484C0881">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投标文件须严格按照</w:t>
      </w:r>
      <w:r>
        <w:rPr>
          <w:rFonts w:hint="eastAsia" w:ascii="仿宋" w:hAnsi="仿宋" w:eastAsia="仿宋" w:cs="仿宋"/>
          <w:color w:val="auto"/>
          <w:sz w:val="24"/>
          <w:szCs w:val="24"/>
          <w:highlight w:val="none"/>
          <w:lang w:val="en-US" w:eastAsia="zh-CN"/>
        </w:rPr>
        <w:t>本</w:t>
      </w:r>
      <w:r>
        <w:rPr>
          <w:rFonts w:hint="eastAsia" w:ascii="仿宋" w:hAnsi="仿宋" w:eastAsia="仿宋" w:cs="仿宋"/>
          <w:color w:val="auto"/>
          <w:sz w:val="24"/>
          <w:szCs w:val="24"/>
          <w:highlight w:val="none"/>
        </w:rPr>
        <w:t>招标文件第</w:t>
      </w:r>
      <w:r>
        <w:rPr>
          <w:rFonts w:hint="eastAsia" w:ascii="仿宋" w:hAnsi="仿宋" w:eastAsia="仿宋" w:cs="仿宋"/>
          <w:color w:val="auto"/>
          <w:sz w:val="24"/>
          <w:szCs w:val="24"/>
          <w:highlight w:val="none"/>
          <w:lang w:val="en-US" w:eastAsia="zh-CN"/>
        </w:rPr>
        <w:t>七章</w:t>
      </w:r>
      <w:r>
        <w:rPr>
          <w:rFonts w:hint="eastAsia" w:ascii="仿宋" w:hAnsi="仿宋" w:eastAsia="仿宋" w:cs="仿宋"/>
          <w:color w:val="auto"/>
          <w:sz w:val="24"/>
          <w:szCs w:val="24"/>
          <w:highlight w:val="none"/>
        </w:rPr>
        <w:t>规定的格式提交，并按规定的统一格式逐项填写，不准有空项；无相应内容可填的项，应填写“无”、“未测试”、“没有相应指标”等明确的回答文字。由于编排混乱导致投标文件被误读或查找不到，其责任由投标人承担。</w:t>
      </w:r>
    </w:p>
    <w:p w14:paraId="563DF1C7">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开标一览表为在开标</w:t>
      </w:r>
      <w:r>
        <w:rPr>
          <w:rFonts w:hint="eastAsia" w:ascii="仿宋" w:hAnsi="仿宋" w:eastAsia="仿宋" w:cs="仿宋"/>
          <w:color w:val="auto"/>
          <w:sz w:val="24"/>
          <w:szCs w:val="24"/>
          <w:highlight w:val="none"/>
          <w:lang w:val="en-US" w:eastAsia="zh-CN"/>
        </w:rPr>
        <w:t>时</w:t>
      </w:r>
      <w:r>
        <w:rPr>
          <w:rFonts w:hint="eastAsia" w:ascii="仿宋" w:hAnsi="仿宋" w:eastAsia="仿宋" w:cs="仿宋"/>
          <w:color w:val="auto"/>
          <w:sz w:val="24"/>
          <w:szCs w:val="24"/>
          <w:highlight w:val="none"/>
        </w:rPr>
        <w:t>唱标的内容，要求按格式统一填写，不得自行增减内容。</w:t>
      </w:r>
    </w:p>
    <w:p w14:paraId="2CE8CA7F">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投标人须注意：为合理节约政府采购评审成本，提倡诚实信用的投标行为，特别要求投标人应本着诚信精神，在本次投标文件的偏离表中，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被认定为属于偏离，则评标委员会有权视具体情形评审时</w:t>
      </w:r>
      <w:r>
        <w:rPr>
          <w:rFonts w:hint="eastAsia" w:ascii="仿宋" w:hAnsi="仿宋" w:eastAsia="仿宋" w:cs="仿宋"/>
          <w:color w:val="auto"/>
          <w:sz w:val="24"/>
          <w:szCs w:val="24"/>
          <w:highlight w:val="none"/>
          <w:lang w:val="en-US" w:eastAsia="zh-CN"/>
        </w:rPr>
        <w:t>按</w:t>
      </w:r>
      <w:r>
        <w:rPr>
          <w:rFonts w:hint="eastAsia" w:ascii="仿宋" w:hAnsi="仿宋" w:eastAsia="仿宋" w:cs="仿宋"/>
          <w:b/>
          <w:bCs/>
          <w:color w:val="auto"/>
          <w:sz w:val="24"/>
          <w:szCs w:val="24"/>
          <w:highlight w:val="none"/>
          <w:lang w:val="en-US" w:eastAsia="zh-CN"/>
        </w:rPr>
        <w:t>无效投标</w:t>
      </w:r>
      <w:r>
        <w:rPr>
          <w:rFonts w:hint="eastAsia" w:ascii="仿宋" w:hAnsi="仿宋" w:eastAsia="仿宋" w:cs="仿宋"/>
          <w:color w:val="auto"/>
          <w:sz w:val="24"/>
          <w:szCs w:val="24"/>
          <w:highlight w:val="none"/>
        </w:rPr>
        <w:t>处理。</w:t>
      </w:r>
    </w:p>
    <w:p w14:paraId="25F38015">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投标人必须保证投标文件所提供的全部资料真实可靠，并接受采购</w:t>
      </w:r>
      <w:r>
        <w:rPr>
          <w:rFonts w:hint="eastAsia" w:ascii="仿宋" w:hAnsi="仿宋" w:eastAsia="仿宋" w:cs="仿宋"/>
          <w:color w:val="auto"/>
          <w:sz w:val="24"/>
          <w:szCs w:val="24"/>
          <w:highlight w:val="none"/>
          <w:lang w:val="en-US" w:eastAsia="zh-CN"/>
        </w:rPr>
        <w:t>人、采购</w:t>
      </w:r>
      <w:r>
        <w:rPr>
          <w:rFonts w:hint="eastAsia" w:ascii="仿宋" w:hAnsi="仿宋" w:eastAsia="仿宋" w:cs="仿宋"/>
          <w:color w:val="auto"/>
          <w:sz w:val="24"/>
          <w:szCs w:val="24"/>
          <w:highlight w:val="none"/>
        </w:rPr>
        <w:t>代理机构或评标委员会对其中任何资料进一步审查的要求。</w:t>
      </w:r>
    </w:p>
    <w:p w14:paraId="369B110F">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投标人在投标文件及相关文件的签订、履行、通知等事项的文件中的单位盖章、印章、公章等处均指与当事人全称相一致的标准公章，不得使用其他形式（如带有“专用章”等字样的印章）。不符合本条规定的按</w:t>
      </w:r>
      <w:r>
        <w:rPr>
          <w:rFonts w:hint="eastAsia" w:ascii="仿宋" w:hAnsi="仿宋" w:eastAsia="仿宋" w:cs="仿宋"/>
          <w:b/>
          <w:bCs/>
          <w:color w:val="auto"/>
          <w:sz w:val="24"/>
          <w:szCs w:val="24"/>
          <w:highlight w:val="none"/>
        </w:rPr>
        <w:t>无效投标</w:t>
      </w:r>
      <w:r>
        <w:rPr>
          <w:rFonts w:hint="eastAsia" w:ascii="仿宋" w:hAnsi="仿宋" w:eastAsia="仿宋" w:cs="仿宋"/>
          <w:color w:val="auto"/>
          <w:sz w:val="24"/>
          <w:szCs w:val="24"/>
          <w:highlight w:val="none"/>
        </w:rPr>
        <w:t>处理。</w:t>
      </w:r>
    </w:p>
    <w:p w14:paraId="6CA8C53A">
      <w:pPr>
        <w:pStyle w:val="62"/>
        <w:keepNext w:val="0"/>
        <w:keepLines w:val="0"/>
        <w:pageBreakBefore w:val="0"/>
        <w:widowControl w:val="0"/>
        <w:shd w:val="clear" w:color="auto" w:fill="auto"/>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iCs/>
          <w:color w:val="auto"/>
          <w:kern w:val="2"/>
          <w:sz w:val="24"/>
          <w:szCs w:val="24"/>
          <w:highlight w:val="none"/>
          <w:shd w:val="clear" w:color="auto" w:fill="FFFFFF" w:themeFill="background1"/>
          <w:lang w:val="en-US" w:eastAsia="zh-CN" w:bidi="ar-SA"/>
        </w:rPr>
      </w:pPr>
      <w:r>
        <w:rPr>
          <w:rFonts w:hint="eastAsia" w:ascii="仿宋" w:hAnsi="仿宋" w:eastAsia="仿宋" w:cs="仿宋"/>
          <w:iCs/>
          <w:color w:val="auto"/>
          <w:kern w:val="2"/>
          <w:sz w:val="24"/>
          <w:szCs w:val="24"/>
          <w:highlight w:val="none"/>
          <w:shd w:val="clear" w:color="auto" w:fill="FFFFFF" w:themeFill="background1"/>
          <w:lang w:val="en-US" w:eastAsia="zh-CN" w:bidi="ar-SA"/>
        </w:rPr>
        <w:t>16.9电子投标文件的编制</w:t>
      </w:r>
    </w:p>
    <w:p w14:paraId="56CB6ABA">
      <w:pPr>
        <w:pStyle w:val="62"/>
        <w:keepNext w:val="0"/>
        <w:keepLines w:val="0"/>
        <w:pageBreakBefore w:val="0"/>
        <w:widowControl w:val="0"/>
        <w:shd w:val="clear" w:color="auto" w:fill="auto"/>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iCs/>
          <w:color w:val="auto"/>
          <w:kern w:val="2"/>
          <w:sz w:val="24"/>
          <w:szCs w:val="24"/>
          <w:highlight w:val="none"/>
          <w:shd w:val="clear" w:color="auto" w:fill="FFFFFF" w:themeFill="background1"/>
          <w:lang w:val="en-US" w:eastAsia="zh-CN" w:bidi="ar-SA"/>
        </w:rPr>
      </w:pPr>
      <w:r>
        <w:rPr>
          <w:rFonts w:hint="eastAsia" w:ascii="仿宋" w:hAnsi="仿宋" w:eastAsia="仿宋" w:cs="仿宋"/>
          <w:iCs/>
          <w:color w:val="auto"/>
          <w:kern w:val="2"/>
          <w:sz w:val="24"/>
          <w:szCs w:val="24"/>
          <w:highlight w:val="none"/>
          <w:shd w:val="clear" w:color="auto" w:fill="FFFFFF" w:themeFill="background1"/>
          <w:lang w:val="en-US" w:eastAsia="zh-CN" w:bidi="ar-SA"/>
        </w:rPr>
        <w:t>16.9.1电子投标文件需按招标文件要求进行制作编制。投标文件制作时，不同内容按标签提示制作导入，按照招标文件中明确的投标文件目录和格式进行编制，保证目录清晰、内容完整；</w:t>
      </w:r>
    </w:p>
    <w:p w14:paraId="072EBCAB">
      <w:pPr>
        <w:pStyle w:val="62"/>
        <w:keepNext w:val="0"/>
        <w:keepLines w:val="0"/>
        <w:pageBreakBefore w:val="0"/>
        <w:widowControl w:val="0"/>
        <w:shd w:val="clear" w:color="auto" w:fill="auto"/>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iCs/>
          <w:color w:val="auto"/>
          <w:kern w:val="2"/>
          <w:sz w:val="24"/>
          <w:szCs w:val="24"/>
          <w:highlight w:val="none"/>
          <w:shd w:val="clear" w:color="auto" w:fill="FFFFFF" w:themeFill="background1"/>
          <w:lang w:val="en-US" w:eastAsia="zh-CN" w:bidi="ar-SA"/>
        </w:rPr>
      </w:pPr>
      <w:r>
        <w:rPr>
          <w:rFonts w:hint="eastAsia" w:ascii="仿宋" w:hAnsi="仿宋" w:eastAsia="仿宋" w:cs="仿宋"/>
          <w:iCs/>
          <w:color w:val="auto"/>
          <w:kern w:val="2"/>
          <w:sz w:val="24"/>
          <w:szCs w:val="24"/>
          <w:highlight w:val="none"/>
          <w:shd w:val="clear" w:color="auto" w:fill="FFFFFF" w:themeFill="background1"/>
          <w:lang w:val="en-US" w:eastAsia="zh-CN" w:bidi="ar-SA"/>
        </w:rPr>
        <w:t>16.9.2电子招投标文件具有法律效力，与其他形式的招投标文件在内容和格式上等同，若投标文件与招标文件要求不一致，其内容影响中标结果时，责任由投标人自行承担。投标人递交的电子投标文件因投标人自身原因而导致无法导入电子辅助评标系统，该投标文件视为无效投标文件，</w:t>
      </w:r>
      <w:r>
        <w:rPr>
          <w:rFonts w:hint="eastAsia" w:ascii="仿宋" w:hAnsi="仿宋" w:eastAsia="仿宋" w:cs="仿宋"/>
          <w:b/>
          <w:bCs/>
          <w:iCs/>
          <w:color w:val="auto"/>
          <w:kern w:val="2"/>
          <w:sz w:val="24"/>
          <w:szCs w:val="24"/>
          <w:highlight w:val="none"/>
          <w:shd w:val="clear" w:color="auto" w:fill="FFFFFF" w:themeFill="background1"/>
          <w:lang w:val="en-US" w:eastAsia="zh-CN" w:bidi="ar-SA"/>
        </w:rPr>
        <w:t>其投标无效</w:t>
      </w:r>
      <w:r>
        <w:rPr>
          <w:rFonts w:hint="eastAsia" w:ascii="仿宋" w:hAnsi="仿宋" w:eastAsia="仿宋" w:cs="仿宋"/>
          <w:iCs/>
          <w:color w:val="auto"/>
          <w:kern w:val="2"/>
          <w:sz w:val="24"/>
          <w:szCs w:val="24"/>
          <w:highlight w:val="none"/>
          <w:shd w:val="clear" w:color="auto" w:fill="FFFFFF" w:themeFill="background1"/>
          <w:lang w:val="en-US" w:eastAsia="zh-CN" w:bidi="ar-SA"/>
        </w:rPr>
        <w:t>。</w:t>
      </w:r>
    </w:p>
    <w:p w14:paraId="375A1892">
      <w:pPr>
        <w:pStyle w:val="4"/>
        <w:keepNext w:val="0"/>
        <w:keepLines w:val="0"/>
        <w:pageBreakBefore w:val="0"/>
        <w:widowControl w:val="0"/>
        <w:numPr>
          <w:ilvl w:val="0"/>
          <w:numId w:val="0"/>
        </w:numPr>
        <w:kinsoku/>
        <w:wordWrap/>
        <w:overflowPunct/>
        <w:topLinePunct w:val="0"/>
        <w:autoSpaceDE/>
        <w:autoSpaceDN/>
        <w:bidi w:val="0"/>
        <w:adjustRightInd/>
        <w:snapToGrid/>
        <w:spacing w:before="120" w:after="120" w:line="440" w:lineRule="exact"/>
        <w:ind w:left="420" w:leftChars="0" w:hanging="420" w:firstLineChars="0"/>
        <w:textAlignment w:val="auto"/>
        <w:rPr>
          <w:rFonts w:hint="eastAsia" w:ascii="仿宋" w:hAnsi="仿宋" w:eastAsia="仿宋" w:cs="仿宋"/>
          <w:b/>
          <w:bCs/>
          <w:color w:val="auto"/>
          <w:kern w:val="2"/>
          <w:sz w:val="24"/>
          <w:szCs w:val="24"/>
          <w:highlight w:val="none"/>
          <w:lang w:val="en-US" w:eastAsia="zh-CN" w:bidi="ar-SA"/>
        </w:rPr>
      </w:pPr>
      <w:bookmarkStart w:id="211" w:name="_Toc10210"/>
      <w:bookmarkStart w:id="212" w:name="_Toc22756"/>
      <w:bookmarkStart w:id="213" w:name="_Toc20626"/>
      <w:bookmarkStart w:id="214" w:name="_Toc155185873"/>
      <w:bookmarkStart w:id="215" w:name="_Toc163492842"/>
      <w:r>
        <w:rPr>
          <w:rFonts w:hint="eastAsia" w:ascii="仿宋" w:hAnsi="仿宋" w:eastAsia="仿宋" w:cs="仿宋"/>
          <w:b/>
          <w:bCs/>
          <w:color w:val="auto"/>
          <w:kern w:val="2"/>
          <w:sz w:val="24"/>
          <w:szCs w:val="24"/>
          <w:highlight w:val="none"/>
          <w:lang w:val="en-US" w:eastAsia="zh-CN" w:bidi="ar-SA"/>
        </w:rPr>
        <w:t>（四）投标</w:t>
      </w:r>
      <w:bookmarkEnd w:id="211"/>
      <w:bookmarkEnd w:id="212"/>
      <w:bookmarkEnd w:id="213"/>
      <w:bookmarkEnd w:id="214"/>
      <w:bookmarkEnd w:id="215"/>
    </w:p>
    <w:p w14:paraId="3DE34B94">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仿宋" w:hAnsi="仿宋" w:eastAsia="仿宋" w:cs="仿宋"/>
          <w:b/>
          <w:bCs/>
          <w:color w:val="auto"/>
          <w:kern w:val="2"/>
          <w:sz w:val="24"/>
          <w:szCs w:val="24"/>
          <w:highlight w:val="none"/>
          <w:lang w:val="en-US" w:eastAsia="zh-CN" w:bidi="ar-SA"/>
        </w:rPr>
      </w:pPr>
      <w:bookmarkStart w:id="216" w:name="_Toc32654"/>
      <w:bookmarkStart w:id="217" w:name="_Toc27659"/>
      <w:bookmarkStart w:id="218" w:name="_Toc16487"/>
      <w:bookmarkStart w:id="219" w:name="_Toc163492843"/>
      <w:r>
        <w:rPr>
          <w:rFonts w:hint="eastAsia" w:ascii="仿宋" w:hAnsi="仿宋" w:eastAsia="仿宋" w:cs="仿宋"/>
          <w:b/>
          <w:bCs/>
          <w:color w:val="auto"/>
          <w:kern w:val="2"/>
          <w:sz w:val="24"/>
          <w:szCs w:val="24"/>
          <w:highlight w:val="none"/>
          <w:lang w:val="en-US" w:eastAsia="zh-CN" w:bidi="ar-SA"/>
        </w:rPr>
        <w:t>17.投标保证金</w:t>
      </w:r>
      <w:bookmarkEnd w:id="216"/>
      <w:bookmarkEnd w:id="217"/>
      <w:bookmarkEnd w:id="218"/>
    </w:p>
    <w:p w14:paraId="653715C5">
      <w:pPr>
        <w:pStyle w:val="62"/>
        <w:keepNext w:val="0"/>
        <w:keepLines w:val="0"/>
        <w:pageBreakBefore w:val="0"/>
        <w:widowControl w:val="0"/>
        <w:shd w:val="clear" w:color="auto" w:fill="auto"/>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iCs/>
          <w:color w:val="auto"/>
          <w:kern w:val="2"/>
          <w:sz w:val="24"/>
          <w:szCs w:val="24"/>
          <w:highlight w:val="none"/>
          <w:shd w:val="clear" w:color="auto" w:fill="FFFFFF" w:themeFill="background1"/>
          <w:lang w:val="en-US" w:eastAsia="zh-CN" w:bidi="ar-SA"/>
        </w:rPr>
      </w:pPr>
      <w:r>
        <w:rPr>
          <w:rFonts w:hint="eastAsia" w:ascii="仿宋" w:hAnsi="仿宋" w:eastAsia="仿宋" w:cs="仿宋"/>
          <w:iCs/>
          <w:color w:val="auto"/>
          <w:kern w:val="2"/>
          <w:sz w:val="24"/>
          <w:szCs w:val="24"/>
          <w:highlight w:val="none"/>
          <w:shd w:val="clear" w:color="auto" w:fill="FFFFFF" w:themeFill="background1"/>
          <w:lang w:val="en-US" w:eastAsia="zh-CN" w:bidi="ar-SA"/>
        </w:rPr>
        <w:t>17.1投标人应按照招标文件“第二章 投标人须知前附表”规定的金额及要求提交投标保证金。投标人自愿超额缴纳投标保证金的，投标文件不做无效处理。</w:t>
      </w:r>
    </w:p>
    <w:p w14:paraId="2D976B0C">
      <w:pPr>
        <w:keepNext w:val="0"/>
        <w:keepLines w:val="0"/>
        <w:pageBreakBefore w:val="0"/>
        <w:widowControl w:val="0"/>
        <w:suppressLineNumbers w:val="0"/>
        <w:kinsoku/>
        <w:overflowPunct/>
        <w:topLinePunct w:val="0"/>
        <w:autoSpaceDE/>
        <w:autoSpaceDN/>
        <w:bidi w:val="0"/>
        <w:adjustRightInd/>
        <w:spacing w:line="44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Cs/>
          <w:color w:val="auto"/>
          <w:kern w:val="2"/>
          <w:sz w:val="24"/>
          <w:szCs w:val="24"/>
          <w:highlight w:val="none"/>
          <w:shd w:val="clear" w:color="auto" w:fill="FFFFFF" w:themeFill="background1"/>
          <w:lang w:val="en-US" w:eastAsia="zh-CN" w:bidi="ar-SA"/>
        </w:rPr>
        <w:t>17.2提交投标保证金可采用的形式：政府采购法律法规接受的支票、汇票、本票、网上银行支付或者金融机构、担保机构出具的保函等非现金形式。</w:t>
      </w:r>
      <w:r>
        <w:rPr>
          <w:rFonts w:hint="eastAsia" w:ascii="仿宋" w:hAnsi="仿宋" w:eastAsia="仿宋" w:cs="仿宋"/>
          <w:color w:val="auto"/>
          <w:kern w:val="2"/>
          <w:sz w:val="24"/>
          <w:szCs w:val="24"/>
          <w:highlight w:val="none"/>
          <w:lang w:val="en-US" w:eastAsia="zh-CN" w:bidi="ar-SA"/>
        </w:rPr>
        <w:t>投标人未按照招标文件要求提交投标保证金的，其</w:t>
      </w:r>
      <w:r>
        <w:rPr>
          <w:rFonts w:hint="eastAsia" w:ascii="仿宋" w:hAnsi="仿宋" w:eastAsia="仿宋" w:cs="仿宋"/>
          <w:b/>
          <w:bCs/>
          <w:color w:val="auto"/>
          <w:kern w:val="2"/>
          <w:sz w:val="24"/>
          <w:szCs w:val="24"/>
          <w:highlight w:val="none"/>
          <w:lang w:val="en-US" w:eastAsia="zh-CN" w:bidi="ar-SA"/>
        </w:rPr>
        <w:t>投标无效</w:t>
      </w:r>
      <w:r>
        <w:rPr>
          <w:rFonts w:hint="eastAsia" w:ascii="仿宋" w:hAnsi="仿宋" w:eastAsia="仿宋" w:cs="仿宋"/>
          <w:color w:val="auto"/>
          <w:kern w:val="2"/>
          <w:sz w:val="24"/>
          <w:szCs w:val="24"/>
          <w:highlight w:val="none"/>
          <w:lang w:val="en-US" w:eastAsia="zh-CN" w:bidi="ar-SA"/>
        </w:rPr>
        <w:t>。</w:t>
      </w:r>
      <w:r>
        <w:rPr>
          <w:rFonts w:hint="eastAsia" w:ascii="仿宋" w:hAnsi="仿宋" w:eastAsia="仿宋" w:cs="仿宋"/>
          <w:color w:val="auto"/>
          <w:sz w:val="24"/>
          <w:szCs w:val="24"/>
          <w:highlight w:val="none"/>
          <w:lang w:val="en-US" w:eastAsia="zh-CN"/>
        </w:rPr>
        <w:t>投标保证金有效期同投标有效期。</w:t>
      </w:r>
    </w:p>
    <w:p w14:paraId="6419E05B">
      <w:pPr>
        <w:pStyle w:val="10"/>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17.3投标保证金到账（保函提交）截止时间同投标截止时间。以支票、汇票、本票、网上银行支付等形式提交投标保证金的，应在投标截止时间前到账；以金融机构、担保机构出具的保函等形式提交投标保证金的，应在投标截止时间前将投标保证金支付原件扫描后作为投标文件的组成部分与投标文件一起上传。由于到账时间晚于投标截止时间，或者票据错误、印鉴不清等原因导致不能到账的，其</w:t>
      </w:r>
      <w:r>
        <w:rPr>
          <w:rFonts w:hint="eastAsia" w:ascii="仿宋" w:hAnsi="仿宋" w:eastAsia="仿宋" w:cs="仿宋"/>
          <w:b/>
          <w:bCs/>
          <w:color w:val="auto"/>
          <w:kern w:val="2"/>
          <w:sz w:val="24"/>
          <w:szCs w:val="24"/>
          <w:highlight w:val="none"/>
          <w:lang w:val="en-US" w:eastAsia="zh-CN"/>
        </w:rPr>
        <w:t>投标无效</w:t>
      </w:r>
      <w:r>
        <w:rPr>
          <w:rFonts w:hint="eastAsia" w:ascii="仿宋" w:hAnsi="仿宋" w:eastAsia="仿宋" w:cs="仿宋"/>
          <w:color w:val="auto"/>
          <w:kern w:val="2"/>
          <w:sz w:val="24"/>
          <w:szCs w:val="24"/>
          <w:highlight w:val="none"/>
          <w:lang w:val="en-US" w:eastAsia="zh-CN"/>
        </w:rPr>
        <w:t>。</w:t>
      </w:r>
    </w:p>
    <w:p w14:paraId="79C45E56">
      <w:pPr>
        <w:pStyle w:val="62"/>
        <w:keepNext w:val="0"/>
        <w:keepLines w:val="0"/>
        <w:pageBreakBefore w:val="0"/>
        <w:widowControl w:val="0"/>
        <w:shd w:val="clear" w:color="auto" w:fill="auto"/>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iCs/>
          <w:color w:val="auto"/>
          <w:kern w:val="2"/>
          <w:sz w:val="24"/>
          <w:szCs w:val="24"/>
          <w:highlight w:val="none"/>
          <w:shd w:val="clear" w:color="auto" w:fill="FFFFFF" w:themeFill="background1"/>
          <w:lang w:val="en-US" w:eastAsia="zh-CN" w:bidi="ar-SA"/>
        </w:rPr>
      </w:pPr>
      <w:r>
        <w:rPr>
          <w:rFonts w:hint="eastAsia" w:ascii="仿宋" w:hAnsi="仿宋" w:eastAsia="仿宋" w:cs="仿宋"/>
          <w:iCs/>
          <w:color w:val="auto"/>
          <w:kern w:val="2"/>
          <w:sz w:val="24"/>
          <w:szCs w:val="24"/>
          <w:highlight w:val="none"/>
          <w:shd w:val="clear" w:color="auto" w:fill="FFFFFF" w:themeFill="background1"/>
          <w:lang w:val="en-US" w:eastAsia="zh-CN" w:bidi="ar-SA"/>
        </w:rPr>
        <w:t>17.4投标人为联合体的，可以由联合体中的一方或者多方共同提交投标保证金，其提交的投标保证金对联合体各方均具有约束力。</w:t>
      </w:r>
    </w:p>
    <w:p w14:paraId="1D7F2E65">
      <w:pPr>
        <w:pStyle w:val="62"/>
        <w:keepNext w:val="0"/>
        <w:keepLines w:val="0"/>
        <w:pageBreakBefore w:val="0"/>
        <w:widowControl w:val="0"/>
        <w:shd w:val="clear" w:color="auto" w:fill="auto"/>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iCs/>
          <w:color w:val="auto"/>
          <w:kern w:val="2"/>
          <w:sz w:val="24"/>
          <w:szCs w:val="24"/>
          <w:highlight w:val="none"/>
          <w:shd w:val="clear" w:color="auto" w:fill="FFFFFF" w:themeFill="background1"/>
          <w:lang w:val="en-US" w:eastAsia="zh-CN" w:bidi="ar-SA"/>
        </w:rPr>
      </w:pPr>
      <w:r>
        <w:rPr>
          <w:rFonts w:hint="eastAsia" w:ascii="仿宋" w:hAnsi="仿宋" w:eastAsia="仿宋" w:cs="仿宋"/>
          <w:iCs/>
          <w:color w:val="auto"/>
          <w:kern w:val="2"/>
          <w:sz w:val="24"/>
          <w:szCs w:val="24"/>
          <w:highlight w:val="none"/>
          <w:shd w:val="clear" w:color="auto" w:fill="FFFFFF" w:themeFill="background1"/>
          <w:lang w:val="en-US" w:eastAsia="zh-CN" w:bidi="ar-SA"/>
        </w:rPr>
        <w:t>17.5采购人或者采购代理机构应当在采购活动结束后及时退还投标人的投标保证金，采用银行保函、担保机构担保函等形式递交的投标保证金，经投标人同意后采购人、采购代理机构可以不再退还，但因投标人自身原因导致无法及时退还的除外。</w:t>
      </w:r>
      <w:bookmarkStart w:id="220" w:name="OLE_LINK1"/>
      <w:r>
        <w:rPr>
          <w:rFonts w:hint="eastAsia" w:ascii="仿宋" w:hAnsi="仿宋" w:eastAsia="仿宋" w:cs="仿宋"/>
          <w:iCs/>
          <w:color w:val="auto"/>
          <w:kern w:val="2"/>
          <w:sz w:val="24"/>
          <w:szCs w:val="24"/>
          <w:highlight w:val="none"/>
          <w:shd w:val="clear" w:color="auto" w:fill="FFFFFF" w:themeFill="background1"/>
          <w:lang w:val="en-US" w:eastAsia="zh-CN" w:bidi="ar-SA"/>
        </w:rPr>
        <w:t>未中标投标人的投标保证金应当自中标通知书发出之日起 5 个工作日内退还，中标投标人的投标保证金应当自采购合同签订之日起 5 个工作日内退还。</w:t>
      </w:r>
      <w:bookmarkEnd w:id="220"/>
    </w:p>
    <w:p w14:paraId="5D92BA91">
      <w:pPr>
        <w:pStyle w:val="62"/>
        <w:keepNext w:val="0"/>
        <w:keepLines w:val="0"/>
        <w:pageBreakBefore w:val="0"/>
        <w:widowControl w:val="0"/>
        <w:shd w:val="clear" w:color="auto" w:fill="auto"/>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iCs/>
          <w:color w:val="auto"/>
          <w:kern w:val="2"/>
          <w:sz w:val="24"/>
          <w:szCs w:val="24"/>
          <w:highlight w:val="none"/>
          <w:shd w:val="clear" w:color="auto" w:fill="FFFFFF" w:themeFill="background1"/>
          <w:lang w:val="en-US" w:eastAsia="zh-CN" w:bidi="ar-SA"/>
        </w:rPr>
      </w:pPr>
      <w:r>
        <w:rPr>
          <w:rFonts w:hint="eastAsia" w:ascii="仿宋" w:hAnsi="仿宋" w:eastAsia="仿宋" w:cs="仿宋"/>
          <w:iCs/>
          <w:color w:val="auto"/>
          <w:kern w:val="2"/>
          <w:sz w:val="24"/>
          <w:szCs w:val="24"/>
          <w:highlight w:val="none"/>
          <w:shd w:val="clear" w:color="auto" w:fill="FFFFFF" w:themeFill="background1"/>
          <w:lang w:val="en-US" w:eastAsia="zh-CN" w:bidi="ar-SA"/>
        </w:rPr>
        <w:t>17.6投标人在投标截止时间前撤回已提交的投标文件的，自收到投标人书面撤回通知之日起 5 个工作日内，退还已收取的投标保证金，但因投标人自身原因导致无法及时退还的除外。</w:t>
      </w:r>
    </w:p>
    <w:p w14:paraId="2862864C">
      <w:pPr>
        <w:pStyle w:val="62"/>
        <w:keepNext w:val="0"/>
        <w:keepLines w:val="0"/>
        <w:pageBreakBefore w:val="0"/>
        <w:widowControl w:val="0"/>
        <w:shd w:val="clear" w:color="auto" w:fill="auto"/>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iCs/>
          <w:color w:val="auto"/>
          <w:kern w:val="2"/>
          <w:sz w:val="24"/>
          <w:szCs w:val="24"/>
          <w:highlight w:val="none"/>
          <w:shd w:val="clear" w:color="auto" w:fill="FFFFFF" w:themeFill="background1"/>
          <w:lang w:val="en-US" w:eastAsia="zh-CN" w:bidi="ar-SA"/>
        </w:rPr>
      </w:pPr>
      <w:r>
        <w:rPr>
          <w:rFonts w:hint="eastAsia" w:ascii="仿宋" w:hAnsi="仿宋" w:eastAsia="仿宋" w:cs="仿宋"/>
          <w:iCs/>
          <w:color w:val="auto"/>
          <w:kern w:val="2"/>
          <w:sz w:val="24"/>
          <w:szCs w:val="24"/>
          <w:highlight w:val="none"/>
          <w:shd w:val="clear" w:color="auto" w:fill="FFFFFF" w:themeFill="background1"/>
          <w:lang w:val="en-US" w:eastAsia="zh-CN" w:bidi="ar-SA"/>
        </w:rPr>
        <w:t>17.7终止招标项目已经收取投标保证金的，自终止采购活动后 5 个工作日内退还已收取的投标保证金及其在银行产生的孳息。</w:t>
      </w:r>
    </w:p>
    <w:p w14:paraId="7DC6C238">
      <w:pPr>
        <w:pStyle w:val="62"/>
        <w:keepNext w:val="0"/>
        <w:keepLines w:val="0"/>
        <w:pageBreakBefore w:val="0"/>
        <w:widowControl w:val="0"/>
        <w:shd w:val="clear" w:color="auto" w:fill="auto"/>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iCs/>
          <w:color w:val="auto"/>
          <w:kern w:val="2"/>
          <w:sz w:val="24"/>
          <w:szCs w:val="24"/>
          <w:highlight w:val="none"/>
          <w:shd w:val="clear" w:color="auto" w:fill="FFFFFF" w:themeFill="background1"/>
          <w:lang w:val="en-US" w:eastAsia="zh-CN" w:bidi="ar-SA"/>
        </w:rPr>
      </w:pPr>
      <w:r>
        <w:rPr>
          <w:rFonts w:hint="eastAsia" w:ascii="仿宋" w:hAnsi="仿宋" w:eastAsia="仿宋" w:cs="仿宋"/>
          <w:iCs/>
          <w:color w:val="auto"/>
          <w:kern w:val="2"/>
          <w:sz w:val="24"/>
          <w:szCs w:val="24"/>
          <w:highlight w:val="none"/>
          <w:shd w:val="clear" w:color="auto" w:fill="FFFFFF" w:themeFill="background1"/>
          <w:lang w:val="en-US" w:eastAsia="zh-CN" w:bidi="ar-SA"/>
        </w:rPr>
        <w:t>17.8有下列情形之一的，采购人或采购代理机构可以不予退还投标保证金,</w:t>
      </w:r>
      <w:r>
        <w:rPr>
          <w:rFonts w:hint="eastAsia" w:ascii="仿宋" w:hAnsi="仿宋" w:eastAsia="仿宋" w:cs="仿宋"/>
          <w:color w:val="auto"/>
          <w:kern w:val="2"/>
          <w:sz w:val="24"/>
          <w:szCs w:val="24"/>
          <w:highlight w:val="none"/>
        </w:rPr>
        <w:t>情节严重的将其列入不良记录名单</w:t>
      </w:r>
      <w:r>
        <w:rPr>
          <w:rFonts w:hint="eastAsia" w:ascii="仿宋" w:hAnsi="仿宋" w:eastAsia="仿宋" w:cs="仿宋"/>
          <w:iCs/>
          <w:color w:val="auto"/>
          <w:kern w:val="2"/>
          <w:sz w:val="24"/>
          <w:szCs w:val="24"/>
          <w:highlight w:val="none"/>
          <w:shd w:val="clear" w:color="auto" w:fill="FFFFFF" w:themeFill="background1"/>
          <w:lang w:val="en-US" w:eastAsia="zh-CN" w:bidi="ar-SA"/>
        </w:rPr>
        <w:t>：</w:t>
      </w:r>
    </w:p>
    <w:p w14:paraId="1215A14E">
      <w:pPr>
        <w:pStyle w:val="62"/>
        <w:keepNext w:val="0"/>
        <w:keepLines w:val="0"/>
        <w:pageBreakBefore w:val="0"/>
        <w:widowControl w:val="0"/>
        <w:shd w:val="clear" w:color="auto" w:fill="auto"/>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iCs/>
          <w:color w:val="auto"/>
          <w:kern w:val="2"/>
          <w:sz w:val="24"/>
          <w:szCs w:val="24"/>
          <w:highlight w:val="none"/>
          <w:shd w:val="clear" w:color="auto" w:fill="FFFFFF" w:themeFill="background1"/>
          <w:lang w:val="en-US" w:eastAsia="zh-CN" w:bidi="ar-SA"/>
        </w:rPr>
      </w:pPr>
      <w:r>
        <w:rPr>
          <w:rFonts w:hint="eastAsia" w:ascii="仿宋" w:hAnsi="仿宋" w:eastAsia="仿宋" w:cs="仿宋"/>
          <w:iCs/>
          <w:color w:val="auto"/>
          <w:kern w:val="2"/>
          <w:sz w:val="24"/>
          <w:szCs w:val="24"/>
          <w:highlight w:val="none"/>
          <w:shd w:val="clear" w:color="auto" w:fill="FFFFFF" w:themeFill="background1"/>
          <w:lang w:val="en-US" w:eastAsia="zh-CN" w:bidi="ar-SA"/>
        </w:rPr>
        <w:t>17.8.1</w:t>
      </w:r>
      <w:r>
        <w:rPr>
          <w:rFonts w:hint="eastAsia" w:ascii="仿宋" w:hAnsi="仿宋" w:eastAsia="仿宋" w:cs="仿宋"/>
          <w:color w:val="auto"/>
          <w:kern w:val="2"/>
          <w:sz w:val="24"/>
          <w:szCs w:val="24"/>
          <w:highlight w:val="none"/>
        </w:rPr>
        <w:t>开标后在投标有效期内，投标人撤</w:t>
      </w:r>
      <w:r>
        <w:rPr>
          <w:rFonts w:hint="eastAsia" w:ascii="仿宋" w:hAnsi="仿宋" w:eastAsia="仿宋" w:cs="仿宋"/>
          <w:color w:val="auto"/>
          <w:kern w:val="2"/>
          <w:sz w:val="24"/>
          <w:szCs w:val="24"/>
          <w:highlight w:val="none"/>
          <w:lang w:val="en-US" w:eastAsia="zh-CN"/>
        </w:rPr>
        <w:t>销</w:t>
      </w:r>
      <w:r>
        <w:rPr>
          <w:rFonts w:hint="eastAsia" w:ascii="仿宋" w:hAnsi="仿宋" w:eastAsia="仿宋" w:cs="仿宋"/>
          <w:color w:val="auto"/>
          <w:kern w:val="2"/>
          <w:sz w:val="24"/>
          <w:szCs w:val="24"/>
          <w:highlight w:val="none"/>
        </w:rPr>
        <w:t>其投标</w:t>
      </w:r>
      <w:r>
        <w:rPr>
          <w:rFonts w:hint="eastAsia" w:ascii="仿宋" w:hAnsi="仿宋" w:eastAsia="仿宋" w:cs="仿宋"/>
          <w:color w:val="auto"/>
          <w:kern w:val="2"/>
          <w:sz w:val="24"/>
          <w:szCs w:val="24"/>
          <w:highlight w:val="none"/>
          <w:lang w:val="en-US" w:eastAsia="zh-CN"/>
        </w:rPr>
        <w:t>的</w:t>
      </w:r>
      <w:r>
        <w:rPr>
          <w:rFonts w:hint="eastAsia" w:ascii="仿宋" w:hAnsi="仿宋" w:eastAsia="仿宋" w:cs="仿宋"/>
          <w:color w:val="auto"/>
          <w:kern w:val="2"/>
          <w:sz w:val="24"/>
          <w:szCs w:val="24"/>
          <w:highlight w:val="none"/>
        </w:rPr>
        <w:t>；</w:t>
      </w:r>
    </w:p>
    <w:p w14:paraId="2E5ED5CF">
      <w:pPr>
        <w:pStyle w:val="62"/>
        <w:keepNext w:val="0"/>
        <w:keepLines w:val="0"/>
        <w:pageBreakBefore w:val="0"/>
        <w:widowControl w:val="0"/>
        <w:shd w:val="clear" w:color="auto" w:fill="auto"/>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iCs/>
          <w:color w:val="auto"/>
          <w:kern w:val="2"/>
          <w:sz w:val="24"/>
          <w:szCs w:val="24"/>
          <w:highlight w:val="none"/>
          <w:shd w:val="clear" w:color="auto" w:fill="FFFFFF" w:themeFill="background1"/>
          <w:lang w:val="en-US" w:eastAsia="zh-CN" w:bidi="ar-SA"/>
        </w:rPr>
      </w:pPr>
      <w:r>
        <w:rPr>
          <w:rFonts w:hint="eastAsia" w:ascii="仿宋" w:hAnsi="仿宋" w:eastAsia="仿宋" w:cs="仿宋"/>
          <w:iCs/>
          <w:color w:val="auto"/>
          <w:kern w:val="2"/>
          <w:sz w:val="24"/>
          <w:szCs w:val="24"/>
          <w:highlight w:val="none"/>
          <w:shd w:val="clear" w:color="auto" w:fill="FFFFFF" w:themeFill="background1"/>
          <w:lang w:val="en-US" w:eastAsia="zh-CN" w:bidi="ar-SA"/>
        </w:rPr>
        <w:t>17.8.2</w:t>
      </w:r>
      <w:r>
        <w:rPr>
          <w:rFonts w:hint="eastAsia" w:ascii="仿宋" w:hAnsi="仿宋" w:eastAsia="仿宋" w:cs="仿宋"/>
          <w:color w:val="auto"/>
          <w:kern w:val="2"/>
          <w:sz w:val="24"/>
          <w:szCs w:val="24"/>
          <w:highlight w:val="none"/>
        </w:rPr>
        <w:t>中标后无正当理由不与采购人签订合同的；</w:t>
      </w:r>
    </w:p>
    <w:p w14:paraId="372D10BA">
      <w:pPr>
        <w:pStyle w:val="62"/>
        <w:keepNext w:val="0"/>
        <w:keepLines w:val="0"/>
        <w:pageBreakBefore w:val="0"/>
        <w:widowControl w:val="0"/>
        <w:shd w:val="clear" w:color="auto" w:fill="auto"/>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iCs/>
          <w:color w:val="auto"/>
          <w:kern w:val="2"/>
          <w:sz w:val="24"/>
          <w:szCs w:val="24"/>
          <w:highlight w:val="none"/>
          <w:shd w:val="clear" w:color="auto" w:fill="FFFFFF" w:themeFill="background1"/>
          <w:lang w:val="en-US" w:eastAsia="zh-CN" w:bidi="ar-SA"/>
        </w:rPr>
        <w:t>17.8.3</w:t>
      </w:r>
      <w:r>
        <w:rPr>
          <w:rFonts w:hint="eastAsia" w:ascii="仿宋" w:hAnsi="仿宋" w:eastAsia="仿宋" w:cs="仿宋"/>
          <w:color w:val="auto"/>
          <w:kern w:val="2"/>
          <w:sz w:val="24"/>
          <w:szCs w:val="24"/>
          <w:highlight w:val="none"/>
        </w:rPr>
        <w:t>中标人与采购人订立背离合同实质性内容的其他协议；</w:t>
      </w:r>
    </w:p>
    <w:p w14:paraId="62D2E4D2">
      <w:pPr>
        <w:pStyle w:val="62"/>
        <w:keepNext w:val="0"/>
        <w:keepLines w:val="0"/>
        <w:pageBreakBefore w:val="0"/>
        <w:widowControl w:val="0"/>
        <w:shd w:val="clear" w:color="auto" w:fill="auto"/>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iCs/>
          <w:color w:val="auto"/>
          <w:kern w:val="2"/>
          <w:sz w:val="24"/>
          <w:szCs w:val="24"/>
          <w:highlight w:val="none"/>
          <w:shd w:val="clear" w:color="auto" w:fill="FFFFFF" w:themeFill="background1"/>
          <w:lang w:val="en-US" w:eastAsia="zh-CN" w:bidi="ar-SA"/>
        </w:rPr>
        <w:t>17.8.</w:t>
      </w:r>
      <w:r>
        <w:rPr>
          <w:rFonts w:hint="eastAsia" w:ascii="仿宋" w:hAnsi="仿宋" w:eastAsia="仿宋" w:cs="仿宋"/>
          <w:color w:val="auto"/>
          <w:kern w:val="2"/>
          <w:sz w:val="24"/>
          <w:szCs w:val="24"/>
          <w:highlight w:val="none"/>
        </w:rPr>
        <w:t>4将中标项目转让给他人，或者在投标文件中未说明，且未经采购</w:t>
      </w:r>
      <w:r>
        <w:rPr>
          <w:rFonts w:hint="eastAsia" w:ascii="仿宋" w:hAnsi="仿宋" w:eastAsia="仿宋" w:cs="仿宋"/>
          <w:color w:val="auto"/>
          <w:kern w:val="2"/>
          <w:sz w:val="24"/>
          <w:szCs w:val="24"/>
          <w:highlight w:val="none"/>
          <w:lang w:val="en-US" w:eastAsia="zh-CN"/>
        </w:rPr>
        <w:t>人</w:t>
      </w:r>
      <w:r>
        <w:rPr>
          <w:rFonts w:hint="eastAsia" w:ascii="仿宋" w:hAnsi="仿宋" w:eastAsia="仿宋" w:cs="仿宋"/>
          <w:color w:val="auto"/>
          <w:kern w:val="2"/>
          <w:sz w:val="24"/>
          <w:szCs w:val="24"/>
          <w:highlight w:val="none"/>
        </w:rPr>
        <w:t>同意，将中标项目分包给他人的；</w:t>
      </w:r>
    </w:p>
    <w:p w14:paraId="48F3348F">
      <w:pPr>
        <w:pStyle w:val="62"/>
        <w:keepNext w:val="0"/>
        <w:keepLines w:val="0"/>
        <w:pageBreakBefore w:val="0"/>
        <w:widowControl w:val="0"/>
        <w:shd w:val="clear" w:color="auto" w:fill="auto"/>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iCs/>
          <w:color w:val="auto"/>
          <w:kern w:val="2"/>
          <w:sz w:val="24"/>
          <w:szCs w:val="24"/>
          <w:highlight w:val="none"/>
          <w:shd w:val="clear" w:color="auto" w:fill="FFFFFF" w:themeFill="background1"/>
          <w:lang w:val="en-US" w:eastAsia="zh-CN" w:bidi="ar-SA"/>
        </w:rPr>
        <w:t>17.8.</w:t>
      </w:r>
      <w:r>
        <w:rPr>
          <w:rFonts w:hint="eastAsia" w:ascii="仿宋" w:hAnsi="仿宋" w:eastAsia="仿宋" w:cs="仿宋"/>
          <w:color w:val="auto"/>
          <w:kern w:val="2"/>
          <w:sz w:val="24"/>
          <w:szCs w:val="24"/>
          <w:highlight w:val="none"/>
        </w:rPr>
        <w:t>5存在串通投标行为的；</w:t>
      </w:r>
    </w:p>
    <w:p w14:paraId="658AB742">
      <w:pPr>
        <w:pStyle w:val="62"/>
        <w:keepNext w:val="0"/>
        <w:keepLines w:val="0"/>
        <w:pageBreakBefore w:val="0"/>
        <w:widowControl w:val="0"/>
        <w:shd w:val="clear" w:color="auto" w:fill="auto"/>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iCs/>
          <w:color w:val="auto"/>
          <w:kern w:val="2"/>
          <w:sz w:val="24"/>
          <w:szCs w:val="24"/>
          <w:highlight w:val="none"/>
          <w:shd w:val="clear" w:color="auto" w:fill="FFFFFF" w:themeFill="background1"/>
          <w:lang w:val="en-US" w:eastAsia="zh-CN" w:bidi="ar-SA"/>
        </w:rPr>
        <w:t>17.8.</w:t>
      </w:r>
      <w:r>
        <w:rPr>
          <w:rFonts w:hint="eastAsia" w:ascii="仿宋" w:hAnsi="仿宋" w:eastAsia="仿宋" w:cs="仿宋"/>
          <w:color w:val="auto"/>
          <w:kern w:val="2"/>
          <w:sz w:val="24"/>
          <w:szCs w:val="24"/>
          <w:highlight w:val="none"/>
        </w:rPr>
        <w:t>6存在弄虚作假或提供虚假材料谋取中标的；</w:t>
      </w:r>
    </w:p>
    <w:p w14:paraId="05993B7A">
      <w:pPr>
        <w:pStyle w:val="62"/>
        <w:keepNext w:val="0"/>
        <w:keepLines w:val="0"/>
        <w:pageBreakBefore w:val="0"/>
        <w:widowControl w:val="0"/>
        <w:shd w:val="clear" w:color="auto" w:fill="auto"/>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iCs/>
          <w:color w:val="auto"/>
          <w:kern w:val="2"/>
          <w:sz w:val="24"/>
          <w:szCs w:val="24"/>
          <w:highlight w:val="none"/>
          <w:shd w:val="clear" w:color="auto" w:fill="FFFFFF" w:themeFill="background1"/>
          <w:lang w:val="en-US" w:eastAsia="zh-CN" w:bidi="ar-SA"/>
        </w:rPr>
        <w:t>17.8.</w:t>
      </w:r>
      <w:r>
        <w:rPr>
          <w:rFonts w:hint="eastAsia" w:ascii="仿宋" w:hAnsi="仿宋" w:eastAsia="仿宋" w:cs="仿宋"/>
          <w:color w:val="auto"/>
          <w:kern w:val="2"/>
          <w:sz w:val="24"/>
          <w:szCs w:val="24"/>
          <w:highlight w:val="none"/>
        </w:rPr>
        <w:t>7投标人其他未按招标文件规定和合同约定履行义务的行为。</w:t>
      </w:r>
    </w:p>
    <w:p w14:paraId="52868318">
      <w:pPr>
        <w:pStyle w:val="62"/>
        <w:keepNext w:val="0"/>
        <w:keepLines w:val="0"/>
        <w:pageBreakBefore w:val="0"/>
        <w:widowControl w:val="0"/>
        <w:shd w:val="clear" w:color="auto" w:fill="auto"/>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iCs/>
          <w:color w:val="auto"/>
          <w:kern w:val="2"/>
          <w:sz w:val="24"/>
          <w:szCs w:val="24"/>
          <w:highlight w:val="none"/>
          <w:shd w:val="clear" w:color="auto" w:fill="FFFFFF" w:themeFill="background1"/>
          <w:lang w:val="en-US" w:eastAsia="zh-CN" w:bidi="ar-SA"/>
        </w:rPr>
      </w:pPr>
      <w:r>
        <w:rPr>
          <w:rFonts w:hint="eastAsia" w:ascii="仿宋" w:hAnsi="仿宋" w:eastAsia="仿宋" w:cs="仿宋"/>
          <w:iCs/>
          <w:color w:val="auto"/>
          <w:kern w:val="2"/>
          <w:sz w:val="24"/>
          <w:szCs w:val="24"/>
          <w:highlight w:val="none"/>
          <w:shd w:val="clear" w:color="auto" w:fill="FFFFFF" w:themeFill="background1"/>
          <w:lang w:val="en-US" w:eastAsia="zh-CN" w:bidi="ar-SA"/>
        </w:rPr>
        <w:t>17.9如开标时投标人对本单位投标保证金缴纳情况有疑义，投标人应在开标结束前向采购人提交书面申请核实保证金缴纳情况。由银行或保险公司核实后出具书面材料予以答复。</w:t>
      </w:r>
    </w:p>
    <w:p w14:paraId="22213B4D">
      <w:pPr>
        <w:pStyle w:val="62"/>
        <w:keepNext w:val="0"/>
        <w:keepLines w:val="0"/>
        <w:pageBreakBefore w:val="0"/>
        <w:widowControl w:val="0"/>
        <w:shd w:val="clear" w:color="auto" w:fill="auto"/>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iCs/>
          <w:color w:val="auto"/>
          <w:kern w:val="2"/>
          <w:sz w:val="24"/>
          <w:szCs w:val="24"/>
          <w:highlight w:val="none"/>
          <w:shd w:val="clear" w:color="auto" w:fill="FFFFFF" w:themeFill="background1"/>
          <w:lang w:val="en-US" w:eastAsia="zh-CN" w:bidi="ar-SA"/>
        </w:rPr>
      </w:pPr>
      <w:r>
        <w:rPr>
          <w:rFonts w:hint="eastAsia" w:ascii="仿宋" w:hAnsi="仿宋" w:eastAsia="仿宋" w:cs="仿宋"/>
          <w:iCs/>
          <w:color w:val="auto"/>
          <w:kern w:val="2"/>
          <w:sz w:val="24"/>
          <w:szCs w:val="24"/>
          <w:highlight w:val="none"/>
          <w:shd w:val="clear" w:color="auto" w:fill="FFFFFF" w:themeFill="background1"/>
          <w:lang w:val="en-US" w:eastAsia="zh-CN" w:bidi="ar-SA"/>
        </w:rPr>
        <w:t>17.10为支持和促进中小企业发展，进一步发挥政府采购政策功能，鼓励投标供应商使用电子保函代替现金缴纳投标保证金，在线完成保函的申请、审核、开票、出函等环节，投标企业注意区分办理保函类型，并确认投标有效期，如采用政采云电子保函，</w:t>
      </w:r>
      <w:r>
        <w:rPr>
          <w:rFonts w:hint="eastAsia" w:ascii="仿宋" w:hAnsi="仿宋" w:eastAsia="仿宋" w:cs="仿宋"/>
          <w:i w:val="0"/>
          <w:iCs w:val="0"/>
          <w:color w:val="auto"/>
          <w:kern w:val="2"/>
          <w:sz w:val="24"/>
          <w:szCs w:val="24"/>
          <w:highlight w:val="none"/>
          <w:shd w:val="clear" w:color="auto" w:fill="FFFFFF" w:themeFill="background1"/>
          <w:lang w:val="en-US" w:eastAsia="zh-CN" w:bidi="ar-SA"/>
        </w:rPr>
        <w:t>“新疆政府采购网 ”—顶部通栏“电子保函 ”或者“新疆政府采购网”首页“政采贷｜电子保函”快捷模块查看。</w:t>
      </w:r>
    </w:p>
    <w:p w14:paraId="6ADB73CC">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仿宋" w:hAnsi="仿宋" w:eastAsia="仿宋" w:cs="仿宋"/>
          <w:b/>
          <w:bCs/>
          <w:color w:val="auto"/>
          <w:kern w:val="2"/>
          <w:sz w:val="24"/>
          <w:szCs w:val="24"/>
          <w:highlight w:val="none"/>
          <w:lang w:val="en-US" w:eastAsia="zh-CN" w:bidi="ar-SA"/>
        </w:rPr>
      </w:pPr>
      <w:bookmarkStart w:id="221" w:name="_Toc22547"/>
      <w:bookmarkStart w:id="222" w:name="_Toc27604"/>
      <w:bookmarkStart w:id="223" w:name="_Toc11437"/>
      <w:r>
        <w:rPr>
          <w:rFonts w:hint="eastAsia" w:ascii="仿宋" w:hAnsi="仿宋" w:eastAsia="仿宋" w:cs="仿宋"/>
          <w:b/>
          <w:bCs/>
          <w:color w:val="auto"/>
          <w:kern w:val="2"/>
          <w:sz w:val="24"/>
          <w:szCs w:val="24"/>
          <w:highlight w:val="none"/>
          <w:lang w:val="en-US" w:eastAsia="zh-CN" w:bidi="ar-SA"/>
        </w:rPr>
        <w:t>18.投标文件的加密</w:t>
      </w:r>
      <w:bookmarkEnd w:id="219"/>
      <w:bookmarkEnd w:id="221"/>
      <w:bookmarkEnd w:id="222"/>
      <w:bookmarkEnd w:id="223"/>
    </w:p>
    <w:p w14:paraId="08C6E908">
      <w:pPr>
        <w:keepNext w:val="0"/>
        <w:keepLines w:val="0"/>
        <w:pageBreakBefore w:val="0"/>
        <w:widowControl w:val="0"/>
        <w:kinsoku/>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u w:val="single"/>
        </w:rPr>
      </w:pPr>
      <w:bookmarkStart w:id="224" w:name="_Hlk143531864"/>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.1投标人在供应商客户端中生成投标文件并完成签章之后，使用CA证书在供应商客户端中对投标文件进行加密。</w:t>
      </w:r>
    </w:p>
    <w:p w14:paraId="7C992C62">
      <w:pPr>
        <w:keepNext w:val="0"/>
        <w:keepLines w:val="0"/>
        <w:pageBreakBefore w:val="0"/>
        <w:widowControl w:val="0"/>
        <w:kinsoku/>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.2投标人应在供应商客户端中对加密的投标文件进行解密验证，以防止投标文件加密异常，在开标时无法解密。</w:t>
      </w:r>
    </w:p>
    <w:p w14:paraId="35CBE2FC">
      <w:pPr>
        <w:keepNext w:val="0"/>
        <w:keepLines w:val="0"/>
        <w:pageBreakBefore w:val="0"/>
        <w:widowControl w:val="0"/>
        <w:kinsoku/>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.3投标人应保证加密投标文件的CA证书有效期在开标时间之前。若CA证书有效期临近开标时间，建议投标人提前办理CA证书续期，以免开标时无法进行解密。</w:t>
      </w:r>
    </w:p>
    <w:p w14:paraId="62618CD3">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i w:val="0"/>
          <w:iCs w:val="0"/>
          <w:snapToGrid w:val="0"/>
          <w:color w:val="auto"/>
          <w:sz w:val="24"/>
          <w:szCs w:val="24"/>
          <w:highlight w:val="none"/>
          <w:lang w:val="zh-CN"/>
        </w:rPr>
        <w:t>供应商</w:t>
      </w:r>
      <w:r>
        <w:rPr>
          <w:rFonts w:hint="eastAsia" w:ascii="仿宋" w:hAnsi="仿宋" w:eastAsia="仿宋" w:cs="仿宋"/>
          <w:i w:val="0"/>
          <w:iCs w:val="0"/>
          <w:color w:val="auto"/>
          <w:sz w:val="24"/>
          <w:szCs w:val="24"/>
          <w:highlight w:val="none"/>
        </w:rPr>
        <w:t>在</w:t>
      </w:r>
      <w:r>
        <w:rPr>
          <w:rFonts w:hint="eastAsia" w:ascii="仿宋" w:hAnsi="仿宋" w:eastAsia="仿宋" w:cs="仿宋"/>
          <w:i w:val="0"/>
          <w:iCs w:val="0"/>
          <w:color w:val="auto"/>
          <w:sz w:val="24"/>
          <w:szCs w:val="24"/>
          <w:highlight w:val="none"/>
          <w:lang w:val="en-US" w:eastAsia="zh-CN"/>
        </w:rPr>
        <w:t>响应</w:t>
      </w:r>
      <w:r>
        <w:rPr>
          <w:rFonts w:hint="eastAsia" w:ascii="仿宋" w:hAnsi="仿宋" w:eastAsia="仿宋" w:cs="仿宋"/>
          <w:i w:val="0"/>
          <w:iCs w:val="0"/>
          <w:color w:val="auto"/>
          <w:sz w:val="24"/>
          <w:szCs w:val="24"/>
          <w:highlight w:val="none"/>
          <w:lang w:eastAsia="zh-CN"/>
        </w:rPr>
        <w:t>文件</w:t>
      </w:r>
      <w:r>
        <w:rPr>
          <w:rFonts w:hint="eastAsia" w:ascii="仿宋" w:hAnsi="仿宋" w:eastAsia="仿宋" w:cs="仿宋"/>
          <w:i w:val="0"/>
          <w:iCs w:val="0"/>
          <w:color w:val="auto"/>
          <w:sz w:val="24"/>
          <w:szCs w:val="24"/>
          <w:highlight w:val="none"/>
        </w:rPr>
        <w:t>递交截</w:t>
      </w:r>
      <w:r>
        <w:rPr>
          <w:rFonts w:hint="eastAsia" w:ascii="仿宋" w:hAnsi="仿宋" w:eastAsia="仿宋" w:cs="仿宋"/>
          <w:i w:val="0"/>
          <w:iCs w:val="0"/>
          <w:color w:val="auto"/>
          <w:sz w:val="24"/>
          <w:szCs w:val="24"/>
          <w:highlight w:val="none"/>
          <w:lang w:val="en-US" w:eastAsia="zh-CN"/>
        </w:rPr>
        <w:t>止</w:t>
      </w:r>
      <w:r>
        <w:rPr>
          <w:rFonts w:hint="eastAsia" w:ascii="仿宋" w:hAnsi="仿宋" w:eastAsia="仿宋" w:cs="仿宋"/>
          <w:i w:val="0"/>
          <w:iCs w:val="0"/>
          <w:color w:val="auto"/>
          <w:sz w:val="24"/>
          <w:szCs w:val="24"/>
          <w:highlight w:val="none"/>
        </w:rPr>
        <w:t>时间前通过</w:t>
      </w:r>
      <w:r>
        <w:rPr>
          <w:rFonts w:hint="eastAsia" w:ascii="仿宋" w:hAnsi="仿宋" w:eastAsia="仿宋" w:cs="仿宋"/>
          <w:i w:val="0"/>
          <w:iCs w:val="0"/>
          <w:color w:val="auto"/>
          <w:sz w:val="24"/>
          <w:szCs w:val="24"/>
          <w:highlight w:val="none"/>
          <w:lang w:val="en-US" w:eastAsia="zh-CN"/>
        </w:rPr>
        <w:t>新疆</w:t>
      </w:r>
      <w:r>
        <w:rPr>
          <w:rFonts w:hint="eastAsia" w:ascii="仿宋" w:hAnsi="仿宋" w:eastAsia="仿宋" w:cs="仿宋"/>
          <w:i w:val="0"/>
          <w:iCs w:val="0"/>
          <w:color w:val="auto"/>
          <w:sz w:val="24"/>
          <w:szCs w:val="24"/>
          <w:highlight w:val="none"/>
        </w:rPr>
        <w:t>政府采购网（http://ccgp-xinjiang.gov.cn/）的”政采云登录入口”登录后，将加密电子</w:t>
      </w:r>
      <w:r>
        <w:rPr>
          <w:rFonts w:hint="eastAsia" w:ascii="仿宋" w:hAnsi="仿宋" w:eastAsia="仿宋" w:cs="仿宋"/>
          <w:i w:val="0"/>
          <w:iCs w:val="0"/>
          <w:color w:val="auto"/>
          <w:sz w:val="24"/>
          <w:szCs w:val="24"/>
          <w:highlight w:val="none"/>
          <w:lang w:val="en-US" w:eastAsia="zh-CN"/>
        </w:rPr>
        <w:t>响应</w:t>
      </w:r>
      <w:r>
        <w:rPr>
          <w:rFonts w:hint="eastAsia" w:ascii="仿宋" w:hAnsi="仿宋" w:eastAsia="仿宋" w:cs="仿宋"/>
          <w:i w:val="0"/>
          <w:iCs w:val="0"/>
          <w:color w:val="auto"/>
          <w:sz w:val="24"/>
          <w:szCs w:val="24"/>
          <w:highlight w:val="none"/>
          <w:lang w:eastAsia="zh-CN"/>
        </w:rPr>
        <w:t>文件</w:t>
      </w:r>
      <w:r>
        <w:rPr>
          <w:rFonts w:hint="eastAsia" w:ascii="仿宋" w:hAnsi="仿宋" w:eastAsia="仿宋" w:cs="仿宋"/>
          <w:i w:val="0"/>
          <w:iCs w:val="0"/>
          <w:color w:val="auto"/>
          <w:sz w:val="24"/>
          <w:szCs w:val="24"/>
          <w:highlight w:val="none"/>
        </w:rPr>
        <w:t>（为.jmbs后缀格式）上传到对应项目的指定位置</w:t>
      </w: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lang w:val="en-US" w:eastAsia="zh-CN"/>
        </w:rPr>
        <w:t>供应商</w:t>
      </w:r>
      <w:r>
        <w:rPr>
          <w:rFonts w:hint="eastAsia" w:ascii="仿宋" w:hAnsi="仿宋" w:eastAsia="仿宋" w:cs="仿宋"/>
          <w:i w:val="0"/>
          <w:iCs w:val="0"/>
          <w:color w:val="auto"/>
          <w:sz w:val="24"/>
          <w:szCs w:val="24"/>
          <w:highlight w:val="none"/>
        </w:rPr>
        <w:t>认为有必要提交的其他资料请于</w:t>
      </w:r>
      <w:r>
        <w:rPr>
          <w:rFonts w:hint="eastAsia" w:ascii="仿宋" w:hAnsi="仿宋" w:eastAsia="仿宋" w:cs="仿宋"/>
          <w:i w:val="0"/>
          <w:iCs w:val="0"/>
          <w:color w:val="auto"/>
          <w:sz w:val="24"/>
          <w:szCs w:val="24"/>
          <w:highlight w:val="none"/>
          <w:lang w:val="en-US" w:eastAsia="zh-CN"/>
        </w:rPr>
        <w:t>响应</w:t>
      </w:r>
      <w:r>
        <w:rPr>
          <w:rFonts w:hint="eastAsia" w:ascii="仿宋" w:hAnsi="仿宋" w:eastAsia="仿宋" w:cs="仿宋"/>
          <w:i w:val="0"/>
          <w:iCs w:val="0"/>
          <w:color w:val="auto"/>
          <w:sz w:val="24"/>
          <w:szCs w:val="24"/>
          <w:highlight w:val="none"/>
          <w:lang w:eastAsia="zh-CN"/>
        </w:rPr>
        <w:t>文件</w:t>
      </w:r>
      <w:r>
        <w:rPr>
          <w:rFonts w:hint="eastAsia" w:ascii="仿宋" w:hAnsi="仿宋" w:eastAsia="仿宋" w:cs="仿宋"/>
          <w:i w:val="0"/>
          <w:iCs w:val="0"/>
          <w:color w:val="auto"/>
          <w:sz w:val="24"/>
          <w:szCs w:val="24"/>
          <w:highlight w:val="none"/>
        </w:rPr>
        <w:t>递交截止时间前一并提交。</w:t>
      </w:r>
    </w:p>
    <w:p w14:paraId="4B4FEC3E">
      <w:pPr>
        <w:keepNext w:val="0"/>
        <w:keepLines w:val="0"/>
        <w:pageBreakBefore w:val="0"/>
        <w:widowControl w:val="0"/>
        <w:kinsoku/>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如果投标人未按上述要求</w:t>
      </w:r>
      <w:r>
        <w:rPr>
          <w:rFonts w:hint="eastAsia" w:ascii="仿宋" w:hAnsi="仿宋" w:eastAsia="仿宋" w:cs="仿宋"/>
          <w:color w:val="auto"/>
          <w:sz w:val="24"/>
          <w:szCs w:val="24"/>
          <w:highlight w:val="none"/>
          <w:lang w:val="en-US" w:eastAsia="zh-CN"/>
        </w:rPr>
        <w:t>加密并上传</w:t>
      </w:r>
      <w:r>
        <w:rPr>
          <w:rFonts w:hint="eastAsia" w:ascii="仿宋" w:hAnsi="仿宋" w:eastAsia="仿宋" w:cs="仿宋"/>
          <w:color w:val="auto"/>
          <w:sz w:val="24"/>
          <w:szCs w:val="24"/>
          <w:highlight w:val="none"/>
        </w:rPr>
        <w:t>，采购代理机构对投标文件的误投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无法解密、传输错误等问题</w:t>
      </w:r>
      <w:r>
        <w:rPr>
          <w:rFonts w:hint="eastAsia" w:ascii="仿宋" w:hAnsi="仿宋" w:eastAsia="仿宋" w:cs="仿宋"/>
          <w:color w:val="auto"/>
          <w:sz w:val="24"/>
          <w:szCs w:val="24"/>
          <w:highlight w:val="none"/>
        </w:rPr>
        <w:t>概不负责。对由此造成</w:t>
      </w:r>
      <w:r>
        <w:rPr>
          <w:rFonts w:hint="eastAsia" w:ascii="仿宋" w:hAnsi="仿宋" w:eastAsia="仿宋" w:cs="仿宋"/>
          <w:color w:val="auto"/>
          <w:sz w:val="24"/>
          <w:szCs w:val="24"/>
          <w:highlight w:val="none"/>
          <w:lang w:val="en-US" w:eastAsia="zh-CN"/>
        </w:rPr>
        <w:t>无法正常开启</w:t>
      </w:r>
      <w:r>
        <w:rPr>
          <w:rFonts w:hint="eastAsia" w:ascii="仿宋" w:hAnsi="仿宋" w:eastAsia="仿宋" w:cs="仿宋"/>
          <w:color w:val="auto"/>
          <w:sz w:val="24"/>
          <w:szCs w:val="24"/>
          <w:highlight w:val="none"/>
        </w:rPr>
        <w:t>的投标文件，采购代理机构有权予以拒绝，并退回投标人。</w:t>
      </w:r>
    </w:p>
    <w:p w14:paraId="645F5E2C">
      <w:pPr>
        <w:keepNext w:val="0"/>
        <w:keepLines w:val="0"/>
        <w:pageBreakBefore w:val="0"/>
        <w:widowControl w:val="0"/>
        <w:kinsoku/>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本项目采用不见面开标，无需提供电子投标文件U盘。</w:t>
      </w:r>
    </w:p>
    <w:bookmarkEnd w:id="224"/>
    <w:p w14:paraId="5F8BE509">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仿宋" w:hAnsi="仿宋" w:eastAsia="仿宋" w:cs="仿宋"/>
          <w:b/>
          <w:bCs/>
          <w:color w:val="auto"/>
          <w:kern w:val="2"/>
          <w:sz w:val="24"/>
          <w:szCs w:val="24"/>
          <w:highlight w:val="none"/>
          <w:lang w:val="en-US" w:eastAsia="zh-CN" w:bidi="ar-SA"/>
        </w:rPr>
      </w:pPr>
      <w:bookmarkStart w:id="225" w:name="_Toc140132777"/>
      <w:bookmarkStart w:id="226" w:name="_Toc18936"/>
      <w:bookmarkStart w:id="227" w:name="_Toc163492844"/>
      <w:bookmarkStart w:id="228" w:name="_Toc13225"/>
      <w:bookmarkStart w:id="229" w:name="_Toc18403"/>
      <w:r>
        <w:rPr>
          <w:rFonts w:hint="eastAsia" w:ascii="仿宋" w:hAnsi="仿宋" w:eastAsia="仿宋" w:cs="仿宋"/>
          <w:b/>
          <w:bCs/>
          <w:color w:val="auto"/>
          <w:kern w:val="2"/>
          <w:sz w:val="24"/>
          <w:szCs w:val="24"/>
          <w:highlight w:val="none"/>
          <w:lang w:val="en-US" w:eastAsia="zh-CN" w:bidi="ar-SA"/>
        </w:rPr>
        <w:t>19.投标文件的递交</w:t>
      </w:r>
      <w:bookmarkEnd w:id="225"/>
      <w:r>
        <w:rPr>
          <w:rFonts w:hint="eastAsia" w:ascii="仿宋" w:hAnsi="仿宋" w:eastAsia="仿宋" w:cs="仿宋"/>
          <w:b/>
          <w:bCs/>
          <w:color w:val="auto"/>
          <w:kern w:val="2"/>
          <w:sz w:val="24"/>
          <w:szCs w:val="24"/>
          <w:highlight w:val="none"/>
          <w:lang w:val="en-US" w:eastAsia="zh-CN" w:bidi="ar-SA"/>
        </w:rPr>
        <w:t>（上传）</w:t>
      </w:r>
      <w:bookmarkEnd w:id="226"/>
      <w:bookmarkEnd w:id="227"/>
      <w:bookmarkEnd w:id="228"/>
      <w:bookmarkEnd w:id="229"/>
    </w:p>
    <w:p w14:paraId="5B087633">
      <w:pPr>
        <w:keepNext w:val="0"/>
        <w:keepLines w:val="0"/>
        <w:pageBreakBefore w:val="0"/>
        <w:widowControl w:val="0"/>
        <w:kinsoku/>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bookmarkStart w:id="230" w:name="_Hlk143531977"/>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.1投标人应在“</w:t>
      </w:r>
      <w:r>
        <w:rPr>
          <w:rFonts w:hint="eastAsia" w:ascii="仿宋" w:hAnsi="仿宋" w:eastAsia="仿宋" w:cs="仿宋"/>
          <w:color w:val="auto"/>
          <w:sz w:val="24"/>
          <w:szCs w:val="24"/>
          <w:highlight w:val="none"/>
          <w:lang w:val="en-US" w:eastAsia="zh-CN"/>
        </w:rPr>
        <w:t>第一章 招标公告</w:t>
      </w:r>
      <w:r>
        <w:rPr>
          <w:rFonts w:hint="eastAsia" w:ascii="仿宋" w:hAnsi="仿宋" w:eastAsia="仿宋" w:cs="仿宋"/>
          <w:color w:val="auto"/>
          <w:sz w:val="24"/>
          <w:szCs w:val="24"/>
          <w:highlight w:val="none"/>
        </w:rPr>
        <w:t>”规定的投标截止时间前递交（上传）投标文件。</w:t>
      </w:r>
    </w:p>
    <w:p w14:paraId="1042987B">
      <w:pPr>
        <w:keepNext w:val="0"/>
        <w:keepLines w:val="0"/>
        <w:pageBreakBefore w:val="0"/>
        <w:widowControl w:val="0"/>
        <w:kinsoku/>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.2投标人递交（上传）投标文件的地点见“</w:t>
      </w:r>
      <w:r>
        <w:rPr>
          <w:rFonts w:hint="eastAsia" w:ascii="仿宋" w:hAnsi="仿宋" w:eastAsia="仿宋" w:cs="仿宋"/>
          <w:color w:val="auto"/>
          <w:sz w:val="24"/>
          <w:szCs w:val="24"/>
          <w:highlight w:val="none"/>
          <w:lang w:val="en-US" w:eastAsia="zh-CN"/>
        </w:rPr>
        <w:t>第一章 招标公告</w:t>
      </w:r>
      <w:r>
        <w:rPr>
          <w:rFonts w:hint="eastAsia" w:ascii="仿宋" w:hAnsi="仿宋" w:eastAsia="仿宋" w:cs="仿宋"/>
          <w:color w:val="auto"/>
          <w:sz w:val="24"/>
          <w:szCs w:val="24"/>
          <w:highlight w:val="none"/>
        </w:rPr>
        <w:t>”。</w:t>
      </w:r>
    </w:p>
    <w:p w14:paraId="6A9ADE0B">
      <w:pPr>
        <w:keepNext w:val="0"/>
        <w:keepLines w:val="0"/>
        <w:pageBreakBefore w:val="0"/>
        <w:widowControl w:val="0"/>
        <w:kinsoku/>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.3投标人应充分评估集中同时投标带来的网络影响，尽量避开投标高峰时间，错峰进行电子投标。投标人递交全部的投标文件后可在政采云平台（项目采购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投标文件上传）中获取投标文件递交回执单。</w:t>
      </w:r>
    </w:p>
    <w:p w14:paraId="791414B5">
      <w:pPr>
        <w:keepNext w:val="0"/>
        <w:keepLines w:val="0"/>
        <w:pageBreakBefore w:val="0"/>
        <w:widowControl w:val="0"/>
        <w:kinsoku/>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.4投标人应在供应商客户端中下载未加密且完成签章的投标文件妥善保存，以便启动应急开标程序时使用。</w:t>
      </w:r>
    </w:p>
    <w:p w14:paraId="5CDFAD2F">
      <w:pPr>
        <w:keepNext w:val="0"/>
        <w:keepLines w:val="0"/>
        <w:pageBreakBefore w:val="0"/>
        <w:widowControl w:val="0"/>
        <w:kinsoku/>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.5投标人所递交的投标文件不予退还。</w:t>
      </w:r>
    </w:p>
    <w:bookmarkEnd w:id="230"/>
    <w:p w14:paraId="6F83C070">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仿宋" w:hAnsi="仿宋" w:eastAsia="仿宋" w:cs="仿宋"/>
          <w:b/>
          <w:bCs/>
          <w:color w:val="auto"/>
          <w:kern w:val="2"/>
          <w:sz w:val="24"/>
          <w:szCs w:val="24"/>
          <w:highlight w:val="none"/>
          <w:lang w:val="en-US" w:eastAsia="zh-CN" w:bidi="ar-SA"/>
        </w:rPr>
      </w:pPr>
      <w:bookmarkStart w:id="231" w:name="_Toc19457"/>
      <w:bookmarkStart w:id="232" w:name="_Toc19314"/>
      <w:bookmarkStart w:id="233" w:name="_Toc163492845"/>
      <w:bookmarkStart w:id="234" w:name="_Toc9803"/>
      <w:r>
        <w:rPr>
          <w:rFonts w:hint="eastAsia" w:ascii="仿宋" w:hAnsi="仿宋" w:eastAsia="仿宋" w:cs="仿宋"/>
          <w:b/>
          <w:bCs/>
          <w:color w:val="auto"/>
          <w:kern w:val="2"/>
          <w:sz w:val="24"/>
          <w:szCs w:val="24"/>
          <w:highlight w:val="none"/>
          <w:lang w:val="en-US" w:eastAsia="zh-CN" w:bidi="ar-SA"/>
        </w:rPr>
        <w:t>20.拒收</w:t>
      </w:r>
      <w:bookmarkEnd w:id="231"/>
      <w:bookmarkEnd w:id="232"/>
      <w:bookmarkEnd w:id="233"/>
      <w:bookmarkEnd w:id="234"/>
    </w:p>
    <w:p w14:paraId="22E35508">
      <w:pPr>
        <w:keepNext w:val="0"/>
        <w:keepLines w:val="0"/>
        <w:pageBreakBefore w:val="0"/>
        <w:widowControl w:val="0"/>
        <w:kinsoku/>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.1超过投标文件提交截止时间</w:t>
      </w:r>
      <w:bookmarkStart w:id="235" w:name="_Hlk143532404"/>
      <w:r>
        <w:rPr>
          <w:rFonts w:hint="eastAsia" w:ascii="仿宋" w:hAnsi="仿宋" w:eastAsia="仿宋" w:cs="仿宋"/>
          <w:color w:val="auto"/>
          <w:sz w:val="24"/>
          <w:szCs w:val="24"/>
          <w:highlight w:val="none"/>
        </w:rPr>
        <w:t>或者不按照本章要求加密的投标文件，交易系统应当拒收</w:t>
      </w:r>
      <w:bookmarkEnd w:id="235"/>
      <w:r>
        <w:rPr>
          <w:rFonts w:hint="eastAsia" w:ascii="仿宋" w:hAnsi="仿宋" w:eastAsia="仿宋" w:cs="仿宋"/>
          <w:color w:val="auto"/>
          <w:sz w:val="24"/>
          <w:szCs w:val="24"/>
          <w:highlight w:val="none"/>
        </w:rPr>
        <w:t>。</w:t>
      </w:r>
    </w:p>
    <w:p w14:paraId="08FD2317">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仿宋" w:hAnsi="仿宋" w:eastAsia="仿宋" w:cs="仿宋"/>
          <w:b/>
          <w:bCs/>
          <w:color w:val="auto"/>
          <w:kern w:val="2"/>
          <w:sz w:val="24"/>
          <w:szCs w:val="24"/>
          <w:highlight w:val="none"/>
          <w:lang w:val="en-US" w:eastAsia="zh-CN" w:bidi="ar-SA"/>
        </w:rPr>
      </w:pPr>
      <w:bookmarkStart w:id="236" w:name="_Toc140132778"/>
      <w:bookmarkStart w:id="237" w:name="_Toc17912"/>
      <w:bookmarkStart w:id="238" w:name="_Toc20710"/>
      <w:bookmarkStart w:id="239" w:name="_Toc31714"/>
      <w:bookmarkStart w:id="240" w:name="_Toc163492846"/>
      <w:r>
        <w:rPr>
          <w:rFonts w:hint="eastAsia" w:ascii="仿宋" w:hAnsi="仿宋" w:eastAsia="仿宋" w:cs="仿宋"/>
          <w:b/>
          <w:bCs/>
          <w:color w:val="auto"/>
          <w:kern w:val="2"/>
          <w:sz w:val="24"/>
          <w:szCs w:val="24"/>
          <w:highlight w:val="none"/>
          <w:lang w:val="en-US" w:eastAsia="zh-CN" w:bidi="ar-SA"/>
        </w:rPr>
        <w:t>21.投标文件的修改与撤回</w:t>
      </w:r>
      <w:bookmarkEnd w:id="236"/>
      <w:bookmarkEnd w:id="237"/>
      <w:bookmarkEnd w:id="238"/>
      <w:bookmarkEnd w:id="239"/>
      <w:bookmarkEnd w:id="240"/>
    </w:p>
    <w:p w14:paraId="597ADEEE">
      <w:pPr>
        <w:keepNext w:val="0"/>
        <w:keepLines w:val="0"/>
        <w:pageBreakBefore w:val="0"/>
        <w:widowControl w:val="0"/>
        <w:kinsoku/>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.1</w:t>
      </w:r>
      <w:bookmarkStart w:id="241" w:name="_Hlk143532466"/>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第一章 招标公告</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规定的</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递交截止时间之前，可在政府采购电子交易云平台上随时撤回已上传的电子</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，将修改好的电子</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递交截止时间前重新上传到政府采购电子交易云平台的</w:t>
      </w:r>
      <w:r>
        <w:rPr>
          <w:rFonts w:hint="eastAsia" w:ascii="仿宋" w:hAnsi="仿宋" w:eastAsia="仿宋" w:cs="仿宋"/>
          <w:color w:val="auto"/>
          <w:sz w:val="24"/>
          <w:szCs w:val="24"/>
          <w:highlight w:val="none"/>
          <w:lang w:val="en-US" w:eastAsia="zh-CN"/>
        </w:rPr>
        <w:t>指</w:t>
      </w:r>
      <w:r>
        <w:rPr>
          <w:rFonts w:hint="eastAsia" w:ascii="仿宋" w:hAnsi="仿宋" w:eastAsia="仿宋" w:cs="仿宋"/>
          <w:color w:val="auto"/>
          <w:sz w:val="24"/>
          <w:szCs w:val="24"/>
          <w:highlight w:val="none"/>
        </w:rPr>
        <w:t>定位置。</w:t>
      </w:r>
    </w:p>
    <w:bookmarkEnd w:id="241"/>
    <w:p w14:paraId="356D376E">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仿宋" w:hAnsi="仿宋" w:eastAsia="仿宋" w:cs="仿宋"/>
          <w:b/>
          <w:bCs/>
          <w:color w:val="auto"/>
          <w:kern w:val="2"/>
          <w:sz w:val="24"/>
          <w:szCs w:val="24"/>
          <w:highlight w:val="none"/>
          <w:lang w:val="en-US" w:eastAsia="zh-CN" w:bidi="ar-SA"/>
        </w:rPr>
      </w:pPr>
      <w:bookmarkStart w:id="242" w:name="_Toc163492847"/>
      <w:bookmarkStart w:id="243" w:name="_Toc20864"/>
      <w:bookmarkStart w:id="244" w:name="_Toc155185874"/>
      <w:bookmarkStart w:id="245" w:name="_Toc18728"/>
      <w:bookmarkStart w:id="246" w:name="_Toc6030"/>
      <w:r>
        <w:rPr>
          <w:rFonts w:hint="eastAsia" w:ascii="仿宋" w:hAnsi="仿宋" w:eastAsia="仿宋" w:cs="仿宋"/>
          <w:b/>
          <w:bCs/>
          <w:color w:val="auto"/>
          <w:kern w:val="2"/>
          <w:sz w:val="24"/>
          <w:szCs w:val="24"/>
          <w:highlight w:val="none"/>
          <w:lang w:val="en-US" w:eastAsia="zh-CN" w:bidi="ar-SA"/>
        </w:rPr>
        <w:t>22.实物样品</w:t>
      </w:r>
      <w:bookmarkEnd w:id="242"/>
      <w:bookmarkEnd w:id="243"/>
      <w:bookmarkEnd w:id="244"/>
      <w:bookmarkEnd w:id="245"/>
      <w:bookmarkEnd w:id="246"/>
    </w:p>
    <w:p w14:paraId="3E40A165">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.1“投标人须知前附表”要求提供样品的，样品的具体要求及评审详见“第三章 采购需求”和“第五章 评标</w:t>
      </w:r>
      <w:r>
        <w:rPr>
          <w:rFonts w:hint="eastAsia" w:ascii="仿宋" w:hAnsi="仿宋" w:eastAsia="仿宋" w:cs="仿宋"/>
          <w:snapToGrid w:val="0"/>
          <w:color w:val="auto"/>
          <w:sz w:val="24"/>
          <w:szCs w:val="24"/>
          <w:highlight w:val="none"/>
          <w:lang w:val="en-US" w:eastAsia="zh-CN"/>
        </w:rPr>
        <w:t>方</w:t>
      </w:r>
      <w:r>
        <w:rPr>
          <w:rFonts w:hint="eastAsia" w:ascii="仿宋" w:hAnsi="仿宋" w:eastAsia="仿宋" w:cs="仿宋"/>
          <w:color w:val="auto"/>
          <w:sz w:val="24"/>
          <w:szCs w:val="24"/>
          <w:highlight w:val="none"/>
        </w:rPr>
        <w:t>法及标准”。</w:t>
      </w:r>
    </w:p>
    <w:p w14:paraId="7A5A4E90">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.2样品退还：未中标的投标人应</w:t>
      </w:r>
      <w:r>
        <w:rPr>
          <w:rFonts w:hint="eastAsia" w:ascii="仿宋" w:hAnsi="仿宋" w:eastAsia="仿宋" w:cs="仿宋"/>
          <w:color w:val="auto"/>
          <w:sz w:val="24"/>
          <w:szCs w:val="24"/>
          <w:highlight w:val="none"/>
          <w:lang w:val="en-US" w:eastAsia="zh-CN"/>
        </w:rPr>
        <w:t>按照</w:t>
      </w:r>
      <w:r>
        <w:rPr>
          <w:rFonts w:hint="eastAsia" w:ascii="仿宋" w:hAnsi="仿宋" w:eastAsia="仿宋" w:cs="仿宋"/>
          <w:color w:val="auto"/>
          <w:sz w:val="24"/>
          <w:szCs w:val="24"/>
          <w:highlight w:val="none"/>
        </w:rPr>
        <w:t>“投标人须知前附表”</w:t>
      </w:r>
      <w:r>
        <w:rPr>
          <w:rFonts w:hint="eastAsia" w:ascii="仿宋" w:hAnsi="仿宋" w:eastAsia="仿宋" w:cs="仿宋"/>
          <w:color w:val="auto"/>
          <w:sz w:val="24"/>
          <w:szCs w:val="24"/>
          <w:highlight w:val="none"/>
          <w:lang w:val="en-US" w:eastAsia="zh-CN"/>
        </w:rPr>
        <w:t>要求</w:t>
      </w:r>
      <w:r>
        <w:rPr>
          <w:rFonts w:hint="eastAsia" w:ascii="仿宋" w:hAnsi="仿宋" w:eastAsia="仿宋" w:cs="仿宋"/>
          <w:color w:val="auto"/>
          <w:sz w:val="24"/>
          <w:szCs w:val="24"/>
          <w:highlight w:val="none"/>
        </w:rPr>
        <w:t>自行联系采购人取回投标样品；中标人的样品由采购人进行保管、封存，并作为履约验收的参考（招标文件另有规定的从其规定）。</w:t>
      </w:r>
    </w:p>
    <w:p w14:paraId="5A6B141C">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仿宋" w:hAnsi="仿宋" w:eastAsia="仿宋" w:cs="仿宋"/>
          <w:b/>
          <w:bCs/>
          <w:color w:val="auto"/>
          <w:kern w:val="2"/>
          <w:sz w:val="24"/>
          <w:szCs w:val="24"/>
          <w:highlight w:val="none"/>
          <w:lang w:val="en-US" w:eastAsia="zh-CN" w:bidi="ar-SA"/>
        </w:rPr>
      </w:pPr>
      <w:bookmarkStart w:id="247" w:name="_Toc30367"/>
      <w:bookmarkStart w:id="248" w:name="_Toc3586"/>
      <w:bookmarkStart w:id="249" w:name="_Toc11533"/>
      <w:bookmarkStart w:id="250" w:name="_Toc155185875"/>
      <w:bookmarkStart w:id="251" w:name="_Toc163492848"/>
      <w:r>
        <w:rPr>
          <w:rFonts w:hint="eastAsia" w:ascii="仿宋" w:hAnsi="仿宋" w:eastAsia="仿宋" w:cs="仿宋"/>
          <w:b/>
          <w:bCs/>
          <w:color w:val="auto"/>
          <w:kern w:val="2"/>
          <w:sz w:val="24"/>
          <w:szCs w:val="24"/>
          <w:highlight w:val="none"/>
          <w:lang w:val="en-US" w:eastAsia="zh-CN" w:bidi="ar-SA"/>
        </w:rPr>
        <w:t>23.演示</w:t>
      </w:r>
      <w:bookmarkEnd w:id="247"/>
      <w:bookmarkEnd w:id="248"/>
      <w:bookmarkEnd w:id="249"/>
      <w:bookmarkEnd w:id="250"/>
      <w:bookmarkEnd w:id="251"/>
    </w:p>
    <w:p w14:paraId="4F93BEDB">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.1要求投标人进行演示的，演示要求详见“投标人须知前附表”。</w:t>
      </w:r>
    </w:p>
    <w:p w14:paraId="44D1C4F5">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.2演示的评审详见“第三章 采购需求”和“第五章 评标</w:t>
      </w:r>
      <w:r>
        <w:rPr>
          <w:rFonts w:hint="eastAsia" w:ascii="仿宋" w:hAnsi="仿宋" w:eastAsia="仿宋" w:cs="仿宋"/>
          <w:color w:val="auto"/>
          <w:sz w:val="24"/>
          <w:szCs w:val="24"/>
          <w:highlight w:val="none"/>
          <w:lang w:val="en-US" w:eastAsia="zh-CN"/>
        </w:rPr>
        <w:t>方</w:t>
      </w:r>
      <w:r>
        <w:rPr>
          <w:rFonts w:hint="eastAsia" w:ascii="仿宋" w:hAnsi="仿宋" w:eastAsia="仿宋" w:cs="仿宋"/>
          <w:color w:val="auto"/>
          <w:sz w:val="24"/>
          <w:szCs w:val="24"/>
          <w:highlight w:val="none"/>
        </w:rPr>
        <w:t>法及标准”。</w:t>
      </w:r>
    </w:p>
    <w:p w14:paraId="6F3505A1">
      <w:pPr>
        <w:pStyle w:val="4"/>
        <w:keepNext w:val="0"/>
        <w:keepLines w:val="0"/>
        <w:pageBreakBefore w:val="0"/>
        <w:widowControl w:val="0"/>
        <w:numPr>
          <w:ilvl w:val="0"/>
          <w:numId w:val="0"/>
        </w:numPr>
        <w:kinsoku/>
        <w:wordWrap/>
        <w:overflowPunct/>
        <w:topLinePunct w:val="0"/>
        <w:autoSpaceDE/>
        <w:autoSpaceDN/>
        <w:bidi w:val="0"/>
        <w:adjustRightInd/>
        <w:snapToGrid/>
        <w:spacing w:before="120" w:after="120" w:line="440" w:lineRule="exact"/>
        <w:ind w:left="420" w:leftChars="0" w:hanging="420" w:firstLineChars="0"/>
        <w:textAlignment w:val="auto"/>
        <w:rPr>
          <w:rFonts w:hint="eastAsia" w:ascii="仿宋" w:hAnsi="仿宋" w:eastAsia="仿宋" w:cs="仿宋"/>
          <w:b/>
          <w:bCs/>
          <w:color w:val="auto"/>
          <w:kern w:val="2"/>
          <w:sz w:val="24"/>
          <w:szCs w:val="24"/>
          <w:highlight w:val="none"/>
          <w:lang w:val="en-US" w:eastAsia="zh-CN" w:bidi="ar-SA"/>
        </w:rPr>
      </w:pPr>
      <w:bookmarkStart w:id="252" w:name="_Toc155185876"/>
      <w:bookmarkStart w:id="253" w:name="_Toc23023"/>
      <w:bookmarkStart w:id="254" w:name="_Toc8231"/>
      <w:bookmarkStart w:id="255" w:name="_Toc13245"/>
      <w:bookmarkStart w:id="256" w:name="_Toc140132779"/>
      <w:bookmarkStart w:id="257" w:name="_Toc163492849"/>
      <w:r>
        <w:rPr>
          <w:rFonts w:hint="eastAsia" w:ascii="仿宋" w:hAnsi="仿宋" w:eastAsia="仿宋" w:cs="仿宋"/>
          <w:b/>
          <w:bCs/>
          <w:color w:val="auto"/>
          <w:kern w:val="2"/>
          <w:sz w:val="24"/>
          <w:szCs w:val="24"/>
          <w:highlight w:val="none"/>
          <w:lang w:val="en-US" w:eastAsia="zh-CN" w:bidi="ar-SA"/>
        </w:rPr>
        <w:t>（五）开标</w:t>
      </w:r>
      <w:bookmarkEnd w:id="252"/>
      <w:bookmarkEnd w:id="253"/>
      <w:bookmarkEnd w:id="254"/>
      <w:bookmarkEnd w:id="255"/>
      <w:bookmarkEnd w:id="256"/>
      <w:bookmarkEnd w:id="257"/>
    </w:p>
    <w:p w14:paraId="634F779E">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仿宋" w:hAnsi="仿宋" w:eastAsia="仿宋" w:cs="仿宋"/>
          <w:b/>
          <w:bCs/>
          <w:color w:val="auto"/>
          <w:kern w:val="2"/>
          <w:sz w:val="24"/>
          <w:szCs w:val="24"/>
          <w:highlight w:val="none"/>
          <w:lang w:val="en-US" w:eastAsia="zh-CN" w:bidi="ar-SA"/>
        </w:rPr>
      </w:pPr>
      <w:bookmarkStart w:id="258" w:name="_Toc21393"/>
      <w:bookmarkStart w:id="259" w:name="_Toc163492850"/>
      <w:bookmarkStart w:id="260" w:name="_Toc140132780"/>
      <w:bookmarkStart w:id="261" w:name="_Toc22613"/>
      <w:bookmarkStart w:id="262" w:name="_Toc8612"/>
      <w:r>
        <w:rPr>
          <w:rFonts w:hint="eastAsia" w:ascii="仿宋" w:hAnsi="仿宋" w:eastAsia="仿宋" w:cs="仿宋"/>
          <w:b/>
          <w:bCs/>
          <w:color w:val="auto"/>
          <w:kern w:val="2"/>
          <w:sz w:val="24"/>
          <w:szCs w:val="24"/>
          <w:highlight w:val="none"/>
          <w:lang w:val="en-US" w:eastAsia="zh-CN" w:bidi="ar-SA"/>
        </w:rPr>
        <w:t>24.开标会议</w:t>
      </w:r>
      <w:bookmarkEnd w:id="258"/>
      <w:bookmarkEnd w:id="259"/>
      <w:bookmarkEnd w:id="260"/>
      <w:bookmarkEnd w:id="261"/>
      <w:bookmarkEnd w:id="262"/>
    </w:p>
    <w:p w14:paraId="6AD5576C">
      <w:pPr>
        <w:keepNext w:val="0"/>
        <w:keepLines w:val="0"/>
        <w:pageBreakBefore w:val="0"/>
        <w:widowControl w:val="0"/>
        <w:kinsoku/>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eastAsia="zh-CN"/>
        </w:rPr>
      </w:pPr>
      <w:bookmarkStart w:id="263" w:name="_Toc140132781"/>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开标会按“</w:t>
      </w:r>
      <w:r>
        <w:rPr>
          <w:rFonts w:hint="eastAsia" w:ascii="仿宋" w:hAnsi="仿宋" w:eastAsia="仿宋" w:cs="仿宋"/>
          <w:color w:val="auto"/>
          <w:sz w:val="24"/>
          <w:szCs w:val="24"/>
          <w:highlight w:val="none"/>
          <w:lang w:val="en-US" w:eastAsia="zh-CN"/>
        </w:rPr>
        <w:t>第一章 招标公告</w:t>
      </w:r>
      <w:r>
        <w:rPr>
          <w:rFonts w:hint="eastAsia" w:ascii="仿宋" w:hAnsi="仿宋" w:eastAsia="仿宋" w:cs="仿宋"/>
          <w:color w:val="auto"/>
          <w:sz w:val="24"/>
          <w:szCs w:val="24"/>
          <w:highlight w:val="none"/>
        </w:rPr>
        <w:t>”规定的开标时间和地点准时举行，采购人、采购代理机构邀请所有投标人准时参加开标会。投标人应按照</w:t>
      </w:r>
      <w:r>
        <w:rPr>
          <w:rFonts w:hint="eastAsia" w:ascii="仿宋" w:hAnsi="仿宋" w:eastAsia="仿宋" w:cs="仿宋"/>
          <w:color w:val="auto"/>
          <w:sz w:val="24"/>
          <w:szCs w:val="24"/>
          <w:highlight w:val="none"/>
          <w:lang w:val="en-US" w:eastAsia="zh-CN"/>
        </w:rPr>
        <w:t>招标文件</w:t>
      </w:r>
      <w:r>
        <w:rPr>
          <w:rFonts w:hint="eastAsia" w:ascii="仿宋" w:hAnsi="仿宋" w:eastAsia="仿宋" w:cs="仿宋"/>
          <w:color w:val="auto"/>
          <w:sz w:val="24"/>
          <w:szCs w:val="24"/>
          <w:highlight w:val="none"/>
        </w:rPr>
        <w:t>的要求参与</w:t>
      </w:r>
      <w:r>
        <w:rPr>
          <w:rFonts w:hint="eastAsia" w:ascii="仿宋" w:hAnsi="仿宋" w:eastAsia="仿宋" w:cs="仿宋"/>
          <w:color w:val="auto"/>
          <w:sz w:val="24"/>
          <w:szCs w:val="24"/>
          <w:highlight w:val="none"/>
          <w:lang w:val="en-US" w:eastAsia="zh-CN"/>
        </w:rPr>
        <w:t>不见面开标</w:t>
      </w:r>
      <w:r>
        <w:rPr>
          <w:rFonts w:hint="eastAsia" w:ascii="仿宋" w:hAnsi="仿宋" w:eastAsia="仿宋" w:cs="仿宋"/>
          <w:color w:val="auto"/>
          <w:sz w:val="24"/>
          <w:szCs w:val="24"/>
          <w:highlight w:val="none"/>
        </w:rPr>
        <w:t>。</w:t>
      </w:r>
    </w:p>
    <w:p w14:paraId="00DFA1FD">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bookmarkEnd w:id="263"/>
      <w:r>
        <w:rPr>
          <w:rFonts w:hint="eastAsia" w:ascii="仿宋" w:hAnsi="仿宋" w:eastAsia="仿宋" w:cs="仿宋"/>
          <w:color w:val="auto"/>
          <w:kern w:val="2"/>
          <w:sz w:val="24"/>
          <w:szCs w:val="24"/>
          <w:highlight w:val="none"/>
        </w:rPr>
        <w:t>采购代理机构按照招标文件规定的时间、地点主持开标。采购人在规定的</w:t>
      </w:r>
      <w:r>
        <w:rPr>
          <w:rFonts w:hint="eastAsia" w:ascii="仿宋" w:hAnsi="仿宋" w:eastAsia="仿宋" w:cs="仿宋"/>
          <w:color w:val="auto"/>
          <w:kern w:val="2"/>
          <w:sz w:val="24"/>
          <w:szCs w:val="24"/>
          <w:highlight w:val="none"/>
          <w:lang w:eastAsia="zh-CN"/>
        </w:rPr>
        <w:t>投标文件</w:t>
      </w:r>
      <w:r>
        <w:rPr>
          <w:rFonts w:hint="eastAsia" w:ascii="仿宋" w:hAnsi="仿宋" w:eastAsia="仿宋" w:cs="仿宋"/>
          <w:color w:val="auto"/>
          <w:kern w:val="2"/>
          <w:sz w:val="24"/>
          <w:szCs w:val="24"/>
          <w:highlight w:val="none"/>
        </w:rPr>
        <w:t>递交截止时间（开标时间）和地点进行不见面远程开标。</w:t>
      </w:r>
      <w:r>
        <w:rPr>
          <w:rFonts w:hint="eastAsia" w:ascii="仿宋" w:hAnsi="仿宋" w:eastAsia="仿宋" w:cs="仿宋"/>
          <w:color w:val="auto"/>
          <w:kern w:val="2"/>
          <w:sz w:val="24"/>
          <w:szCs w:val="24"/>
          <w:highlight w:val="none"/>
          <w:lang w:eastAsia="zh-CN"/>
        </w:rPr>
        <w:t>投标人</w:t>
      </w:r>
      <w:r>
        <w:rPr>
          <w:rFonts w:hint="eastAsia" w:ascii="仿宋" w:hAnsi="仿宋" w:eastAsia="仿宋" w:cs="仿宋"/>
          <w:color w:val="auto"/>
          <w:kern w:val="2"/>
          <w:sz w:val="24"/>
          <w:szCs w:val="24"/>
          <w:highlight w:val="none"/>
        </w:rPr>
        <w:t>的法定代表人或其委托代理人无需到达开标现场，仅需在任意地点通过</w:t>
      </w:r>
      <w:r>
        <w:rPr>
          <w:rFonts w:hint="eastAsia" w:ascii="仿宋" w:hAnsi="仿宋" w:eastAsia="仿宋" w:cs="仿宋"/>
          <w:color w:val="auto"/>
          <w:kern w:val="2"/>
          <w:sz w:val="24"/>
          <w:szCs w:val="24"/>
          <w:highlight w:val="none"/>
          <w:lang w:val="en-US" w:eastAsia="zh-CN"/>
        </w:rPr>
        <w:t>政府采购电子交易云平台（网址：https://www.zcygov.cn/）</w:t>
      </w:r>
      <w:r>
        <w:rPr>
          <w:rFonts w:hint="eastAsia" w:ascii="仿宋" w:hAnsi="仿宋" w:eastAsia="仿宋" w:cs="仿宋"/>
          <w:color w:val="auto"/>
          <w:kern w:val="2"/>
          <w:sz w:val="24"/>
          <w:szCs w:val="24"/>
          <w:highlight w:val="none"/>
        </w:rPr>
        <w:t>的</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rPr>
        <w:t>政采云登录入口”登录后，进入“政采云远程开标大厅”参加开标会议，并使用CA密钥完成远程解密、提疑澄清、开标唱标、结果公布等交互环节。</w:t>
      </w:r>
    </w:p>
    <w:p w14:paraId="11293D69">
      <w:pPr>
        <w:keepNext w:val="0"/>
        <w:keepLines w:val="0"/>
        <w:pageBreakBefore w:val="0"/>
        <w:widowControl w:val="0"/>
        <w:kinsoku/>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24.3开标过程将宣布投标人名称、投标价格和招标文件规定的需要宣布的其他内容并进行记录，并由参加开标的各投标人确认。投标人未在规定时间内提 出疑义或确认一览表的，视同认可开标结果。</w:t>
      </w:r>
    </w:p>
    <w:p w14:paraId="130B61FF">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仿宋" w:hAnsi="仿宋" w:eastAsia="仿宋" w:cs="仿宋"/>
          <w:b/>
          <w:bCs/>
          <w:color w:val="auto"/>
          <w:kern w:val="2"/>
          <w:sz w:val="24"/>
          <w:szCs w:val="24"/>
          <w:highlight w:val="none"/>
          <w:lang w:val="en-US" w:eastAsia="zh-CN" w:bidi="ar-SA"/>
        </w:rPr>
      </w:pPr>
      <w:bookmarkStart w:id="264" w:name="_Toc6135"/>
      <w:bookmarkStart w:id="265" w:name="_Toc30858"/>
      <w:bookmarkStart w:id="266" w:name="_Toc140132783"/>
      <w:bookmarkStart w:id="267" w:name="_Toc163492852"/>
      <w:bookmarkStart w:id="268" w:name="_Toc22024"/>
      <w:r>
        <w:rPr>
          <w:rFonts w:hint="eastAsia" w:ascii="仿宋" w:hAnsi="仿宋" w:eastAsia="仿宋" w:cs="仿宋"/>
          <w:b/>
          <w:bCs/>
          <w:color w:val="auto"/>
          <w:kern w:val="2"/>
          <w:sz w:val="24"/>
          <w:szCs w:val="24"/>
          <w:highlight w:val="none"/>
          <w:lang w:val="en-US" w:eastAsia="zh-CN" w:bidi="ar-SA"/>
        </w:rPr>
        <w:t>25.开标程序</w:t>
      </w:r>
      <w:bookmarkEnd w:id="264"/>
      <w:bookmarkEnd w:id="265"/>
      <w:bookmarkEnd w:id="266"/>
      <w:bookmarkEnd w:id="267"/>
      <w:bookmarkEnd w:id="268"/>
    </w:p>
    <w:p w14:paraId="6E85A2C6">
      <w:pPr>
        <w:keepNext w:val="0"/>
        <w:keepLines w:val="0"/>
        <w:pageBreakBefore w:val="0"/>
        <w:widowControl w:val="0"/>
        <w:kinsoku/>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.1投标人不足3家的，不得开标。</w:t>
      </w:r>
    </w:p>
    <w:p w14:paraId="2BA40C60">
      <w:pPr>
        <w:keepNext w:val="0"/>
        <w:keepLines w:val="0"/>
        <w:pageBreakBefore w:val="0"/>
        <w:widowControl w:val="0"/>
        <w:kinsoku/>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.2评标委员会成员不得参加开标活动。</w:t>
      </w:r>
    </w:p>
    <w:p w14:paraId="406CF6E4">
      <w:pPr>
        <w:keepNext w:val="0"/>
        <w:keepLines w:val="0"/>
        <w:pageBreakBefore w:val="0"/>
        <w:widowControl w:val="0"/>
        <w:kinsoku/>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.3主持人按下列程序进行开标：</w:t>
      </w:r>
    </w:p>
    <w:p w14:paraId="4F350352">
      <w:pPr>
        <w:keepNext w:val="0"/>
        <w:keepLines w:val="0"/>
        <w:pageBreakBefore w:val="0"/>
        <w:widowControl w:val="0"/>
        <w:kinsoku/>
        <w:overflowPunct/>
        <w:topLinePunct w:val="0"/>
        <w:autoSpaceDE/>
        <w:autoSpaceDN/>
        <w:bidi w:val="0"/>
        <w:adjustRightInd/>
        <w:spacing w:line="440" w:lineRule="exact"/>
        <w:ind w:firstLine="398" w:firstLineChars="16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（1）宣布开标会纪律；</w:t>
      </w:r>
    </w:p>
    <w:p w14:paraId="5218FC0D">
      <w:pPr>
        <w:keepNext w:val="0"/>
        <w:keepLines w:val="0"/>
        <w:pageBreakBefore w:val="0"/>
        <w:widowControl w:val="0"/>
        <w:kinsoku/>
        <w:overflowPunct/>
        <w:topLinePunct w:val="0"/>
        <w:autoSpaceDE/>
        <w:autoSpaceDN/>
        <w:bidi w:val="0"/>
        <w:adjustRightInd/>
        <w:spacing w:line="440" w:lineRule="exact"/>
        <w:ind w:firstLine="398" w:firstLineChars="16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（2）介绍参加开标会的单位和人员；</w:t>
      </w:r>
    </w:p>
    <w:p w14:paraId="2A3AB078">
      <w:pPr>
        <w:keepNext w:val="0"/>
        <w:keepLines w:val="0"/>
        <w:pageBreakBefore w:val="0"/>
        <w:widowControl w:val="0"/>
        <w:kinsoku/>
        <w:overflowPunct/>
        <w:topLinePunct w:val="0"/>
        <w:autoSpaceDE/>
        <w:autoSpaceDN/>
        <w:bidi w:val="0"/>
        <w:adjustRightInd/>
        <w:spacing w:line="440" w:lineRule="exact"/>
        <w:ind w:firstLine="398" w:firstLineChars="16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（3）发起投标文件解密。投标人应在“投标人须知前附表”规定的时间内使用加密投标文件的CA证书在系统中完成投标文件的解密；</w:t>
      </w:r>
    </w:p>
    <w:p w14:paraId="7E5B45C5">
      <w:pPr>
        <w:keepNext w:val="0"/>
        <w:keepLines w:val="0"/>
        <w:pageBreakBefore w:val="0"/>
        <w:widowControl w:val="0"/>
        <w:kinsoku/>
        <w:overflowPunct/>
        <w:topLinePunct w:val="0"/>
        <w:autoSpaceDE/>
        <w:autoSpaceDN/>
        <w:bidi w:val="0"/>
        <w:adjustRightInd/>
        <w:spacing w:line="440" w:lineRule="exact"/>
        <w:ind w:firstLine="398" w:firstLineChars="16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（4）解密完成后，系统自动显示投标人名称、投标价格和招标文件规定的需要宣布的其他内容；</w:t>
      </w:r>
    </w:p>
    <w:p w14:paraId="1463F783">
      <w:pPr>
        <w:keepNext w:val="0"/>
        <w:keepLines w:val="0"/>
        <w:pageBreakBefore w:val="0"/>
        <w:widowControl w:val="0"/>
        <w:kinsoku/>
        <w:overflowPunct/>
        <w:topLinePunct w:val="0"/>
        <w:autoSpaceDE/>
        <w:autoSpaceDN/>
        <w:bidi w:val="0"/>
        <w:adjustRightInd/>
        <w:spacing w:line="440" w:lineRule="exact"/>
        <w:ind w:left="564" w:leftChars="200" w:hanging="84" w:hangingChars="3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（5）系统自动生成开标记录表，供应商应在线对开标记录进行签署确认</w:t>
      </w:r>
      <w:r>
        <w:rPr>
          <w:rFonts w:hint="eastAsia" w:ascii="仿宋" w:hAnsi="仿宋" w:eastAsia="仿宋" w:cs="仿宋"/>
          <w:color w:val="auto"/>
          <w:sz w:val="24"/>
          <w:szCs w:val="24"/>
          <w:highlight w:val="none"/>
          <w:lang w:val="en-US" w:eastAsia="zh-CN"/>
        </w:rPr>
        <w:t>；</w:t>
      </w:r>
    </w:p>
    <w:p w14:paraId="47C29D52">
      <w:pPr>
        <w:keepNext w:val="0"/>
        <w:keepLines w:val="0"/>
        <w:pageBreakBefore w:val="0"/>
        <w:widowControl w:val="0"/>
        <w:kinsoku/>
        <w:overflowPunct/>
        <w:topLinePunct w:val="0"/>
        <w:autoSpaceDE/>
        <w:autoSpaceDN/>
        <w:bidi w:val="0"/>
        <w:adjustRightInd/>
        <w:spacing w:line="440" w:lineRule="exact"/>
        <w:ind w:left="564" w:leftChars="200" w:hanging="84" w:hangingChars="3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（6）开标会结束。</w:t>
      </w:r>
      <w:bookmarkStart w:id="269" w:name="_Toc140132784"/>
      <w:bookmarkStart w:id="270" w:name="_Toc163492853"/>
    </w:p>
    <w:p w14:paraId="1B6D2B5F">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仿宋" w:hAnsi="仿宋" w:eastAsia="仿宋" w:cs="仿宋"/>
          <w:b/>
          <w:bCs/>
          <w:color w:val="auto"/>
          <w:kern w:val="2"/>
          <w:sz w:val="24"/>
          <w:szCs w:val="24"/>
          <w:highlight w:val="none"/>
          <w:lang w:val="en-US" w:eastAsia="zh-CN" w:bidi="ar-SA"/>
        </w:rPr>
      </w:pPr>
      <w:bookmarkStart w:id="271" w:name="_Toc8830"/>
      <w:bookmarkStart w:id="272" w:name="_Toc6699"/>
      <w:bookmarkStart w:id="273" w:name="_Toc8444"/>
      <w:r>
        <w:rPr>
          <w:rFonts w:hint="eastAsia" w:ascii="仿宋" w:hAnsi="仿宋" w:eastAsia="仿宋" w:cs="仿宋"/>
          <w:b/>
          <w:bCs/>
          <w:color w:val="auto"/>
          <w:kern w:val="2"/>
          <w:sz w:val="24"/>
          <w:szCs w:val="24"/>
          <w:highlight w:val="none"/>
          <w:lang w:val="en-US" w:eastAsia="zh-CN" w:bidi="ar-SA"/>
        </w:rPr>
        <w:t>26.开标疑义及回避情形</w:t>
      </w:r>
      <w:bookmarkEnd w:id="269"/>
      <w:bookmarkEnd w:id="270"/>
      <w:bookmarkEnd w:id="271"/>
      <w:bookmarkEnd w:id="272"/>
      <w:bookmarkEnd w:id="273"/>
    </w:p>
    <w:p w14:paraId="579F213C">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投标人代表对开标过程和开标记录有疑义，以及认为采购人、采购代理机构相关工作人员有需要回避的情形的，应在开标会议中提出询问或者回避申请。采购人、采购代理机构对投标人授权代表提出的询问或者回避申请应当及时处理。</w:t>
      </w:r>
    </w:p>
    <w:p w14:paraId="4EEEDB58">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.2投标人未参加开标的，视同认可开标结果。</w:t>
      </w:r>
    </w:p>
    <w:p w14:paraId="631204A0">
      <w:pPr>
        <w:pStyle w:val="4"/>
        <w:keepNext w:val="0"/>
        <w:keepLines w:val="0"/>
        <w:pageBreakBefore w:val="0"/>
        <w:widowControl w:val="0"/>
        <w:numPr>
          <w:ilvl w:val="0"/>
          <w:numId w:val="0"/>
        </w:numPr>
        <w:kinsoku/>
        <w:wordWrap/>
        <w:overflowPunct/>
        <w:topLinePunct w:val="0"/>
        <w:autoSpaceDE/>
        <w:autoSpaceDN/>
        <w:bidi w:val="0"/>
        <w:adjustRightInd/>
        <w:snapToGrid/>
        <w:spacing w:before="120" w:after="120" w:line="440" w:lineRule="exact"/>
        <w:ind w:left="420" w:leftChars="0" w:hanging="420" w:firstLineChars="0"/>
        <w:textAlignment w:val="auto"/>
        <w:rPr>
          <w:rFonts w:hint="eastAsia" w:ascii="仿宋" w:hAnsi="仿宋" w:eastAsia="仿宋" w:cs="仿宋"/>
          <w:b/>
          <w:bCs/>
          <w:color w:val="auto"/>
          <w:kern w:val="2"/>
          <w:sz w:val="24"/>
          <w:szCs w:val="24"/>
          <w:highlight w:val="none"/>
          <w:lang w:val="en-US" w:eastAsia="zh-CN" w:bidi="ar-SA"/>
        </w:rPr>
      </w:pPr>
      <w:bookmarkStart w:id="274" w:name="_Toc140132785"/>
      <w:bookmarkStart w:id="275" w:name="_Toc155185877"/>
      <w:bookmarkStart w:id="276" w:name="_Toc9049"/>
      <w:bookmarkStart w:id="277" w:name="_Toc163492854"/>
      <w:bookmarkStart w:id="278" w:name="_Toc22271"/>
      <w:bookmarkStart w:id="279" w:name="_Toc15018"/>
      <w:r>
        <w:rPr>
          <w:rFonts w:hint="eastAsia" w:ascii="仿宋" w:hAnsi="仿宋" w:eastAsia="仿宋" w:cs="仿宋"/>
          <w:b/>
          <w:bCs/>
          <w:color w:val="auto"/>
          <w:kern w:val="2"/>
          <w:sz w:val="24"/>
          <w:szCs w:val="24"/>
          <w:highlight w:val="none"/>
          <w:lang w:val="en-US" w:eastAsia="zh-CN" w:bidi="ar-SA"/>
        </w:rPr>
        <w:t>（六）资格审查</w:t>
      </w:r>
      <w:bookmarkEnd w:id="274"/>
      <w:bookmarkEnd w:id="275"/>
      <w:bookmarkEnd w:id="276"/>
      <w:bookmarkEnd w:id="277"/>
      <w:bookmarkEnd w:id="278"/>
      <w:bookmarkEnd w:id="279"/>
    </w:p>
    <w:p w14:paraId="7E2EEF35">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仿宋" w:hAnsi="仿宋" w:eastAsia="仿宋" w:cs="仿宋"/>
          <w:b/>
          <w:bCs/>
          <w:color w:val="auto"/>
          <w:kern w:val="2"/>
          <w:sz w:val="24"/>
          <w:szCs w:val="24"/>
          <w:highlight w:val="none"/>
          <w:lang w:val="en-US" w:eastAsia="zh-CN" w:bidi="ar-SA"/>
        </w:rPr>
      </w:pPr>
      <w:bookmarkStart w:id="280" w:name="_Toc507"/>
      <w:bookmarkStart w:id="281" w:name="_Toc163492855"/>
      <w:bookmarkStart w:id="282" w:name="_Toc9539"/>
      <w:bookmarkStart w:id="283" w:name="_Toc16245"/>
      <w:r>
        <w:rPr>
          <w:rFonts w:hint="eastAsia" w:ascii="仿宋" w:hAnsi="仿宋" w:eastAsia="仿宋" w:cs="仿宋"/>
          <w:b/>
          <w:bCs/>
          <w:color w:val="auto"/>
          <w:kern w:val="2"/>
          <w:sz w:val="24"/>
          <w:szCs w:val="24"/>
          <w:highlight w:val="none"/>
          <w:lang w:val="en-US" w:eastAsia="zh-CN" w:bidi="ar-SA"/>
        </w:rPr>
        <w:t>27.资格审查及审查主体</w:t>
      </w:r>
      <w:bookmarkEnd w:id="280"/>
      <w:bookmarkEnd w:id="281"/>
      <w:bookmarkEnd w:id="282"/>
      <w:bookmarkEnd w:id="283"/>
    </w:p>
    <w:p w14:paraId="6F845BAB">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bookmarkStart w:id="284" w:name="_Toc140132786"/>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.1</w:t>
      </w:r>
      <w:bookmarkEnd w:id="284"/>
      <w:r>
        <w:rPr>
          <w:rFonts w:hint="eastAsia" w:ascii="仿宋" w:hAnsi="仿宋" w:eastAsia="仿宋" w:cs="仿宋"/>
          <w:color w:val="auto"/>
          <w:sz w:val="24"/>
          <w:szCs w:val="24"/>
          <w:highlight w:val="none"/>
        </w:rPr>
        <w:t>开标结束后，采购人或者采购代理机构应当依法对投标人的资格进行审查。</w:t>
      </w:r>
    </w:p>
    <w:p w14:paraId="3F56DE79">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bookmarkStart w:id="285" w:name="_Toc140132787"/>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.2资格审查按“第四章</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资格审查”的规定进行。</w:t>
      </w:r>
      <w:bookmarkEnd w:id="285"/>
    </w:p>
    <w:p w14:paraId="25E4ADE0">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bookmarkStart w:id="286" w:name="_Toc140132788"/>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.3资格审查结束后，应及时对资格审查结果进行复核，对资格审查错误进行及时纠正并记录。</w:t>
      </w:r>
      <w:bookmarkEnd w:id="286"/>
    </w:p>
    <w:p w14:paraId="4E776682">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27.4</w:t>
      </w:r>
      <w:r>
        <w:rPr>
          <w:rFonts w:hint="eastAsia" w:ascii="仿宋" w:hAnsi="仿宋" w:eastAsia="仿宋" w:cs="仿宋"/>
          <w:color w:val="auto"/>
          <w:sz w:val="24"/>
          <w:szCs w:val="24"/>
          <w:highlight w:val="none"/>
        </w:rPr>
        <w:t>资格审查合格投标人不足3家的，不得评标。</w:t>
      </w:r>
    </w:p>
    <w:p w14:paraId="1F67850E">
      <w:pPr>
        <w:pStyle w:val="4"/>
        <w:keepNext w:val="0"/>
        <w:keepLines w:val="0"/>
        <w:pageBreakBefore w:val="0"/>
        <w:widowControl w:val="0"/>
        <w:numPr>
          <w:ilvl w:val="0"/>
          <w:numId w:val="0"/>
        </w:numPr>
        <w:kinsoku/>
        <w:wordWrap/>
        <w:overflowPunct/>
        <w:topLinePunct w:val="0"/>
        <w:autoSpaceDE/>
        <w:autoSpaceDN/>
        <w:bidi w:val="0"/>
        <w:adjustRightInd/>
        <w:snapToGrid/>
        <w:spacing w:before="120" w:after="120" w:line="440" w:lineRule="exact"/>
        <w:ind w:left="420" w:leftChars="0" w:hanging="420" w:firstLineChars="0"/>
        <w:textAlignment w:val="auto"/>
        <w:rPr>
          <w:rFonts w:hint="eastAsia" w:ascii="仿宋" w:hAnsi="仿宋" w:eastAsia="仿宋" w:cs="仿宋"/>
          <w:b/>
          <w:bCs/>
          <w:color w:val="auto"/>
          <w:kern w:val="2"/>
          <w:sz w:val="24"/>
          <w:szCs w:val="24"/>
          <w:highlight w:val="none"/>
          <w:lang w:val="en-US" w:eastAsia="zh-CN" w:bidi="ar-SA"/>
        </w:rPr>
      </w:pPr>
      <w:bookmarkStart w:id="287" w:name="_Toc163492856"/>
      <w:bookmarkStart w:id="288" w:name="_Toc9489"/>
      <w:bookmarkStart w:id="289" w:name="_Toc11390"/>
      <w:bookmarkStart w:id="290" w:name="_Toc155185878"/>
      <w:bookmarkStart w:id="291" w:name="_Toc3464"/>
      <w:bookmarkStart w:id="292" w:name="_Toc140132789"/>
      <w:r>
        <w:rPr>
          <w:rFonts w:hint="eastAsia" w:ascii="仿宋" w:hAnsi="仿宋" w:eastAsia="仿宋" w:cs="仿宋"/>
          <w:b/>
          <w:bCs/>
          <w:color w:val="auto"/>
          <w:kern w:val="2"/>
          <w:sz w:val="24"/>
          <w:szCs w:val="24"/>
          <w:highlight w:val="none"/>
          <w:lang w:val="en-US" w:eastAsia="zh-CN" w:bidi="ar-SA"/>
        </w:rPr>
        <w:t>（七）评标</w:t>
      </w:r>
      <w:bookmarkEnd w:id="287"/>
      <w:bookmarkEnd w:id="288"/>
      <w:bookmarkEnd w:id="289"/>
      <w:bookmarkEnd w:id="290"/>
      <w:bookmarkEnd w:id="291"/>
      <w:bookmarkEnd w:id="292"/>
    </w:p>
    <w:p w14:paraId="217AB3A4">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仿宋" w:hAnsi="仿宋" w:eastAsia="仿宋" w:cs="仿宋"/>
          <w:b/>
          <w:bCs/>
          <w:color w:val="auto"/>
          <w:kern w:val="2"/>
          <w:sz w:val="24"/>
          <w:szCs w:val="24"/>
          <w:highlight w:val="none"/>
          <w:lang w:val="en-US" w:eastAsia="zh-CN" w:bidi="ar-SA"/>
        </w:rPr>
      </w:pPr>
      <w:bookmarkStart w:id="293" w:name="_Toc195"/>
      <w:bookmarkStart w:id="294" w:name="_Toc14310"/>
      <w:bookmarkStart w:id="295" w:name="_Toc13920"/>
      <w:bookmarkStart w:id="296" w:name="_Toc140132790"/>
      <w:bookmarkStart w:id="297" w:name="_Toc163492857"/>
      <w:r>
        <w:rPr>
          <w:rFonts w:hint="eastAsia" w:ascii="仿宋" w:hAnsi="仿宋" w:eastAsia="仿宋" w:cs="仿宋"/>
          <w:b/>
          <w:bCs/>
          <w:color w:val="auto"/>
          <w:kern w:val="2"/>
          <w:sz w:val="24"/>
          <w:szCs w:val="24"/>
          <w:highlight w:val="none"/>
          <w:lang w:val="en-US" w:eastAsia="zh-CN" w:bidi="ar-SA"/>
        </w:rPr>
        <w:t>28.评标委员会</w:t>
      </w:r>
      <w:bookmarkEnd w:id="293"/>
      <w:bookmarkEnd w:id="294"/>
      <w:bookmarkEnd w:id="295"/>
      <w:bookmarkEnd w:id="296"/>
      <w:bookmarkEnd w:id="297"/>
    </w:p>
    <w:p w14:paraId="75C3388C">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.1评标由采购人依法组建的评标委员会负责。评标委员会由采购人代表和评审专家组成</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成员人数应当为5</w:t>
      </w:r>
      <w:r>
        <w:rPr>
          <w:rFonts w:hint="eastAsia" w:ascii="仿宋" w:hAnsi="仿宋" w:eastAsia="仿宋" w:cs="仿宋"/>
          <w:color w:val="auto"/>
          <w:sz w:val="24"/>
          <w:szCs w:val="24"/>
          <w:highlight w:val="none"/>
        </w:rPr>
        <w:t>人以上单数，其中</w:t>
      </w:r>
      <w:r>
        <w:rPr>
          <w:rFonts w:hint="eastAsia" w:ascii="仿宋" w:hAnsi="仿宋" w:eastAsia="仿宋" w:cs="仿宋"/>
          <w:color w:val="auto"/>
          <w:sz w:val="24"/>
          <w:szCs w:val="24"/>
          <w:highlight w:val="none"/>
          <w:lang w:val="en-US" w:eastAsia="zh-CN"/>
        </w:rPr>
        <w:t>评审</w:t>
      </w:r>
      <w:r>
        <w:rPr>
          <w:rFonts w:hint="eastAsia" w:ascii="仿宋" w:hAnsi="仿宋" w:eastAsia="仿宋" w:cs="仿宋"/>
          <w:color w:val="auto"/>
          <w:sz w:val="24"/>
          <w:szCs w:val="24"/>
          <w:highlight w:val="none"/>
        </w:rPr>
        <w:t>专家不</w:t>
      </w:r>
      <w:r>
        <w:rPr>
          <w:rFonts w:hint="eastAsia" w:ascii="仿宋" w:hAnsi="仿宋" w:eastAsia="仿宋" w:cs="仿宋"/>
          <w:color w:val="auto"/>
          <w:sz w:val="24"/>
          <w:szCs w:val="24"/>
          <w:highlight w:val="none"/>
          <w:lang w:val="en-US" w:eastAsia="zh-CN"/>
        </w:rPr>
        <w:t>得</w:t>
      </w:r>
      <w:r>
        <w:rPr>
          <w:rFonts w:hint="eastAsia" w:ascii="仿宋" w:hAnsi="仿宋" w:eastAsia="仿宋" w:cs="仿宋"/>
          <w:color w:val="auto"/>
          <w:sz w:val="24"/>
          <w:szCs w:val="24"/>
          <w:highlight w:val="none"/>
        </w:rPr>
        <w:t>少于</w:t>
      </w:r>
      <w:r>
        <w:rPr>
          <w:rFonts w:hint="eastAsia" w:ascii="仿宋" w:hAnsi="仿宋" w:eastAsia="仿宋" w:cs="仿宋"/>
          <w:color w:val="auto"/>
          <w:sz w:val="24"/>
          <w:szCs w:val="24"/>
          <w:highlight w:val="none"/>
          <w:lang w:val="en-US" w:eastAsia="zh-CN"/>
        </w:rPr>
        <w:t>成员总数的</w:t>
      </w:r>
      <w:r>
        <w:rPr>
          <w:rFonts w:hint="eastAsia" w:ascii="仿宋" w:hAnsi="仿宋" w:eastAsia="仿宋" w:cs="仿宋"/>
          <w:color w:val="auto"/>
          <w:sz w:val="24"/>
          <w:szCs w:val="24"/>
          <w:highlight w:val="none"/>
        </w:rPr>
        <w:t>三分之二。</w:t>
      </w:r>
      <w:r>
        <w:rPr>
          <w:rFonts w:hint="eastAsia" w:ascii="仿宋" w:hAnsi="仿宋" w:eastAsia="仿宋" w:cs="仿宋"/>
          <w:color w:val="auto"/>
          <w:sz w:val="24"/>
          <w:szCs w:val="24"/>
          <w:highlight w:val="none"/>
          <w:lang w:val="en-US" w:eastAsia="zh-CN"/>
        </w:rPr>
        <w:t>采购人或者采购代理机构应当从省级以上财政部门设立的政府采购评审专家库中，通过随机方式抽取评审专家。</w:t>
      </w:r>
    </w:p>
    <w:p w14:paraId="2C21D8EE">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28.2采购项目符合下列情形之一的，评标委员会成员人数应当为7人以上单数：</w:t>
      </w:r>
    </w:p>
    <w:p w14:paraId="1123327C">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（1）采购预算金额在1000万元以上；</w:t>
      </w:r>
    </w:p>
    <w:p w14:paraId="472D00EE">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（2）技术复杂；</w:t>
      </w:r>
    </w:p>
    <w:p w14:paraId="0E6D9751">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（3）社会影响较大。</w:t>
      </w:r>
    </w:p>
    <w:p w14:paraId="58482DD7">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28.3评审专家对本单位的采购项目只能作为采购人代表参与评标，对技术复杂、专业性强的采购项目，通过随机方式难以确定合适评审专家的，经主管预算单位同意，采购人可以自行选定相应专业领域的评审专家。采购代理机构工作人员不得参加由本机构代理的政府采购项目的评标。</w:t>
      </w:r>
    </w:p>
    <w:p w14:paraId="6A2BE59A">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28.4评标委员会成员名单在评标结果公告前应当保密。</w:t>
      </w:r>
    </w:p>
    <w:p w14:paraId="000DA9F9">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28.5评标中因评标委员会成员缺席、回避或者健康等特殊原因导致评标委员会组成不符合本办法规定的，采购人或者采购代理机构应当依法补足后继续评标。被更换的评标委员会成员所作出的评标意见无效。</w:t>
      </w:r>
    </w:p>
    <w:p w14:paraId="63059550">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28.6无法及时补足评标委员会成员的，采购人或者采购代理机构应当停止评标活动，封存所有投标文件和开标、评标资料，依法重新组建评标委员会进行评标。原评标委员会所作出的评标意见无效。</w:t>
      </w:r>
    </w:p>
    <w:p w14:paraId="672C4969">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评标委员会成员有下列情形之一的，应当回避：</w:t>
      </w:r>
    </w:p>
    <w:p w14:paraId="0BA6C3CF">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（1）参加采购活动前3年内与投标人存在劳动关系；</w:t>
      </w:r>
    </w:p>
    <w:p w14:paraId="2D0E4D51">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（2）参加采购活动前3年内担任投标人的董事、监事；</w:t>
      </w:r>
    </w:p>
    <w:p w14:paraId="4341937E">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（3）参加采购活动前3年内是投标人的控股股东或实际控制人；</w:t>
      </w:r>
    </w:p>
    <w:p w14:paraId="7BD7C212">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（4）与投标人的法定代表人或者负责人有夫妻、直系血亲、三代以内旁系血亲或者近姻亲关系；</w:t>
      </w:r>
    </w:p>
    <w:p w14:paraId="6FC4CC52">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（5）与投标人有其他可能影响采购活动公平、公正进行的关系。</w:t>
      </w:r>
    </w:p>
    <w:p w14:paraId="055B08B1">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仿宋" w:hAnsi="仿宋" w:eastAsia="仿宋" w:cs="仿宋"/>
          <w:b/>
          <w:bCs/>
          <w:color w:val="auto"/>
          <w:kern w:val="2"/>
          <w:sz w:val="24"/>
          <w:szCs w:val="24"/>
          <w:highlight w:val="none"/>
          <w:lang w:val="en-US" w:eastAsia="zh-CN" w:bidi="ar-SA"/>
        </w:rPr>
      </w:pPr>
      <w:bookmarkStart w:id="298" w:name="_Toc4052"/>
      <w:bookmarkStart w:id="299" w:name="_Toc7854"/>
      <w:bookmarkStart w:id="300" w:name="_Toc167"/>
      <w:bookmarkStart w:id="301" w:name="_Toc163492858"/>
      <w:bookmarkStart w:id="302" w:name="_Toc140132791"/>
      <w:r>
        <w:rPr>
          <w:rFonts w:hint="eastAsia" w:ascii="仿宋" w:hAnsi="仿宋" w:eastAsia="仿宋" w:cs="仿宋"/>
          <w:b/>
          <w:bCs/>
          <w:color w:val="auto"/>
          <w:kern w:val="2"/>
          <w:sz w:val="24"/>
          <w:szCs w:val="24"/>
          <w:highlight w:val="none"/>
          <w:lang w:val="en-US" w:eastAsia="zh-CN" w:bidi="ar-SA"/>
        </w:rPr>
        <w:t>29.评标</w:t>
      </w:r>
      <w:bookmarkEnd w:id="298"/>
      <w:bookmarkEnd w:id="299"/>
      <w:bookmarkEnd w:id="300"/>
      <w:bookmarkEnd w:id="301"/>
      <w:bookmarkEnd w:id="302"/>
    </w:p>
    <w:p w14:paraId="234D90CC">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29</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评标方法分为综合评分法和</w:t>
      </w:r>
      <w:r>
        <w:rPr>
          <w:rFonts w:hint="eastAsia" w:ascii="仿宋" w:hAnsi="仿宋" w:eastAsia="仿宋" w:cs="仿宋"/>
          <w:color w:val="auto"/>
          <w:sz w:val="24"/>
          <w:szCs w:val="24"/>
          <w:highlight w:val="none"/>
        </w:rPr>
        <w:t>最低评标价法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本项目评标</w:t>
      </w:r>
      <w:r>
        <w:rPr>
          <w:rFonts w:hint="eastAsia" w:ascii="仿宋" w:hAnsi="仿宋" w:eastAsia="仿宋" w:cs="仿宋"/>
          <w:color w:val="auto"/>
          <w:sz w:val="24"/>
          <w:szCs w:val="24"/>
          <w:highlight w:val="none"/>
          <w:lang w:val="en-US" w:eastAsia="zh-CN"/>
        </w:rPr>
        <w:t>方法详见</w:t>
      </w:r>
      <w:r>
        <w:rPr>
          <w:rFonts w:hint="eastAsia" w:ascii="仿宋" w:hAnsi="仿宋" w:eastAsia="仿宋" w:cs="仿宋"/>
          <w:color w:val="auto"/>
          <w:sz w:val="24"/>
          <w:szCs w:val="24"/>
          <w:highlight w:val="none"/>
        </w:rPr>
        <w:t>“投标人须知前附表”</w:t>
      </w:r>
      <w:r>
        <w:rPr>
          <w:rFonts w:hint="eastAsia" w:ascii="仿宋" w:hAnsi="仿宋" w:eastAsia="仿宋" w:cs="仿宋"/>
          <w:color w:val="auto"/>
          <w:sz w:val="24"/>
          <w:szCs w:val="24"/>
          <w:highlight w:val="none"/>
          <w:lang w:eastAsia="zh-CN"/>
        </w:rPr>
        <w:t>。</w:t>
      </w:r>
    </w:p>
    <w:p w14:paraId="5D0AED55">
      <w:pPr>
        <w:pStyle w:val="37"/>
        <w:keepNext w:val="0"/>
        <w:keepLines w:val="0"/>
        <w:pageBreakBefore w:val="0"/>
        <w:overflowPunct/>
        <w:topLinePunct w:val="0"/>
        <w:bidi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9.1.1</w:t>
      </w:r>
      <w:r>
        <w:rPr>
          <w:rFonts w:hint="eastAsia" w:ascii="仿宋" w:hAnsi="仿宋" w:eastAsia="仿宋" w:cs="仿宋"/>
          <w:color w:val="auto"/>
          <w:sz w:val="24"/>
          <w:szCs w:val="24"/>
          <w:highlight w:val="none"/>
        </w:rPr>
        <w:t>综合评分法，是指投标文件满足招标文件全部实质性要求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且按照评审因素的量化指标评审得分最高的投标人为中标候选人的评标方法。</w:t>
      </w:r>
    </w:p>
    <w:p w14:paraId="0580DC01">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29.1.2.</w:t>
      </w:r>
      <w:r>
        <w:rPr>
          <w:rFonts w:hint="eastAsia" w:ascii="仿宋" w:hAnsi="仿宋" w:eastAsia="仿宋" w:cs="仿宋"/>
          <w:color w:val="auto"/>
          <w:sz w:val="24"/>
          <w:szCs w:val="24"/>
          <w:highlight w:val="none"/>
        </w:rPr>
        <w:t>最低评标价法，是指投标文件满足招标文件全部实质性要求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且投标报价最低的投标人为中标候选人的评标方法。</w:t>
      </w:r>
    </w:p>
    <w:p w14:paraId="492F293D">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29</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评标委员会按照“第五章</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评标</w:t>
      </w:r>
      <w:r>
        <w:rPr>
          <w:rFonts w:hint="eastAsia" w:ascii="仿宋" w:hAnsi="仿宋" w:eastAsia="仿宋" w:cs="仿宋"/>
          <w:color w:val="auto"/>
          <w:sz w:val="24"/>
          <w:szCs w:val="24"/>
          <w:highlight w:val="none"/>
          <w:lang w:val="en-US" w:eastAsia="zh-CN"/>
        </w:rPr>
        <w:t>方</w:t>
      </w:r>
      <w:r>
        <w:rPr>
          <w:rFonts w:hint="eastAsia" w:ascii="仿宋" w:hAnsi="仿宋" w:eastAsia="仿宋" w:cs="仿宋"/>
          <w:color w:val="auto"/>
          <w:sz w:val="24"/>
          <w:szCs w:val="24"/>
          <w:highlight w:val="none"/>
        </w:rPr>
        <w:t>法及标准”</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规定对投标文件进行评审。“第五章</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评标</w:t>
      </w:r>
      <w:r>
        <w:rPr>
          <w:rFonts w:hint="eastAsia" w:ascii="仿宋" w:hAnsi="仿宋" w:eastAsia="仿宋" w:cs="仿宋"/>
          <w:color w:val="auto"/>
          <w:sz w:val="24"/>
          <w:szCs w:val="24"/>
          <w:highlight w:val="none"/>
          <w:lang w:val="en-US" w:eastAsia="zh-CN"/>
        </w:rPr>
        <w:t>方</w:t>
      </w:r>
      <w:r>
        <w:rPr>
          <w:rFonts w:hint="eastAsia" w:ascii="仿宋" w:hAnsi="仿宋" w:eastAsia="仿宋" w:cs="仿宋"/>
          <w:color w:val="auto"/>
          <w:sz w:val="24"/>
          <w:szCs w:val="24"/>
          <w:highlight w:val="none"/>
        </w:rPr>
        <w:t>法及标准”没有规定的方法、评审因素和标准，不作为评标依据。</w:t>
      </w:r>
    </w:p>
    <w:p w14:paraId="52CA86E5">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29</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评标委员会按“投标人须知前附表”规定的中标候选人数量在评标报告中向采购人推荐中标候选人。</w:t>
      </w:r>
    </w:p>
    <w:p w14:paraId="6676984B">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29.4开标之后，直到签订合同止，凡是属于审查、澄清、评价和比较投标的有关资料以及定标意向等，均不得向投标人或者其他与评标无关的人员透露。</w:t>
      </w:r>
    </w:p>
    <w:p w14:paraId="69896FDC">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29.5在确定中标人之前，投标人试图在投标文件审查、澄清、比较和评标时对评标委员会、采购人和采购代理机构施加任何影响都可能导致其</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color w:val="auto"/>
          <w:sz w:val="24"/>
          <w:szCs w:val="24"/>
          <w:highlight w:val="none"/>
          <w:lang w:val="en-US" w:eastAsia="zh-CN"/>
        </w:rPr>
        <w:t>。</w:t>
      </w:r>
    </w:p>
    <w:p w14:paraId="6AC02045">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29.6电子招投标的应急措施</w:t>
      </w:r>
    </w:p>
    <w:p w14:paraId="5055ADE5">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29.6.1电子开标、评标如出现下列原因，导致系统无法正常运行或无法正常评标时，应采取应急措施。</w:t>
      </w:r>
    </w:p>
    <w:p w14:paraId="3707D9F2">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（1）系统服务器发生故障，无法访问或无法使用系统；</w:t>
      </w:r>
    </w:p>
    <w:p w14:paraId="1BFB8EC7">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（2）系统的软件或数据库出现错误，不能进行正常操作；</w:t>
      </w:r>
    </w:p>
    <w:p w14:paraId="4D677185">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（3）系统发现有安全漏洞，有潜在的泄密危险；</w:t>
      </w:r>
    </w:p>
    <w:p w14:paraId="12754AA4">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（4）病毒发作或受到外来病毒的攻击；</w:t>
      </w:r>
    </w:p>
    <w:p w14:paraId="418B7753">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（5）出现其他不可抗拒的客观原因造成开评标系统无法正常使用。</w:t>
      </w:r>
    </w:p>
    <w:p w14:paraId="7591FCBF">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出现上述情况时，应对未开标的暂停开标。已在系统内开标、评标的立即停止。采取应急措施时，必须对原有资料及信息作出妥善保密处理。</w:t>
      </w:r>
    </w:p>
    <w:p w14:paraId="26001DA5">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29.6.2因系统原因导致投标人均无法解密电子投标文件时，采购代理机构可在开标现场直接导入投标人在投标截止时间前递交的未加密的电子投标文件进行开标、评标。</w:t>
      </w:r>
    </w:p>
    <w:p w14:paraId="0BB59D36">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29.7投标人瑕疵滞后发现的处理规则</w:t>
      </w:r>
    </w:p>
    <w:p w14:paraId="5813ACFB">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29.7.1无论基于何种原因，各项本应作</w:t>
      </w:r>
      <w:r>
        <w:rPr>
          <w:rFonts w:hint="eastAsia" w:ascii="仿宋" w:hAnsi="仿宋" w:eastAsia="仿宋" w:cs="仿宋"/>
          <w:b/>
          <w:bCs/>
          <w:color w:val="auto"/>
          <w:sz w:val="24"/>
          <w:szCs w:val="24"/>
          <w:highlight w:val="none"/>
          <w:lang w:val="en-US" w:eastAsia="zh-CN"/>
        </w:rPr>
        <w:t>无效投标</w:t>
      </w:r>
      <w:r>
        <w:rPr>
          <w:rFonts w:hint="eastAsia" w:ascii="仿宋" w:hAnsi="仿宋" w:eastAsia="仿宋" w:cs="仿宋"/>
          <w:color w:val="auto"/>
          <w:sz w:val="24"/>
          <w:szCs w:val="24"/>
          <w:highlight w:val="none"/>
          <w:lang w:val="en-US" w:eastAsia="zh-CN"/>
        </w:rPr>
        <w:t>处理的情形即便未被及时发现而使该投标人进入初审、综合评审或其他后续程序，包括已经签订合同的情形，一旦该投标人的投标作无效投标处理或该投标人的此前评议结果被取消，其现有的位置将被其他投标人依序替代，相关的一切损失均由该投标人承担。</w:t>
      </w:r>
    </w:p>
    <w:p w14:paraId="0CD183F6">
      <w:pPr>
        <w:pStyle w:val="4"/>
        <w:keepNext w:val="0"/>
        <w:keepLines w:val="0"/>
        <w:pageBreakBefore w:val="0"/>
        <w:widowControl w:val="0"/>
        <w:numPr>
          <w:ilvl w:val="0"/>
          <w:numId w:val="0"/>
        </w:numPr>
        <w:kinsoku/>
        <w:wordWrap/>
        <w:overflowPunct/>
        <w:topLinePunct w:val="0"/>
        <w:autoSpaceDE/>
        <w:autoSpaceDN/>
        <w:bidi w:val="0"/>
        <w:adjustRightInd/>
        <w:snapToGrid/>
        <w:spacing w:before="120" w:after="120" w:line="440" w:lineRule="exact"/>
        <w:ind w:left="420" w:leftChars="0" w:hanging="420" w:firstLineChars="0"/>
        <w:textAlignment w:val="auto"/>
        <w:rPr>
          <w:rFonts w:hint="eastAsia" w:ascii="仿宋" w:hAnsi="仿宋" w:eastAsia="仿宋" w:cs="仿宋"/>
          <w:b/>
          <w:bCs/>
          <w:color w:val="auto"/>
          <w:kern w:val="2"/>
          <w:sz w:val="24"/>
          <w:szCs w:val="24"/>
          <w:highlight w:val="none"/>
          <w:lang w:val="en-US" w:eastAsia="zh-CN" w:bidi="ar-SA"/>
        </w:rPr>
      </w:pPr>
      <w:bookmarkStart w:id="303" w:name="_Toc16712"/>
      <w:bookmarkStart w:id="304" w:name="_Toc155185879"/>
      <w:bookmarkStart w:id="305" w:name="_Toc140132792"/>
      <w:bookmarkStart w:id="306" w:name="_Toc24173"/>
      <w:bookmarkStart w:id="307" w:name="_Toc163492859"/>
      <w:bookmarkStart w:id="308" w:name="_Toc11591"/>
      <w:r>
        <w:rPr>
          <w:rFonts w:hint="eastAsia" w:ascii="仿宋" w:hAnsi="仿宋" w:eastAsia="仿宋" w:cs="仿宋"/>
          <w:b/>
          <w:bCs/>
          <w:color w:val="auto"/>
          <w:kern w:val="2"/>
          <w:sz w:val="24"/>
          <w:szCs w:val="24"/>
          <w:highlight w:val="none"/>
          <w:lang w:val="en-US" w:eastAsia="zh-CN" w:bidi="ar-SA"/>
        </w:rPr>
        <w:t>（八）中标</w:t>
      </w:r>
      <w:bookmarkEnd w:id="303"/>
      <w:bookmarkEnd w:id="304"/>
      <w:bookmarkEnd w:id="305"/>
      <w:bookmarkEnd w:id="306"/>
      <w:bookmarkEnd w:id="307"/>
      <w:bookmarkEnd w:id="308"/>
    </w:p>
    <w:p w14:paraId="21B6A935">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仿宋" w:hAnsi="仿宋" w:eastAsia="仿宋" w:cs="仿宋"/>
          <w:b/>
          <w:bCs/>
          <w:color w:val="auto"/>
          <w:kern w:val="2"/>
          <w:sz w:val="24"/>
          <w:szCs w:val="24"/>
          <w:highlight w:val="none"/>
          <w:lang w:val="en-US" w:eastAsia="zh-CN" w:bidi="ar-SA"/>
        </w:rPr>
      </w:pPr>
      <w:bookmarkStart w:id="309" w:name="_Toc5728"/>
      <w:bookmarkStart w:id="310" w:name="_Toc18980"/>
      <w:bookmarkStart w:id="311" w:name="_Toc11832"/>
      <w:bookmarkStart w:id="312" w:name="_Toc140132793"/>
      <w:bookmarkStart w:id="313" w:name="_Toc163492860"/>
      <w:r>
        <w:rPr>
          <w:rFonts w:hint="eastAsia" w:ascii="仿宋" w:hAnsi="仿宋" w:eastAsia="仿宋" w:cs="仿宋"/>
          <w:b/>
          <w:bCs/>
          <w:color w:val="auto"/>
          <w:kern w:val="2"/>
          <w:sz w:val="24"/>
          <w:szCs w:val="24"/>
          <w:highlight w:val="none"/>
          <w:lang w:val="en-US" w:eastAsia="zh-CN" w:bidi="ar-SA"/>
        </w:rPr>
        <w:t>30.确定中标人</w:t>
      </w:r>
      <w:bookmarkEnd w:id="309"/>
      <w:bookmarkEnd w:id="310"/>
      <w:bookmarkEnd w:id="311"/>
      <w:bookmarkEnd w:id="312"/>
      <w:bookmarkEnd w:id="313"/>
    </w:p>
    <w:p w14:paraId="7DA23D29">
      <w:pPr>
        <w:keepNext w:val="0"/>
        <w:keepLines w:val="0"/>
        <w:pageBreakBefore w:val="0"/>
        <w:widowControl w:val="0"/>
        <w:suppressLineNumbers w:val="0"/>
        <w:kinsoku/>
        <w:overflowPunct/>
        <w:topLinePunct w:val="0"/>
        <w:autoSpaceDE/>
        <w:autoSpaceDN/>
        <w:bidi w:val="0"/>
        <w:adjustRightInd/>
        <w:spacing w:line="440" w:lineRule="exact"/>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sz w:val="24"/>
          <w:szCs w:val="24"/>
          <w:highlight w:val="none"/>
          <w:lang w:val="en-US" w:eastAsia="zh-CN"/>
        </w:rPr>
        <w:t>30.1</w:t>
      </w:r>
      <w:r>
        <w:rPr>
          <w:rFonts w:hint="eastAsia" w:ascii="仿宋" w:hAnsi="仿宋" w:eastAsia="仿宋" w:cs="仿宋"/>
          <w:color w:val="auto"/>
          <w:kern w:val="0"/>
          <w:sz w:val="24"/>
          <w:szCs w:val="24"/>
          <w:highlight w:val="none"/>
          <w:lang w:val="en-US" w:eastAsia="zh-CN" w:bidi="ar"/>
        </w:rPr>
        <w:t>采购人将在评标报告确定的中标候选人名单中按顺序确定中标人，中标候选人并列的，按照</w:t>
      </w:r>
      <w:r>
        <w:rPr>
          <w:rFonts w:hint="eastAsia" w:ascii="仿宋" w:hAnsi="仿宋" w:eastAsia="仿宋" w:cs="仿宋"/>
          <w:color w:val="auto"/>
          <w:sz w:val="24"/>
          <w:szCs w:val="24"/>
          <w:highlight w:val="none"/>
        </w:rPr>
        <w:t>“投标人须知前附表”</w:t>
      </w:r>
      <w:r>
        <w:rPr>
          <w:rFonts w:hint="eastAsia" w:ascii="仿宋" w:hAnsi="仿宋" w:eastAsia="仿宋" w:cs="仿宋"/>
          <w:color w:val="auto"/>
          <w:kern w:val="0"/>
          <w:sz w:val="24"/>
          <w:szCs w:val="24"/>
          <w:highlight w:val="none"/>
          <w:lang w:val="en-US" w:eastAsia="zh-CN" w:bidi="ar"/>
        </w:rPr>
        <w:t>确定中标人；招标文件未规定的，采取随机抽取的方式确定。采购人是否委托评标委员会直接确定中标人，见</w:t>
      </w:r>
      <w:r>
        <w:rPr>
          <w:rFonts w:hint="eastAsia" w:ascii="仿宋" w:hAnsi="仿宋" w:eastAsia="仿宋" w:cs="仿宋"/>
          <w:color w:val="auto"/>
          <w:sz w:val="24"/>
          <w:szCs w:val="24"/>
          <w:highlight w:val="none"/>
        </w:rPr>
        <w:t>“投标人须知前附表”</w:t>
      </w:r>
      <w:r>
        <w:rPr>
          <w:rFonts w:hint="eastAsia" w:ascii="仿宋" w:hAnsi="仿宋" w:eastAsia="仿宋" w:cs="仿宋"/>
          <w:color w:val="auto"/>
          <w:kern w:val="0"/>
          <w:sz w:val="24"/>
          <w:szCs w:val="24"/>
          <w:highlight w:val="none"/>
          <w:lang w:val="en-US" w:eastAsia="zh-CN" w:bidi="ar"/>
        </w:rPr>
        <w:t>。</w:t>
      </w:r>
    </w:p>
    <w:p w14:paraId="575A3E10">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仿宋" w:hAnsi="仿宋" w:eastAsia="仿宋" w:cs="仿宋"/>
          <w:b/>
          <w:bCs/>
          <w:color w:val="auto"/>
          <w:kern w:val="2"/>
          <w:sz w:val="24"/>
          <w:szCs w:val="24"/>
          <w:highlight w:val="none"/>
          <w:lang w:val="en-US" w:eastAsia="zh-CN" w:bidi="ar-SA"/>
        </w:rPr>
      </w:pPr>
      <w:bookmarkStart w:id="314" w:name="_Toc163492861"/>
      <w:bookmarkStart w:id="315" w:name="_Toc16181"/>
      <w:bookmarkStart w:id="316" w:name="_Toc6680"/>
      <w:bookmarkStart w:id="317" w:name="_Toc140132794"/>
      <w:bookmarkStart w:id="318" w:name="_Toc15642"/>
      <w:r>
        <w:rPr>
          <w:rFonts w:hint="eastAsia" w:ascii="仿宋" w:hAnsi="仿宋" w:eastAsia="仿宋" w:cs="仿宋"/>
          <w:b/>
          <w:bCs/>
          <w:color w:val="auto"/>
          <w:kern w:val="2"/>
          <w:sz w:val="24"/>
          <w:szCs w:val="24"/>
          <w:highlight w:val="none"/>
          <w:lang w:val="en-US" w:eastAsia="zh-CN" w:bidi="ar-SA"/>
        </w:rPr>
        <w:t>31.中标结果公告</w:t>
      </w:r>
      <w:bookmarkEnd w:id="314"/>
      <w:bookmarkEnd w:id="315"/>
      <w:bookmarkEnd w:id="316"/>
      <w:bookmarkEnd w:id="317"/>
      <w:bookmarkEnd w:id="318"/>
    </w:p>
    <w:p w14:paraId="15669E76">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3</w:t>
      </w:r>
      <w:r>
        <w:rPr>
          <w:rFonts w:hint="eastAsia" w:ascii="仿宋" w:hAnsi="仿宋" w:eastAsia="仿宋" w:cs="仿宋"/>
          <w:bCs/>
          <w:color w:val="auto"/>
          <w:sz w:val="24"/>
          <w:szCs w:val="24"/>
          <w:highlight w:val="none"/>
          <w:lang w:val="en-US" w:eastAsia="zh-CN"/>
        </w:rPr>
        <w:t>1</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采购人或</w:t>
      </w:r>
      <w:r>
        <w:rPr>
          <w:rFonts w:hint="eastAsia" w:ascii="仿宋" w:hAnsi="仿宋" w:eastAsia="仿宋" w:cs="仿宋"/>
          <w:color w:val="auto"/>
          <w:sz w:val="24"/>
          <w:szCs w:val="24"/>
          <w:highlight w:val="none"/>
        </w:rPr>
        <w:t>采购代理机构应当自中标人确定之日起2个工作日内，在</w:t>
      </w:r>
      <w:r>
        <w:rPr>
          <w:rFonts w:hint="eastAsia" w:ascii="仿宋" w:hAnsi="仿宋" w:eastAsia="仿宋" w:cs="仿宋"/>
          <w:color w:val="auto"/>
          <w:sz w:val="24"/>
          <w:szCs w:val="24"/>
          <w:highlight w:val="none"/>
          <w:lang w:val="en-US" w:eastAsia="zh-CN"/>
        </w:rPr>
        <w:t>发布招标公告的同一</w:t>
      </w:r>
      <w:r>
        <w:rPr>
          <w:rFonts w:hint="eastAsia" w:ascii="仿宋" w:hAnsi="仿宋" w:eastAsia="仿宋" w:cs="仿宋"/>
          <w:color w:val="auto"/>
          <w:sz w:val="24"/>
          <w:szCs w:val="24"/>
          <w:highlight w:val="none"/>
        </w:rPr>
        <w:t>媒体上发布中标结果公告，</w:t>
      </w:r>
      <w:r>
        <w:rPr>
          <w:rFonts w:hint="eastAsia" w:ascii="仿宋" w:hAnsi="仿宋" w:eastAsia="仿宋" w:cs="仿宋"/>
          <w:color w:val="auto"/>
          <w:sz w:val="24"/>
          <w:szCs w:val="24"/>
          <w:highlight w:val="none"/>
          <w:lang w:val="en-US" w:eastAsia="zh-CN"/>
        </w:rPr>
        <w:t>同时向中标人</w:t>
      </w:r>
      <w:r>
        <w:rPr>
          <w:rFonts w:hint="eastAsia" w:ascii="仿宋" w:hAnsi="仿宋" w:eastAsia="仿宋" w:cs="仿宋"/>
          <w:color w:val="auto"/>
          <w:sz w:val="24"/>
          <w:szCs w:val="24"/>
          <w:highlight w:val="none"/>
        </w:rPr>
        <w:t>发出中标通知书</w:t>
      </w:r>
      <w:r>
        <w:rPr>
          <w:rFonts w:hint="eastAsia" w:ascii="仿宋" w:hAnsi="仿宋" w:eastAsia="仿宋" w:cs="仿宋"/>
          <w:color w:val="auto"/>
          <w:sz w:val="24"/>
          <w:szCs w:val="24"/>
          <w:highlight w:val="none"/>
          <w:lang w:eastAsia="zh-CN"/>
        </w:rPr>
        <w:t>。招标文件随中标结果同时公告，</w:t>
      </w:r>
      <w:r>
        <w:rPr>
          <w:rFonts w:hint="eastAsia" w:ascii="仿宋" w:hAnsi="仿宋" w:eastAsia="仿宋" w:cs="仿宋"/>
          <w:color w:val="auto"/>
          <w:sz w:val="24"/>
          <w:szCs w:val="24"/>
          <w:highlight w:val="none"/>
        </w:rPr>
        <w:t>中标结果公告期限为1个工作日。</w:t>
      </w:r>
    </w:p>
    <w:p w14:paraId="3500A95F">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3</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eastAsia="zh-CN"/>
        </w:rPr>
        <w:t>中标供应商为中小企业</w:t>
      </w:r>
      <w:r>
        <w:rPr>
          <w:rFonts w:hint="eastAsia" w:ascii="仿宋" w:hAnsi="仿宋" w:eastAsia="仿宋" w:cs="仿宋"/>
          <w:bCs/>
          <w:color w:val="auto"/>
          <w:sz w:val="24"/>
          <w:szCs w:val="24"/>
          <w:highlight w:val="none"/>
          <w:lang w:val="en-US" w:eastAsia="zh-CN"/>
        </w:rPr>
        <w:t>享受中小企业扶持政策的</w:t>
      </w:r>
      <w:r>
        <w:rPr>
          <w:rFonts w:hint="eastAsia" w:ascii="仿宋" w:hAnsi="仿宋" w:eastAsia="仿宋" w:cs="仿宋"/>
          <w:bCs/>
          <w:color w:val="auto"/>
          <w:sz w:val="24"/>
          <w:szCs w:val="24"/>
          <w:highlight w:val="none"/>
          <w:lang w:eastAsia="zh-CN"/>
        </w:rPr>
        <w:t>，其“中小企业声明函”随中标结果同时公告。中标供应商为残疾人福利性单位的，其“残疾人福利性单位声明函”随中标结果同时公告。</w:t>
      </w:r>
    </w:p>
    <w:p w14:paraId="618B62F5">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31.3</w:t>
      </w:r>
      <w:r>
        <w:rPr>
          <w:rFonts w:hint="eastAsia" w:ascii="仿宋" w:hAnsi="仿宋" w:eastAsia="仿宋" w:cs="仿宋"/>
          <w:color w:val="auto"/>
          <w:sz w:val="24"/>
          <w:szCs w:val="24"/>
          <w:highlight w:val="none"/>
        </w:rPr>
        <w:t>项目采购采用最低评标价法的，公告中标结果时同时公告因落实政府采购政策等原因进行价格扣除后中标供应商的评审报价；项目采购采用综合评分法的，公告中标结果时同时公告中标供应商的评审总得分。</w:t>
      </w:r>
    </w:p>
    <w:p w14:paraId="1BF92CFC">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仿宋" w:hAnsi="仿宋" w:eastAsia="仿宋" w:cs="仿宋"/>
          <w:b/>
          <w:bCs/>
          <w:color w:val="auto"/>
          <w:kern w:val="2"/>
          <w:sz w:val="24"/>
          <w:szCs w:val="24"/>
          <w:highlight w:val="none"/>
          <w:lang w:val="en-US" w:eastAsia="zh-CN" w:bidi="ar-SA"/>
        </w:rPr>
      </w:pPr>
      <w:bookmarkStart w:id="319" w:name="_Toc140132795"/>
      <w:bookmarkStart w:id="320" w:name="_Toc6353"/>
      <w:bookmarkStart w:id="321" w:name="_Toc6163"/>
      <w:bookmarkStart w:id="322" w:name="_Toc19467"/>
      <w:bookmarkStart w:id="323" w:name="_Toc163492862"/>
      <w:r>
        <w:rPr>
          <w:rFonts w:hint="eastAsia" w:ascii="仿宋" w:hAnsi="仿宋" w:eastAsia="仿宋" w:cs="仿宋"/>
          <w:b/>
          <w:bCs/>
          <w:color w:val="auto"/>
          <w:kern w:val="2"/>
          <w:sz w:val="24"/>
          <w:szCs w:val="24"/>
          <w:highlight w:val="none"/>
          <w:lang w:val="en-US" w:eastAsia="zh-CN" w:bidi="ar-SA"/>
        </w:rPr>
        <w:t>32.中标通知</w:t>
      </w:r>
      <w:bookmarkEnd w:id="319"/>
      <w:bookmarkEnd w:id="320"/>
      <w:bookmarkEnd w:id="321"/>
      <w:bookmarkEnd w:id="322"/>
      <w:bookmarkEnd w:id="323"/>
    </w:p>
    <w:p w14:paraId="74E5C82C">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3</w:t>
      </w:r>
      <w:r>
        <w:rPr>
          <w:rFonts w:hint="eastAsia" w:ascii="仿宋" w:hAnsi="仿宋" w:eastAsia="仿宋" w:cs="仿宋"/>
          <w:bCs/>
          <w:color w:val="auto"/>
          <w:sz w:val="24"/>
          <w:szCs w:val="24"/>
          <w:highlight w:val="none"/>
          <w:lang w:val="en-US" w:eastAsia="zh-CN"/>
        </w:rPr>
        <w:t>2</w:t>
      </w:r>
      <w:r>
        <w:rPr>
          <w:rFonts w:hint="eastAsia" w:ascii="仿宋" w:hAnsi="仿宋" w:eastAsia="仿宋" w:cs="仿宋"/>
          <w:color w:val="auto"/>
          <w:sz w:val="24"/>
          <w:szCs w:val="24"/>
          <w:highlight w:val="none"/>
        </w:rPr>
        <w:t>.1采购人和采购代理机构以书面形式向中标人发出中标通知书，同时将招标结果通知未中标的投标人。对未通过资格审查的投标人，应当告知其未通过的原因；采用综合评分法评审的，还应当告知未中标人本人的评审得分与排序。</w:t>
      </w:r>
    </w:p>
    <w:p w14:paraId="4EDF9150">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32.2中标通知书对采购人和中标供应商均具有法律效力。中标通知书发出后，采购人改变中标结果的，或者中标供应商放弃中标项目的，应当依法承担法律责任。</w:t>
      </w:r>
    </w:p>
    <w:p w14:paraId="56933005">
      <w:pPr>
        <w:pStyle w:val="4"/>
        <w:keepNext w:val="0"/>
        <w:keepLines w:val="0"/>
        <w:pageBreakBefore w:val="0"/>
        <w:widowControl w:val="0"/>
        <w:numPr>
          <w:ilvl w:val="0"/>
          <w:numId w:val="0"/>
        </w:numPr>
        <w:kinsoku/>
        <w:wordWrap/>
        <w:overflowPunct/>
        <w:topLinePunct w:val="0"/>
        <w:autoSpaceDE/>
        <w:autoSpaceDN/>
        <w:bidi w:val="0"/>
        <w:adjustRightInd/>
        <w:snapToGrid/>
        <w:spacing w:before="120" w:after="120" w:line="440" w:lineRule="exact"/>
        <w:ind w:left="420" w:leftChars="0" w:hanging="420" w:firstLineChars="0"/>
        <w:textAlignment w:val="auto"/>
        <w:rPr>
          <w:rFonts w:hint="eastAsia" w:ascii="仿宋" w:hAnsi="仿宋" w:eastAsia="仿宋" w:cs="仿宋"/>
          <w:b/>
          <w:bCs/>
          <w:color w:val="auto"/>
          <w:kern w:val="2"/>
          <w:sz w:val="24"/>
          <w:szCs w:val="24"/>
          <w:highlight w:val="none"/>
          <w:lang w:val="en-US" w:eastAsia="zh-CN" w:bidi="ar-SA"/>
        </w:rPr>
      </w:pPr>
      <w:bookmarkStart w:id="324" w:name="_Toc812"/>
      <w:bookmarkStart w:id="325" w:name="_Toc27187"/>
      <w:bookmarkStart w:id="326" w:name="_Toc163492863"/>
      <w:bookmarkStart w:id="327" w:name="_Toc30315"/>
      <w:r>
        <w:rPr>
          <w:rFonts w:hint="eastAsia" w:ascii="仿宋" w:hAnsi="仿宋" w:eastAsia="仿宋" w:cs="仿宋"/>
          <w:b/>
          <w:bCs/>
          <w:color w:val="auto"/>
          <w:kern w:val="2"/>
          <w:sz w:val="24"/>
          <w:szCs w:val="24"/>
          <w:highlight w:val="none"/>
          <w:lang w:val="en-US" w:eastAsia="zh-CN" w:bidi="ar-SA"/>
        </w:rPr>
        <w:t>（九）签订</w:t>
      </w:r>
      <w:bookmarkStart w:id="328" w:name="_Toc140132796"/>
      <w:bookmarkStart w:id="329" w:name="_Toc155185880"/>
      <w:r>
        <w:rPr>
          <w:rFonts w:hint="eastAsia" w:ascii="仿宋" w:hAnsi="仿宋" w:eastAsia="仿宋" w:cs="仿宋"/>
          <w:b/>
          <w:bCs/>
          <w:color w:val="auto"/>
          <w:kern w:val="2"/>
          <w:sz w:val="24"/>
          <w:szCs w:val="24"/>
          <w:highlight w:val="none"/>
          <w:lang w:val="en-US" w:eastAsia="zh-CN" w:bidi="ar-SA"/>
        </w:rPr>
        <w:t>合同</w:t>
      </w:r>
      <w:bookmarkEnd w:id="324"/>
      <w:bookmarkEnd w:id="325"/>
      <w:bookmarkEnd w:id="326"/>
      <w:bookmarkEnd w:id="327"/>
      <w:bookmarkEnd w:id="328"/>
      <w:bookmarkEnd w:id="329"/>
    </w:p>
    <w:p w14:paraId="6B6E47F7">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仿宋" w:hAnsi="仿宋" w:eastAsia="仿宋" w:cs="仿宋"/>
          <w:b/>
          <w:bCs/>
          <w:color w:val="auto"/>
          <w:kern w:val="2"/>
          <w:sz w:val="24"/>
          <w:szCs w:val="24"/>
          <w:highlight w:val="none"/>
          <w:lang w:val="en-US" w:eastAsia="zh-CN" w:bidi="ar-SA"/>
        </w:rPr>
      </w:pPr>
      <w:bookmarkStart w:id="330" w:name="_Toc3030"/>
      <w:bookmarkStart w:id="331" w:name="_Toc140132797"/>
      <w:bookmarkStart w:id="332" w:name="_Toc21817"/>
      <w:bookmarkStart w:id="333" w:name="_Toc163492864"/>
      <w:bookmarkStart w:id="334" w:name="_Toc1439"/>
      <w:r>
        <w:rPr>
          <w:rFonts w:hint="eastAsia" w:ascii="仿宋" w:hAnsi="仿宋" w:eastAsia="仿宋" w:cs="仿宋"/>
          <w:b/>
          <w:bCs/>
          <w:color w:val="auto"/>
          <w:kern w:val="2"/>
          <w:sz w:val="24"/>
          <w:szCs w:val="24"/>
          <w:highlight w:val="none"/>
          <w:lang w:val="en-US" w:eastAsia="zh-CN" w:bidi="ar-SA"/>
        </w:rPr>
        <w:t>33.履约保证金</w:t>
      </w:r>
      <w:bookmarkEnd w:id="330"/>
      <w:bookmarkEnd w:id="331"/>
      <w:bookmarkEnd w:id="332"/>
      <w:bookmarkEnd w:id="333"/>
      <w:bookmarkEnd w:id="334"/>
    </w:p>
    <w:p w14:paraId="3D3779EB">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3</w:t>
      </w:r>
      <w:r>
        <w:rPr>
          <w:rFonts w:hint="eastAsia" w:ascii="仿宋" w:hAnsi="仿宋" w:eastAsia="仿宋" w:cs="仿宋"/>
          <w:bCs/>
          <w:color w:val="auto"/>
          <w:sz w:val="24"/>
          <w:szCs w:val="24"/>
          <w:highlight w:val="none"/>
          <w:lang w:val="en-US" w:eastAsia="zh-CN"/>
        </w:rPr>
        <w:t>3</w:t>
      </w:r>
      <w:r>
        <w:rPr>
          <w:rFonts w:hint="eastAsia" w:ascii="仿宋" w:hAnsi="仿宋" w:eastAsia="仿宋" w:cs="仿宋"/>
          <w:color w:val="auto"/>
          <w:sz w:val="24"/>
          <w:szCs w:val="24"/>
          <w:highlight w:val="none"/>
        </w:rPr>
        <w:t>.1在签订合同前，中标人应按“投标人须知前附表”规定的金额、担保形式和采购人认可的履约担保格式向采购人提交履约保证金。</w:t>
      </w:r>
    </w:p>
    <w:p w14:paraId="55498E21">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3</w:t>
      </w:r>
      <w:r>
        <w:rPr>
          <w:rFonts w:hint="eastAsia" w:ascii="仿宋" w:hAnsi="仿宋" w:eastAsia="仿宋" w:cs="仿宋"/>
          <w:bCs/>
          <w:color w:val="auto"/>
          <w:sz w:val="24"/>
          <w:szCs w:val="24"/>
          <w:highlight w:val="none"/>
          <w:lang w:val="en-US" w:eastAsia="zh-CN"/>
        </w:rPr>
        <w:t>3</w:t>
      </w:r>
      <w:r>
        <w:rPr>
          <w:rFonts w:hint="eastAsia" w:ascii="仿宋" w:hAnsi="仿宋" w:eastAsia="仿宋" w:cs="仿宋"/>
          <w:color w:val="auto"/>
          <w:sz w:val="24"/>
          <w:szCs w:val="24"/>
          <w:highlight w:val="none"/>
        </w:rPr>
        <w:t>.2中标人不能按本章第3</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.1项要求提交履约担保的，视为放弃中标，给采购人造成损失的，中标人还应当承担民事责任。</w:t>
      </w:r>
    </w:p>
    <w:p w14:paraId="635B5174">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仿宋" w:hAnsi="仿宋" w:eastAsia="仿宋" w:cs="仿宋"/>
          <w:b/>
          <w:bCs/>
          <w:color w:val="auto"/>
          <w:kern w:val="2"/>
          <w:sz w:val="24"/>
          <w:szCs w:val="24"/>
          <w:highlight w:val="none"/>
          <w:lang w:val="en-US" w:eastAsia="zh-CN" w:bidi="ar-SA"/>
        </w:rPr>
      </w:pPr>
      <w:bookmarkStart w:id="335" w:name="_Toc10817"/>
      <w:bookmarkStart w:id="336" w:name="_Toc140132798"/>
      <w:bookmarkStart w:id="337" w:name="_Toc163492865"/>
      <w:bookmarkStart w:id="338" w:name="_Toc1975"/>
      <w:bookmarkStart w:id="339" w:name="_Toc12603"/>
      <w:r>
        <w:rPr>
          <w:rFonts w:hint="eastAsia" w:ascii="仿宋" w:hAnsi="仿宋" w:eastAsia="仿宋" w:cs="仿宋"/>
          <w:b/>
          <w:bCs/>
          <w:color w:val="auto"/>
          <w:kern w:val="2"/>
          <w:sz w:val="24"/>
          <w:szCs w:val="24"/>
          <w:highlight w:val="none"/>
          <w:lang w:val="en-US" w:eastAsia="zh-CN" w:bidi="ar-SA"/>
        </w:rPr>
        <w:t>34.签订合同</w:t>
      </w:r>
      <w:bookmarkEnd w:id="335"/>
      <w:bookmarkEnd w:id="336"/>
      <w:bookmarkEnd w:id="337"/>
      <w:bookmarkEnd w:id="338"/>
      <w:bookmarkEnd w:id="339"/>
    </w:p>
    <w:p w14:paraId="43504379">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3</w:t>
      </w:r>
      <w:r>
        <w:rPr>
          <w:rFonts w:hint="eastAsia" w:ascii="仿宋" w:hAnsi="仿宋" w:eastAsia="仿宋" w:cs="仿宋"/>
          <w:bCs/>
          <w:color w:val="auto"/>
          <w:sz w:val="24"/>
          <w:szCs w:val="24"/>
          <w:highlight w:val="none"/>
          <w:lang w:val="en-US" w:eastAsia="zh-CN"/>
        </w:rPr>
        <w:t>4</w:t>
      </w:r>
      <w:r>
        <w:rPr>
          <w:rFonts w:hint="eastAsia" w:ascii="仿宋" w:hAnsi="仿宋" w:eastAsia="仿宋" w:cs="仿宋"/>
          <w:color w:val="auto"/>
          <w:sz w:val="24"/>
          <w:szCs w:val="24"/>
          <w:highlight w:val="none"/>
        </w:rPr>
        <w:t>.1采购人和中标人应当自中标通知书发出之日起</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天内，根据招标文件和中标人的投标文件订立书面合同。采购人因不可抗力原因迟延签订合同的，应当自不可抗力事由消除之日起7日内完成合同签订事宜。所签订的合同不得对招标文件和中标人投标文件作实质性修改。中标人无正当理由拒签合同，给采购人造成损失的，中标人还应当承担民事责任。</w:t>
      </w:r>
    </w:p>
    <w:p w14:paraId="5D9E10AF">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34.2中标人拒绝与采购人签订合同的，采购人可以按照评标报告推荐的中标候选人名单排序，确定下一候选人为中标人，也可以重新开展政府采购活动。</w:t>
      </w:r>
    </w:p>
    <w:p w14:paraId="64475E3A">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3</w:t>
      </w:r>
      <w:r>
        <w:rPr>
          <w:rFonts w:hint="eastAsia" w:ascii="仿宋" w:hAnsi="仿宋" w:eastAsia="仿宋" w:cs="仿宋"/>
          <w:bCs/>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采购人和中标人不得向对方提出任何不合理的要求，作为签订合同的条件，双方不得私下订立背离合同实质性内容的协议。</w:t>
      </w:r>
    </w:p>
    <w:p w14:paraId="5521C3B0">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34.4联合体中标的，联合体各方应当共同与采购人签订合同，就采购合同约定的事项向采购人承担连带责任。</w:t>
      </w:r>
    </w:p>
    <w:p w14:paraId="614B29E1">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34.5本项目的非主体、非关键性工作是否允许分包，见“投标人须知前附表”。采购人允许采用分包方式履行合同的，中标人可以依法在中标后将中标项目的非主体、非关键性工作采取分包方式履行合同。政府采购合同分包履行的，应当在投标文件中载明分包承担主体，分包承担主体应当具备相应资质条件且不得再次分包，否则</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color w:val="auto"/>
          <w:sz w:val="24"/>
          <w:szCs w:val="24"/>
          <w:highlight w:val="none"/>
          <w:lang w:val="en-US" w:eastAsia="zh-CN"/>
        </w:rPr>
        <w:t>。中标人就采购项目和分包项目向采购人负责，分包供应商就分包项目承担责任。</w:t>
      </w:r>
      <w:r>
        <w:rPr>
          <w:rFonts w:hint="eastAsia" w:ascii="仿宋" w:hAnsi="仿宋" w:eastAsia="仿宋" w:cs="仿宋"/>
          <w:b/>
          <w:bCs/>
          <w:color w:val="auto"/>
          <w:sz w:val="24"/>
          <w:szCs w:val="24"/>
          <w:highlight w:val="none"/>
          <w:lang w:val="en-US" w:eastAsia="zh-CN"/>
        </w:rPr>
        <w:t>政府采购合同不能转包。</w:t>
      </w:r>
    </w:p>
    <w:p w14:paraId="6BDB9935">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3</w:t>
      </w:r>
      <w:r>
        <w:rPr>
          <w:rFonts w:hint="eastAsia" w:ascii="仿宋" w:hAnsi="仿宋" w:eastAsia="仿宋" w:cs="仿宋"/>
          <w:bCs/>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采购合同履行中，采购人需追加与合同标的相同的</w:t>
      </w:r>
      <w:r>
        <w:rPr>
          <w:rFonts w:hint="eastAsia" w:ascii="仿宋" w:hAnsi="仿宋" w:eastAsia="仿宋" w:cs="仿宋"/>
          <w:color w:val="auto"/>
          <w:sz w:val="24"/>
          <w:szCs w:val="24"/>
          <w:highlight w:val="none"/>
          <w:lang w:val="en-US" w:eastAsia="zh-CN"/>
        </w:rPr>
        <w:t>货物、工程或者服务</w:t>
      </w:r>
      <w:r>
        <w:rPr>
          <w:rFonts w:hint="eastAsia" w:ascii="仿宋" w:hAnsi="仿宋" w:eastAsia="仿宋" w:cs="仿宋"/>
          <w:color w:val="auto"/>
          <w:sz w:val="24"/>
          <w:szCs w:val="24"/>
          <w:highlight w:val="none"/>
        </w:rPr>
        <w:t>的，在不改变合同其他条款的前提下，可以与中标人协商签订补充合同，但所有补充合同的采购金额不得超过原合同采购金额的百分之十。</w:t>
      </w:r>
    </w:p>
    <w:p w14:paraId="5261B0BE">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34.7采购人应于签订合同之日起2个工作日内在政采云平台备案公示。</w:t>
      </w:r>
    </w:p>
    <w:p w14:paraId="59B195B9">
      <w:pPr>
        <w:pStyle w:val="4"/>
        <w:keepNext w:val="0"/>
        <w:keepLines w:val="0"/>
        <w:pageBreakBefore w:val="0"/>
        <w:widowControl w:val="0"/>
        <w:numPr>
          <w:ilvl w:val="0"/>
          <w:numId w:val="0"/>
        </w:numPr>
        <w:kinsoku/>
        <w:wordWrap/>
        <w:overflowPunct/>
        <w:topLinePunct w:val="0"/>
        <w:autoSpaceDE/>
        <w:autoSpaceDN/>
        <w:bidi w:val="0"/>
        <w:adjustRightInd/>
        <w:snapToGrid/>
        <w:spacing w:before="120" w:after="120" w:line="440" w:lineRule="exact"/>
        <w:ind w:left="420" w:leftChars="0" w:hanging="420" w:firstLineChars="0"/>
        <w:textAlignment w:val="auto"/>
        <w:rPr>
          <w:rFonts w:hint="eastAsia" w:ascii="仿宋" w:hAnsi="仿宋" w:eastAsia="仿宋" w:cs="仿宋"/>
          <w:b/>
          <w:bCs/>
          <w:color w:val="auto"/>
          <w:kern w:val="2"/>
          <w:sz w:val="24"/>
          <w:szCs w:val="24"/>
          <w:highlight w:val="none"/>
          <w:lang w:val="en-US" w:eastAsia="zh-CN" w:bidi="ar-SA"/>
        </w:rPr>
      </w:pPr>
      <w:bookmarkStart w:id="340" w:name="_Toc163492866"/>
      <w:bookmarkStart w:id="341" w:name="_Toc3645"/>
      <w:bookmarkStart w:id="342" w:name="_Toc14069"/>
      <w:bookmarkStart w:id="343" w:name="_Toc140132799"/>
      <w:bookmarkStart w:id="344" w:name="_Toc155185881"/>
      <w:bookmarkStart w:id="345" w:name="_Toc22067"/>
      <w:r>
        <w:rPr>
          <w:rFonts w:hint="eastAsia" w:ascii="仿宋" w:hAnsi="仿宋" w:eastAsia="仿宋" w:cs="仿宋"/>
          <w:b/>
          <w:bCs/>
          <w:color w:val="auto"/>
          <w:kern w:val="2"/>
          <w:sz w:val="24"/>
          <w:szCs w:val="24"/>
          <w:highlight w:val="none"/>
          <w:lang w:val="en-US" w:eastAsia="zh-CN" w:bidi="ar-SA"/>
        </w:rPr>
        <w:t>（十）质疑和投诉</w:t>
      </w:r>
      <w:bookmarkEnd w:id="340"/>
      <w:bookmarkEnd w:id="341"/>
      <w:bookmarkEnd w:id="342"/>
      <w:bookmarkEnd w:id="343"/>
      <w:bookmarkEnd w:id="344"/>
      <w:bookmarkEnd w:id="345"/>
    </w:p>
    <w:p w14:paraId="0A7D6C68">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仿宋" w:hAnsi="仿宋" w:eastAsia="仿宋" w:cs="仿宋"/>
          <w:b/>
          <w:bCs/>
          <w:color w:val="auto"/>
          <w:kern w:val="2"/>
          <w:sz w:val="24"/>
          <w:szCs w:val="24"/>
          <w:highlight w:val="none"/>
          <w:lang w:val="en-US" w:eastAsia="zh-CN" w:bidi="ar-SA"/>
        </w:rPr>
      </w:pPr>
      <w:bookmarkStart w:id="346" w:name="_Toc163492867"/>
      <w:bookmarkStart w:id="347" w:name="_Toc140132800"/>
      <w:bookmarkStart w:id="348" w:name="_Toc6362"/>
      <w:bookmarkStart w:id="349" w:name="_Toc17195"/>
      <w:bookmarkStart w:id="350" w:name="_Toc5521"/>
      <w:r>
        <w:rPr>
          <w:rFonts w:hint="eastAsia" w:ascii="仿宋" w:hAnsi="仿宋" w:eastAsia="仿宋" w:cs="仿宋"/>
          <w:b/>
          <w:bCs/>
          <w:color w:val="auto"/>
          <w:kern w:val="2"/>
          <w:sz w:val="24"/>
          <w:szCs w:val="24"/>
          <w:highlight w:val="none"/>
          <w:lang w:val="en-US" w:eastAsia="zh-CN" w:bidi="ar-SA"/>
        </w:rPr>
        <w:t>35.质疑</w:t>
      </w:r>
      <w:bookmarkEnd w:id="346"/>
      <w:bookmarkEnd w:id="347"/>
      <w:bookmarkEnd w:id="348"/>
      <w:bookmarkEnd w:id="349"/>
      <w:bookmarkEnd w:id="350"/>
    </w:p>
    <w:p w14:paraId="19A1937B">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.1供应商认为采购文件、采购过程、中标结果使自己的权益受到损害的，可以在知道或者应知其权益受到损害之日起7个工作日内，以书面形式向采购人、采购代理机构提出质疑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详见“投标人须知前附表”</w:t>
      </w:r>
      <w:r>
        <w:rPr>
          <w:rFonts w:hint="eastAsia" w:ascii="仿宋" w:hAnsi="仿宋" w:eastAsia="仿宋" w:cs="仿宋"/>
          <w:color w:val="auto"/>
          <w:sz w:val="24"/>
          <w:szCs w:val="24"/>
          <w:highlight w:val="none"/>
        </w:rPr>
        <w:t>。供应商在法定质疑期内一次性提出针对同一采购程序环节的质疑。</w:t>
      </w:r>
    </w:p>
    <w:p w14:paraId="5BF0B516">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.2提出质疑的供应商（以下简称质疑供应商）应当是参与所质疑项目采购活动的供应商。</w:t>
      </w:r>
    </w:p>
    <w:p w14:paraId="408D6280">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35.3</w:t>
      </w:r>
      <w:r>
        <w:rPr>
          <w:rFonts w:hint="eastAsia" w:ascii="仿宋" w:hAnsi="仿宋" w:eastAsia="仿宋" w:cs="仿宋"/>
          <w:color w:val="auto"/>
          <w:sz w:val="24"/>
          <w:szCs w:val="24"/>
          <w:highlight w:val="none"/>
        </w:rPr>
        <w:t>潜在供应商已依法获取其可质疑的采购文件的，可以对该文件提出质疑。对采购文件提出质疑的，应当在获取采购文件或者采购文件公告期限届满之日起7个工作日内提出。</w:t>
      </w:r>
    </w:p>
    <w:p w14:paraId="4101A0A4">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35.4</w:t>
      </w:r>
      <w:r>
        <w:rPr>
          <w:rFonts w:hint="eastAsia" w:ascii="仿宋" w:hAnsi="仿宋" w:eastAsia="仿宋" w:cs="仿宋"/>
          <w:color w:val="auto"/>
          <w:sz w:val="24"/>
          <w:szCs w:val="24"/>
          <w:highlight w:val="none"/>
        </w:rPr>
        <w:t>供应商提出质疑应当提交质疑函和必要的证明材料。质疑函应当包括下列内容：</w:t>
      </w:r>
    </w:p>
    <w:p w14:paraId="49EE80AF">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）供应商的姓名或者名称、地址、邮编、联系人及联系电话；</w:t>
      </w:r>
    </w:p>
    <w:p w14:paraId="6CC30F33">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）质疑项目的名称、</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编号</w:t>
      </w:r>
      <w:r>
        <w:rPr>
          <w:rFonts w:hint="eastAsia" w:ascii="仿宋" w:hAnsi="仿宋" w:eastAsia="仿宋" w:cs="仿宋"/>
          <w:color w:val="auto"/>
          <w:sz w:val="24"/>
          <w:highlight w:val="none"/>
          <w:lang w:val="en-US" w:eastAsia="zh-CN"/>
        </w:rPr>
        <w:t>/包号</w:t>
      </w:r>
      <w:r>
        <w:rPr>
          <w:rFonts w:hint="eastAsia" w:ascii="仿宋" w:hAnsi="仿宋" w:eastAsia="仿宋" w:cs="仿宋"/>
          <w:color w:val="auto"/>
          <w:sz w:val="24"/>
          <w:szCs w:val="24"/>
          <w:highlight w:val="none"/>
        </w:rPr>
        <w:t>；</w:t>
      </w:r>
    </w:p>
    <w:p w14:paraId="4F83464A">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）具体、明确的质疑事项和与质疑事项相关的请求；</w:t>
      </w:r>
    </w:p>
    <w:p w14:paraId="5951635B">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）事实依据；</w:t>
      </w:r>
    </w:p>
    <w:p w14:paraId="28395944">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）必要的法律依据；</w:t>
      </w:r>
    </w:p>
    <w:p w14:paraId="60A63705">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）提出质疑的日期。</w:t>
      </w:r>
    </w:p>
    <w:p w14:paraId="000A2F2E">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供应商为自然人的，应当由本人签字；供应商为法人或者其他组织的，应当由法定代表人、主要负责人，或者其授权代表签字或者盖章，并加盖公章。</w:t>
      </w:r>
    </w:p>
    <w:p w14:paraId="54BA0FD9">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.5质疑函不符合上述要求的，采购人或代理机构应书面告知具体事项，质疑人应当按要求进行修改或补充，并在质疑有效期限内提交。</w:t>
      </w:r>
    </w:p>
    <w:p w14:paraId="4B98D09C">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3</w:t>
      </w:r>
      <w:r>
        <w:rPr>
          <w:rFonts w:hint="eastAsia" w:ascii="仿宋" w:hAnsi="仿宋" w:eastAsia="仿宋" w:cs="仿宋"/>
          <w:snapToGrid w:val="0"/>
          <w:color w:val="auto"/>
          <w:sz w:val="24"/>
          <w:szCs w:val="24"/>
          <w:highlight w:val="none"/>
          <w:lang w:val="en-US" w:eastAsia="zh-CN"/>
        </w:rPr>
        <w:t>5</w:t>
      </w:r>
      <w:r>
        <w:rPr>
          <w:rFonts w:hint="eastAsia" w:ascii="仿宋" w:hAnsi="仿宋" w:eastAsia="仿宋" w:cs="仿宋"/>
          <w:snapToGrid w:val="0"/>
          <w:color w:val="auto"/>
          <w:sz w:val="24"/>
          <w:szCs w:val="24"/>
          <w:highlight w:val="none"/>
        </w:rPr>
        <w:t>.</w:t>
      </w:r>
      <w:r>
        <w:rPr>
          <w:rFonts w:hint="eastAsia" w:ascii="仿宋" w:hAnsi="仿宋" w:eastAsia="仿宋" w:cs="仿宋"/>
          <w:snapToGrid w:val="0"/>
          <w:color w:val="auto"/>
          <w:sz w:val="24"/>
          <w:szCs w:val="24"/>
          <w:highlight w:val="none"/>
          <w:lang w:val="en-US" w:eastAsia="zh-CN"/>
        </w:rPr>
        <w:t>6</w:t>
      </w:r>
      <w:r>
        <w:rPr>
          <w:rFonts w:hint="eastAsia" w:ascii="仿宋" w:hAnsi="仿宋" w:eastAsia="仿宋" w:cs="仿宋"/>
          <w:snapToGrid w:val="0"/>
          <w:color w:val="auto"/>
          <w:sz w:val="24"/>
          <w:szCs w:val="24"/>
          <w:highlight w:val="none"/>
        </w:rPr>
        <w:t>投标人进行虚假和恶意</w:t>
      </w:r>
      <w:r>
        <w:rPr>
          <w:rFonts w:hint="eastAsia" w:ascii="仿宋" w:hAnsi="仿宋" w:eastAsia="仿宋" w:cs="仿宋"/>
          <w:snapToGrid w:val="0"/>
          <w:color w:val="auto"/>
          <w:sz w:val="24"/>
          <w:szCs w:val="24"/>
          <w:highlight w:val="none"/>
          <w:lang w:val="en-US" w:eastAsia="zh-CN"/>
        </w:rPr>
        <w:t>质疑投诉</w:t>
      </w:r>
      <w:r>
        <w:rPr>
          <w:rFonts w:hint="eastAsia" w:ascii="仿宋" w:hAnsi="仿宋" w:eastAsia="仿宋" w:cs="仿宋"/>
          <w:snapToGrid w:val="0"/>
          <w:color w:val="auto"/>
          <w:sz w:val="24"/>
          <w:szCs w:val="24"/>
          <w:highlight w:val="none"/>
        </w:rPr>
        <w:t>的，采购代理机构将提请有关部门将其列入不良记录名单，在一至三年内禁止参加政府采购活动，并将处理决定在相关政府采购媒体上公布。</w:t>
      </w:r>
    </w:p>
    <w:p w14:paraId="13D33854">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lang w:val="en-US" w:eastAsia="zh-CN"/>
        </w:rPr>
        <w:t>35.7</w:t>
      </w:r>
      <w:r>
        <w:rPr>
          <w:rFonts w:hint="eastAsia" w:ascii="仿宋" w:hAnsi="仿宋" w:eastAsia="仿宋" w:cs="仿宋"/>
          <w:color w:val="auto"/>
          <w:sz w:val="24"/>
          <w:szCs w:val="24"/>
          <w:highlight w:val="none"/>
        </w:rPr>
        <w:t>质疑函</w:t>
      </w:r>
      <w:r>
        <w:rPr>
          <w:rFonts w:hint="eastAsia" w:ascii="仿宋" w:hAnsi="仿宋" w:eastAsia="仿宋" w:cs="仿宋"/>
          <w:color w:val="auto"/>
          <w:sz w:val="24"/>
          <w:szCs w:val="24"/>
          <w:highlight w:val="none"/>
          <w:lang w:val="en-US" w:eastAsia="zh-CN"/>
        </w:rPr>
        <w:t>应当使用中文，并采用财政部门制定的范本。</w:t>
      </w:r>
    </w:p>
    <w:p w14:paraId="6D435FC6">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仿宋" w:hAnsi="仿宋" w:eastAsia="仿宋" w:cs="仿宋"/>
          <w:b/>
          <w:bCs/>
          <w:color w:val="auto"/>
          <w:kern w:val="2"/>
          <w:sz w:val="24"/>
          <w:szCs w:val="24"/>
          <w:highlight w:val="none"/>
          <w:lang w:val="en-US" w:eastAsia="zh-CN" w:bidi="ar-SA"/>
        </w:rPr>
      </w:pPr>
      <w:bookmarkStart w:id="351" w:name="_Toc163492868"/>
      <w:bookmarkStart w:id="352" w:name="_Toc140132801"/>
      <w:bookmarkStart w:id="353" w:name="_Toc30183"/>
      <w:bookmarkStart w:id="354" w:name="_Toc7060"/>
      <w:bookmarkStart w:id="355" w:name="_Toc2308"/>
      <w:r>
        <w:rPr>
          <w:rFonts w:hint="eastAsia" w:ascii="仿宋" w:hAnsi="仿宋" w:eastAsia="仿宋" w:cs="仿宋"/>
          <w:b/>
          <w:bCs/>
          <w:color w:val="auto"/>
          <w:kern w:val="2"/>
          <w:sz w:val="24"/>
          <w:szCs w:val="24"/>
          <w:highlight w:val="none"/>
          <w:lang w:val="en-US" w:eastAsia="zh-CN" w:bidi="ar-SA"/>
        </w:rPr>
        <w:t>36.质疑答复</w:t>
      </w:r>
      <w:bookmarkEnd w:id="351"/>
      <w:bookmarkEnd w:id="352"/>
      <w:bookmarkEnd w:id="353"/>
      <w:bookmarkEnd w:id="354"/>
      <w:bookmarkEnd w:id="355"/>
    </w:p>
    <w:p w14:paraId="53C0DF6F">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bookmarkStart w:id="356" w:name="_Toc140132802"/>
      <w:bookmarkStart w:id="357" w:name="_Toc163492869"/>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.1采购人、采购代理机构不得拒收质疑供应商在法定质疑期内发出的质疑函，应当在收到质疑函后7个工作日内作出答复，并以书面形式通知质疑供应商和其他有关供应商。</w:t>
      </w:r>
    </w:p>
    <w:p w14:paraId="595BFBFD">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36.2供应商对评审过程、中标结果提出质疑的，采购人、采购代理机构可以组织原评标委员会协助答复质疑。</w:t>
      </w:r>
    </w:p>
    <w:p w14:paraId="3A7CA832">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质疑答复应当包括下列内容：</w:t>
      </w:r>
    </w:p>
    <w:p w14:paraId="21781A42">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eastAsia="zh-CN"/>
        </w:rPr>
        <w:t>）质疑供应商的姓名或者名称；</w:t>
      </w:r>
    </w:p>
    <w:p w14:paraId="730A3A63">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eastAsia="zh-CN"/>
        </w:rPr>
        <w:t>）收到质疑函的日期、质疑项目名称及</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lang w:val="zh-CN" w:eastAsia="zh-CN"/>
        </w:rPr>
        <w:t>编号</w:t>
      </w:r>
      <w:r>
        <w:rPr>
          <w:rFonts w:hint="eastAsia" w:ascii="仿宋" w:hAnsi="仿宋" w:eastAsia="仿宋" w:cs="仿宋"/>
          <w:color w:val="auto"/>
          <w:sz w:val="24"/>
          <w:highlight w:val="none"/>
          <w:lang w:val="en-US" w:eastAsia="zh-CN"/>
        </w:rPr>
        <w:t>/包号</w:t>
      </w:r>
      <w:r>
        <w:rPr>
          <w:rFonts w:hint="eastAsia" w:ascii="仿宋" w:hAnsi="仿宋" w:eastAsia="仿宋" w:cs="仿宋"/>
          <w:color w:val="auto"/>
          <w:sz w:val="24"/>
          <w:szCs w:val="24"/>
          <w:highlight w:val="none"/>
          <w:lang w:val="zh-CN" w:eastAsia="zh-CN"/>
        </w:rPr>
        <w:t>；</w:t>
      </w:r>
    </w:p>
    <w:p w14:paraId="43DCA3FA">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eastAsia="zh-CN"/>
        </w:rPr>
        <w:t>）质疑事项、质疑答复的具体内容、事实依据和法律依据；</w:t>
      </w:r>
    </w:p>
    <w:p w14:paraId="36098B3A">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zh-CN" w:eastAsia="zh-CN"/>
        </w:rPr>
        <w:t>）告知质疑供应商依法投诉的权利；</w:t>
      </w:r>
    </w:p>
    <w:p w14:paraId="3B0C8390">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eastAsia="zh-CN"/>
        </w:rPr>
        <w:t>）质疑答复人名称；</w:t>
      </w:r>
    </w:p>
    <w:p w14:paraId="5F4289B8">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val="zh-CN" w:eastAsia="zh-CN"/>
        </w:rPr>
        <w:t>）答复质疑的日期。</w:t>
      </w:r>
    </w:p>
    <w:p w14:paraId="6EF58464">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质疑答复的内容不得涉及商业秘密。</w:t>
      </w:r>
    </w:p>
    <w:p w14:paraId="744ACDF0">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仿宋" w:hAnsi="仿宋" w:eastAsia="仿宋" w:cs="仿宋"/>
          <w:b/>
          <w:bCs/>
          <w:color w:val="auto"/>
          <w:kern w:val="2"/>
          <w:sz w:val="24"/>
          <w:szCs w:val="24"/>
          <w:highlight w:val="none"/>
          <w:lang w:val="en-US" w:eastAsia="zh-CN" w:bidi="ar-SA"/>
        </w:rPr>
      </w:pPr>
      <w:bookmarkStart w:id="358" w:name="_Toc8648"/>
      <w:bookmarkStart w:id="359" w:name="_Toc4201"/>
      <w:bookmarkStart w:id="360" w:name="_Toc13241"/>
      <w:r>
        <w:rPr>
          <w:rFonts w:hint="eastAsia" w:ascii="仿宋" w:hAnsi="仿宋" w:eastAsia="仿宋" w:cs="仿宋"/>
          <w:b/>
          <w:bCs/>
          <w:color w:val="auto"/>
          <w:kern w:val="2"/>
          <w:sz w:val="24"/>
          <w:szCs w:val="24"/>
          <w:highlight w:val="none"/>
          <w:lang w:val="en-US" w:eastAsia="zh-CN" w:bidi="ar-SA"/>
        </w:rPr>
        <w:t>37.投诉</w:t>
      </w:r>
      <w:bookmarkEnd w:id="356"/>
      <w:bookmarkEnd w:id="357"/>
      <w:bookmarkEnd w:id="358"/>
      <w:bookmarkEnd w:id="359"/>
      <w:bookmarkEnd w:id="360"/>
    </w:p>
    <w:p w14:paraId="0E2F001B">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37.1</w:t>
      </w:r>
      <w:r>
        <w:rPr>
          <w:rFonts w:hint="eastAsia" w:ascii="仿宋" w:hAnsi="仿宋" w:eastAsia="仿宋" w:cs="仿宋"/>
          <w:color w:val="auto"/>
          <w:sz w:val="24"/>
          <w:szCs w:val="24"/>
          <w:highlight w:val="none"/>
        </w:rPr>
        <w:t>质疑供应商对采购人、采购代理机构的答复不满意，或者采购人、采购代理机构未在规定时间内作出答复的，可以在答复期满后15个工作日内向</w:t>
      </w:r>
      <w:r>
        <w:rPr>
          <w:rFonts w:hint="eastAsia" w:ascii="仿宋" w:hAnsi="仿宋" w:eastAsia="仿宋" w:cs="仿宋"/>
          <w:color w:val="auto"/>
          <w:sz w:val="24"/>
          <w:szCs w:val="24"/>
          <w:highlight w:val="none"/>
          <w:lang w:val="en-US" w:eastAsia="zh-CN"/>
        </w:rPr>
        <w:t>同级政府采购监督管理部门</w:t>
      </w:r>
      <w:r>
        <w:rPr>
          <w:rFonts w:hint="eastAsia" w:ascii="仿宋" w:hAnsi="仿宋" w:eastAsia="仿宋" w:cs="仿宋"/>
          <w:color w:val="auto"/>
          <w:sz w:val="24"/>
          <w:szCs w:val="24"/>
          <w:highlight w:val="none"/>
        </w:rPr>
        <w:t>提起投诉。</w:t>
      </w:r>
    </w:p>
    <w:p w14:paraId="74458291">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37.2</w:t>
      </w:r>
      <w:r>
        <w:rPr>
          <w:rFonts w:hint="eastAsia" w:ascii="仿宋" w:hAnsi="仿宋" w:eastAsia="仿宋" w:cs="仿宋"/>
          <w:color w:val="auto"/>
          <w:sz w:val="24"/>
          <w:szCs w:val="24"/>
          <w:highlight w:val="none"/>
        </w:rPr>
        <w:t>投诉人投诉时,应当提交投诉书和必要的证明材料，并按照被投诉采购人、采购代理机构（以下简称被投诉人）和与投诉事项有关的供应商数量提供投诉书的副本。投诉书应当包括下列内容：</w:t>
      </w:r>
    </w:p>
    <w:p w14:paraId="24DB6B41">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）投诉人和被投诉人的姓名或者名称、通讯地址、邮编、联系人及联系电话；</w:t>
      </w:r>
    </w:p>
    <w:p w14:paraId="7B98B72F">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）质疑和质疑答复情况说明及相关证明材料；</w:t>
      </w:r>
    </w:p>
    <w:p w14:paraId="4D263883">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）具体、明确的投诉事项和与投诉事项相关的投诉请求；</w:t>
      </w:r>
    </w:p>
    <w:p w14:paraId="02E14DED">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）事实依据；</w:t>
      </w:r>
    </w:p>
    <w:p w14:paraId="147CA8BD">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）法律依据；</w:t>
      </w:r>
    </w:p>
    <w:p w14:paraId="56AA5473">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）提起投诉的日期。</w:t>
      </w:r>
    </w:p>
    <w:p w14:paraId="3B25E33C">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投诉人为自然人的，应当由本人签字；投诉人为法人或者其他组织的，应当由法定代表人、主要负责人，或者其授权代表签字或者盖章，并加盖公章。</w:t>
      </w:r>
    </w:p>
    <w:p w14:paraId="74B9B8A9">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lang w:val="en-US" w:eastAsia="zh-CN"/>
        </w:rPr>
        <w:t>37.3</w:t>
      </w: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lang w:val="en-US" w:eastAsia="zh-CN"/>
        </w:rPr>
        <w:t>质疑、</w:t>
      </w:r>
      <w:r>
        <w:rPr>
          <w:rFonts w:hint="eastAsia" w:ascii="仿宋" w:hAnsi="仿宋" w:eastAsia="仿宋" w:cs="仿宋"/>
          <w:color w:val="auto"/>
          <w:sz w:val="24"/>
          <w:szCs w:val="24"/>
          <w:highlight w:val="none"/>
        </w:rPr>
        <w:t>投诉</w:t>
      </w:r>
      <w:r>
        <w:rPr>
          <w:rFonts w:hint="eastAsia" w:ascii="仿宋" w:hAnsi="仿宋" w:eastAsia="仿宋" w:cs="仿宋"/>
          <w:color w:val="auto"/>
          <w:sz w:val="24"/>
          <w:szCs w:val="24"/>
          <w:highlight w:val="none"/>
          <w:lang w:val="en-US" w:eastAsia="zh-CN"/>
        </w:rPr>
        <w:t>应当有明确的请求和必要的证明材料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供应商投诉的事项不得超出</w:t>
      </w:r>
      <w:r>
        <w:rPr>
          <w:rFonts w:hint="eastAsia" w:ascii="仿宋" w:hAnsi="仿宋" w:eastAsia="仿宋" w:cs="仿宋"/>
          <w:color w:val="auto"/>
          <w:sz w:val="24"/>
          <w:szCs w:val="24"/>
          <w:highlight w:val="none"/>
          <w:lang w:val="en-US" w:eastAsia="zh-CN"/>
        </w:rPr>
        <w:t>已</w:t>
      </w:r>
      <w:r>
        <w:rPr>
          <w:rFonts w:hint="eastAsia" w:ascii="仿宋" w:hAnsi="仿宋" w:eastAsia="仿宋" w:cs="仿宋"/>
          <w:color w:val="auto"/>
          <w:sz w:val="24"/>
          <w:szCs w:val="24"/>
          <w:highlight w:val="none"/>
        </w:rPr>
        <w:t>质疑事项的范围，但基于质疑答复内容提出的投诉事项除外</w:t>
      </w:r>
      <w:r>
        <w:rPr>
          <w:rFonts w:hint="eastAsia" w:ascii="仿宋" w:hAnsi="仿宋" w:eastAsia="仿宋" w:cs="仿宋"/>
          <w:bCs/>
          <w:color w:val="auto"/>
          <w:sz w:val="24"/>
          <w:szCs w:val="24"/>
          <w:highlight w:val="none"/>
        </w:rPr>
        <w:t>。</w:t>
      </w:r>
    </w:p>
    <w:p w14:paraId="358B9F13">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bCs/>
          <w:color w:val="auto"/>
          <w:sz w:val="24"/>
          <w:szCs w:val="24"/>
          <w:highlight w:val="none"/>
        </w:rPr>
      </w:pPr>
      <w:r>
        <w:rPr>
          <w:rFonts w:hint="eastAsia" w:ascii="仿宋" w:hAnsi="仿宋" w:eastAsia="仿宋" w:cs="仿宋"/>
          <w:snapToGrid w:val="0"/>
          <w:color w:val="auto"/>
          <w:sz w:val="24"/>
          <w:szCs w:val="24"/>
          <w:highlight w:val="none"/>
          <w:lang w:val="en-US" w:eastAsia="zh-CN"/>
        </w:rPr>
        <w:t>37.4</w:t>
      </w:r>
      <w:r>
        <w:rPr>
          <w:rFonts w:hint="eastAsia" w:ascii="仿宋" w:hAnsi="仿宋" w:eastAsia="仿宋" w:cs="仿宋"/>
          <w:color w:val="auto"/>
          <w:sz w:val="24"/>
          <w:szCs w:val="24"/>
          <w:highlight w:val="none"/>
          <w:lang w:val="en-US" w:eastAsia="zh-CN"/>
        </w:rPr>
        <w:t>投诉书应当使用中文，并采用财政部门制定的范本。</w:t>
      </w:r>
    </w:p>
    <w:p w14:paraId="40308FBD">
      <w:pPr>
        <w:pStyle w:val="4"/>
        <w:keepNext w:val="0"/>
        <w:keepLines w:val="0"/>
        <w:pageBreakBefore w:val="0"/>
        <w:widowControl w:val="0"/>
        <w:numPr>
          <w:ilvl w:val="0"/>
          <w:numId w:val="0"/>
        </w:numPr>
        <w:kinsoku/>
        <w:wordWrap/>
        <w:overflowPunct/>
        <w:topLinePunct w:val="0"/>
        <w:autoSpaceDE/>
        <w:autoSpaceDN/>
        <w:bidi w:val="0"/>
        <w:adjustRightInd/>
        <w:snapToGrid/>
        <w:spacing w:before="120" w:after="120" w:line="440" w:lineRule="exact"/>
        <w:ind w:left="420" w:leftChars="0" w:hanging="420" w:firstLineChars="0"/>
        <w:textAlignment w:val="auto"/>
        <w:rPr>
          <w:rFonts w:hint="eastAsia" w:ascii="仿宋" w:hAnsi="仿宋" w:eastAsia="仿宋" w:cs="仿宋"/>
          <w:b/>
          <w:bCs/>
          <w:color w:val="auto"/>
          <w:kern w:val="2"/>
          <w:sz w:val="24"/>
          <w:szCs w:val="24"/>
          <w:highlight w:val="none"/>
          <w:lang w:val="en-US" w:eastAsia="zh-CN" w:bidi="ar-SA"/>
        </w:rPr>
      </w:pPr>
      <w:bookmarkStart w:id="361" w:name="_Toc26619"/>
      <w:bookmarkStart w:id="362" w:name="_Toc19407"/>
      <w:bookmarkStart w:id="363" w:name="_Toc140132803"/>
      <w:bookmarkStart w:id="364" w:name="_Toc163492870"/>
      <w:bookmarkStart w:id="365" w:name="_Toc155185882"/>
      <w:bookmarkStart w:id="366" w:name="_Toc25532"/>
      <w:r>
        <w:rPr>
          <w:rFonts w:hint="eastAsia" w:ascii="仿宋" w:hAnsi="仿宋" w:eastAsia="仿宋" w:cs="仿宋"/>
          <w:b/>
          <w:bCs/>
          <w:color w:val="auto"/>
          <w:kern w:val="2"/>
          <w:sz w:val="24"/>
          <w:szCs w:val="24"/>
          <w:highlight w:val="none"/>
          <w:lang w:val="en-US" w:eastAsia="zh-CN" w:bidi="ar-SA"/>
        </w:rPr>
        <w:t>（十一）采购代理服务费</w:t>
      </w:r>
      <w:bookmarkEnd w:id="361"/>
      <w:bookmarkEnd w:id="362"/>
      <w:bookmarkEnd w:id="363"/>
      <w:bookmarkEnd w:id="364"/>
      <w:bookmarkEnd w:id="365"/>
      <w:bookmarkEnd w:id="366"/>
    </w:p>
    <w:p w14:paraId="37A7CED9">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仿宋" w:hAnsi="仿宋" w:eastAsia="仿宋" w:cs="仿宋"/>
          <w:b/>
          <w:bCs/>
          <w:color w:val="auto"/>
          <w:kern w:val="2"/>
          <w:sz w:val="24"/>
          <w:szCs w:val="24"/>
          <w:highlight w:val="none"/>
          <w:lang w:val="en-US" w:eastAsia="zh-CN" w:bidi="ar-SA"/>
        </w:rPr>
      </w:pPr>
      <w:bookmarkStart w:id="367" w:name="_Toc163492871"/>
      <w:bookmarkStart w:id="368" w:name="_Toc140132804"/>
      <w:bookmarkStart w:id="369" w:name="_Toc21533"/>
      <w:bookmarkStart w:id="370" w:name="_Toc16634"/>
      <w:bookmarkStart w:id="371" w:name="_Toc16138"/>
      <w:r>
        <w:rPr>
          <w:rFonts w:hint="eastAsia" w:ascii="仿宋" w:hAnsi="仿宋" w:eastAsia="仿宋" w:cs="仿宋"/>
          <w:b/>
          <w:bCs/>
          <w:color w:val="auto"/>
          <w:kern w:val="2"/>
          <w:sz w:val="24"/>
          <w:szCs w:val="24"/>
          <w:highlight w:val="none"/>
          <w:lang w:val="en-US" w:eastAsia="zh-CN" w:bidi="ar-SA"/>
        </w:rPr>
        <w:t>38.收取方式和标准</w:t>
      </w:r>
      <w:bookmarkEnd w:id="367"/>
      <w:bookmarkEnd w:id="368"/>
      <w:bookmarkEnd w:id="369"/>
      <w:bookmarkEnd w:id="370"/>
      <w:bookmarkEnd w:id="371"/>
    </w:p>
    <w:p w14:paraId="2AC0285A">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3</w:t>
      </w:r>
      <w:r>
        <w:rPr>
          <w:rFonts w:hint="eastAsia" w:ascii="仿宋" w:hAnsi="仿宋" w:eastAsia="仿宋" w:cs="仿宋"/>
          <w:bCs/>
          <w:color w:val="auto"/>
          <w:sz w:val="24"/>
          <w:szCs w:val="24"/>
          <w:highlight w:val="none"/>
          <w:lang w:val="en-US" w:eastAsia="zh-CN"/>
        </w:rPr>
        <w:t>8</w:t>
      </w:r>
      <w:r>
        <w:rPr>
          <w:rFonts w:hint="eastAsia" w:ascii="仿宋" w:hAnsi="仿宋" w:eastAsia="仿宋" w:cs="仿宋"/>
          <w:color w:val="auto"/>
          <w:sz w:val="24"/>
          <w:szCs w:val="24"/>
          <w:highlight w:val="none"/>
        </w:rPr>
        <w:t>.1采购代理机构按“投标人须知前附表”规定的方式和标准收取采购代理服务费。</w:t>
      </w:r>
    </w:p>
    <w:p w14:paraId="73C4FC38">
      <w:pPr>
        <w:pStyle w:val="4"/>
        <w:keepNext w:val="0"/>
        <w:keepLines w:val="0"/>
        <w:pageBreakBefore w:val="0"/>
        <w:widowControl w:val="0"/>
        <w:numPr>
          <w:ilvl w:val="0"/>
          <w:numId w:val="0"/>
        </w:numPr>
        <w:kinsoku/>
        <w:wordWrap/>
        <w:overflowPunct/>
        <w:topLinePunct w:val="0"/>
        <w:autoSpaceDE/>
        <w:autoSpaceDN/>
        <w:bidi w:val="0"/>
        <w:adjustRightInd/>
        <w:snapToGrid/>
        <w:spacing w:before="120" w:after="120" w:line="440" w:lineRule="exact"/>
        <w:ind w:left="420" w:leftChars="0" w:hanging="420" w:firstLineChars="0"/>
        <w:textAlignment w:val="auto"/>
        <w:rPr>
          <w:rFonts w:hint="eastAsia" w:ascii="仿宋" w:hAnsi="仿宋" w:eastAsia="仿宋" w:cs="仿宋"/>
          <w:b/>
          <w:bCs/>
          <w:color w:val="auto"/>
          <w:kern w:val="2"/>
          <w:sz w:val="24"/>
          <w:szCs w:val="24"/>
          <w:highlight w:val="none"/>
          <w:lang w:val="en-US" w:eastAsia="zh-CN" w:bidi="ar-SA"/>
        </w:rPr>
      </w:pPr>
      <w:bookmarkStart w:id="372" w:name="_Toc163492872"/>
      <w:bookmarkStart w:id="373" w:name="_Toc15853"/>
      <w:bookmarkStart w:id="374" w:name="_Toc140132805"/>
      <w:bookmarkStart w:id="375" w:name="_Toc155185883"/>
      <w:bookmarkStart w:id="376" w:name="_Toc7566"/>
      <w:bookmarkStart w:id="377" w:name="_Toc26455"/>
      <w:r>
        <w:rPr>
          <w:rFonts w:hint="eastAsia" w:ascii="仿宋" w:hAnsi="仿宋" w:eastAsia="仿宋" w:cs="仿宋"/>
          <w:b/>
          <w:bCs/>
          <w:color w:val="auto"/>
          <w:kern w:val="2"/>
          <w:sz w:val="24"/>
          <w:szCs w:val="24"/>
          <w:highlight w:val="none"/>
          <w:lang w:val="en-US" w:eastAsia="zh-CN" w:bidi="ar-SA"/>
        </w:rPr>
        <w:t>（十二）无效投标和废标</w:t>
      </w:r>
      <w:bookmarkEnd w:id="372"/>
      <w:bookmarkEnd w:id="373"/>
      <w:bookmarkEnd w:id="374"/>
      <w:bookmarkEnd w:id="375"/>
      <w:bookmarkEnd w:id="376"/>
      <w:bookmarkEnd w:id="377"/>
    </w:p>
    <w:p w14:paraId="6142FC16">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仿宋" w:hAnsi="仿宋" w:eastAsia="仿宋" w:cs="仿宋"/>
          <w:b/>
          <w:bCs/>
          <w:color w:val="auto"/>
          <w:kern w:val="2"/>
          <w:sz w:val="24"/>
          <w:szCs w:val="24"/>
          <w:highlight w:val="none"/>
          <w:lang w:val="en-US" w:eastAsia="zh-CN" w:bidi="ar-SA"/>
        </w:rPr>
      </w:pPr>
      <w:bookmarkStart w:id="378" w:name="_Toc32022"/>
      <w:bookmarkStart w:id="379" w:name="_Toc9909"/>
      <w:bookmarkStart w:id="380" w:name="_Toc140132806"/>
      <w:bookmarkStart w:id="381" w:name="_Toc23298"/>
      <w:bookmarkStart w:id="382" w:name="_Toc163492873"/>
      <w:r>
        <w:rPr>
          <w:rFonts w:hint="eastAsia" w:ascii="仿宋" w:hAnsi="仿宋" w:eastAsia="仿宋" w:cs="仿宋"/>
          <w:b/>
          <w:bCs/>
          <w:color w:val="auto"/>
          <w:kern w:val="2"/>
          <w:sz w:val="24"/>
          <w:szCs w:val="24"/>
          <w:highlight w:val="none"/>
          <w:lang w:val="en-US" w:eastAsia="zh-CN" w:bidi="ar-SA"/>
        </w:rPr>
        <w:t>39.无效投标</w:t>
      </w:r>
      <w:bookmarkEnd w:id="378"/>
      <w:bookmarkEnd w:id="379"/>
      <w:bookmarkEnd w:id="380"/>
      <w:bookmarkEnd w:id="381"/>
      <w:bookmarkEnd w:id="382"/>
    </w:p>
    <w:p w14:paraId="46914CB2">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39</w:t>
      </w:r>
      <w:r>
        <w:rPr>
          <w:rFonts w:hint="eastAsia" w:ascii="仿宋" w:hAnsi="仿宋" w:eastAsia="仿宋" w:cs="仿宋"/>
          <w:color w:val="auto"/>
          <w:sz w:val="24"/>
          <w:szCs w:val="24"/>
          <w:highlight w:val="none"/>
        </w:rPr>
        <w:t>.1投标文件存在“第四章</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资格审查”、“第五章</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评标</w:t>
      </w:r>
      <w:r>
        <w:rPr>
          <w:rFonts w:hint="eastAsia" w:ascii="仿宋" w:hAnsi="仿宋" w:eastAsia="仿宋" w:cs="仿宋"/>
          <w:color w:val="auto"/>
          <w:sz w:val="24"/>
          <w:szCs w:val="24"/>
          <w:highlight w:val="none"/>
          <w:lang w:val="en-US" w:eastAsia="zh-CN"/>
        </w:rPr>
        <w:t>方</w:t>
      </w:r>
      <w:r>
        <w:rPr>
          <w:rFonts w:hint="eastAsia" w:ascii="仿宋" w:hAnsi="仿宋" w:eastAsia="仿宋" w:cs="仿宋"/>
          <w:color w:val="auto"/>
          <w:sz w:val="24"/>
          <w:szCs w:val="24"/>
          <w:highlight w:val="none"/>
        </w:rPr>
        <w:t>法及标准”</w:t>
      </w:r>
      <w:r>
        <w:rPr>
          <w:rFonts w:hint="eastAsia" w:ascii="仿宋" w:hAnsi="仿宋" w:eastAsia="仿宋" w:cs="仿宋"/>
          <w:color w:val="auto"/>
          <w:sz w:val="24"/>
          <w:szCs w:val="24"/>
          <w:highlight w:val="none"/>
          <w:lang w:val="en-US" w:eastAsia="zh-CN"/>
        </w:rPr>
        <w:t>及本招标文件</w:t>
      </w:r>
      <w:r>
        <w:rPr>
          <w:rFonts w:hint="eastAsia" w:ascii="仿宋" w:hAnsi="仿宋" w:eastAsia="仿宋" w:cs="仿宋"/>
          <w:color w:val="auto"/>
          <w:sz w:val="24"/>
          <w:szCs w:val="24"/>
          <w:highlight w:val="none"/>
        </w:rPr>
        <w:t>规定的投标无效情形的，其</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266621F3">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仿宋" w:hAnsi="仿宋" w:eastAsia="仿宋" w:cs="仿宋"/>
          <w:b/>
          <w:bCs/>
          <w:color w:val="auto"/>
          <w:kern w:val="2"/>
          <w:sz w:val="24"/>
          <w:szCs w:val="24"/>
          <w:highlight w:val="none"/>
          <w:lang w:val="en-US" w:eastAsia="zh-CN" w:bidi="ar-SA"/>
        </w:rPr>
      </w:pPr>
      <w:bookmarkStart w:id="383" w:name="_Toc18467"/>
      <w:bookmarkStart w:id="384" w:name="_Toc140132807"/>
      <w:bookmarkStart w:id="385" w:name="_Toc163492874"/>
      <w:bookmarkStart w:id="386" w:name="_Toc15799"/>
      <w:bookmarkStart w:id="387" w:name="_Toc3107"/>
      <w:r>
        <w:rPr>
          <w:rFonts w:hint="eastAsia" w:ascii="仿宋" w:hAnsi="仿宋" w:eastAsia="仿宋" w:cs="仿宋"/>
          <w:b/>
          <w:bCs/>
          <w:color w:val="auto"/>
          <w:kern w:val="2"/>
          <w:sz w:val="24"/>
          <w:szCs w:val="24"/>
          <w:highlight w:val="none"/>
          <w:lang w:val="en-US" w:eastAsia="zh-CN" w:bidi="ar-SA"/>
        </w:rPr>
        <w:t>40.废标</w:t>
      </w:r>
      <w:bookmarkEnd w:id="383"/>
      <w:bookmarkEnd w:id="384"/>
      <w:bookmarkEnd w:id="385"/>
      <w:bookmarkEnd w:id="386"/>
      <w:bookmarkEnd w:id="387"/>
    </w:p>
    <w:p w14:paraId="69DF93BB">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.1在招标采购中出现有“第五章</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评标</w:t>
      </w:r>
      <w:r>
        <w:rPr>
          <w:rFonts w:hint="eastAsia" w:ascii="仿宋" w:hAnsi="仿宋" w:eastAsia="仿宋" w:cs="仿宋"/>
          <w:color w:val="auto"/>
          <w:sz w:val="24"/>
          <w:szCs w:val="24"/>
          <w:highlight w:val="none"/>
          <w:lang w:val="en-US" w:eastAsia="zh-CN"/>
        </w:rPr>
        <w:t>方</w:t>
      </w:r>
      <w:r>
        <w:rPr>
          <w:rFonts w:hint="eastAsia" w:ascii="仿宋" w:hAnsi="仿宋" w:eastAsia="仿宋" w:cs="仿宋"/>
          <w:color w:val="auto"/>
          <w:sz w:val="24"/>
          <w:szCs w:val="24"/>
          <w:highlight w:val="none"/>
        </w:rPr>
        <w:t>法及标准”</w:t>
      </w:r>
      <w:r>
        <w:rPr>
          <w:rFonts w:hint="eastAsia" w:ascii="仿宋" w:hAnsi="仿宋" w:eastAsia="仿宋" w:cs="仿宋"/>
          <w:color w:val="auto"/>
          <w:sz w:val="24"/>
          <w:szCs w:val="24"/>
          <w:highlight w:val="none"/>
          <w:lang w:val="en-US" w:eastAsia="zh-CN"/>
        </w:rPr>
        <w:t>及本招标文件</w:t>
      </w:r>
      <w:r>
        <w:rPr>
          <w:rFonts w:hint="eastAsia" w:ascii="仿宋" w:hAnsi="仿宋" w:eastAsia="仿宋" w:cs="仿宋"/>
          <w:color w:val="auto"/>
          <w:sz w:val="24"/>
          <w:szCs w:val="24"/>
          <w:highlight w:val="none"/>
        </w:rPr>
        <w:t>规定的废标情形的，应予以</w:t>
      </w:r>
      <w:r>
        <w:rPr>
          <w:rFonts w:hint="eastAsia" w:ascii="仿宋" w:hAnsi="仿宋" w:eastAsia="仿宋" w:cs="仿宋"/>
          <w:b/>
          <w:bCs/>
          <w:color w:val="auto"/>
          <w:sz w:val="24"/>
          <w:szCs w:val="24"/>
          <w:highlight w:val="none"/>
        </w:rPr>
        <w:t>废标</w:t>
      </w:r>
      <w:r>
        <w:rPr>
          <w:rFonts w:hint="eastAsia" w:ascii="仿宋" w:hAnsi="仿宋" w:eastAsia="仿宋" w:cs="仿宋"/>
          <w:color w:val="auto"/>
          <w:sz w:val="24"/>
          <w:szCs w:val="24"/>
          <w:highlight w:val="none"/>
          <w:lang w:eastAsia="zh-CN"/>
        </w:rPr>
        <w:t>。</w:t>
      </w:r>
    </w:p>
    <w:p w14:paraId="2A664E70">
      <w:pPr>
        <w:pStyle w:val="4"/>
        <w:keepNext w:val="0"/>
        <w:keepLines w:val="0"/>
        <w:pageBreakBefore w:val="0"/>
        <w:widowControl w:val="0"/>
        <w:numPr>
          <w:ilvl w:val="0"/>
          <w:numId w:val="0"/>
        </w:numPr>
        <w:kinsoku/>
        <w:wordWrap/>
        <w:overflowPunct/>
        <w:topLinePunct w:val="0"/>
        <w:autoSpaceDE/>
        <w:autoSpaceDN/>
        <w:bidi w:val="0"/>
        <w:adjustRightInd/>
        <w:snapToGrid/>
        <w:spacing w:before="120" w:after="120" w:line="440" w:lineRule="exact"/>
        <w:ind w:left="420" w:leftChars="0" w:hanging="420" w:firstLineChars="0"/>
        <w:textAlignment w:val="auto"/>
        <w:rPr>
          <w:rFonts w:hint="eastAsia" w:ascii="仿宋" w:hAnsi="仿宋" w:eastAsia="仿宋" w:cs="仿宋"/>
          <w:b/>
          <w:bCs/>
          <w:color w:val="auto"/>
          <w:kern w:val="2"/>
          <w:sz w:val="24"/>
          <w:szCs w:val="24"/>
          <w:highlight w:val="none"/>
          <w:lang w:val="en-US" w:eastAsia="zh-CN" w:bidi="ar-SA"/>
        </w:rPr>
      </w:pPr>
      <w:bookmarkStart w:id="388" w:name="_Toc163492875"/>
      <w:bookmarkStart w:id="389" w:name="_Toc140132766"/>
      <w:bookmarkStart w:id="390" w:name="_Toc16271"/>
      <w:bookmarkStart w:id="391" w:name="_Toc3516"/>
      <w:bookmarkStart w:id="392" w:name="_Toc22480"/>
      <w:bookmarkStart w:id="393" w:name="_Toc140132808"/>
      <w:bookmarkStart w:id="394" w:name="_Toc155185884"/>
      <w:r>
        <w:rPr>
          <w:rFonts w:hint="eastAsia" w:ascii="仿宋" w:hAnsi="仿宋" w:eastAsia="仿宋" w:cs="仿宋"/>
          <w:b/>
          <w:bCs/>
          <w:color w:val="auto"/>
          <w:kern w:val="2"/>
          <w:sz w:val="24"/>
          <w:szCs w:val="24"/>
          <w:highlight w:val="none"/>
          <w:lang w:val="en-US" w:eastAsia="zh-CN" w:bidi="ar-SA"/>
        </w:rPr>
        <w:t>（十三）落实政府采购政策</w:t>
      </w:r>
      <w:bookmarkEnd w:id="388"/>
      <w:bookmarkEnd w:id="389"/>
      <w:r>
        <w:rPr>
          <w:rFonts w:hint="eastAsia" w:ascii="仿宋" w:hAnsi="仿宋" w:eastAsia="仿宋" w:cs="仿宋"/>
          <w:b/>
          <w:bCs/>
          <w:color w:val="auto"/>
          <w:kern w:val="2"/>
          <w:sz w:val="24"/>
          <w:szCs w:val="24"/>
          <w:highlight w:val="none"/>
          <w:lang w:val="en-US" w:eastAsia="zh-CN" w:bidi="ar-SA"/>
        </w:rPr>
        <w:t>（包括但不限于下列具体政策要求）</w:t>
      </w:r>
      <w:bookmarkEnd w:id="390"/>
      <w:bookmarkEnd w:id="391"/>
      <w:bookmarkEnd w:id="392"/>
    </w:p>
    <w:p w14:paraId="1E49B9CD">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仿宋" w:hAnsi="仿宋" w:eastAsia="仿宋" w:cs="仿宋"/>
          <w:b/>
          <w:bCs/>
          <w:color w:val="auto"/>
          <w:kern w:val="2"/>
          <w:sz w:val="24"/>
          <w:szCs w:val="24"/>
          <w:highlight w:val="none"/>
          <w:lang w:val="en-US" w:eastAsia="zh-CN" w:bidi="ar-SA"/>
        </w:rPr>
      </w:pPr>
      <w:bookmarkStart w:id="395" w:name="_Toc17933"/>
      <w:bookmarkStart w:id="396" w:name="_Toc3349"/>
      <w:bookmarkStart w:id="397" w:name="_Toc163492877"/>
      <w:bookmarkStart w:id="398" w:name="_Toc13373"/>
      <w:r>
        <w:rPr>
          <w:rFonts w:hint="eastAsia" w:ascii="仿宋" w:hAnsi="仿宋" w:eastAsia="仿宋" w:cs="仿宋"/>
          <w:b/>
          <w:bCs/>
          <w:color w:val="auto"/>
          <w:kern w:val="2"/>
          <w:sz w:val="24"/>
          <w:szCs w:val="24"/>
          <w:highlight w:val="none"/>
          <w:lang w:val="en-US" w:eastAsia="zh-CN" w:bidi="ar-SA"/>
        </w:rPr>
        <w:t>41.中小企业、监狱企业及残疾人福利性单位</w:t>
      </w:r>
      <w:bookmarkEnd w:id="395"/>
      <w:bookmarkEnd w:id="396"/>
      <w:bookmarkEnd w:id="397"/>
      <w:bookmarkEnd w:id="398"/>
    </w:p>
    <w:p w14:paraId="25DCD488">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lang w:val="en-US" w:eastAsia="zh-CN"/>
        </w:rPr>
        <w:t>41</w:t>
      </w:r>
      <w:r>
        <w:rPr>
          <w:rFonts w:hint="eastAsia" w:ascii="仿宋" w:hAnsi="仿宋" w:eastAsia="仿宋" w:cs="仿宋"/>
          <w:snapToGrid w:val="0"/>
          <w:color w:val="auto"/>
          <w:sz w:val="24"/>
          <w:szCs w:val="24"/>
          <w:highlight w:val="none"/>
        </w:rPr>
        <w:t>.</w:t>
      </w:r>
      <w:r>
        <w:rPr>
          <w:rFonts w:hint="eastAsia" w:ascii="仿宋" w:hAnsi="仿宋" w:eastAsia="仿宋" w:cs="仿宋"/>
          <w:snapToGrid w:val="0"/>
          <w:color w:val="auto"/>
          <w:sz w:val="24"/>
          <w:szCs w:val="24"/>
          <w:highlight w:val="none"/>
          <w:lang w:val="en-US" w:eastAsia="zh-CN"/>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 号）、《政府采购促进中小企业发展管理办法》（财库〔2020〕46 号）、《关于印发中小企业划型标准规定的通知》（工信部联企业〔2011〕300 号）、《金融业企业划型标准规定》（〔2015〕309 号）等国务院批准的中小企业划分标准执行。</w:t>
      </w:r>
    </w:p>
    <w:p w14:paraId="3C486A0D">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lang w:val="en-US" w:eastAsia="zh-CN"/>
        </w:rPr>
        <w:t>41</w:t>
      </w:r>
      <w:r>
        <w:rPr>
          <w:rFonts w:hint="eastAsia" w:ascii="仿宋" w:hAnsi="仿宋" w:eastAsia="仿宋" w:cs="仿宋"/>
          <w:snapToGrid w:val="0"/>
          <w:color w:val="auto"/>
          <w:sz w:val="24"/>
          <w:szCs w:val="24"/>
          <w:highlight w:val="none"/>
        </w:rPr>
        <w:t>.</w:t>
      </w:r>
      <w:r>
        <w:rPr>
          <w:rFonts w:hint="eastAsia" w:ascii="仿宋" w:hAnsi="仿宋" w:eastAsia="仿宋" w:cs="仿宋"/>
          <w:snapToGrid w:val="0"/>
          <w:color w:val="auto"/>
          <w:sz w:val="24"/>
          <w:szCs w:val="24"/>
          <w:highlight w:val="none"/>
          <w:lang w:val="en-US" w:eastAsia="zh-CN"/>
        </w:rPr>
        <w:t>2</w:t>
      </w:r>
      <w:r>
        <w:rPr>
          <w:rFonts w:hint="eastAsia" w:ascii="仿宋" w:hAnsi="仿宋" w:eastAsia="仿宋" w:cs="仿宋"/>
          <w:snapToGrid w:val="0"/>
          <w:color w:val="auto"/>
          <w:sz w:val="24"/>
          <w:szCs w:val="24"/>
          <w:highlight w:val="none"/>
        </w:rPr>
        <w:t>为促进中小企业发展，依据《关于印发&lt;政府采购促进中小企业发展管理办法&gt;的通知》（财库〔2020〕46号）、《财政部 司法部关于政府采购支持监狱企业发展有关问题的通知》（财库〔2014〕68号）、《关于促进残疾人就业政府采购政策的通知》（财库〔2017〕141号）的规定，本项目供应商如</w:t>
      </w:r>
      <w:r>
        <w:rPr>
          <w:rFonts w:hint="eastAsia" w:ascii="仿宋" w:hAnsi="仿宋" w:eastAsia="仿宋" w:cs="仿宋"/>
          <w:snapToGrid w:val="0"/>
          <w:color w:val="auto"/>
          <w:sz w:val="24"/>
          <w:szCs w:val="24"/>
          <w:highlight w:val="none"/>
          <w:lang w:eastAsia="zh-CN"/>
        </w:rPr>
        <w:t>需享受中小企业相关政策的，且</w:t>
      </w:r>
      <w:r>
        <w:rPr>
          <w:rFonts w:hint="eastAsia" w:ascii="仿宋" w:hAnsi="仿宋" w:eastAsia="仿宋" w:cs="仿宋"/>
          <w:snapToGrid w:val="0"/>
          <w:color w:val="auto"/>
          <w:sz w:val="24"/>
          <w:szCs w:val="24"/>
          <w:highlight w:val="none"/>
        </w:rPr>
        <w:t>符合上述文件规定的，</w:t>
      </w:r>
      <w:r>
        <w:rPr>
          <w:rFonts w:hint="eastAsia" w:ascii="仿宋" w:hAnsi="仿宋" w:eastAsia="仿宋" w:cs="仿宋"/>
          <w:snapToGrid w:val="0"/>
          <w:color w:val="auto"/>
          <w:sz w:val="24"/>
          <w:szCs w:val="24"/>
          <w:highlight w:val="none"/>
          <w:lang w:eastAsia="zh-CN"/>
        </w:rPr>
        <w:t>应按本</w:t>
      </w:r>
      <w:r>
        <w:rPr>
          <w:rFonts w:hint="eastAsia" w:ascii="仿宋" w:hAnsi="仿宋" w:eastAsia="仿宋" w:cs="仿宋"/>
          <w:snapToGrid w:val="0"/>
          <w:color w:val="auto"/>
          <w:sz w:val="24"/>
          <w:szCs w:val="24"/>
          <w:highlight w:val="none"/>
          <w:lang w:val="en-US" w:eastAsia="zh-CN"/>
        </w:rPr>
        <w:t>招标</w:t>
      </w:r>
      <w:r>
        <w:rPr>
          <w:rFonts w:hint="eastAsia" w:ascii="仿宋" w:hAnsi="仿宋" w:eastAsia="仿宋" w:cs="仿宋"/>
          <w:snapToGrid w:val="0"/>
          <w:color w:val="auto"/>
          <w:sz w:val="24"/>
          <w:szCs w:val="24"/>
          <w:highlight w:val="none"/>
          <w:lang w:eastAsia="zh-CN"/>
        </w:rPr>
        <w:t>文件规定格式</w:t>
      </w:r>
      <w:r>
        <w:rPr>
          <w:rFonts w:hint="eastAsia" w:ascii="仿宋" w:hAnsi="仿宋" w:eastAsia="仿宋" w:cs="仿宋"/>
          <w:snapToGrid w:val="0"/>
          <w:color w:val="auto"/>
          <w:sz w:val="24"/>
          <w:szCs w:val="24"/>
          <w:highlight w:val="none"/>
        </w:rPr>
        <w:t>提供</w:t>
      </w:r>
      <w:r>
        <w:rPr>
          <w:rFonts w:hint="eastAsia" w:ascii="仿宋" w:hAnsi="仿宋" w:eastAsia="仿宋" w:cs="仿宋"/>
          <w:snapToGrid w:val="0"/>
          <w:color w:val="auto"/>
          <w:sz w:val="24"/>
          <w:szCs w:val="24"/>
          <w:highlight w:val="none"/>
          <w:lang w:eastAsia="zh-CN"/>
        </w:rPr>
        <w:t>“</w:t>
      </w:r>
      <w:r>
        <w:rPr>
          <w:rFonts w:hint="eastAsia" w:ascii="仿宋" w:hAnsi="仿宋" w:eastAsia="仿宋" w:cs="仿宋"/>
          <w:snapToGrid w:val="0"/>
          <w:color w:val="auto"/>
          <w:sz w:val="24"/>
          <w:szCs w:val="24"/>
          <w:highlight w:val="none"/>
        </w:rPr>
        <w:t>中小企业声明函</w:t>
      </w:r>
      <w:r>
        <w:rPr>
          <w:rFonts w:hint="eastAsia" w:ascii="仿宋" w:hAnsi="仿宋" w:eastAsia="仿宋" w:cs="仿宋"/>
          <w:snapToGrid w:val="0"/>
          <w:color w:val="auto"/>
          <w:sz w:val="24"/>
          <w:szCs w:val="24"/>
          <w:highlight w:val="none"/>
          <w:lang w:eastAsia="zh-CN"/>
        </w:rPr>
        <w:t>”</w:t>
      </w:r>
      <w:r>
        <w:rPr>
          <w:rFonts w:hint="eastAsia" w:ascii="仿宋" w:hAnsi="仿宋" w:eastAsia="仿宋" w:cs="仿宋"/>
          <w:snapToGrid w:val="0"/>
          <w:color w:val="auto"/>
          <w:sz w:val="24"/>
          <w:szCs w:val="24"/>
          <w:highlight w:val="none"/>
          <w:lang w:val="en-US" w:eastAsia="zh-CN"/>
        </w:rPr>
        <w:t>或“</w:t>
      </w:r>
      <w:r>
        <w:rPr>
          <w:rFonts w:hint="eastAsia" w:ascii="仿宋" w:hAnsi="仿宋" w:eastAsia="仿宋" w:cs="仿宋"/>
          <w:snapToGrid w:val="0"/>
          <w:color w:val="auto"/>
          <w:sz w:val="24"/>
          <w:szCs w:val="24"/>
          <w:highlight w:val="none"/>
        </w:rPr>
        <w:t>监狱企业证明文件</w:t>
      </w:r>
      <w:r>
        <w:rPr>
          <w:rFonts w:hint="eastAsia" w:ascii="仿宋" w:hAnsi="仿宋" w:eastAsia="仿宋" w:cs="仿宋"/>
          <w:snapToGrid w:val="0"/>
          <w:color w:val="auto"/>
          <w:sz w:val="24"/>
          <w:szCs w:val="24"/>
          <w:highlight w:val="none"/>
          <w:lang w:eastAsia="zh-CN"/>
        </w:rPr>
        <w:t>”</w:t>
      </w:r>
      <w:r>
        <w:rPr>
          <w:rFonts w:hint="eastAsia" w:ascii="仿宋" w:hAnsi="仿宋" w:eastAsia="仿宋" w:cs="仿宋"/>
          <w:snapToGrid w:val="0"/>
          <w:color w:val="auto"/>
          <w:sz w:val="24"/>
          <w:szCs w:val="24"/>
          <w:highlight w:val="none"/>
          <w:lang w:val="en-US" w:eastAsia="zh-CN"/>
        </w:rPr>
        <w:t>或</w:t>
      </w:r>
      <w:r>
        <w:rPr>
          <w:rFonts w:hint="eastAsia" w:ascii="仿宋" w:hAnsi="仿宋" w:eastAsia="仿宋" w:cs="仿宋"/>
          <w:snapToGrid w:val="0"/>
          <w:color w:val="auto"/>
          <w:sz w:val="24"/>
          <w:szCs w:val="24"/>
          <w:highlight w:val="none"/>
          <w:lang w:eastAsia="zh-CN"/>
        </w:rPr>
        <w:t>“</w:t>
      </w:r>
      <w:r>
        <w:rPr>
          <w:rFonts w:hint="eastAsia" w:ascii="仿宋" w:hAnsi="仿宋" w:eastAsia="仿宋" w:cs="仿宋"/>
          <w:snapToGrid w:val="0"/>
          <w:color w:val="auto"/>
          <w:sz w:val="24"/>
          <w:szCs w:val="24"/>
          <w:highlight w:val="none"/>
        </w:rPr>
        <w:t>残疾人福利性单位声明函</w:t>
      </w:r>
      <w:r>
        <w:rPr>
          <w:rFonts w:hint="eastAsia" w:ascii="仿宋" w:hAnsi="仿宋" w:eastAsia="仿宋" w:cs="仿宋"/>
          <w:snapToGrid w:val="0"/>
          <w:color w:val="auto"/>
          <w:sz w:val="24"/>
          <w:szCs w:val="24"/>
          <w:highlight w:val="none"/>
          <w:lang w:eastAsia="zh-CN"/>
        </w:rPr>
        <w:t>”</w:t>
      </w:r>
      <w:r>
        <w:rPr>
          <w:rFonts w:hint="eastAsia" w:ascii="仿宋" w:hAnsi="仿宋" w:eastAsia="仿宋" w:cs="仿宋"/>
          <w:snapToGrid w:val="0"/>
          <w:color w:val="auto"/>
          <w:sz w:val="24"/>
          <w:szCs w:val="24"/>
          <w:highlight w:val="none"/>
        </w:rPr>
        <w:t>，评审时，</w:t>
      </w:r>
      <w:r>
        <w:rPr>
          <w:rFonts w:hint="eastAsia" w:ascii="仿宋" w:hAnsi="仿宋" w:eastAsia="仿宋" w:cs="仿宋"/>
          <w:snapToGrid w:val="0"/>
          <w:color w:val="auto"/>
          <w:sz w:val="24"/>
          <w:szCs w:val="24"/>
          <w:highlight w:val="none"/>
          <w:lang w:val="en-US" w:eastAsia="zh-CN"/>
        </w:rPr>
        <w:t>评标委员会</w:t>
      </w:r>
      <w:r>
        <w:rPr>
          <w:rFonts w:hint="eastAsia" w:ascii="仿宋" w:hAnsi="仿宋" w:eastAsia="仿宋" w:cs="仿宋"/>
          <w:snapToGrid w:val="0"/>
          <w:color w:val="auto"/>
          <w:sz w:val="24"/>
          <w:szCs w:val="24"/>
          <w:highlight w:val="none"/>
        </w:rPr>
        <w:t>将依据</w:t>
      </w:r>
      <w:r>
        <w:rPr>
          <w:rFonts w:hint="eastAsia" w:ascii="仿宋" w:hAnsi="仿宋" w:eastAsia="仿宋" w:cs="仿宋"/>
          <w:snapToGrid w:val="0"/>
          <w:color w:val="auto"/>
          <w:sz w:val="24"/>
          <w:szCs w:val="24"/>
          <w:highlight w:val="none"/>
          <w:lang w:eastAsia="zh-CN"/>
        </w:rPr>
        <w:t>本</w:t>
      </w:r>
      <w:r>
        <w:rPr>
          <w:rFonts w:hint="eastAsia" w:ascii="仿宋" w:hAnsi="仿宋" w:eastAsia="仿宋" w:cs="仿宋"/>
          <w:snapToGrid w:val="0"/>
          <w:color w:val="auto"/>
          <w:sz w:val="24"/>
          <w:szCs w:val="24"/>
          <w:highlight w:val="none"/>
          <w:lang w:val="en-US" w:eastAsia="zh-CN"/>
        </w:rPr>
        <w:t>招标</w:t>
      </w:r>
      <w:r>
        <w:rPr>
          <w:rFonts w:hint="eastAsia" w:ascii="仿宋" w:hAnsi="仿宋" w:eastAsia="仿宋" w:cs="仿宋"/>
          <w:snapToGrid w:val="0"/>
          <w:color w:val="auto"/>
          <w:sz w:val="24"/>
          <w:szCs w:val="24"/>
          <w:highlight w:val="none"/>
          <w:lang w:eastAsia="zh-CN"/>
        </w:rPr>
        <w:t>文件</w:t>
      </w:r>
      <w:r>
        <w:rPr>
          <w:rFonts w:hint="eastAsia" w:ascii="仿宋" w:hAnsi="仿宋" w:eastAsia="仿宋" w:cs="仿宋"/>
          <w:snapToGrid w:val="0"/>
          <w:color w:val="auto"/>
          <w:sz w:val="24"/>
          <w:szCs w:val="24"/>
          <w:highlight w:val="none"/>
        </w:rPr>
        <w:t>“</w:t>
      </w:r>
      <w:r>
        <w:rPr>
          <w:rFonts w:hint="eastAsia" w:ascii="仿宋" w:hAnsi="仿宋" w:eastAsia="仿宋" w:cs="仿宋"/>
          <w:snapToGrid w:val="0"/>
          <w:color w:val="auto"/>
          <w:sz w:val="24"/>
          <w:szCs w:val="24"/>
          <w:highlight w:val="none"/>
          <w:lang w:val="en-US" w:eastAsia="zh-CN"/>
        </w:rPr>
        <w:t>投标人</w:t>
      </w:r>
      <w:r>
        <w:rPr>
          <w:rFonts w:hint="eastAsia" w:ascii="仿宋" w:hAnsi="仿宋" w:eastAsia="仿宋" w:cs="仿宋"/>
          <w:snapToGrid w:val="0"/>
          <w:color w:val="auto"/>
          <w:sz w:val="24"/>
          <w:szCs w:val="24"/>
          <w:highlight w:val="none"/>
        </w:rPr>
        <w:t>须知前附表”规定的报价扣除比例，对供应商报价进行价格扣除，用扣除后的价格参与评审</w:t>
      </w:r>
      <w:r>
        <w:rPr>
          <w:rFonts w:hint="eastAsia" w:ascii="仿宋" w:hAnsi="仿宋" w:eastAsia="仿宋" w:cs="仿宋"/>
          <w:snapToGrid w:val="0"/>
          <w:color w:val="auto"/>
          <w:sz w:val="24"/>
          <w:szCs w:val="24"/>
          <w:highlight w:val="none"/>
          <w:lang w:eastAsia="zh-CN"/>
        </w:rPr>
        <w:t>；</w:t>
      </w:r>
      <w:r>
        <w:rPr>
          <w:rFonts w:hint="eastAsia" w:ascii="仿宋" w:hAnsi="仿宋" w:eastAsia="仿宋" w:cs="仿宋"/>
          <w:snapToGrid w:val="0"/>
          <w:color w:val="auto"/>
          <w:sz w:val="24"/>
          <w:szCs w:val="24"/>
          <w:highlight w:val="none"/>
          <w:lang w:val="en-US" w:eastAsia="zh-CN"/>
        </w:rPr>
        <w:t>招标</w:t>
      </w:r>
      <w:r>
        <w:rPr>
          <w:rFonts w:hint="eastAsia" w:ascii="仿宋" w:hAnsi="仿宋" w:eastAsia="仿宋" w:cs="仿宋"/>
          <w:snapToGrid w:val="0"/>
          <w:color w:val="auto"/>
          <w:sz w:val="24"/>
          <w:szCs w:val="24"/>
          <w:highlight w:val="none"/>
          <w:lang w:eastAsia="zh-CN"/>
        </w:rPr>
        <w:t>公告中明确项目专门面向中小企业采购的，“</w:t>
      </w:r>
      <w:r>
        <w:rPr>
          <w:rFonts w:hint="eastAsia" w:ascii="仿宋" w:hAnsi="仿宋" w:eastAsia="仿宋" w:cs="仿宋"/>
          <w:snapToGrid w:val="0"/>
          <w:color w:val="auto"/>
          <w:sz w:val="24"/>
          <w:szCs w:val="24"/>
          <w:highlight w:val="none"/>
        </w:rPr>
        <w:t>中小企业声明函</w:t>
      </w:r>
      <w:r>
        <w:rPr>
          <w:rFonts w:hint="eastAsia" w:ascii="仿宋" w:hAnsi="仿宋" w:eastAsia="仿宋" w:cs="仿宋"/>
          <w:snapToGrid w:val="0"/>
          <w:color w:val="auto"/>
          <w:sz w:val="24"/>
          <w:szCs w:val="24"/>
          <w:highlight w:val="none"/>
          <w:lang w:eastAsia="zh-CN"/>
        </w:rPr>
        <w:t>”为资格要求文件，</w:t>
      </w:r>
      <w:r>
        <w:rPr>
          <w:rFonts w:hint="eastAsia" w:ascii="仿宋" w:hAnsi="仿宋" w:eastAsia="仿宋" w:cs="仿宋"/>
          <w:snapToGrid w:val="0"/>
          <w:color w:val="auto"/>
          <w:sz w:val="24"/>
          <w:szCs w:val="24"/>
          <w:highlight w:val="none"/>
        </w:rPr>
        <w:t>供应商</w:t>
      </w:r>
      <w:r>
        <w:rPr>
          <w:rFonts w:hint="eastAsia" w:ascii="仿宋" w:hAnsi="仿宋" w:eastAsia="仿宋" w:cs="仿宋"/>
          <w:snapToGrid w:val="0"/>
          <w:color w:val="auto"/>
          <w:sz w:val="24"/>
          <w:szCs w:val="24"/>
          <w:highlight w:val="none"/>
          <w:lang w:eastAsia="zh-CN"/>
        </w:rPr>
        <w:t>参与</w:t>
      </w:r>
      <w:r>
        <w:rPr>
          <w:rFonts w:hint="eastAsia" w:ascii="仿宋" w:hAnsi="仿宋" w:eastAsia="仿宋" w:cs="仿宋"/>
          <w:snapToGrid w:val="0"/>
          <w:color w:val="auto"/>
          <w:sz w:val="24"/>
          <w:szCs w:val="24"/>
          <w:highlight w:val="none"/>
          <w:lang w:val="en-US" w:eastAsia="zh-CN"/>
        </w:rPr>
        <w:t>投标</w:t>
      </w:r>
      <w:r>
        <w:rPr>
          <w:rFonts w:hint="eastAsia" w:ascii="仿宋" w:hAnsi="仿宋" w:eastAsia="仿宋" w:cs="仿宋"/>
          <w:snapToGrid w:val="0"/>
          <w:color w:val="auto"/>
          <w:sz w:val="24"/>
          <w:szCs w:val="24"/>
          <w:highlight w:val="none"/>
          <w:lang w:eastAsia="zh-CN"/>
        </w:rPr>
        <w:t>须按本</w:t>
      </w:r>
      <w:r>
        <w:rPr>
          <w:rFonts w:hint="eastAsia" w:ascii="仿宋" w:hAnsi="仿宋" w:eastAsia="仿宋" w:cs="仿宋"/>
          <w:snapToGrid w:val="0"/>
          <w:color w:val="auto"/>
          <w:sz w:val="24"/>
          <w:szCs w:val="24"/>
          <w:highlight w:val="none"/>
          <w:lang w:val="en-US" w:eastAsia="zh-CN"/>
        </w:rPr>
        <w:t>招标</w:t>
      </w:r>
      <w:r>
        <w:rPr>
          <w:rFonts w:hint="eastAsia" w:ascii="仿宋" w:hAnsi="仿宋" w:eastAsia="仿宋" w:cs="仿宋"/>
          <w:snapToGrid w:val="0"/>
          <w:color w:val="auto"/>
          <w:sz w:val="24"/>
          <w:szCs w:val="24"/>
          <w:highlight w:val="none"/>
          <w:lang w:eastAsia="zh-CN"/>
        </w:rPr>
        <w:t>文件规定格式</w:t>
      </w:r>
      <w:r>
        <w:rPr>
          <w:rFonts w:hint="eastAsia" w:ascii="仿宋" w:hAnsi="仿宋" w:eastAsia="仿宋" w:cs="仿宋"/>
          <w:snapToGrid w:val="0"/>
          <w:color w:val="auto"/>
          <w:sz w:val="24"/>
          <w:szCs w:val="24"/>
          <w:highlight w:val="none"/>
        </w:rPr>
        <w:t>提供</w:t>
      </w:r>
      <w:r>
        <w:rPr>
          <w:rFonts w:hint="eastAsia" w:ascii="仿宋" w:hAnsi="仿宋" w:eastAsia="仿宋" w:cs="仿宋"/>
          <w:snapToGrid w:val="0"/>
          <w:color w:val="auto"/>
          <w:sz w:val="24"/>
          <w:szCs w:val="24"/>
          <w:highlight w:val="none"/>
          <w:lang w:eastAsia="zh-CN"/>
        </w:rPr>
        <w:t>“</w:t>
      </w:r>
      <w:r>
        <w:rPr>
          <w:rFonts w:hint="eastAsia" w:ascii="仿宋" w:hAnsi="仿宋" w:eastAsia="仿宋" w:cs="仿宋"/>
          <w:snapToGrid w:val="0"/>
          <w:color w:val="auto"/>
          <w:sz w:val="24"/>
          <w:szCs w:val="24"/>
          <w:highlight w:val="none"/>
        </w:rPr>
        <w:t>中小企业声明函</w:t>
      </w:r>
      <w:r>
        <w:rPr>
          <w:rFonts w:hint="eastAsia" w:ascii="仿宋" w:hAnsi="仿宋" w:eastAsia="仿宋" w:cs="仿宋"/>
          <w:snapToGrid w:val="0"/>
          <w:color w:val="auto"/>
          <w:sz w:val="24"/>
          <w:szCs w:val="24"/>
          <w:highlight w:val="none"/>
          <w:lang w:eastAsia="zh-CN"/>
        </w:rPr>
        <w:t>”</w:t>
      </w:r>
      <w:r>
        <w:rPr>
          <w:rFonts w:hint="eastAsia" w:ascii="仿宋" w:hAnsi="仿宋" w:eastAsia="仿宋" w:cs="仿宋"/>
          <w:snapToGrid w:val="0"/>
          <w:color w:val="auto"/>
          <w:sz w:val="24"/>
          <w:szCs w:val="24"/>
          <w:highlight w:val="none"/>
          <w:lang w:val="en-US" w:eastAsia="zh-CN"/>
        </w:rPr>
        <w:t>或“</w:t>
      </w:r>
      <w:r>
        <w:rPr>
          <w:rFonts w:hint="eastAsia" w:ascii="仿宋" w:hAnsi="仿宋" w:eastAsia="仿宋" w:cs="仿宋"/>
          <w:snapToGrid w:val="0"/>
          <w:color w:val="auto"/>
          <w:sz w:val="24"/>
          <w:szCs w:val="24"/>
          <w:highlight w:val="none"/>
        </w:rPr>
        <w:t>监狱企业证明文件</w:t>
      </w:r>
      <w:r>
        <w:rPr>
          <w:rFonts w:hint="eastAsia" w:ascii="仿宋" w:hAnsi="仿宋" w:eastAsia="仿宋" w:cs="仿宋"/>
          <w:snapToGrid w:val="0"/>
          <w:color w:val="auto"/>
          <w:sz w:val="24"/>
          <w:szCs w:val="24"/>
          <w:highlight w:val="none"/>
          <w:lang w:eastAsia="zh-CN"/>
        </w:rPr>
        <w:t>”</w:t>
      </w:r>
      <w:r>
        <w:rPr>
          <w:rFonts w:hint="eastAsia" w:ascii="仿宋" w:hAnsi="仿宋" w:eastAsia="仿宋" w:cs="仿宋"/>
          <w:snapToGrid w:val="0"/>
          <w:color w:val="auto"/>
          <w:sz w:val="24"/>
          <w:szCs w:val="24"/>
          <w:highlight w:val="none"/>
          <w:lang w:val="en-US" w:eastAsia="zh-CN"/>
        </w:rPr>
        <w:t>或</w:t>
      </w:r>
      <w:r>
        <w:rPr>
          <w:rFonts w:hint="eastAsia" w:ascii="仿宋" w:hAnsi="仿宋" w:eastAsia="仿宋" w:cs="仿宋"/>
          <w:snapToGrid w:val="0"/>
          <w:color w:val="auto"/>
          <w:sz w:val="24"/>
          <w:szCs w:val="24"/>
          <w:highlight w:val="none"/>
          <w:lang w:eastAsia="zh-CN"/>
        </w:rPr>
        <w:t>“</w:t>
      </w:r>
      <w:r>
        <w:rPr>
          <w:rFonts w:hint="eastAsia" w:ascii="仿宋" w:hAnsi="仿宋" w:eastAsia="仿宋" w:cs="仿宋"/>
          <w:snapToGrid w:val="0"/>
          <w:color w:val="auto"/>
          <w:sz w:val="24"/>
          <w:szCs w:val="24"/>
          <w:highlight w:val="none"/>
        </w:rPr>
        <w:t>残疾人福利性单位声明函</w:t>
      </w:r>
      <w:r>
        <w:rPr>
          <w:rFonts w:hint="eastAsia" w:ascii="仿宋" w:hAnsi="仿宋" w:eastAsia="仿宋" w:cs="仿宋"/>
          <w:snapToGrid w:val="0"/>
          <w:color w:val="auto"/>
          <w:sz w:val="24"/>
          <w:szCs w:val="24"/>
          <w:highlight w:val="none"/>
          <w:lang w:eastAsia="zh-CN"/>
        </w:rPr>
        <w:t>”等作为资格证明文件。</w:t>
      </w:r>
    </w:p>
    <w:p w14:paraId="4BE45219">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lang w:val="en-US" w:eastAsia="zh-CN"/>
        </w:rPr>
        <w:t>41.3供应商提供的货物、工程或者服务符合下列情形的，享受中小企业扶持政策：</w:t>
      </w:r>
    </w:p>
    <w:p w14:paraId="0A4D91EF">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lang w:val="en-US" w:eastAsia="zh-CN"/>
        </w:rPr>
        <w:t>（1）在货物采购项目中，货物由中小企业制造，即货物由中小企业生产且使用该中小企业商号或者注册商标；</w:t>
      </w:r>
    </w:p>
    <w:p w14:paraId="2EEEA224">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lang w:val="en-US" w:eastAsia="zh-CN"/>
        </w:rPr>
        <w:t>（2）在工程采购项目中，工程由中小企业承建，即工程施工单位为中小企业；</w:t>
      </w:r>
    </w:p>
    <w:p w14:paraId="2C62B44B">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lang w:val="en-US" w:eastAsia="zh-CN"/>
        </w:rPr>
        <w:t>（3）在服务采购项目中，服务由中小企业承接，即提供服务的人员为中小企业依照《中华人民共和国劳动合同法》订立劳动合同的从业人员。</w:t>
      </w:r>
    </w:p>
    <w:p w14:paraId="1944B67E">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lang w:val="en-US" w:eastAsia="zh-CN"/>
        </w:rPr>
        <w:t>41.4 在服务采购项目中，供应商提供的服务既有中小企业承接，也有大型企业承接的，不享受中小企业扶持政策。</w:t>
      </w:r>
    </w:p>
    <w:p w14:paraId="7FBF511D">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snapToGrid w:val="0"/>
          <w:color w:val="auto"/>
          <w:sz w:val="24"/>
          <w:szCs w:val="24"/>
          <w:highlight w:val="none"/>
          <w:lang w:val="en-US" w:eastAsia="zh-CN"/>
        </w:rPr>
      </w:pPr>
      <w:r>
        <w:rPr>
          <w:rFonts w:hint="eastAsia" w:ascii="仿宋" w:hAnsi="仿宋" w:eastAsia="仿宋" w:cs="仿宋"/>
          <w:snapToGrid w:val="0"/>
          <w:color w:val="auto"/>
          <w:sz w:val="24"/>
          <w:szCs w:val="24"/>
          <w:highlight w:val="none"/>
          <w:lang w:val="en-US" w:eastAsia="zh-CN"/>
        </w:rPr>
        <w:t>41.5以联合体形式参加政府采购活动，联合体各方均为中小企业的，联合体视同中小企业。其中，联合体各方均为小微企业的，联合体视同小微企业。</w:t>
      </w:r>
    </w:p>
    <w:p w14:paraId="1E29CE59">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lang w:val="en-US" w:eastAsia="zh-CN"/>
        </w:rPr>
        <w:t xml:space="preserve">41.6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64684D6C">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lang w:val="en-US" w:eastAsia="zh-CN"/>
        </w:rPr>
        <w:t xml:space="preserve">41.7在政府采购活动中，残疾人福利性单位视同小型、微型企业，享受预留份额、评审中价格扣除等促进中小企业发展的政府采购政策。残疾人福利性单位定义：享受政府采购支持政策的残疾人福利性单位应当同时满足以下条件： </w:t>
      </w:r>
    </w:p>
    <w:p w14:paraId="1A0B267B">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lang w:val="en-US" w:eastAsia="zh-CN"/>
        </w:rPr>
        <w:t xml:space="preserve">41.7.1安置的残疾人占本单位在职职工人数的比例不低于 25% （含 25%），并且安置的残疾人人数不少于 10 人（含 10人）； </w:t>
      </w:r>
    </w:p>
    <w:p w14:paraId="387D20FF">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lang w:val="en-US" w:eastAsia="zh-CN"/>
        </w:rPr>
        <w:t>41.7.2依法与安置的每位残疾人签订了1年以上（含1年）的劳动合同或服务协议；</w:t>
      </w:r>
    </w:p>
    <w:p w14:paraId="5024218F">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lang w:val="en-US" w:eastAsia="zh-CN"/>
        </w:rPr>
        <w:t>41.7.3为安置的每位残疾人按月足额缴纳了基本养老保险、基本医疗保险、失业保险、工伤保险和生育保险等社会保险费；</w:t>
      </w:r>
    </w:p>
    <w:p w14:paraId="002ADEF6">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lang w:val="en-US" w:eastAsia="zh-CN"/>
        </w:rPr>
        <w:t>41.7.4通过银行等金融机构向安置的每位残疾人，按月支付了不低于单位所在区县适用的经省级人民政府批准的月最低工资标准的工资；</w:t>
      </w:r>
    </w:p>
    <w:p w14:paraId="65EE5255">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lang w:val="en-US" w:eastAsia="zh-CN"/>
        </w:rPr>
        <w:t>41.7.5提供本单位制造的货物、承担的工程或者服务（以下简称产品），或者提供其他残疾人福利性单位制造的货物（不包括使用非残疾人福利性单位注册商标的货物）；</w:t>
      </w:r>
    </w:p>
    <w:p w14:paraId="36DE0348">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lang w:val="en-US" w:eastAsia="zh-CN"/>
        </w:rPr>
        <w:t>41.7.6前款所称残疾人是指法定劳动年龄内，持有《中华人民共和国残疾人证》或者《中华人民共和国残疾军人证（1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级）》的自然人，包括具有劳动条件和劳动意愿的精神残疾人。在职职工人数是指与残疾人福利性单位建立劳动关系并依法签订劳动合同或服务协议的雇员人数。</w:t>
      </w:r>
    </w:p>
    <w:p w14:paraId="343768E4">
      <w:pPr>
        <w:pStyle w:val="37"/>
        <w:keepNext w:val="0"/>
        <w:keepLines w:val="0"/>
        <w:pageBreakBefore w:val="0"/>
        <w:widowControl w:val="0"/>
        <w:kinsoku/>
        <w:overflowPunct/>
        <w:topLinePunct w:val="0"/>
        <w:autoSpaceDE/>
        <w:autoSpaceDN/>
        <w:bidi w:val="0"/>
        <w:adjustRightInd/>
        <w:spacing w:line="440" w:lineRule="exact"/>
        <w:ind w:left="480" w:leftChars="200" w:firstLine="0" w:firstLineChars="0"/>
        <w:textAlignment w:val="auto"/>
        <w:rPr>
          <w:rFonts w:hint="eastAsia" w:ascii="仿宋" w:hAnsi="仿宋" w:eastAsia="仿宋" w:cs="仿宋"/>
          <w:snapToGrid w:val="0"/>
          <w:color w:val="auto"/>
          <w:sz w:val="24"/>
          <w:szCs w:val="24"/>
          <w:highlight w:val="none"/>
          <w:lang w:val="en-US" w:eastAsia="zh-CN"/>
        </w:rPr>
      </w:pPr>
      <w:r>
        <w:rPr>
          <w:rFonts w:hint="eastAsia" w:ascii="仿宋" w:hAnsi="仿宋" w:eastAsia="仿宋" w:cs="仿宋"/>
          <w:snapToGrid w:val="0"/>
          <w:color w:val="auto"/>
          <w:sz w:val="24"/>
          <w:szCs w:val="24"/>
          <w:highlight w:val="none"/>
          <w:lang w:val="en-US" w:eastAsia="zh-CN"/>
        </w:rPr>
        <w:t>41.8本项目是否专门面向中小企业预留采购份额见“第一章 招标公告”。41.9采购标的对应的中小企业划分标准所属行业见“投标人须知前附表”。</w:t>
      </w:r>
    </w:p>
    <w:p w14:paraId="290049E0">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snapToGrid w:val="0"/>
          <w:color w:val="auto"/>
          <w:sz w:val="24"/>
          <w:szCs w:val="24"/>
          <w:highlight w:val="none"/>
          <w:lang w:val="en-US" w:eastAsia="zh-CN"/>
        </w:rPr>
        <w:t>41.10小微企业价格评审优惠的政策调整：见“投标人须知前附表”及“第五章 评标方法及标准”。</w:t>
      </w:r>
      <w:bookmarkEnd w:id="393"/>
      <w:bookmarkEnd w:id="394"/>
    </w:p>
    <w:p w14:paraId="2F9B5AEA">
      <w:pPr>
        <w:pStyle w:val="4"/>
        <w:keepNext w:val="0"/>
        <w:keepLines w:val="0"/>
        <w:pageBreakBefore w:val="0"/>
        <w:widowControl w:val="0"/>
        <w:numPr>
          <w:ilvl w:val="0"/>
          <w:numId w:val="0"/>
        </w:numPr>
        <w:kinsoku/>
        <w:wordWrap/>
        <w:overflowPunct/>
        <w:topLinePunct w:val="0"/>
        <w:autoSpaceDE/>
        <w:autoSpaceDN/>
        <w:bidi w:val="0"/>
        <w:adjustRightInd/>
        <w:snapToGrid/>
        <w:spacing w:before="120" w:after="120" w:line="440" w:lineRule="exact"/>
        <w:ind w:left="420" w:leftChars="0" w:hanging="420" w:firstLineChars="0"/>
        <w:textAlignment w:val="auto"/>
        <w:rPr>
          <w:rFonts w:hint="eastAsia" w:ascii="仿宋" w:hAnsi="仿宋" w:eastAsia="仿宋" w:cs="仿宋"/>
          <w:b/>
          <w:bCs/>
          <w:color w:val="auto"/>
          <w:kern w:val="2"/>
          <w:sz w:val="24"/>
          <w:szCs w:val="24"/>
          <w:highlight w:val="none"/>
          <w:lang w:val="en-US" w:eastAsia="zh-CN" w:bidi="ar-SA"/>
        </w:rPr>
      </w:pPr>
      <w:bookmarkStart w:id="399" w:name="_Toc25511"/>
      <w:bookmarkStart w:id="400" w:name="_Toc6921"/>
      <w:bookmarkStart w:id="401" w:name="_Toc21672"/>
      <w:bookmarkStart w:id="402" w:name="_Toc163492881"/>
      <w:r>
        <w:rPr>
          <w:rFonts w:hint="eastAsia" w:ascii="仿宋" w:hAnsi="仿宋" w:eastAsia="仿宋" w:cs="仿宋"/>
          <w:b/>
          <w:bCs/>
          <w:color w:val="auto"/>
          <w:kern w:val="2"/>
          <w:sz w:val="24"/>
          <w:szCs w:val="24"/>
          <w:highlight w:val="none"/>
          <w:lang w:val="en-US" w:eastAsia="zh-CN" w:bidi="ar-SA"/>
        </w:rPr>
        <w:t>（十四）其他</w:t>
      </w:r>
      <w:bookmarkEnd w:id="399"/>
      <w:bookmarkEnd w:id="400"/>
      <w:bookmarkEnd w:id="401"/>
      <w:bookmarkEnd w:id="402"/>
    </w:p>
    <w:p w14:paraId="4C9DF984">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仿宋" w:hAnsi="仿宋" w:eastAsia="仿宋" w:cs="仿宋"/>
          <w:b/>
          <w:bCs/>
          <w:color w:val="auto"/>
          <w:kern w:val="2"/>
          <w:sz w:val="24"/>
          <w:szCs w:val="24"/>
          <w:highlight w:val="none"/>
          <w:lang w:val="en-US" w:eastAsia="zh-CN" w:bidi="ar-SA"/>
        </w:rPr>
      </w:pPr>
      <w:bookmarkStart w:id="403" w:name="_Toc163492882"/>
      <w:bookmarkStart w:id="404" w:name="_Toc1148"/>
      <w:bookmarkStart w:id="405" w:name="_Toc19852"/>
      <w:bookmarkStart w:id="406" w:name="_Toc28158"/>
      <w:r>
        <w:rPr>
          <w:rFonts w:hint="eastAsia" w:ascii="仿宋" w:hAnsi="仿宋" w:eastAsia="仿宋" w:cs="仿宋"/>
          <w:b/>
          <w:bCs/>
          <w:color w:val="auto"/>
          <w:kern w:val="2"/>
          <w:sz w:val="24"/>
          <w:szCs w:val="24"/>
          <w:highlight w:val="none"/>
          <w:lang w:val="en-US" w:eastAsia="zh-CN" w:bidi="ar-SA"/>
        </w:rPr>
        <w:t>42.需要补充的其他内容</w:t>
      </w:r>
      <w:bookmarkEnd w:id="403"/>
      <w:bookmarkEnd w:id="404"/>
      <w:bookmarkEnd w:id="405"/>
      <w:bookmarkEnd w:id="406"/>
    </w:p>
    <w:p w14:paraId="76B529B7">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.1需要补充的其他内容：见投标人须知前附表。</w:t>
      </w:r>
    </w:p>
    <w:p w14:paraId="091A9372">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仿宋" w:hAnsi="仿宋" w:eastAsia="仿宋" w:cs="仿宋"/>
          <w:b/>
          <w:bCs/>
          <w:color w:val="auto"/>
          <w:kern w:val="2"/>
          <w:sz w:val="24"/>
          <w:szCs w:val="24"/>
          <w:highlight w:val="none"/>
          <w:lang w:val="en-US" w:eastAsia="zh-CN" w:bidi="ar-SA"/>
        </w:rPr>
      </w:pPr>
      <w:bookmarkStart w:id="407" w:name="_Toc140132810"/>
      <w:bookmarkStart w:id="408" w:name="_Toc746"/>
      <w:bookmarkStart w:id="409" w:name="_Toc155185886"/>
      <w:bookmarkStart w:id="410" w:name="_Toc163492883"/>
      <w:bookmarkStart w:id="411" w:name="_Toc11583"/>
      <w:bookmarkStart w:id="412" w:name="_Toc24080"/>
      <w:r>
        <w:rPr>
          <w:rFonts w:hint="eastAsia" w:ascii="仿宋" w:hAnsi="仿宋" w:eastAsia="仿宋" w:cs="仿宋"/>
          <w:b/>
          <w:bCs/>
          <w:color w:val="auto"/>
          <w:kern w:val="2"/>
          <w:sz w:val="24"/>
          <w:szCs w:val="24"/>
          <w:highlight w:val="none"/>
          <w:lang w:val="en-US" w:eastAsia="zh-CN" w:bidi="ar-SA"/>
        </w:rPr>
        <w:t>43.适用法律</w:t>
      </w:r>
      <w:bookmarkEnd w:id="407"/>
      <w:bookmarkEnd w:id="408"/>
      <w:bookmarkEnd w:id="409"/>
      <w:bookmarkEnd w:id="410"/>
      <w:bookmarkEnd w:id="411"/>
      <w:bookmarkEnd w:id="412"/>
    </w:p>
    <w:p w14:paraId="44A52343">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lang w:val="en-US" w:eastAsia="zh-CN"/>
        </w:rPr>
        <w:t>43</w:t>
      </w:r>
      <w:r>
        <w:rPr>
          <w:rFonts w:hint="eastAsia" w:ascii="仿宋" w:hAnsi="仿宋" w:eastAsia="仿宋" w:cs="仿宋"/>
          <w:snapToGrid w:val="0"/>
          <w:color w:val="auto"/>
          <w:sz w:val="24"/>
          <w:szCs w:val="24"/>
          <w:highlight w:val="none"/>
        </w:rPr>
        <w:t>.1采购人、采购代理机构及投标人的一切采购活动均适用《中华人民共和国政府采购法》、《中华人民共和国政府采购法实施条例》、《政府采购货物和服务招标投标管理办法》（财政部令第87号）及相关法律法规。</w:t>
      </w:r>
    </w:p>
    <w:p w14:paraId="45726B5D">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snapToGrid w:val="0"/>
          <w:color w:val="auto"/>
          <w:sz w:val="24"/>
          <w:szCs w:val="24"/>
          <w:highlight w:val="none"/>
          <w:lang w:val="en-US" w:eastAsia="zh-CN"/>
        </w:rPr>
        <w:t>43</w:t>
      </w:r>
      <w:r>
        <w:rPr>
          <w:rFonts w:hint="eastAsia" w:ascii="仿宋" w:hAnsi="仿宋" w:eastAsia="仿宋" w:cs="仿宋"/>
          <w:snapToGrid w:val="0"/>
          <w:color w:val="auto"/>
          <w:sz w:val="24"/>
          <w:szCs w:val="24"/>
          <w:highlight w:val="none"/>
        </w:rPr>
        <w:t>.2政府采购合同的履行、违约责任和解决争议的方法等适用《中华人民共和国民法典》。</w:t>
      </w:r>
    </w:p>
    <w:p w14:paraId="772FE704">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仿宋" w:hAnsi="仿宋" w:eastAsia="仿宋" w:cs="仿宋"/>
          <w:b/>
          <w:bCs/>
          <w:color w:val="auto"/>
          <w:kern w:val="2"/>
          <w:sz w:val="24"/>
          <w:szCs w:val="24"/>
          <w:highlight w:val="none"/>
          <w:lang w:val="en-US" w:eastAsia="zh-CN" w:bidi="ar-SA"/>
        </w:rPr>
      </w:pPr>
      <w:bookmarkStart w:id="413" w:name="_Toc155185887"/>
      <w:bookmarkStart w:id="414" w:name="_Toc7856"/>
      <w:bookmarkStart w:id="415" w:name="_Toc17546"/>
      <w:bookmarkStart w:id="416" w:name="_Toc17601"/>
      <w:bookmarkStart w:id="417" w:name="_Toc163492884"/>
      <w:r>
        <w:rPr>
          <w:rFonts w:hint="eastAsia" w:ascii="仿宋" w:hAnsi="仿宋" w:eastAsia="仿宋" w:cs="仿宋"/>
          <w:b/>
          <w:bCs/>
          <w:color w:val="auto"/>
          <w:kern w:val="2"/>
          <w:sz w:val="24"/>
          <w:szCs w:val="24"/>
          <w:highlight w:val="none"/>
          <w:lang w:val="en-US" w:eastAsia="zh-CN" w:bidi="ar-SA"/>
        </w:rPr>
        <w:t>44.解释权</w:t>
      </w:r>
      <w:bookmarkEnd w:id="413"/>
      <w:bookmarkEnd w:id="414"/>
      <w:bookmarkEnd w:id="415"/>
      <w:bookmarkEnd w:id="416"/>
      <w:bookmarkEnd w:id="417"/>
    </w:p>
    <w:p w14:paraId="654A84B4">
      <w:pPr>
        <w:pStyle w:val="37"/>
        <w:keepNext w:val="0"/>
        <w:keepLines w:val="0"/>
        <w:pageBreakBefore w:val="0"/>
        <w:widowControl w:val="0"/>
        <w:kinsoku/>
        <w:overflowPunct/>
        <w:topLinePunct w:val="0"/>
        <w:autoSpaceDE/>
        <w:autoSpaceDN/>
        <w:bidi w:val="0"/>
        <w:adjustRightInd/>
        <w:spacing w:line="440" w:lineRule="exact"/>
        <w:textAlignment w:val="auto"/>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lang w:val="en-US" w:eastAsia="zh-CN"/>
        </w:rPr>
        <w:t>44</w:t>
      </w:r>
      <w:r>
        <w:rPr>
          <w:rFonts w:hint="eastAsia" w:ascii="仿宋" w:hAnsi="仿宋" w:eastAsia="仿宋" w:cs="仿宋"/>
          <w:snapToGrid w:val="0"/>
          <w:color w:val="auto"/>
          <w:sz w:val="24"/>
          <w:szCs w:val="24"/>
          <w:highlight w:val="none"/>
        </w:rPr>
        <w:t>.1本招标文件最终解释权归采购人或采购代理机构所有。</w:t>
      </w:r>
    </w:p>
    <w:p w14:paraId="04BAFEDA">
      <w:pPr>
        <w:rPr>
          <w:rFonts w:hint="eastAsia" w:ascii="仿宋" w:hAnsi="仿宋" w:eastAsia="仿宋" w:cs="仿宋"/>
          <w:b/>
          <w:bCs/>
          <w:color w:val="auto"/>
          <w:kern w:val="44"/>
          <w:sz w:val="36"/>
          <w:szCs w:val="36"/>
          <w:highlight w:val="none"/>
          <w:lang w:val="en-US" w:eastAsia="zh-CN" w:bidi="ar-SA"/>
        </w:rPr>
      </w:pPr>
      <w:bookmarkStart w:id="418" w:name="_Toc21746"/>
      <w:bookmarkStart w:id="419" w:name="_Toc155185888"/>
      <w:r>
        <w:rPr>
          <w:rFonts w:hint="eastAsia" w:ascii="仿宋" w:hAnsi="仿宋" w:eastAsia="仿宋" w:cs="仿宋"/>
          <w:b/>
          <w:bCs/>
          <w:color w:val="auto"/>
          <w:kern w:val="44"/>
          <w:sz w:val="36"/>
          <w:szCs w:val="36"/>
          <w:highlight w:val="none"/>
          <w:lang w:val="en-US" w:eastAsia="zh-CN" w:bidi="ar-SA"/>
        </w:rPr>
        <w:br w:type="page"/>
      </w:r>
    </w:p>
    <w:p w14:paraId="2C08A922">
      <w:pPr>
        <w:pStyle w:val="13"/>
        <w:widowControl/>
        <w:shd w:val="clear"/>
        <w:kinsoku w:val="0"/>
        <w:autoSpaceDE w:val="0"/>
        <w:autoSpaceDN w:val="0"/>
        <w:adjustRightInd w:val="0"/>
        <w:snapToGrid w:val="0"/>
        <w:spacing w:before="114" w:after="0" w:line="225" w:lineRule="auto"/>
        <w:ind w:left="3198"/>
        <w:jc w:val="both"/>
        <w:textAlignment w:val="baseline"/>
        <w:outlineLvl w:val="0"/>
        <w:rPr>
          <w:rFonts w:hint="eastAsia" w:ascii="仿宋" w:hAnsi="仿宋" w:eastAsia="仿宋" w:cs="仿宋"/>
          <w:b/>
          <w:bCs/>
          <w:snapToGrid w:val="0"/>
          <w:color w:val="auto"/>
          <w:spacing w:val="5"/>
          <w:kern w:val="0"/>
          <w:sz w:val="35"/>
          <w:szCs w:val="35"/>
          <w:highlight w:val="none"/>
          <w:lang w:val="en-US" w:eastAsia="zh-CN" w:bidi="ar-SA"/>
        </w:rPr>
      </w:pPr>
    </w:p>
    <w:p w14:paraId="69295988">
      <w:pPr>
        <w:pStyle w:val="13"/>
        <w:widowControl/>
        <w:shd w:val="clear"/>
        <w:kinsoku w:val="0"/>
        <w:autoSpaceDE w:val="0"/>
        <w:autoSpaceDN w:val="0"/>
        <w:adjustRightInd w:val="0"/>
        <w:snapToGrid w:val="0"/>
        <w:spacing w:before="114" w:after="0" w:line="225" w:lineRule="auto"/>
        <w:ind w:left="3198"/>
        <w:jc w:val="both"/>
        <w:textAlignment w:val="baseline"/>
        <w:outlineLvl w:val="0"/>
        <w:rPr>
          <w:rFonts w:hint="eastAsia" w:ascii="仿宋" w:hAnsi="仿宋" w:eastAsia="仿宋" w:cs="仿宋"/>
          <w:b/>
          <w:bCs/>
          <w:snapToGrid w:val="0"/>
          <w:color w:val="auto"/>
          <w:spacing w:val="5"/>
          <w:kern w:val="0"/>
          <w:sz w:val="35"/>
          <w:szCs w:val="35"/>
          <w:highlight w:val="none"/>
          <w:lang w:val="en-US" w:eastAsia="zh-CN" w:bidi="ar-SA"/>
        </w:rPr>
      </w:pPr>
      <w:r>
        <w:rPr>
          <w:rFonts w:hint="eastAsia" w:ascii="仿宋" w:hAnsi="仿宋" w:eastAsia="仿宋" w:cs="仿宋"/>
          <w:b/>
          <w:bCs/>
          <w:snapToGrid w:val="0"/>
          <w:color w:val="auto"/>
          <w:spacing w:val="5"/>
          <w:kern w:val="0"/>
          <w:sz w:val="35"/>
          <w:szCs w:val="35"/>
          <w:highlight w:val="none"/>
          <w:lang w:val="en-US" w:eastAsia="zh-CN" w:bidi="ar-SA"/>
        </w:rPr>
        <w:t>第三章 采购需求</w:t>
      </w:r>
      <w:bookmarkEnd w:id="418"/>
      <w:bookmarkEnd w:id="419"/>
    </w:p>
    <w:p w14:paraId="657E7113">
      <w:pPr>
        <w:pStyle w:val="3"/>
        <w:bidi w:val="0"/>
        <w:spacing w:before="0" w:after="0" w:line="360" w:lineRule="auto"/>
        <w:rPr>
          <w:rFonts w:hint="eastAsia" w:ascii="仿宋" w:hAnsi="仿宋" w:eastAsia="仿宋" w:cs="仿宋"/>
          <w:color w:val="auto"/>
          <w:lang w:val="en-US" w:eastAsia="zh-CN"/>
        </w:rPr>
      </w:pPr>
      <w:bookmarkStart w:id="420" w:name="_Toc16822"/>
      <w:bookmarkStart w:id="421" w:name="_Toc140132812"/>
      <w:bookmarkStart w:id="422" w:name="_Toc155185889"/>
      <w:r>
        <w:rPr>
          <w:rFonts w:hint="eastAsia" w:ascii="仿宋" w:hAnsi="仿宋" w:eastAsia="仿宋" w:cs="仿宋"/>
          <w:b/>
          <w:bCs/>
          <w:iCs/>
          <w:color w:val="auto"/>
          <w:kern w:val="2"/>
          <w:sz w:val="24"/>
          <w:szCs w:val="24"/>
          <w:shd w:val="clear" w:fill="FFFFFF" w:themeFill="background1"/>
          <w:lang w:val="en-US" w:eastAsia="zh-CN" w:bidi="ar-SA"/>
        </w:rPr>
        <w:t>一、采购标的</w:t>
      </w:r>
      <w:bookmarkEnd w:id="420"/>
      <w:r>
        <w:rPr>
          <w:rFonts w:hint="eastAsia" w:ascii="仿宋" w:hAnsi="仿宋" w:eastAsia="仿宋" w:cs="仿宋"/>
          <w:b/>
          <w:bCs/>
          <w:iCs/>
          <w:color w:val="auto"/>
          <w:kern w:val="2"/>
          <w:sz w:val="24"/>
          <w:szCs w:val="24"/>
          <w:shd w:val="clear" w:fill="FFFFFF" w:themeFill="background1"/>
          <w:lang w:val="en-US" w:eastAsia="zh-CN" w:bidi="ar-SA"/>
        </w:rPr>
        <w:t xml:space="preserve"> </w:t>
      </w:r>
    </w:p>
    <w:p w14:paraId="1EEA8282">
      <w:pPr>
        <w:widowControl/>
        <w:spacing w:line="360" w:lineRule="auto"/>
        <w:jc w:val="left"/>
        <w:rPr>
          <w:rFonts w:hint="eastAsia" w:ascii="仿宋" w:hAnsi="仿宋" w:eastAsia="仿宋" w:cs="仿宋"/>
          <w:snapToGrid w:val="0"/>
          <w:color w:val="auto"/>
          <w:sz w:val="24"/>
          <w:szCs w:val="24"/>
          <w:highlight w:val="none"/>
          <w:lang w:val="en-US" w:eastAsia="zh-CN"/>
        </w:rPr>
      </w:pPr>
      <w:r>
        <w:rPr>
          <w:rFonts w:hint="eastAsia" w:ascii="仿宋" w:hAnsi="仿宋" w:eastAsia="仿宋" w:cs="仿宋"/>
          <w:b/>
          <w:bCs/>
          <w:color w:val="auto"/>
          <w:kern w:val="0"/>
          <w:sz w:val="24"/>
          <w:lang w:val="en-US" w:eastAsia="zh-CN" w:bidi="ar"/>
        </w:rPr>
        <w:t xml:space="preserve">    1、</w:t>
      </w:r>
      <w:r>
        <w:rPr>
          <w:rFonts w:hint="eastAsia" w:ascii="仿宋" w:hAnsi="仿宋" w:eastAsia="仿宋" w:cs="仿宋"/>
          <w:b/>
          <w:bCs/>
          <w:iCs/>
          <w:color w:val="auto"/>
          <w:kern w:val="2"/>
          <w:sz w:val="24"/>
          <w:szCs w:val="24"/>
          <w:shd w:val="clear" w:fill="FFFFFF" w:themeFill="background1"/>
          <w:lang w:val="en-US" w:eastAsia="zh-CN" w:bidi="ar-SA"/>
        </w:rPr>
        <w:t>采购标的</w:t>
      </w:r>
    </w:p>
    <w:p w14:paraId="31331BDC">
      <w:pPr>
        <w:widowControl/>
        <w:spacing w:line="360" w:lineRule="auto"/>
        <w:ind w:firstLine="480" w:firstLineChars="200"/>
        <w:jc w:val="left"/>
        <w:rPr>
          <w:rFonts w:hint="eastAsia" w:ascii="仿宋" w:hAnsi="仿宋" w:eastAsia="仿宋" w:cs="仿宋"/>
          <w:color w:val="auto"/>
          <w:sz w:val="24"/>
          <w:szCs w:val="24"/>
          <w:highlight w:val="none"/>
          <w:u w:val="none"/>
          <w:lang w:val="hr-HR" w:eastAsia="zh-CN"/>
        </w:rPr>
      </w:pPr>
      <w:r>
        <w:rPr>
          <w:rFonts w:hint="eastAsia" w:ascii="仿宋" w:hAnsi="仿宋" w:eastAsia="仿宋" w:cs="仿宋"/>
          <w:color w:val="auto"/>
          <w:sz w:val="24"/>
          <w:szCs w:val="24"/>
          <w:highlight w:val="none"/>
          <w:u w:val="none"/>
          <w:lang w:val="hr-HR"/>
        </w:rPr>
        <w:t>本次防洪规划工作，依据《防洪规划编制规程》（SL669-2014）等相关技术标准，在原防洪规划成果的基础上，按照自治区党委、乌鲁木齐市委、自治区水利厅关于乌鲁木齐高质量发展的总体要求，结合乌鲁木齐市经济社会发展规划布局要求、防洪现状及形势分析，对乌鲁木齐市各县区主要河流及山洪沟的防洪保护对象和防洪标准进行复核，防洪总体布局进行梳理分析，提出相应的防洪工程和非工程措施方案，编制并提交《乌鲁木齐市防洪规划报告》及《乌鲁木齐市防洪规划报告附图集》</w:t>
      </w:r>
      <w:r>
        <w:rPr>
          <w:rFonts w:hint="eastAsia" w:ascii="仿宋" w:hAnsi="仿宋" w:eastAsia="仿宋" w:cs="仿宋"/>
          <w:color w:val="auto"/>
          <w:sz w:val="24"/>
          <w:szCs w:val="24"/>
          <w:highlight w:val="none"/>
          <w:u w:val="none"/>
          <w:lang w:val="hr-HR" w:eastAsia="zh-CN"/>
        </w:rPr>
        <w:t>。</w:t>
      </w:r>
    </w:p>
    <w:p w14:paraId="57A1F4A2">
      <w:pPr>
        <w:widowControl/>
        <w:spacing w:line="360" w:lineRule="auto"/>
        <w:jc w:val="left"/>
        <w:rPr>
          <w:rFonts w:ascii="仿宋" w:hAnsi="仿宋" w:eastAsia="仿宋" w:cs="仿宋"/>
          <w:b/>
          <w:bCs/>
          <w:color w:val="auto"/>
          <w:kern w:val="0"/>
          <w:sz w:val="24"/>
          <w:lang w:bidi="ar"/>
        </w:rPr>
      </w:pP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b/>
          <w:bCs/>
          <w:color w:val="auto"/>
          <w:kern w:val="0"/>
          <w:sz w:val="24"/>
          <w:lang w:val="en-US" w:eastAsia="zh-CN" w:bidi="ar"/>
        </w:rPr>
        <w:t xml:space="preserve">  2、</w:t>
      </w:r>
      <w:r>
        <w:rPr>
          <w:rFonts w:hint="eastAsia" w:ascii="仿宋" w:hAnsi="仿宋" w:eastAsia="仿宋" w:cs="仿宋"/>
          <w:b/>
          <w:bCs/>
          <w:color w:val="auto"/>
          <w:kern w:val="0"/>
          <w:sz w:val="24"/>
          <w:lang w:bidi="ar"/>
        </w:rPr>
        <w:t xml:space="preserve">项目规划概况 </w:t>
      </w:r>
    </w:p>
    <w:p w14:paraId="2E50F5A4">
      <w:pPr>
        <w:widowControl/>
        <w:spacing w:line="360" w:lineRule="auto"/>
        <w:ind w:firstLine="480" w:firstLineChars="200"/>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乌鲁木齐市作为新疆维吾尔自治区首府和中国（新疆）自贸试验区，是全疆的政治、经济、文化中心，是连接中国内地与中亚、欧洲的重要通道，也是南北疆的重要枢纽，丝绸之路经济带核心区、天山北坡城市群和乌鲁木齐都市圈的中心城市，是方圆1500公里最大的城市，承载着极其重要的引领全疆经济发展的历史和战略使命。</w:t>
      </w:r>
    </w:p>
    <w:p w14:paraId="7CB7225C">
      <w:pPr>
        <w:widowControl/>
        <w:spacing w:line="360" w:lineRule="auto"/>
        <w:ind w:firstLine="480" w:firstLineChars="200"/>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随着乌鲁木齐市发展规划的调整，先后进行了2次防洪规划编制工作，最近一次为2014年乌鲁木市人民政府批准的《乌鲁木齐市城市防洪规划（2014版）》，该规划中现状基准年为2010年，规划水平年为2030年。2025年1月国务院批复了《乌鲁木齐市国土空间总体规划（2021—2035年）》，进一步明晰了乌鲁木齐市范围、国土空间发展目标、战略定位、发展规模，立足乌鲁木齐市实现“建设现代化国际城市”总体定位，对</w:t>
      </w:r>
      <w:r>
        <w:rPr>
          <w:rFonts w:ascii="仿宋" w:hAnsi="仿宋" w:eastAsia="仿宋" w:cs="仿宋"/>
          <w:color w:val="auto"/>
          <w:kern w:val="0"/>
          <w:sz w:val="24"/>
          <w:lang w:bidi="ar"/>
        </w:rPr>
        <w:t>构建洪涝灾害防治新格局提出了更高的要求</w:t>
      </w:r>
      <w:r>
        <w:rPr>
          <w:rFonts w:hint="eastAsia" w:ascii="仿宋" w:hAnsi="仿宋" w:eastAsia="仿宋" w:cs="仿宋"/>
          <w:color w:val="auto"/>
          <w:kern w:val="0"/>
          <w:sz w:val="24"/>
          <w:lang w:bidi="ar"/>
        </w:rPr>
        <w:t>，原防洪规划已不能完全适应</w:t>
      </w:r>
      <w:r>
        <w:rPr>
          <w:rFonts w:ascii="仿宋" w:hAnsi="仿宋" w:eastAsia="仿宋" w:cs="仿宋"/>
          <w:color w:val="auto"/>
          <w:kern w:val="0"/>
          <w:sz w:val="24"/>
          <w:lang w:bidi="ar"/>
        </w:rPr>
        <w:t>高质量发展和高水平安全</w:t>
      </w:r>
      <w:r>
        <w:rPr>
          <w:rFonts w:hint="eastAsia" w:ascii="仿宋" w:hAnsi="仿宋" w:eastAsia="仿宋" w:cs="仿宋"/>
          <w:color w:val="auto"/>
          <w:kern w:val="0"/>
          <w:sz w:val="24"/>
          <w:lang w:bidi="ar"/>
        </w:rPr>
        <w:t>新要求。</w:t>
      </w:r>
    </w:p>
    <w:p w14:paraId="2A813CAF">
      <w:pPr>
        <w:widowControl/>
        <w:spacing w:line="360" w:lineRule="auto"/>
        <w:ind w:firstLine="480" w:firstLineChars="200"/>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自治区党委和政府高度重视乌鲁木齐市工作，始终把加快首府城市高质量发展摆在重要位置。为贯彻落实自治区党委、政府部署要求，2024年11月乌鲁木齐市市委、市政府与水利厅召开座谈会，研究推动解决制约水安全的瓶颈问题。防洪安全是水安全体系的重要组成部分，关乎城市高质量发展。防洪规划作为乌鲁木齐市城市防洪减灾体系建设的重要抓手，发挥着顶层设计，规划引领的作用，对保障城市防洪安全，支撑城市高质量发展具有重要的指导意义。</w:t>
      </w:r>
    </w:p>
    <w:p w14:paraId="5C8A0B57">
      <w:pPr>
        <w:widowControl/>
        <w:spacing w:line="360" w:lineRule="auto"/>
        <w:jc w:val="left"/>
        <w:rPr>
          <w:rFonts w:hint="default" w:ascii="仿宋" w:hAnsi="仿宋" w:eastAsia="仿宋" w:cs="仿宋"/>
          <w:color w:val="auto"/>
          <w:sz w:val="24"/>
          <w:szCs w:val="24"/>
          <w:highlight w:val="none"/>
          <w:u w:val="none"/>
          <w:lang w:val="en-US" w:eastAsia="zh-CN"/>
        </w:rPr>
      </w:pPr>
    </w:p>
    <w:p w14:paraId="553881E0">
      <w:pPr>
        <w:pStyle w:val="3"/>
        <w:bidi w:val="0"/>
        <w:spacing w:before="0" w:after="0" w:line="360" w:lineRule="auto"/>
        <w:rPr>
          <w:rFonts w:hint="eastAsia" w:ascii="仿宋" w:hAnsi="仿宋" w:eastAsia="仿宋" w:cs="仿宋"/>
          <w:b/>
          <w:bCs/>
          <w:iCs/>
          <w:color w:val="auto"/>
          <w:kern w:val="2"/>
          <w:sz w:val="24"/>
          <w:szCs w:val="24"/>
          <w:shd w:val="clear" w:fill="FFFFFF" w:themeFill="background1"/>
          <w:lang w:val="en-US" w:eastAsia="zh-CN" w:bidi="ar-SA"/>
        </w:rPr>
      </w:pPr>
      <w:r>
        <w:rPr>
          <w:rFonts w:hint="eastAsia" w:ascii="仿宋" w:hAnsi="仿宋" w:eastAsia="仿宋" w:cs="仿宋"/>
          <w:b/>
          <w:bCs/>
          <w:iCs/>
          <w:color w:val="auto"/>
          <w:kern w:val="2"/>
          <w:sz w:val="24"/>
          <w:szCs w:val="24"/>
          <w:shd w:val="clear" w:fill="FFFFFF" w:themeFill="background1"/>
          <w:lang w:val="en-US" w:eastAsia="zh-CN" w:bidi="ar-SA"/>
        </w:rPr>
        <w:t>二、商务要求</w:t>
      </w:r>
    </w:p>
    <w:p w14:paraId="065D6A1C">
      <w:pPr>
        <w:widowControl/>
        <w:spacing w:line="360" w:lineRule="auto"/>
        <w:ind w:firstLine="480" w:firstLineChars="200"/>
        <w:jc w:val="left"/>
        <w:rPr>
          <w:rFonts w:hint="eastAsia" w:ascii="仿宋" w:hAnsi="仿宋" w:eastAsia="仿宋" w:cs="仿宋"/>
          <w:b w:val="0"/>
          <w:bCs w:val="0"/>
          <w:color w:val="auto"/>
          <w:kern w:val="0"/>
          <w:sz w:val="24"/>
          <w:lang w:val="hr-HR" w:bidi="ar"/>
        </w:rPr>
      </w:pPr>
      <w:r>
        <w:rPr>
          <w:rFonts w:hint="eastAsia" w:ascii="仿宋" w:hAnsi="仿宋" w:eastAsia="仿宋" w:cs="仿宋"/>
          <w:b w:val="0"/>
          <w:bCs w:val="0"/>
          <w:color w:val="auto"/>
          <w:kern w:val="0"/>
          <w:sz w:val="24"/>
          <w:lang w:val="en-US" w:eastAsia="zh-CN" w:bidi="ar"/>
        </w:rPr>
        <w:t>1</w:t>
      </w:r>
      <w:r>
        <w:rPr>
          <w:rFonts w:hint="eastAsia" w:ascii="仿宋" w:hAnsi="仿宋" w:eastAsia="仿宋" w:cs="仿宋"/>
          <w:b w:val="0"/>
          <w:bCs w:val="0"/>
          <w:color w:val="auto"/>
          <w:kern w:val="0"/>
          <w:sz w:val="24"/>
          <w:lang w:bidi="ar"/>
        </w:rPr>
        <w:t>.</w:t>
      </w:r>
      <w:r>
        <w:rPr>
          <w:rFonts w:hint="eastAsia" w:ascii="仿宋" w:hAnsi="仿宋" w:eastAsia="仿宋" w:cs="仿宋"/>
          <w:b w:val="0"/>
          <w:bCs w:val="0"/>
          <w:color w:val="auto"/>
          <w:kern w:val="0"/>
          <w:sz w:val="24"/>
          <w:lang w:val="en-US" w:eastAsia="zh-CN" w:bidi="ar"/>
        </w:rPr>
        <w:t>★服务</w:t>
      </w:r>
      <w:r>
        <w:rPr>
          <w:rFonts w:hint="eastAsia" w:ascii="仿宋" w:hAnsi="仿宋" w:eastAsia="仿宋" w:cs="仿宋"/>
          <w:b w:val="0"/>
          <w:bCs w:val="0"/>
          <w:color w:val="auto"/>
          <w:kern w:val="0"/>
          <w:sz w:val="24"/>
          <w:lang w:bidi="ar"/>
        </w:rPr>
        <w:t>期限：</w:t>
      </w:r>
      <w:r>
        <w:rPr>
          <w:rFonts w:hint="eastAsia" w:ascii="仿宋" w:hAnsi="仿宋" w:eastAsia="仿宋" w:cs="仿宋"/>
          <w:b w:val="0"/>
          <w:bCs w:val="0"/>
          <w:color w:val="auto"/>
          <w:kern w:val="0"/>
          <w:sz w:val="24"/>
          <w:lang w:val="en-US" w:eastAsia="zh-CN" w:bidi="ar"/>
        </w:rPr>
        <w:t>合同签订后至2026年9月（至审查通过自治区人民政府批复）</w:t>
      </w:r>
    </w:p>
    <w:p w14:paraId="3D8FFB4D">
      <w:pPr>
        <w:widowControl/>
        <w:spacing w:line="360" w:lineRule="auto"/>
        <w:ind w:firstLine="480" w:firstLineChars="200"/>
        <w:jc w:val="left"/>
        <w:rPr>
          <w:rFonts w:hint="eastAsia" w:ascii="仿宋" w:hAnsi="仿宋" w:eastAsia="仿宋" w:cs="仿宋"/>
          <w:b w:val="0"/>
          <w:bCs w:val="0"/>
          <w:color w:val="auto"/>
          <w:kern w:val="0"/>
          <w:sz w:val="24"/>
          <w:lang w:bidi="ar"/>
        </w:rPr>
      </w:pPr>
      <w:r>
        <w:rPr>
          <w:rFonts w:hint="eastAsia" w:ascii="仿宋" w:hAnsi="仿宋" w:eastAsia="仿宋" w:cs="仿宋"/>
          <w:b w:val="0"/>
          <w:bCs w:val="0"/>
          <w:color w:val="auto"/>
          <w:kern w:val="0"/>
          <w:sz w:val="24"/>
          <w:lang w:val="en-US" w:eastAsia="zh-CN" w:bidi="ar"/>
        </w:rPr>
        <w:t>2</w:t>
      </w:r>
      <w:r>
        <w:rPr>
          <w:rFonts w:hint="eastAsia" w:ascii="仿宋" w:hAnsi="仿宋" w:eastAsia="仿宋" w:cs="仿宋"/>
          <w:b w:val="0"/>
          <w:bCs w:val="0"/>
          <w:color w:val="auto"/>
          <w:kern w:val="0"/>
          <w:sz w:val="24"/>
          <w:lang w:bidi="ar"/>
        </w:rPr>
        <w:t>.</w:t>
      </w:r>
      <w:r>
        <w:rPr>
          <w:rFonts w:hint="eastAsia" w:ascii="仿宋" w:hAnsi="仿宋" w:eastAsia="仿宋" w:cs="仿宋"/>
          <w:b w:val="0"/>
          <w:bCs w:val="0"/>
          <w:snapToGrid w:val="0"/>
          <w:color w:val="auto"/>
          <w:sz w:val="24"/>
          <w:szCs w:val="24"/>
          <w:highlight w:val="none"/>
          <w:lang w:val="en-US" w:eastAsia="zh-CN"/>
        </w:rPr>
        <w:t>★</w:t>
      </w:r>
      <w:r>
        <w:rPr>
          <w:rFonts w:hint="eastAsia" w:ascii="仿宋" w:hAnsi="仿宋" w:eastAsia="仿宋" w:cs="仿宋"/>
          <w:b w:val="0"/>
          <w:bCs w:val="0"/>
          <w:color w:val="auto"/>
          <w:kern w:val="0"/>
          <w:sz w:val="24"/>
          <w:lang w:bidi="ar"/>
        </w:rPr>
        <w:t>服务地点</w:t>
      </w:r>
      <w:r>
        <w:rPr>
          <w:rFonts w:hint="eastAsia" w:ascii="仿宋" w:hAnsi="仿宋" w:eastAsia="仿宋" w:cs="仿宋"/>
          <w:b w:val="0"/>
          <w:bCs w:val="0"/>
          <w:color w:val="auto"/>
          <w:kern w:val="0"/>
          <w:sz w:val="24"/>
          <w:lang w:eastAsia="zh-CN" w:bidi="ar"/>
        </w:rPr>
        <w:t>：</w:t>
      </w:r>
      <w:r>
        <w:rPr>
          <w:rFonts w:hint="eastAsia" w:ascii="仿宋" w:hAnsi="仿宋" w:eastAsia="仿宋" w:cs="仿宋"/>
          <w:b w:val="0"/>
          <w:bCs w:val="0"/>
          <w:color w:val="auto"/>
          <w:kern w:val="0"/>
          <w:sz w:val="24"/>
          <w:lang w:bidi="ar"/>
        </w:rPr>
        <w:t>乌鲁木齐市</w:t>
      </w:r>
    </w:p>
    <w:p w14:paraId="0854D89A">
      <w:pPr>
        <w:widowControl/>
        <w:spacing w:line="360" w:lineRule="auto"/>
        <w:ind w:firstLine="480" w:firstLineChars="200"/>
        <w:jc w:val="left"/>
        <w:rPr>
          <w:rFonts w:hint="eastAsia" w:ascii="仿宋" w:hAnsi="仿宋" w:eastAsia="仿宋" w:cs="仿宋"/>
          <w:b w:val="0"/>
          <w:bCs w:val="0"/>
          <w:color w:val="auto"/>
          <w:kern w:val="0"/>
          <w:sz w:val="24"/>
          <w:lang w:val="en-US" w:eastAsia="zh-CN" w:bidi="ar"/>
        </w:rPr>
      </w:pPr>
      <w:r>
        <w:rPr>
          <w:rFonts w:hint="eastAsia" w:ascii="仿宋" w:hAnsi="仿宋" w:eastAsia="仿宋" w:cs="仿宋"/>
          <w:b w:val="0"/>
          <w:bCs w:val="0"/>
          <w:color w:val="auto"/>
          <w:kern w:val="0"/>
          <w:sz w:val="24"/>
          <w:lang w:val="en-US" w:eastAsia="zh-CN" w:bidi="ar"/>
        </w:rPr>
        <w:t>3</w:t>
      </w:r>
      <w:r>
        <w:rPr>
          <w:rFonts w:hint="eastAsia" w:ascii="仿宋" w:hAnsi="仿宋" w:eastAsia="仿宋" w:cs="仿宋"/>
          <w:b w:val="0"/>
          <w:bCs w:val="0"/>
          <w:color w:val="auto"/>
          <w:kern w:val="0"/>
          <w:sz w:val="24"/>
          <w:lang w:bidi="ar"/>
        </w:rPr>
        <w:t>.</w:t>
      </w:r>
      <w:r>
        <w:rPr>
          <w:rFonts w:hint="eastAsia" w:ascii="仿宋" w:hAnsi="仿宋" w:eastAsia="仿宋" w:cs="仿宋"/>
          <w:b w:val="0"/>
          <w:bCs w:val="0"/>
          <w:snapToGrid w:val="0"/>
          <w:color w:val="auto"/>
          <w:sz w:val="24"/>
          <w:szCs w:val="24"/>
          <w:highlight w:val="none"/>
          <w:lang w:val="en-US" w:eastAsia="zh-CN"/>
        </w:rPr>
        <w:t>★</w:t>
      </w:r>
      <w:r>
        <w:rPr>
          <w:rFonts w:hint="eastAsia" w:ascii="仿宋" w:hAnsi="仿宋" w:eastAsia="仿宋" w:cs="仿宋"/>
          <w:b w:val="0"/>
          <w:bCs w:val="0"/>
          <w:color w:val="auto"/>
          <w:kern w:val="0"/>
          <w:sz w:val="24"/>
          <w:lang w:bidi="ar"/>
        </w:rPr>
        <w:t>付款方式：</w:t>
      </w:r>
      <w:r>
        <w:rPr>
          <w:rFonts w:hint="eastAsia" w:ascii="仿宋" w:hAnsi="仿宋" w:eastAsia="仿宋" w:cs="仿宋"/>
          <w:b w:val="0"/>
          <w:bCs w:val="0"/>
          <w:color w:val="auto"/>
          <w:kern w:val="0"/>
          <w:sz w:val="24"/>
          <w:lang w:val="en-US" w:eastAsia="zh-CN" w:bidi="ar"/>
        </w:rPr>
        <w:t>合同签订后7个工作日付至合同价款的40%，完成初审付至合同价款的60%，审查通过付至合同价款80%，自治区人民政府批复后付至合同价款的100%。</w:t>
      </w:r>
    </w:p>
    <w:p w14:paraId="1E7AECE8">
      <w:pPr>
        <w:pStyle w:val="3"/>
        <w:bidi w:val="0"/>
        <w:spacing w:before="0" w:after="0" w:line="360" w:lineRule="auto"/>
        <w:rPr>
          <w:rFonts w:hint="eastAsia" w:ascii="仿宋" w:hAnsi="仿宋" w:eastAsia="仿宋" w:cs="仿宋"/>
          <w:b/>
          <w:bCs/>
          <w:iCs/>
          <w:color w:val="auto"/>
          <w:kern w:val="2"/>
          <w:sz w:val="24"/>
          <w:szCs w:val="24"/>
          <w:shd w:val="clear" w:fill="FFFFFF" w:themeFill="background1"/>
          <w:lang w:val="en-US" w:eastAsia="zh-CN" w:bidi="ar-SA"/>
        </w:rPr>
      </w:pPr>
      <w:r>
        <w:rPr>
          <w:rFonts w:hint="eastAsia" w:ascii="仿宋" w:hAnsi="仿宋" w:eastAsia="仿宋" w:cs="仿宋"/>
          <w:b/>
          <w:bCs/>
          <w:iCs/>
          <w:color w:val="auto"/>
          <w:kern w:val="2"/>
          <w:sz w:val="24"/>
          <w:szCs w:val="24"/>
          <w:shd w:val="clear" w:fill="FFFFFF" w:themeFill="background1"/>
          <w:lang w:val="en-US" w:eastAsia="zh-CN" w:bidi="ar-SA"/>
        </w:rPr>
        <w:t>三、技术要求</w:t>
      </w:r>
    </w:p>
    <w:p w14:paraId="54F747E2">
      <w:pPr>
        <w:widowControl/>
        <w:spacing w:line="360" w:lineRule="auto"/>
        <w:ind w:firstLine="482" w:firstLineChars="200"/>
        <w:jc w:val="left"/>
        <w:rPr>
          <w:rFonts w:hint="default" w:ascii="仿宋" w:hAnsi="仿宋" w:eastAsia="仿宋" w:cs="仿宋"/>
          <w:b/>
          <w:bCs/>
          <w:iCs/>
          <w:color w:val="auto"/>
          <w:kern w:val="2"/>
          <w:sz w:val="24"/>
          <w:szCs w:val="24"/>
          <w:shd w:val="clear" w:fill="FFFFFF" w:themeFill="background1"/>
          <w:lang w:val="en-US" w:eastAsia="zh-CN" w:bidi="ar-SA"/>
        </w:rPr>
      </w:pPr>
      <w:r>
        <w:rPr>
          <w:rFonts w:hint="eastAsia" w:ascii="仿宋" w:hAnsi="仿宋" w:eastAsia="仿宋" w:cs="仿宋"/>
          <w:b/>
          <w:bCs/>
          <w:iCs/>
          <w:color w:val="auto"/>
          <w:kern w:val="2"/>
          <w:sz w:val="24"/>
          <w:szCs w:val="24"/>
          <w:shd w:val="clear" w:fill="FFFFFF" w:themeFill="background1"/>
          <w:lang w:val="en-US" w:eastAsia="zh-CN" w:bidi="ar-SA"/>
        </w:rPr>
        <w:t>1.基本要求</w:t>
      </w:r>
    </w:p>
    <w:p w14:paraId="4D04218A">
      <w:pPr>
        <w:widowControl/>
        <w:spacing w:line="360" w:lineRule="auto"/>
        <w:ind w:firstLine="482" w:firstLineChars="200"/>
        <w:jc w:val="left"/>
        <w:rPr>
          <w:rFonts w:hint="eastAsia" w:ascii="仿宋" w:hAnsi="仿宋" w:eastAsia="仿宋" w:cs="仿宋"/>
          <w:b/>
          <w:bCs/>
          <w:color w:val="auto"/>
          <w:kern w:val="0"/>
          <w:sz w:val="24"/>
          <w:lang w:bidi="ar"/>
        </w:rPr>
      </w:pPr>
      <w:bookmarkStart w:id="423" w:name="OLE_LINK2"/>
      <w:r>
        <w:rPr>
          <w:rFonts w:hint="eastAsia" w:ascii="仿宋" w:hAnsi="仿宋" w:eastAsia="仿宋" w:cs="仿宋"/>
          <w:b/>
          <w:bCs/>
          <w:snapToGrid w:val="0"/>
          <w:color w:val="auto"/>
          <w:sz w:val="24"/>
          <w:szCs w:val="24"/>
          <w:highlight w:val="none"/>
          <w:lang w:val="en-US" w:eastAsia="zh-CN"/>
        </w:rPr>
        <w:t>★</w:t>
      </w:r>
      <w:bookmarkEnd w:id="423"/>
      <w:r>
        <w:rPr>
          <w:rFonts w:hint="eastAsia" w:ascii="仿宋" w:hAnsi="仿宋" w:eastAsia="仿宋" w:cs="仿宋"/>
          <w:b/>
          <w:bCs/>
          <w:color w:val="auto"/>
          <w:kern w:val="0"/>
          <w:sz w:val="24"/>
          <w:lang w:val="en-US" w:eastAsia="zh-CN" w:bidi="ar"/>
        </w:rPr>
        <w:t>（1）</w:t>
      </w:r>
      <w:r>
        <w:rPr>
          <w:rFonts w:hint="eastAsia" w:ascii="仿宋" w:hAnsi="仿宋" w:eastAsia="仿宋" w:cs="仿宋"/>
          <w:b/>
          <w:bCs/>
          <w:color w:val="auto"/>
          <w:kern w:val="0"/>
          <w:sz w:val="24"/>
          <w:lang w:bidi="ar"/>
        </w:rPr>
        <w:t xml:space="preserve">编制内容 </w:t>
      </w:r>
    </w:p>
    <w:p w14:paraId="7F074FF3">
      <w:pPr>
        <w:widowControl/>
        <w:spacing w:line="360" w:lineRule="auto"/>
        <w:ind w:firstLine="480" w:firstLineChars="200"/>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本次防洪规划工作，依据《防洪规划编制规程》（SL</w:t>
      </w:r>
      <w:r>
        <w:rPr>
          <w:rFonts w:ascii="仿宋" w:hAnsi="仿宋" w:eastAsia="仿宋" w:cs="仿宋"/>
          <w:color w:val="auto"/>
          <w:kern w:val="0"/>
          <w:sz w:val="24"/>
          <w:lang w:bidi="ar"/>
        </w:rPr>
        <w:t>669-2014</w:t>
      </w:r>
      <w:r>
        <w:rPr>
          <w:rFonts w:hint="eastAsia" w:ascii="仿宋" w:hAnsi="仿宋" w:eastAsia="仿宋" w:cs="仿宋"/>
          <w:color w:val="auto"/>
          <w:kern w:val="0"/>
          <w:sz w:val="24"/>
          <w:lang w:bidi="ar"/>
        </w:rPr>
        <w:t>）等相关技术标准，在原防洪规划成果的基础上，按照自治区党委、乌鲁木齐市委、自治区水利厅关于乌鲁木齐高质量发展的总体要求，结合乌鲁木齐市经济社会发展规划布局要求、防洪现状及形势分析，对乌鲁木齐市各县区主要河流及山洪沟的防洪保护对象和防洪标准进行复核，防洪总体布局进行梳理分析，提出相应的防洪工程和非工程措施方案，编制并提交《乌鲁木齐市防洪规划报告》及《乌鲁木齐市防洪规划报告附图集》。</w:t>
      </w:r>
    </w:p>
    <w:p w14:paraId="4958143C">
      <w:pPr>
        <w:widowControl/>
        <w:spacing w:line="360" w:lineRule="auto"/>
        <w:ind w:firstLine="482" w:firstLineChars="200"/>
        <w:jc w:val="left"/>
        <w:rPr>
          <w:rFonts w:ascii="仿宋" w:hAnsi="仿宋" w:eastAsia="仿宋" w:cs="仿宋"/>
          <w:b/>
          <w:bCs/>
          <w:color w:val="auto"/>
          <w:kern w:val="0"/>
          <w:sz w:val="24"/>
          <w:lang w:bidi="ar"/>
        </w:rPr>
      </w:pPr>
      <w:r>
        <w:rPr>
          <w:rFonts w:hint="eastAsia" w:ascii="仿宋" w:hAnsi="仿宋" w:eastAsia="仿宋" w:cs="仿宋"/>
          <w:b/>
          <w:bCs/>
          <w:snapToGrid w:val="0"/>
          <w:color w:val="auto"/>
          <w:sz w:val="24"/>
          <w:szCs w:val="24"/>
          <w:highlight w:val="none"/>
          <w:lang w:val="en-US" w:eastAsia="zh-CN"/>
        </w:rPr>
        <w:t>★</w:t>
      </w:r>
      <w:r>
        <w:rPr>
          <w:rFonts w:hint="eastAsia" w:ascii="仿宋" w:hAnsi="仿宋" w:eastAsia="仿宋" w:cs="仿宋"/>
          <w:b/>
          <w:bCs/>
          <w:color w:val="auto"/>
          <w:kern w:val="0"/>
          <w:sz w:val="24"/>
          <w:lang w:val="en-US" w:eastAsia="zh-CN" w:bidi="ar"/>
        </w:rPr>
        <w:t>（2）</w:t>
      </w:r>
      <w:r>
        <w:rPr>
          <w:rFonts w:hint="eastAsia" w:ascii="仿宋" w:hAnsi="仿宋" w:eastAsia="仿宋" w:cs="仿宋"/>
          <w:b/>
          <w:bCs/>
          <w:color w:val="auto"/>
          <w:kern w:val="0"/>
          <w:sz w:val="24"/>
          <w:lang w:bidi="ar"/>
        </w:rPr>
        <w:t xml:space="preserve">规划范围 </w:t>
      </w:r>
    </w:p>
    <w:p w14:paraId="7339DBE1">
      <w:pPr>
        <w:widowControl/>
        <w:spacing w:line="360" w:lineRule="auto"/>
        <w:ind w:firstLine="480" w:firstLineChars="200"/>
        <w:jc w:val="left"/>
        <w:rPr>
          <w:rFonts w:hint="eastAsia" w:ascii="仿宋" w:hAnsi="仿宋" w:eastAsia="仿宋" w:cs="仿宋"/>
          <w:b/>
          <w:bCs/>
          <w:color w:val="auto"/>
        </w:rPr>
      </w:pPr>
      <w:r>
        <w:rPr>
          <w:rFonts w:hint="eastAsia" w:ascii="仿宋" w:hAnsi="仿宋" w:eastAsia="仿宋" w:cs="仿宋"/>
          <w:color w:val="auto"/>
          <w:kern w:val="0"/>
          <w:sz w:val="24"/>
          <w:lang w:bidi="ar"/>
        </w:rPr>
        <w:t>规划范围涉及乌鲁木齐市天山区、高新技术产业开发区（新市区）、水磨沟区、经济技术开发区（头屯河区）、沙依巴克区、米东区、达坂城区、乌鲁木齐县以及甘泉堡工业园区，主要包括各区县所有危害城市、村镇、农田以及其他附属设施、建筑物的主要河流、</w:t>
      </w:r>
      <w:r>
        <w:rPr>
          <w:rFonts w:hint="eastAsia" w:ascii="仿宋" w:hAnsi="仿宋" w:eastAsia="仿宋" w:cs="仿宋"/>
          <w:color w:val="auto"/>
          <w:kern w:val="0"/>
          <w:sz w:val="24"/>
          <w:lang w:bidi="ar"/>
        </w:rPr>
        <w:t>山洪沟及城市内涝，规划面积约</w:t>
      </w:r>
      <w:r>
        <w:rPr>
          <w:rFonts w:hint="eastAsia" w:ascii="仿宋" w:hAnsi="仿宋" w:eastAsia="仿宋" w:cs="仿宋"/>
          <w:color w:val="auto"/>
          <w:kern w:val="0"/>
          <w:sz w:val="24"/>
          <w:lang w:val="en-US" w:eastAsia="zh-CN" w:bidi="ar"/>
        </w:rPr>
        <w:t>1.38</w:t>
      </w:r>
      <w:r>
        <w:rPr>
          <w:rFonts w:hint="eastAsia" w:ascii="仿宋" w:hAnsi="仿宋" w:eastAsia="仿宋" w:cs="仿宋"/>
          <w:color w:val="auto"/>
          <w:kern w:val="0"/>
          <w:sz w:val="24"/>
          <w:lang w:bidi="ar"/>
        </w:rPr>
        <w:t>万平方公里，占乌鲁木齐市国土面积的</w:t>
      </w:r>
      <w:r>
        <w:rPr>
          <w:rFonts w:hint="eastAsia" w:ascii="仿宋" w:hAnsi="仿宋" w:eastAsia="仿宋" w:cs="仿宋"/>
          <w:color w:val="auto"/>
          <w:kern w:val="0"/>
          <w:sz w:val="24"/>
          <w:lang w:val="en-US" w:eastAsia="zh-CN" w:bidi="ar"/>
        </w:rPr>
        <w:t>100</w:t>
      </w:r>
      <w:r>
        <w:rPr>
          <w:rFonts w:hint="eastAsia" w:ascii="仿宋" w:hAnsi="仿宋" w:eastAsia="仿宋" w:cs="仿宋"/>
          <w:color w:val="auto"/>
          <w:kern w:val="0"/>
          <w:sz w:val="24"/>
          <w:lang w:bidi="ar"/>
        </w:rPr>
        <w:t>%。</w:t>
      </w:r>
    </w:p>
    <w:p w14:paraId="5274CE3E">
      <w:pPr>
        <w:widowControl/>
        <w:spacing w:line="360" w:lineRule="auto"/>
        <w:ind w:firstLine="482" w:firstLineChars="200"/>
        <w:jc w:val="left"/>
        <w:rPr>
          <w:rFonts w:ascii="仿宋" w:hAnsi="仿宋" w:eastAsia="仿宋" w:cs="仿宋"/>
          <w:b/>
          <w:bCs/>
          <w:color w:val="auto"/>
          <w:kern w:val="0"/>
          <w:sz w:val="24"/>
          <w:lang w:bidi="ar"/>
        </w:rPr>
      </w:pPr>
      <w:r>
        <w:rPr>
          <w:rFonts w:hint="eastAsia" w:ascii="仿宋" w:hAnsi="仿宋" w:eastAsia="仿宋" w:cs="仿宋"/>
          <w:b/>
          <w:bCs/>
          <w:snapToGrid w:val="0"/>
          <w:color w:val="auto"/>
          <w:sz w:val="24"/>
          <w:szCs w:val="24"/>
          <w:highlight w:val="none"/>
          <w:lang w:val="en-US" w:eastAsia="zh-CN"/>
        </w:rPr>
        <w:t>★</w:t>
      </w:r>
      <w:r>
        <w:rPr>
          <w:rFonts w:hint="eastAsia" w:ascii="仿宋" w:hAnsi="仿宋" w:eastAsia="仿宋" w:cs="仿宋"/>
          <w:b/>
          <w:bCs/>
          <w:color w:val="auto"/>
          <w:kern w:val="0"/>
          <w:sz w:val="24"/>
          <w:lang w:val="en-US" w:eastAsia="zh-CN" w:bidi="ar"/>
        </w:rPr>
        <w:t>（3）</w:t>
      </w:r>
      <w:r>
        <w:rPr>
          <w:rFonts w:hint="eastAsia" w:ascii="仿宋" w:hAnsi="仿宋" w:eastAsia="仿宋" w:cs="仿宋"/>
          <w:b/>
          <w:bCs/>
          <w:color w:val="auto"/>
          <w:kern w:val="0"/>
          <w:sz w:val="24"/>
          <w:lang w:bidi="ar"/>
        </w:rPr>
        <w:t>时间要求</w:t>
      </w:r>
    </w:p>
    <w:p w14:paraId="44BA6659">
      <w:pPr>
        <w:widowControl/>
        <w:spacing w:line="360" w:lineRule="auto"/>
        <w:ind w:firstLine="480" w:firstLineChars="200"/>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2025年12月编制完成初稿，2026年6月完成审查后修改，报人民政府批复。</w:t>
      </w:r>
    </w:p>
    <w:p w14:paraId="226BC4C2">
      <w:pPr>
        <w:widowControl/>
        <w:spacing w:line="360" w:lineRule="auto"/>
        <w:ind w:firstLine="482" w:firstLineChars="200"/>
        <w:jc w:val="left"/>
        <w:rPr>
          <w:rFonts w:ascii="仿宋" w:hAnsi="仿宋" w:eastAsia="仿宋" w:cs="仿宋"/>
          <w:b/>
          <w:bCs/>
          <w:color w:val="auto"/>
          <w:kern w:val="0"/>
          <w:sz w:val="24"/>
          <w:lang w:bidi="ar"/>
        </w:rPr>
      </w:pPr>
      <w:r>
        <w:rPr>
          <w:rFonts w:hint="eastAsia" w:ascii="仿宋" w:hAnsi="仿宋" w:eastAsia="仿宋" w:cs="仿宋"/>
          <w:b/>
          <w:bCs/>
          <w:snapToGrid w:val="0"/>
          <w:color w:val="auto"/>
          <w:sz w:val="24"/>
          <w:szCs w:val="24"/>
          <w:highlight w:val="none"/>
          <w:lang w:val="en-US" w:eastAsia="zh-CN"/>
        </w:rPr>
        <w:t>★</w:t>
      </w:r>
      <w:r>
        <w:rPr>
          <w:rFonts w:hint="eastAsia" w:ascii="仿宋" w:hAnsi="仿宋" w:eastAsia="仿宋" w:cs="仿宋"/>
          <w:b/>
          <w:bCs/>
          <w:color w:val="auto"/>
          <w:kern w:val="0"/>
          <w:sz w:val="24"/>
          <w:lang w:val="en-US" w:eastAsia="zh-CN" w:bidi="ar"/>
        </w:rPr>
        <w:t>（4）</w:t>
      </w:r>
      <w:r>
        <w:rPr>
          <w:rFonts w:hint="eastAsia" w:ascii="仿宋" w:hAnsi="仿宋" w:eastAsia="仿宋" w:cs="仿宋"/>
          <w:b/>
          <w:bCs/>
          <w:color w:val="auto"/>
          <w:kern w:val="0"/>
          <w:sz w:val="24"/>
          <w:lang w:bidi="ar"/>
        </w:rPr>
        <w:t xml:space="preserve">规划成果 </w:t>
      </w:r>
    </w:p>
    <w:p w14:paraId="641FE7FE">
      <w:pPr>
        <w:widowControl/>
        <w:spacing w:line="360" w:lineRule="auto"/>
        <w:ind w:firstLine="480" w:firstLineChars="200"/>
        <w:jc w:val="left"/>
        <w:rPr>
          <w:rFonts w:hint="eastAsia" w:ascii="仿宋" w:hAnsi="仿宋" w:eastAsia="仿宋" w:cs="仿宋"/>
          <w:b/>
          <w:bCs/>
          <w:color w:val="auto"/>
        </w:rPr>
      </w:pPr>
      <w:r>
        <w:rPr>
          <w:rFonts w:hint="eastAsia" w:ascii="仿宋" w:hAnsi="仿宋" w:eastAsia="仿宋" w:cs="仿宋"/>
          <w:color w:val="auto"/>
          <w:kern w:val="0"/>
          <w:sz w:val="24"/>
          <w:lang w:bidi="ar"/>
        </w:rPr>
        <w:t>《乌鲁木齐市防洪规划报告》及《乌鲁木齐市防洪规划报告附图集》。</w:t>
      </w:r>
    </w:p>
    <w:p w14:paraId="7B6D6616">
      <w:pPr>
        <w:widowControl/>
        <w:spacing w:line="360" w:lineRule="auto"/>
        <w:ind w:firstLine="482" w:firstLineChars="200"/>
        <w:jc w:val="left"/>
        <w:rPr>
          <w:rFonts w:hint="eastAsia" w:ascii="仿宋" w:hAnsi="仿宋" w:eastAsia="仿宋" w:cs="仿宋"/>
          <w:b/>
          <w:bCs/>
          <w:color w:val="auto"/>
        </w:rPr>
      </w:pPr>
      <w:r>
        <w:rPr>
          <w:rFonts w:hint="eastAsia" w:ascii="仿宋" w:hAnsi="仿宋" w:eastAsia="仿宋" w:cs="仿宋"/>
          <w:b/>
          <w:bCs/>
          <w:snapToGrid w:val="0"/>
          <w:color w:val="auto"/>
          <w:sz w:val="24"/>
          <w:szCs w:val="24"/>
          <w:highlight w:val="none"/>
          <w:lang w:val="en-US" w:eastAsia="zh-CN"/>
        </w:rPr>
        <w:t>★</w:t>
      </w:r>
      <w:r>
        <w:rPr>
          <w:rFonts w:hint="eastAsia" w:ascii="仿宋" w:hAnsi="仿宋" w:eastAsia="仿宋" w:cs="仿宋"/>
          <w:b/>
          <w:bCs/>
          <w:color w:val="auto"/>
          <w:kern w:val="0"/>
          <w:sz w:val="24"/>
          <w:lang w:val="en-US" w:eastAsia="zh-CN" w:bidi="ar"/>
        </w:rPr>
        <w:t>（5）</w:t>
      </w:r>
      <w:r>
        <w:rPr>
          <w:rFonts w:hint="eastAsia" w:ascii="仿宋" w:hAnsi="仿宋" w:eastAsia="仿宋" w:cs="仿宋"/>
          <w:b/>
          <w:bCs/>
          <w:color w:val="auto"/>
          <w:kern w:val="0"/>
          <w:sz w:val="24"/>
          <w:lang w:bidi="ar"/>
        </w:rPr>
        <w:t xml:space="preserve">其他特殊要求 </w:t>
      </w:r>
    </w:p>
    <w:p w14:paraId="454B5E81">
      <w:pPr>
        <w:spacing w:line="360" w:lineRule="auto"/>
        <w:ind w:firstLine="480" w:firstLineChars="200"/>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规划中要体现关于城市内涝部分（冒溢点）的相关规划内容</w:t>
      </w:r>
      <w:r>
        <w:rPr>
          <w:rFonts w:hint="eastAsia" w:ascii="仿宋" w:hAnsi="仿宋" w:eastAsia="仿宋" w:cs="仿宋"/>
          <w:color w:val="auto"/>
          <w:kern w:val="0"/>
          <w:sz w:val="24"/>
          <w:lang w:bidi="ar"/>
        </w:rPr>
        <w:t>。</w:t>
      </w:r>
    </w:p>
    <w:p w14:paraId="5E71513C">
      <w:pPr>
        <w:spacing w:line="360" w:lineRule="auto"/>
        <w:ind w:firstLine="480" w:firstLineChars="200"/>
        <w:rPr>
          <w:rFonts w:hint="eastAsia" w:ascii="仿宋" w:hAnsi="仿宋" w:eastAsia="仿宋" w:cs="仿宋"/>
          <w:color w:val="auto"/>
          <w:kern w:val="0"/>
          <w:sz w:val="24"/>
          <w:lang w:bidi="ar"/>
        </w:rPr>
      </w:pPr>
    </w:p>
    <w:p w14:paraId="4365AAB6">
      <w:pPr>
        <w:widowControl/>
        <w:spacing w:line="360" w:lineRule="auto"/>
        <w:ind w:firstLine="482" w:firstLineChars="200"/>
        <w:jc w:val="left"/>
        <w:rPr>
          <w:rFonts w:hint="eastAsia" w:ascii="仿宋" w:hAnsi="仿宋" w:eastAsia="仿宋" w:cs="仿宋"/>
          <w:b/>
          <w:bCs/>
          <w:iCs/>
          <w:color w:val="auto"/>
          <w:kern w:val="2"/>
          <w:sz w:val="24"/>
          <w:szCs w:val="24"/>
          <w:shd w:val="clear" w:fill="FFFFFF" w:themeFill="background1"/>
          <w:lang w:val="en-US" w:eastAsia="zh-CN" w:bidi="ar-SA"/>
        </w:rPr>
      </w:pPr>
      <w:r>
        <w:rPr>
          <w:rFonts w:hint="eastAsia" w:ascii="仿宋" w:hAnsi="仿宋" w:eastAsia="仿宋" w:cs="仿宋"/>
          <w:b/>
          <w:bCs/>
          <w:iCs/>
          <w:color w:val="auto"/>
          <w:kern w:val="2"/>
          <w:sz w:val="24"/>
          <w:szCs w:val="24"/>
          <w:shd w:val="clear" w:fill="FFFFFF" w:themeFill="background1"/>
          <w:lang w:val="en-US" w:eastAsia="zh-CN" w:bidi="ar-SA"/>
        </w:rPr>
        <w:t>2.其他要求</w:t>
      </w:r>
    </w:p>
    <w:p w14:paraId="620C3D79">
      <w:pPr>
        <w:widowControl/>
        <w:spacing w:line="360" w:lineRule="auto"/>
        <w:ind w:firstLine="480" w:firstLineChars="200"/>
        <w:jc w:val="left"/>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szCs w:val="24"/>
          <w:highlight w:val="none"/>
          <w:lang w:val="en-US" w:eastAsia="zh-CN"/>
        </w:rPr>
        <w:t>投标人须在投标文件中提供适合本项目的技术实施服务方案、项目进度控制措施、项目质量保证措施，中标后严格按照方案执行，为项目实施提供保障。</w:t>
      </w:r>
    </w:p>
    <w:p w14:paraId="2E5F0D28">
      <w:pPr>
        <w:pStyle w:val="37"/>
        <w:keepNext w:val="0"/>
        <w:keepLines w:val="0"/>
        <w:pageBreakBefore w:val="0"/>
        <w:widowControl w:val="0"/>
        <w:kinsoku/>
        <w:wordWrap w:val="0"/>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snapToGrid w:val="0"/>
          <w:color w:val="auto"/>
          <w:sz w:val="24"/>
          <w:szCs w:val="24"/>
          <w:highlight w:val="none"/>
          <w:lang w:val="en-US" w:eastAsia="zh-CN"/>
        </w:rPr>
      </w:pPr>
    </w:p>
    <w:p w14:paraId="2DA0F29F">
      <w:pPr>
        <w:pStyle w:val="37"/>
        <w:keepNext w:val="0"/>
        <w:keepLines w:val="0"/>
        <w:pageBreakBefore w:val="0"/>
        <w:widowControl w:val="0"/>
        <w:kinsoku/>
        <w:wordWrap w:val="0"/>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b/>
          <w:bCs/>
          <w:snapToGrid w:val="0"/>
          <w:color w:val="auto"/>
          <w:sz w:val="24"/>
          <w:szCs w:val="24"/>
          <w:highlight w:val="none"/>
          <w:lang w:val="en-US" w:eastAsia="zh-CN"/>
        </w:rPr>
      </w:pPr>
      <w:r>
        <w:rPr>
          <w:rFonts w:hint="eastAsia" w:ascii="仿宋" w:hAnsi="仿宋" w:eastAsia="仿宋" w:cs="仿宋"/>
          <w:snapToGrid w:val="0"/>
          <w:color w:val="auto"/>
          <w:sz w:val="24"/>
          <w:szCs w:val="24"/>
          <w:highlight w:val="none"/>
          <w:lang w:val="en-US" w:eastAsia="zh-CN"/>
        </w:rPr>
        <w:t>注：</w:t>
      </w:r>
      <w:r>
        <w:rPr>
          <w:rFonts w:hint="eastAsia" w:ascii="仿宋" w:hAnsi="仿宋" w:eastAsia="仿宋" w:cs="仿宋"/>
          <w:b/>
          <w:bCs/>
          <w:snapToGrid w:val="0"/>
          <w:color w:val="auto"/>
          <w:sz w:val="24"/>
          <w:szCs w:val="24"/>
          <w:highlight w:val="none"/>
          <w:lang w:val="en-US" w:eastAsia="zh-CN"/>
        </w:rPr>
        <w:t>1、以上加“★”的条款内容为本项目的实质性技术或服务要求，如不</w:t>
      </w:r>
    </w:p>
    <w:p w14:paraId="039C8ED6">
      <w:pPr>
        <w:pStyle w:val="37"/>
        <w:keepNext w:val="0"/>
        <w:keepLines w:val="0"/>
        <w:pageBreakBefore w:val="0"/>
        <w:widowControl w:val="0"/>
        <w:kinsoku/>
        <w:wordWrap w:val="0"/>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b/>
          <w:bCs/>
          <w:snapToGrid w:val="0"/>
          <w:color w:val="auto"/>
          <w:sz w:val="24"/>
          <w:szCs w:val="24"/>
          <w:highlight w:val="none"/>
          <w:lang w:val="en-US" w:eastAsia="zh-CN"/>
        </w:rPr>
      </w:pPr>
      <w:r>
        <w:rPr>
          <w:rFonts w:hint="eastAsia" w:ascii="仿宋" w:hAnsi="仿宋" w:eastAsia="仿宋" w:cs="仿宋"/>
          <w:b/>
          <w:bCs/>
          <w:snapToGrid w:val="0"/>
          <w:color w:val="auto"/>
          <w:sz w:val="24"/>
          <w:szCs w:val="24"/>
          <w:highlight w:val="none"/>
          <w:lang w:val="en-US" w:eastAsia="zh-CN"/>
        </w:rPr>
        <w:t>满足，按无效投标处理。</w:t>
      </w:r>
    </w:p>
    <w:p w14:paraId="1BD87D32">
      <w:pPr>
        <w:pStyle w:val="37"/>
        <w:keepNext w:val="0"/>
        <w:keepLines w:val="0"/>
        <w:pageBreakBefore w:val="0"/>
        <w:widowControl w:val="0"/>
        <w:kinsoku/>
        <w:wordWrap w:val="0"/>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snapToGrid w:val="0"/>
          <w:color w:val="auto"/>
          <w:sz w:val="24"/>
          <w:szCs w:val="24"/>
          <w:highlight w:val="none"/>
          <w:lang w:val="en-US" w:eastAsia="zh-CN"/>
        </w:rPr>
      </w:pPr>
      <w:r>
        <w:rPr>
          <w:rFonts w:hint="eastAsia" w:ascii="仿宋" w:hAnsi="仿宋" w:eastAsia="仿宋" w:cs="仿宋"/>
          <w:snapToGrid w:val="0"/>
          <w:color w:val="auto"/>
          <w:sz w:val="24"/>
          <w:szCs w:val="24"/>
          <w:highlight w:val="none"/>
          <w:lang w:val="en-US" w:eastAsia="zh-CN"/>
        </w:rPr>
        <w:t>2、如对本招标文件有任何疑问或要求澄清，请按本招标文件的规定提出，</w:t>
      </w:r>
    </w:p>
    <w:p w14:paraId="69457947">
      <w:pPr>
        <w:pStyle w:val="37"/>
        <w:keepNext w:val="0"/>
        <w:keepLines w:val="0"/>
        <w:pageBreakBefore w:val="0"/>
        <w:widowControl w:val="0"/>
        <w:kinsoku/>
        <w:wordWrap w:val="0"/>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napToGrid w:val="0"/>
          <w:color w:val="auto"/>
          <w:sz w:val="24"/>
          <w:szCs w:val="24"/>
          <w:highlight w:val="none"/>
          <w:lang w:val="en-US" w:eastAsia="zh-CN"/>
        </w:rPr>
      </w:pPr>
      <w:r>
        <w:rPr>
          <w:rFonts w:hint="eastAsia" w:ascii="仿宋" w:hAnsi="仿宋" w:eastAsia="仿宋" w:cs="仿宋"/>
          <w:snapToGrid w:val="0"/>
          <w:color w:val="auto"/>
          <w:sz w:val="24"/>
          <w:szCs w:val="24"/>
          <w:highlight w:val="none"/>
          <w:lang w:val="en-US" w:eastAsia="zh-CN"/>
        </w:rPr>
        <w:t>否则视同理解和接受</w:t>
      </w:r>
    </w:p>
    <w:bookmarkEnd w:id="421"/>
    <w:bookmarkEnd w:id="422"/>
    <w:p w14:paraId="3F2B841E">
      <w:pPr>
        <w:rPr>
          <w:rFonts w:hint="eastAsia" w:ascii="仿宋" w:hAnsi="仿宋" w:eastAsia="仿宋" w:cs="仿宋"/>
          <w:b/>
          <w:bCs/>
          <w:color w:val="auto"/>
          <w:kern w:val="44"/>
          <w:sz w:val="36"/>
          <w:szCs w:val="36"/>
          <w:highlight w:val="none"/>
          <w:lang w:val="en-US" w:eastAsia="zh-CN" w:bidi="ar-SA"/>
        </w:rPr>
      </w:pPr>
      <w:bookmarkStart w:id="424" w:name="_Toc17715"/>
      <w:bookmarkStart w:id="425" w:name="_Toc155185895"/>
      <w:r>
        <w:rPr>
          <w:rFonts w:hint="eastAsia" w:ascii="仿宋" w:hAnsi="仿宋" w:eastAsia="仿宋" w:cs="仿宋"/>
          <w:b/>
          <w:bCs/>
          <w:color w:val="auto"/>
          <w:kern w:val="44"/>
          <w:sz w:val="36"/>
          <w:szCs w:val="36"/>
          <w:highlight w:val="none"/>
          <w:lang w:val="en-US" w:eastAsia="zh-CN" w:bidi="ar-SA"/>
        </w:rPr>
        <w:br w:type="page"/>
      </w:r>
    </w:p>
    <w:p w14:paraId="1CB68A16">
      <w:pPr>
        <w:pStyle w:val="13"/>
        <w:widowControl/>
        <w:shd w:val="clear"/>
        <w:kinsoku w:val="0"/>
        <w:autoSpaceDE w:val="0"/>
        <w:autoSpaceDN w:val="0"/>
        <w:adjustRightInd w:val="0"/>
        <w:snapToGrid w:val="0"/>
        <w:spacing w:before="114" w:after="0" w:line="225" w:lineRule="auto"/>
        <w:ind w:left="3198"/>
        <w:jc w:val="both"/>
        <w:textAlignment w:val="baseline"/>
        <w:outlineLvl w:val="0"/>
        <w:rPr>
          <w:rFonts w:hint="eastAsia" w:ascii="仿宋" w:hAnsi="仿宋" w:eastAsia="仿宋" w:cs="仿宋"/>
          <w:b/>
          <w:bCs/>
          <w:snapToGrid w:val="0"/>
          <w:color w:val="auto"/>
          <w:spacing w:val="5"/>
          <w:kern w:val="0"/>
          <w:sz w:val="35"/>
          <w:szCs w:val="35"/>
          <w:highlight w:val="none"/>
          <w:lang w:val="en-US" w:eastAsia="zh-CN" w:bidi="ar-SA"/>
        </w:rPr>
      </w:pPr>
    </w:p>
    <w:p w14:paraId="52FB0695">
      <w:pPr>
        <w:pStyle w:val="13"/>
        <w:widowControl/>
        <w:shd w:val="clear"/>
        <w:kinsoku w:val="0"/>
        <w:autoSpaceDE w:val="0"/>
        <w:autoSpaceDN w:val="0"/>
        <w:adjustRightInd w:val="0"/>
        <w:snapToGrid w:val="0"/>
        <w:spacing w:before="114" w:after="0" w:line="225" w:lineRule="auto"/>
        <w:ind w:left="3198"/>
        <w:jc w:val="both"/>
        <w:textAlignment w:val="baseline"/>
        <w:outlineLvl w:val="0"/>
        <w:rPr>
          <w:rFonts w:hint="eastAsia" w:ascii="仿宋" w:hAnsi="仿宋" w:eastAsia="仿宋" w:cs="仿宋"/>
          <w:b/>
          <w:bCs/>
          <w:snapToGrid w:val="0"/>
          <w:color w:val="auto"/>
          <w:spacing w:val="5"/>
          <w:kern w:val="0"/>
          <w:sz w:val="35"/>
          <w:szCs w:val="35"/>
          <w:highlight w:val="none"/>
          <w:lang w:val="en-US" w:eastAsia="zh-CN" w:bidi="ar-SA"/>
        </w:rPr>
      </w:pPr>
      <w:r>
        <w:rPr>
          <w:rFonts w:hint="eastAsia" w:ascii="仿宋" w:hAnsi="仿宋" w:eastAsia="仿宋" w:cs="仿宋"/>
          <w:b/>
          <w:bCs/>
          <w:snapToGrid w:val="0"/>
          <w:color w:val="auto"/>
          <w:spacing w:val="5"/>
          <w:kern w:val="0"/>
          <w:sz w:val="35"/>
          <w:szCs w:val="35"/>
          <w:highlight w:val="none"/>
          <w:lang w:val="en-US" w:eastAsia="zh-CN" w:bidi="ar-SA"/>
        </w:rPr>
        <w:t>第四章 资格审查</w:t>
      </w:r>
      <w:bookmarkEnd w:id="424"/>
      <w:bookmarkEnd w:id="425"/>
    </w:p>
    <w:p w14:paraId="4AADD4CB">
      <w:pPr>
        <w:pStyle w:val="3"/>
        <w:keepNext/>
        <w:keepLines/>
        <w:pageBreakBefore w:val="0"/>
        <w:widowControl w:val="0"/>
        <w:numPr>
          <w:ilvl w:val="0"/>
          <w:numId w:val="0"/>
        </w:numPr>
        <w:kinsoku/>
        <w:wordWrap/>
        <w:overflowPunct/>
        <w:topLinePunct w:val="0"/>
        <w:autoSpaceDE/>
        <w:autoSpaceDN/>
        <w:bidi w:val="0"/>
        <w:adjustRightInd/>
        <w:snapToGrid/>
        <w:spacing w:before="60" w:after="60" w:line="440" w:lineRule="exact"/>
        <w:ind w:left="420" w:leftChars="0" w:hanging="420" w:firstLineChars="0"/>
        <w:textAlignment w:val="auto"/>
        <w:rPr>
          <w:rFonts w:hint="eastAsia" w:ascii="仿宋" w:hAnsi="仿宋" w:eastAsia="仿宋" w:cs="仿宋"/>
          <w:color w:val="auto"/>
          <w:sz w:val="28"/>
          <w:szCs w:val="28"/>
          <w:highlight w:val="none"/>
          <w:lang w:val="zh-CN" w:eastAsia="zh-CN"/>
        </w:rPr>
      </w:pPr>
      <w:bookmarkStart w:id="426" w:name="_Toc31801"/>
      <w:r>
        <w:rPr>
          <w:rFonts w:hint="eastAsia" w:ascii="仿宋" w:hAnsi="仿宋" w:eastAsia="仿宋" w:cs="仿宋"/>
          <w:color w:val="auto"/>
          <w:sz w:val="28"/>
          <w:szCs w:val="28"/>
          <w:highlight w:val="none"/>
          <w:lang w:val="en-US" w:eastAsia="zh-CN"/>
        </w:rPr>
        <w:t>一、资格审查程序</w:t>
      </w:r>
      <w:bookmarkEnd w:id="426"/>
    </w:p>
    <w:p w14:paraId="42D5A898">
      <w:pPr>
        <w:pStyle w:val="37"/>
        <w:keepNext w:val="0"/>
        <w:keepLines w:val="0"/>
        <w:pageBreakBefore w:val="0"/>
        <w:widowControl w:val="0"/>
        <w:kinsoku/>
        <w:wordWrap w:val="0"/>
        <w:overflowPunct/>
        <w:topLinePunct w:val="0"/>
        <w:autoSpaceDE/>
        <w:autoSpaceDN/>
        <w:bidi w:val="0"/>
        <w:adjustRightInd/>
        <w:snapToGrid/>
        <w:spacing w:line="440" w:lineRule="exact"/>
        <w:ind w:firstLine="482"/>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1.开标结束后，采购人或采购代理机构将根据《资格审查要求》中的规定，对投标人进行资格审查，并形成资格审查结果。</w:t>
      </w:r>
    </w:p>
    <w:p w14:paraId="7C45B22B">
      <w:pPr>
        <w:pStyle w:val="37"/>
        <w:keepNext w:val="0"/>
        <w:keepLines w:val="0"/>
        <w:pageBreakBefore w:val="0"/>
        <w:widowControl w:val="0"/>
        <w:kinsoku/>
        <w:wordWrap w:val="0"/>
        <w:overflowPunct/>
        <w:topLinePunct w:val="0"/>
        <w:autoSpaceDE/>
        <w:autoSpaceDN/>
        <w:bidi w:val="0"/>
        <w:adjustRightInd/>
        <w:snapToGrid/>
        <w:spacing w:line="440" w:lineRule="exact"/>
        <w:ind w:firstLine="482"/>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2.投标人《资格证明文件》有任何一项不符合《资格审查要求》的，资格审查不合格，其</w:t>
      </w:r>
      <w:r>
        <w:rPr>
          <w:rFonts w:hint="eastAsia" w:ascii="仿宋" w:hAnsi="仿宋" w:eastAsia="仿宋" w:cs="仿宋"/>
          <w:b/>
          <w:bCs/>
          <w:color w:val="auto"/>
          <w:highlight w:val="none"/>
          <w:lang w:val="en-US" w:eastAsia="zh-CN"/>
        </w:rPr>
        <w:t>投标无效</w:t>
      </w:r>
      <w:r>
        <w:rPr>
          <w:rFonts w:hint="eastAsia" w:ascii="仿宋" w:hAnsi="仿宋" w:eastAsia="仿宋" w:cs="仿宋"/>
          <w:color w:val="auto"/>
          <w:highlight w:val="none"/>
          <w:lang w:val="en-US" w:eastAsia="zh-CN"/>
        </w:rPr>
        <w:t>。</w:t>
      </w:r>
    </w:p>
    <w:p w14:paraId="5AD8893A">
      <w:pPr>
        <w:pStyle w:val="37"/>
        <w:keepNext w:val="0"/>
        <w:keepLines w:val="0"/>
        <w:pageBreakBefore w:val="0"/>
        <w:widowControl w:val="0"/>
        <w:kinsoku/>
        <w:wordWrap w:val="0"/>
        <w:overflowPunct/>
        <w:topLinePunct w:val="0"/>
        <w:autoSpaceDE/>
        <w:autoSpaceDN/>
        <w:bidi w:val="0"/>
        <w:adjustRightInd/>
        <w:snapToGrid/>
        <w:spacing w:line="440" w:lineRule="exact"/>
        <w:ind w:firstLine="482"/>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3.资格审查合格的投标人不足 3 家的，不进行评标。</w:t>
      </w:r>
    </w:p>
    <w:p w14:paraId="090EBFF9">
      <w:pPr>
        <w:pStyle w:val="3"/>
        <w:keepNext/>
        <w:keepLines/>
        <w:pageBreakBefore w:val="0"/>
        <w:widowControl w:val="0"/>
        <w:numPr>
          <w:ilvl w:val="0"/>
          <w:numId w:val="0"/>
        </w:numPr>
        <w:kinsoku/>
        <w:wordWrap/>
        <w:overflowPunct/>
        <w:topLinePunct w:val="0"/>
        <w:autoSpaceDE/>
        <w:autoSpaceDN/>
        <w:bidi w:val="0"/>
        <w:adjustRightInd/>
        <w:snapToGrid/>
        <w:spacing w:before="60" w:after="60" w:line="360" w:lineRule="auto"/>
        <w:ind w:left="420" w:leftChars="0" w:hanging="420" w:firstLineChars="0"/>
        <w:textAlignment w:val="auto"/>
        <w:rPr>
          <w:rFonts w:hint="eastAsia" w:ascii="仿宋" w:hAnsi="仿宋" w:eastAsia="仿宋" w:cs="仿宋"/>
          <w:color w:val="auto"/>
          <w:sz w:val="28"/>
          <w:szCs w:val="28"/>
          <w:highlight w:val="none"/>
          <w:lang w:val="en-US" w:eastAsia="zh-CN"/>
        </w:rPr>
      </w:pPr>
      <w:bookmarkStart w:id="427" w:name="_Toc19754"/>
      <w:r>
        <w:rPr>
          <w:rFonts w:hint="eastAsia" w:ascii="仿宋" w:hAnsi="仿宋" w:eastAsia="仿宋" w:cs="仿宋"/>
          <w:color w:val="auto"/>
          <w:sz w:val="28"/>
          <w:szCs w:val="28"/>
          <w:highlight w:val="none"/>
          <w:lang w:val="en-US" w:eastAsia="zh-CN"/>
        </w:rPr>
        <w:t>二、资格审查要求</w:t>
      </w:r>
      <w:bookmarkEnd w:id="427"/>
    </w:p>
    <w:tbl>
      <w:tblPr>
        <w:tblStyle w:val="91"/>
        <w:tblW w:w="958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5"/>
        <w:gridCol w:w="2008"/>
        <w:gridCol w:w="5683"/>
        <w:gridCol w:w="1145"/>
      </w:tblGrid>
      <w:tr w14:paraId="756E06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jc w:val="center"/>
        </w:trPr>
        <w:tc>
          <w:tcPr>
            <w:tcW w:w="745" w:type="dxa"/>
            <w:shd w:val="clear" w:color="auto" w:fill="D8D8D8"/>
            <w:vAlign w:val="top"/>
          </w:tcPr>
          <w:p w14:paraId="3A776AF1">
            <w:pPr>
              <w:pStyle w:val="86"/>
              <w:keepNext w:val="0"/>
              <w:keepLines w:val="0"/>
              <w:pageBreakBefore w:val="0"/>
              <w:widowControl/>
              <w:kinsoku w:val="0"/>
              <w:wordWrap/>
              <w:overflowPunct/>
              <w:topLinePunct w:val="0"/>
              <w:autoSpaceDE w:val="0"/>
              <w:autoSpaceDN w:val="0"/>
              <w:bidi w:val="0"/>
              <w:adjustRightInd w:val="0"/>
              <w:snapToGrid w:val="0"/>
              <w:spacing w:line="360" w:lineRule="exact"/>
              <w:ind w:left="177"/>
              <w:jc w:val="both"/>
              <w:textAlignment w:val="baseline"/>
              <w:rPr>
                <w:rFonts w:hint="eastAsia" w:ascii="仿宋" w:hAnsi="仿宋" w:eastAsia="仿宋" w:cs="仿宋"/>
                <w:color w:val="auto"/>
                <w:sz w:val="21"/>
                <w:szCs w:val="21"/>
              </w:rPr>
            </w:pPr>
            <w:r>
              <w:rPr>
                <w:rFonts w:hint="eastAsia" w:ascii="仿宋" w:hAnsi="仿宋" w:eastAsia="仿宋" w:cs="仿宋"/>
                <w:b/>
                <w:bCs/>
                <w:color w:val="auto"/>
                <w:spacing w:val="-7"/>
                <w:sz w:val="21"/>
                <w:szCs w:val="21"/>
              </w:rPr>
              <w:t>序号</w:t>
            </w:r>
          </w:p>
        </w:tc>
        <w:tc>
          <w:tcPr>
            <w:tcW w:w="2008" w:type="dxa"/>
            <w:shd w:val="clear" w:color="auto" w:fill="D8D8D8"/>
            <w:vAlign w:val="top"/>
          </w:tcPr>
          <w:p w14:paraId="1DEC4630">
            <w:pPr>
              <w:pStyle w:val="86"/>
              <w:keepNext w:val="0"/>
              <w:keepLines w:val="0"/>
              <w:pageBreakBefore w:val="0"/>
              <w:widowControl/>
              <w:kinsoku w:val="0"/>
              <w:wordWrap/>
              <w:overflowPunct/>
              <w:topLinePunct w:val="0"/>
              <w:autoSpaceDE w:val="0"/>
              <w:autoSpaceDN w:val="0"/>
              <w:bidi w:val="0"/>
              <w:adjustRightInd w:val="0"/>
              <w:snapToGrid w:val="0"/>
              <w:spacing w:line="360" w:lineRule="exact"/>
              <w:ind w:left="472"/>
              <w:jc w:val="both"/>
              <w:textAlignment w:val="baseline"/>
              <w:rPr>
                <w:rFonts w:hint="eastAsia" w:ascii="仿宋" w:hAnsi="仿宋" w:eastAsia="仿宋" w:cs="仿宋"/>
                <w:color w:val="auto"/>
                <w:sz w:val="21"/>
                <w:szCs w:val="21"/>
              </w:rPr>
            </w:pPr>
            <w:r>
              <w:rPr>
                <w:rFonts w:hint="eastAsia" w:ascii="仿宋" w:hAnsi="仿宋" w:eastAsia="仿宋" w:cs="仿宋"/>
                <w:b/>
                <w:bCs/>
                <w:color w:val="auto"/>
                <w:spacing w:val="-7"/>
                <w:sz w:val="21"/>
                <w:szCs w:val="21"/>
              </w:rPr>
              <w:t>审查因素</w:t>
            </w:r>
          </w:p>
        </w:tc>
        <w:tc>
          <w:tcPr>
            <w:tcW w:w="5683" w:type="dxa"/>
            <w:shd w:val="clear" w:color="auto" w:fill="D8D8D8"/>
            <w:vAlign w:val="top"/>
          </w:tcPr>
          <w:p w14:paraId="6D212093">
            <w:pPr>
              <w:pStyle w:val="86"/>
              <w:keepNext w:val="0"/>
              <w:keepLines w:val="0"/>
              <w:pageBreakBefore w:val="0"/>
              <w:widowControl/>
              <w:kinsoku w:val="0"/>
              <w:wordWrap/>
              <w:overflowPunct/>
              <w:topLinePunct w:val="0"/>
              <w:autoSpaceDE w:val="0"/>
              <w:autoSpaceDN w:val="0"/>
              <w:bidi w:val="0"/>
              <w:adjustRightInd w:val="0"/>
              <w:snapToGrid w:val="0"/>
              <w:spacing w:line="360" w:lineRule="exact"/>
              <w:ind w:left="2298"/>
              <w:jc w:val="both"/>
              <w:textAlignment w:val="baseline"/>
              <w:rPr>
                <w:rFonts w:hint="eastAsia" w:ascii="仿宋" w:hAnsi="仿宋" w:eastAsia="仿宋" w:cs="仿宋"/>
                <w:color w:val="auto"/>
                <w:sz w:val="21"/>
                <w:szCs w:val="21"/>
              </w:rPr>
            </w:pPr>
            <w:r>
              <w:rPr>
                <w:rFonts w:hint="eastAsia" w:ascii="仿宋" w:hAnsi="仿宋" w:eastAsia="仿宋" w:cs="仿宋"/>
                <w:b/>
                <w:bCs/>
                <w:color w:val="auto"/>
                <w:spacing w:val="-7"/>
                <w:sz w:val="21"/>
                <w:szCs w:val="21"/>
              </w:rPr>
              <w:t>审查内容</w:t>
            </w:r>
          </w:p>
        </w:tc>
        <w:tc>
          <w:tcPr>
            <w:tcW w:w="1145" w:type="dxa"/>
            <w:shd w:val="clear" w:color="auto" w:fill="D8D8D8"/>
            <w:vAlign w:val="top"/>
          </w:tcPr>
          <w:p w14:paraId="03EBFCBA">
            <w:pPr>
              <w:pStyle w:val="86"/>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color w:val="auto"/>
                <w:sz w:val="21"/>
                <w:szCs w:val="21"/>
              </w:rPr>
            </w:pPr>
            <w:r>
              <w:rPr>
                <w:rFonts w:hint="eastAsia" w:ascii="仿宋" w:hAnsi="仿宋" w:eastAsia="仿宋" w:cs="仿宋"/>
                <w:b/>
                <w:bCs/>
                <w:color w:val="auto"/>
                <w:spacing w:val="-5"/>
                <w:sz w:val="21"/>
                <w:szCs w:val="21"/>
              </w:rPr>
              <w:t>格式要求</w:t>
            </w:r>
          </w:p>
        </w:tc>
      </w:tr>
      <w:tr w14:paraId="6B7A45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745" w:type="dxa"/>
            <w:vAlign w:val="center"/>
          </w:tcPr>
          <w:p w14:paraId="2CCDD306">
            <w:pPr>
              <w:pStyle w:val="86"/>
              <w:keepNext w:val="0"/>
              <w:keepLines w:val="0"/>
              <w:pageBreakBefore w:val="0"/>
              <w:widowControl/>
              <w:shd w:val="clear"/>
              <w:kinsoku w:val="0"/>
              <w:wordWrap/>
              <w:overflowPunct/>
              <w:topLinePunct w:val="0"/>
              <w:autoSpaceDE w:val="0"/>
              <w:autoSpaceDN w:val="0"/>
              <w:bidi w:val="0"/>
              <w:adjustRightInd w:val="0"/>
              <w:snapToGrid w:val="0"/>
              <w:spacing w:line="240" w:lineRule="auto"/>
              <w:ind w:left="256" w:leftChars="0"/>
              <w:jc w:val="both"/>
              <w:textAlignment w:val="baseline"/>
              <w:rPr>
                <w:rFonts w:hint="eastAsia" w:ascii="仿宋" w:hAnsi="仿宋" w:eastAsia="仿宋" w:cs="仿宋"/>
                <w:color w:val="auto"/>
                <w:sz w:val="21"/>
                <w:szCs w:val="21"/>
              </w:rPr>
            </w:pPr>
            <w:r>
              <w:rPr>
                <w:rFonts w:hint="eastAsia" w:ascii="仿宋" w:hAnsi="仿宋" w:eastAsia="仿宋" w:cs="仿宋"/>
                <w:b/>
                <w:bCs/>
                <w:color w:val="auto"/>
                <w:spacing w:val="-11"/>
                <w:sz w:val="21"/>
                <w:szCs w:val="21"/>
                <w:highlight w:val="none"/>
              </w:rPr>
              <w:t>1</w:t>
            </w:r>
          </w:p>
        </w:tc>
        <w:tc>
          <w:tcPr>
            <w:tcW w:w="2008" w:type="dxa"/>
            <w:vAlign w:val="center"/>
          </w:tcPr>
          <w:p w14:paraId="7900CF8C">
            <w:pPr>
              <w:pStyle w:val="86"/>
              <w:keepNext w:val="0"/>
              <w:keepLines w:val="0"/>
              <w:pageBreakBefore w:val="0"/>
              <w:widowControl/>
              <w:shd w:val="clear"/>
              <w:kinsoku w:val="0"/>
              <w:wordWrap/>
              <w:overflowPunct/>
              <w:topLinePunct w:val="0"/>
              <w:autoSpaceDE w:val="0"/>
              <w:autoSpaceDN w:val="0"/>
              <w:bidi w:val="0"/>
              <w:adjustRightInd w:val="0"/>
              <w:snapToGrid w:val="0"/>
              <w:spacing w:line="240" w:lineRule="auto"/>
              <w:ind w:left="134" w:leftChars="0" w:right="108" w:rightChars="0" w:hanging="15" w:firstLineChars="0"/>
              <w:jc w:val="center"/>
              <w:textAlignment w:val="baseline"/>
              <w:rPr>
                <w:rFonts w:hint="eastAsia" w:ascii="仿宋" w:hAnsi="仿宋" w:eastAsia="仿宋" w:cs="仿宋"/>
                <w:color w:val="auto"/>
                <w:sz w:val="21"/>
                <w:szCs w:val="21"/>
              </w:rPr>
            </w:pPr>
            <w:r>
              <w:rPr>
                <w:rFonts w:hint="eastAsia" w:ascii="仿宋" w:hAnsi="仿宋" w:eastAsia="仿宋" w:cs="仿宋"/>
                <w:color w:val="auto"/>
                <w:spacing w:val="-12"/>
                <w:sz w:val="21"/>
                <w:szCs w:val="21"/>
                <w:highlight w:val="none"/>
                <w:lang w:val="en-US" w:eastAsia="zh-CN"/>
              </w:rPr>
              <w:t>独立承担民事责任的能力</w:t>
            </w:r>
          </w:p>
        </w:tc>
        <w:tc>
          <w:tcPr>
            <w:tcW w:w="5683" w:type="dxa"/>
            <w:vAlign w:val="center"/>
          </w:tcPr>
          <w:p w14:paraId="583CDE32">
            <w:pPr>
              <w:pStyle w:val="86"/>
              <w:keepNext w:val="0"/>
              <w:keepLines w:val="0"/>
              <w:pageBreakBefore w:val="0"/>
              <w:widowControl/>
              <w:shd w:val="clear"/>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color w:val="auto"/>
                <w:spacing w:val="3"/>
                <w:sz w:val="21"/>
                <w:szCs w:val="21"/>
                <w:highlight w:val="none"/>
              </w:rPr>
            </w:pPr>
            <w:bookmarkStart w:id="428" w:name="OLE_LINK23"/>
            <w:r>
              <w:rPr>
                <w:rFonts w:hint="eastAsia" w:ascii="仿宋" w:hAnsi="仿宋" w:eastAsia="仿宋" w:cs="仿宋"/>
                <w:color w:val="auto"/>
                <w:spacing w:val="3"/>
                <w:sz w:val="21"/>
                <w:szCs w:val="21"/>
                <w:highlight w:val="none"/>
              </w:rPr>
              <w:t>供应商为企业（包括合伙企业）的，应提供有效的“营业执照”；</w:t>
            </w:r>
          </w:p>
          <w:p w14:paraId="2CD7ADAE">
            <w:pPr>
              <w:pStyle w:val="86"/>
              <w:keepNext w:val="0"/>
              <w:keepLines w:val="0"/>
              <w:pageBreakBefore w:val="0"/>
              <w:widowControl/>
              <w:shd w:val="clear"/>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color w:val="auto"/>
                <w:spacing w:val="3"/>
                <w:sz w:val="21"/>
                <w:szCs w:val="21"/>
                <w:highlight w:val="none"/>
              </w:rPr>
            </w:pPr>
            <w:r>
              <w:rPr>
                <w:rFonts w:hint="eastAsia" w:ascii="仿宋" w:hAnsi="仿宋" w:eastAsia="仿宋" w:cs="仿宋"/>
                <w:color w:val="auto"/>
                <w:spacing w:val="3"/>
                <w:sz w:val="21"/>
                <w:szCs w:val="21"/>
                <w:highlight w:val="none"/>
              </w:rPr>
              <w:t>供应商为事业单位的，应提供有效的“事业单位法人证书”；</w:t>
            </w:r>
          </w:p>
          <w:p w14:paraId="65839345">
            <w:pPr>
              <w:pStyle w:val="86"/>
              <w:keepNext w:val="0"/>
              <w:keepLines w:val="0"/>
              <w:pageBreakBefore w:val="0"/>
              <w:widowControl/>
              <w:shd w:val="clear"/>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color w:val="auto"/>
                <w:spacing w:val="3"/>
                <w:sz w:val="21"/>
                <w:szCs w:val="21"/>
                <w:highlight w:val="none"/>
              </w:rPr>
            </w:pPr>
            <w:r>
              <w:rPr>
                <w:rFonts w:hint="eastAsia" w:ascii="仿宋" w:hAnsi="仿宋" w:eastAsia="仿宋" w:cs="仿宋"/>
                <w:color w:val="auto"/>
                <w:spacing w:val="3"/>
                <w:sz w:val="21"/>
                <w:szCs w:val="21"/>
                <w:highlight w:val="none"/>
              </w:rPr>
              <w:t>供应商是非企业机构的，应提供有效的“执业许可证”、“登记证书”等证明文件；</w:t>
            </w:r>
          </w:p>
          <w:p w14:paraId="76EA65A1">
            <w:pPr>
              <w:pStyle w:val="86"/>
              <w:keepNext w:val="0"/>
              <w:keepLines w:val="0"/>
              <w:pageBreakBefore w:val="0"/>
              <w:widowControl/>
              <w:shd w:val="clear"/>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color w:val="auto"/>
                <w:spacing w:val="3"/>
                <w:sz w:val="21"/>
                <w:szCs w:val="21"/>
                <w:highlight w:val="none"/>
              </w:rPr>
            </w:pPr>
            <w:r>
              <w:rPr>
                <w:rFonts w:hint="eastAsia" w:ascii="仿宋" w:hAnsi="仿宋" w:eastAsia="仿宋" w:cs="仿宋"/>
                <w:color w:val="auto"/>
                <w:spacing w:val="3"/>
                <w:sz w:val="21"/>
                <w:szCs w:val="21"/>
                <w:highlight w:val="none"/>
              </w:rPr>
              <w:t>供应商是个体工商户的，应提供有效的“个体工商户营业执照”；</w:t>
            </w:r>
          </w:p>
          <w:p w14:paraId="7E4A8C62">
            <w:pPr>
              <w:pStyle w:val="86"/>
              <w:keepNext w:val="0"/>
              <w:keepLines w:val="0"/>
              <w:pageBreakBefore w:val="0"/>
              <w:widowControl/>
              <w:shd w:val="clear"/>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color w:val="auto"/>
                <w:spacing w:val="3"/>
                <w:sz w:val="21"/>
                <w:szCs w:val="21"/>
                <w:highlight w:val="none"/>
              </w:rPr>
            </w:pPr>
            <w:r>
              <w:rPr>
                <w:rFonts w:hint="eastAsia" w:ascii="仿宋" w:hAnsi="仿宋" w:eastAsia="仿宋" w:cs="仿宋"/>
                <w:color w:val="auto"/>
                <w:spacing w:val="3"/>
                <w:sz w:val="21"/>
                <w:szCs w:val="21"/>
                <w:highlight w:val="none"/>
              </w:rPr>
              <w:t>供应商是自然人的，应提供有效的自然人身份证明。</w:t>
            </w:r>
            <w:bookmarkEnd w:id="428"/>
          </w:p>
        </w:tc>
        <w:tc>
          <w:tcPr>
            <w:tcW w:w="1145" w:type="dxa"/>
            <w:vAlign w:val="center"/>
          </w:tcPr>
          <w:p w14:paraId="3DA199E2">
            <w:pPr>
              <w:pStyle w:val="86"/>
              <w:keepNext w:val="0"/>
              <w:keepLines w:val="0"/>
              <w:pageBreakBefore w:val="0"/>
              <w:widowControl/>
              <w:shd w:val="clear"/>
              <w:kinsoku w:val="0"/>
              <w:wordWrap/>
              <w:overflowPunct/>
              <w:topLinePunct w:val="0"/>
              <w:autoSpaceDE w:val="0"/>
              <w:autoSpaceDN w:val="0"/>
              <w:bidi w:val="0"/>
              <w:adjustRightInd w:val="0"/>
              <w:snapToGrid w:val="0"/>
              <w:spacing w:line="240" w:lineRule="auto"/>
              <w:ind w:left="115" w:leftChars="0" w:right="300" w:rightChars="0" w:firstLine="1" w:firstLineChars="0"/>
              <w:jc w:val="center"/>
              <w:textAlignment w:val="baseline"/>
              <w:rPr>
                <w:rFonts w:hint="eastAsia" w:ascii="仿宋" w:hAnsi="仿宋" w:eastAsia="仿宋" w:cs="仿宋"/>
                <w:color w:val="auto"/>
                <w:sz w:val="21"/>
                <w:szCs w:val="21"/>
              </w:rPr>
            </w:pPr>
            <w:r>
              <w:rPr>
                <w:rFonts w:hint="eastAsia" w:ascii="仿宋" w:hAnsi="仿宋" w:eastAsia="仿宋" w:cs="仿宋"/>
                <w:color w:val="auto"/>
                <w:spacing w:val="-3"/>
                <w:sz w:val="21"/>
                <w:szCs w:val="21"/>
                <w:highlight w:val="none"/>
              </w:rPr>
              <w:t>提供证明文</w:t>
            </w:r>
            <w:r>
              <w:rPr>
                <w:rFonts w:hint="eastAsia" w:ascii="仿宋" w:hAnsi="仿宋" w:eastAsia="仿宋" w:cs="仿宋"/>
                <w:color w:val="auto"/>
                <w:spacing w:val="-2"/>
                <w:sz w:val="21"/>
                <w:szCs w:val="21"/>
                <w:highlight w:val="none"/>
              </w:rPr>
              <w:t>件的</w:t>
            </w:r>
            <w:r>
              <w:rPr>
                <w:rFonts w:hint="eastAsia" w:ascii="仿宋" w:hAnsi="仿宋" w:eastAsia="仿宋" w:cs="仿宋"/>
                <w:color w:val="auto"/>
                <w:spacing w:val="-2"/>
                <w:sz w:val="21"/>
                <w:szCs w:val="21"/>
                <w:highlight w:val="none"/>
                <w:lang w:val="en-US" w:eastAsia="zh-CN"/>
              </w:rPr>
              <w:t>扫描</w:t>
            </w:r>
            <w:r>
              <w:rPr>
                <w:rFonts w:hint="eastAsia" w:ascii="仿宋" w:hAnsi="仿宋" w:eastAsia="仿宋" w:cs="仿宋"/>
                <w:color w:val="auto"/>
                <w:spacing w:val="-2"/>
                <w:sz w:val="21"/>
                <w:szCs w:val="21"/>
                <w:highlight w:val="none"/>
              </w:rPr>
              <w:t>件或电子证照</w:t>
            </w:r>
          </w:p>
        </w:tc>
      </w:tr>
      <w:tr w14:paraId="06CC16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745" w:type="dxa"/>
            <w:vAlign w:val="center"/>
          </w:tcPr>
          <w:p w14:paraId="1673AAD5">
            <w:pPr>
              <w:pStyle w:val="86"/>
              <w:keepNext w:val="0"/>
              <w:keepLines w:val="0"/>
              <w:pageBreakBefore w:val="0"/>
              <w:widowControl/>
              <w:shd w:val="clear"/>
              <w:kinsoku w:val="0"/>
              <w:wordWrap/>
              <w:overflowPunct/>
              <w:topLinePunct w:val="0"/>
              <w:autoSpaceDE w:val="0"/>
              <w:autoSpaceDN w:val="0"/>
              <w:bidi w:val="0"/>
              <w:adjustRightInd w:val="0"/>
              <w:snapToGrid w:val="0"/>
              <w:spacing w:line="240" w:lineRule="auto"/>
              <w:ind w:left="256" w:leftChars="0"/>
              <w:jc w:val="both"/>
              <w:textAlignment w:val="baseline"/>
              <w:rPr>
                <w:rFonts w:hint="eastAsia" w:ascii="仿宋" w:hAnsi="仿宋" w:eastAsia="仿宋" w:cs="仿宋"/>
                <w:color w:val="auto"/>
                <w:sz w:val="21"/>
                <w:szCs w:val="21"/>
              </w:rPr>
            </w:pPr>
            <w:r>
              <w:rPr>
                <w:rFonts w:hint="eastAsia" w:ascii="仿宋" w:hAnsi="仿宋" w:eastAsia="仿宋" w:cs="仿宋"/>
                <w:b/>
                <w:bCs/>
                <w:color w:val="auto"/>
                <w:spacing w:val="-11"/>
                <w:sz w:val="21"/>
                <w:szCs w:val="21"/>
                <w:highlight w:val="none"/>
                <w:lang w:val="en-US" w:eastAsia="zh-CN"/>
              </w:rPr>
              <w:t>2</w:t>
            </w:r>
          </w:p>
        </w:tc>
        <w:tc>
          <w:tcPr>
            <w:tcW w:w="2008" w:type="dxa"/>
            <w:vAlign w:val="center"/>
          </w:tcPr>
          <w:p w14:paraId="6DF14120">
            <w:pPr>
              <w:pStyle w:val="86"/>
              <w:keepNext w:val="0"/>
              <w:keepLines w:val="0"/>
              <w:pageBreakBefore w:val="0"/>
              <w:widowControl/>
              <w:shd w:val="clear"/>
              <w:kinsoku w:val="0"/>
              <w:wordWrap/>
              <w:overflowPunct/>
              <w:topLinePunct w:val="0"/>
              <w:autoSpaceDE w:val="0"/>
              <w:autoSpaceDN w:val="0"/>
              <w:bidi w:val="0"/>
              <w:adjustRightInd w:val="0"/>
              <w:snapToGrid w:val="0"/>
              <w:spacing w:line="240" w:lineRule="auto"/>
              <w:ind w:left="114" w:leftChars="0" w:right="166" w:rightChars="0"/>
              <w:jc w:val="center"/>
              <w:textAlignment w:val="baseline"/>
              <w:rPr>
                <w:rFonts w:hint="eastAsia" w:ascii="仿宋" w:hAnsi="仿宋" w:eastAsia="仿宋" w:cs="仿宋"/>
                <w:color w:val="auto"/>
                <w:sz w:val="21"/>
                <w:szCs w:val="21"/>
              </w:rPr>
            </w:pPr>
            <w:r>
              <w:rPr>
                <w:rFonts w:hint="eastAsia" w:ascii="仿宋" w:hAnsi="仿宋" w:eastAsia="仿宋" w:cs="仿宋"/>
                <w:color w:val="auto"/>
                <w:spacing w:val="-12"/>
                <w:sz w:val="21"/>
                <w:szCs w:val="21"/>
                <w:highlight w:val="none"/>
              </w:rPr>
              <w:t>具有良好的商业信誉和健全的财务会计制度</w:t>
            </w:r>
          </w:p>
        </w:tc>
        <w:tc>
          <w:tcPr>
            <w:tcW w:w="5683" w:type="dxa"/>
            <w:vAlign w:val="center"/>
          </w:tcPr>
          <w:p w14:paraId="0E9BD907">
            <w:pPr>
              <w:pStyle w:val="86"/>
              <w:keepNext w:val="0"/>
              <w:keepLines w:val="0"/>
              <w:pageBreakBefore w:val="0"/>
              <w:widowControl/>
              <w:shd w:val="clear"/>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color w:val="auto"/>
                <w:spacing w:val="3"/>
                <w:sz w:val="21"/>
                <w:szCs w:val="21"/>
                <w:highlight w:val="none"/>
              </w:rPr>
            </w:pPr>
            <w:bookmarkStart w:id="429" w:name="OLE_LINK24"/>
            <w:r>
              <w:rPr>
                <w:rFonts w:hint="eastAsia" w:ascii="仿宋" w:hAnsi="仿宋" w:eastAsia="仿宋" w:cs="仿宋"/>
                <w:color w:val="auto"/>
                <w:spacing w:val="3"/>
                <w:sz w:val="21"/>
                <w:szCs w:val="21"/>
                <w:highlight w:val="none"/>
                <w:lang w:val="en-US" w:eastAsia="zh-CN"/>
              </w:rPr>
              <w:t>供应商</w:t>
            </w:r>
            <w:r>
              <w:rPr>
                <w:rFonts w:hint="eastAsia" w:ascii="仿宋" w:hAnsi="仿宋" w:eastAsia="仿宋" w:cs="仿宋"/>
                <w:color w:val="auto"/>
                <w:spacing w:val="3"/>
                <w:sz w:val="21"/>
                <w:szCs w:val="21"/>
                <w:highlight w:val="none"/>
              </w:rPr>
              <w:t>是法人的，应提供</w:t>
            </w:r>
            <w:r>
              <w:rPr>
                <w:rFonts w:hint="eastAsia" w:ascii="仿宋" w:hAnsi="仿宋" w:eastAsia="仿宋" w:cs="仿宋"/>
                <w:color w:val="auto"/>
                <w:spacing w:val="3"/>
                <w:sz w:val="21"/>
                <w:szCs w:val="21"/>
                <w:highlight w:val="none"/>
                <w:lang w:val="en-US" w:eastAsia="zh-CN"/>
              </w:rPr>
              <w:t>2023年或2024年</w:t>
            </w:r>
            <w:r>
              <w:rPr>
                <w:rFonts w:hint="eastAsia" w:ascii="仿宋" w:hAnsi="仿宋" w:eastAsia="仿宋" w:cs="仿宋"/>
                <w:color w:val="auto"/>
                <w:spacing w:val="3"/>
                <w:sz w:val="21"/>
                <w:szCs w:val="21"/>
                <w:highlight w:val="none"/>
              </w:rPr>
              <w:t>经审计的财务报告，或银行出具的资信证明。其他组织和自然人，没有经审计的财务报告，提供银行出具的资信证明。</w:t>
            </w:r>
            <w:bookmarkEnd w:id="429"/>
          </w:p>
        </w:tc>
        <w:tc>
          <w:tcPr>
            <w:tcW w:w="1145" w:type="dxa"/>
            <w:vAlign w:val="center"/>
          </w:tcPr>
          <w:p w14:paraId="7DAAACF9">
            <w:pPr>
              <w:pStyle w:val="86"/>
              <w:keepNext w:val="0"/>
              <w:keepLines w:val="0"/>
              <w:pageBreakBefore w:val="0"/>
              <w:widowControl/>
              <w:shd w:val="clear"/>
              <w:kinsoku w:val="0"/>
              <w:wordWrap/>
              <w:overflowPunct/>
              <w:topLinePunct w:val="0"/>
              <w:autoSpaceDE w:val="0"/>
              <w:autoSpaceDN w:val="0"/>
              <w:bidi w:val="0"/>
              <w:adjustRightInd w:val="0"/>
              <w:snapToGrid w:val="0"/>
              <w:spacing w:line="240" w:lineRule="auto"/>
              <w:ind w:left="115" w:leftChars="0" w:right="300" w:rightChars="0" w:firstLine="1" w:firstLineChars="0"/>
              <w:jc w:val="left"/>
              <w:textAlignment w:val="baseline"/>
              <w:rPr>
                <w:rFonts w:hint="eastAsia" w:ascii="仿宋" w:hAnsi="仿宋" w:eastAsia="仿宋" w:cs="仿宋"/>
                <w:color w:val="auto"/>
                <w:sz w:val="21"/>
                <w:szCs w:val="21"/>
              </w:rPr>
            </w:pPr>
          </w:p>
        </w:tc>
      </w:tr>
      <w:tr w14:paraId="2FDFC0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745" w:type="dxa"/>
            <w:vAlign w:val="center"/>
          </w:tcPr>
          <w:p w14:paraId="00916C28">
            <w:pPr>
              <w:pStyle w:val="86"/>
              <w:keepNext w:val="0"/>
              <w:keepLines w:val="0"/>
              <w:pageBreakBefore w:val="0"/>
              <w:widowControl/>
              <w:shd w:val="clear"/>
              <w:kinsoku w:val="0"/>
              <w:wordWrap/>
              <w:overflowPunct/>
              <w:topLinePunct w:val="0"/>
              <w:autoSpaceDE w:val="0"/>
              <w:autoSpaceDN w:val="0"/>
              <w:bidi w:val="0"/>
              <w:adjustRightInd w:val="0"/>
              <w:snapToGrid w:val="0"/>
              <w:spacing w:line="240" w:lineRule="auto"/>
              <w:ind w:left="256" w:leftChars="0"/>
              <w:jc w:val="both"/>
              <w:textAlignment w:val="baseline"/>
              <w:rPr>
                <w:rFonts w:hint="eastAsia" w:ascii="仿宋" w:hAnsi="仿宋" w:eastAsia="仿宋" w:cs="仿宋"/>
                <w:color w:val="auto"/>
                <w:sz w:val="21"/>
                <w:szCs w:val="21"/>
              </w:rPr>
            </w:pPr>
            <w:r>
              <w:rPr>
                <w:rFonts w:hint="eastAsia" w:ascii="仿宋" w:hAnsi="仿宋" w:eastAsia="仿宋" w:cs="仿宋"/>
                <w:b/>
                <w:bCs/>
                <w:color w:val="auto"/>
                <w:spacing w:val="-11"/>
                <w:sz w:val="21"/>
                <w:szCs w:val="21"/>
                <w:highlight w:val="none"/>
                <w:lang w:val="en-US" w:eastAsia="zh-CN"/>
              </w:rPr>
              <w:t>3</w:t>
            </w:r>
          </w:p>
        </w:tc>
        <w:tc>
          <w:tcPr>
            <w:tcW w:w="2008" w:type="dxa"/>
            <w:vAlign w:val="center"/>
          </w:tcPr>
          <w:p w14:paraId="198871F0">
            <w:pPr>
              <w:keepNext w:val="0"/>
              <w:keepLines w:val="0"/>
              <w:pageBreakBefore w:val="0"/>
              <w:widowControl w:val="0"/>
              <w:shd w:val="clear"/>
              <w:tabs>
                <w:tab w:val="left" w:pos="1080"/>
              </w:tabs>
              <w:kinsoku/>
              <w:wordWrap/>
              <w:overflowPunct/>
              <w:topLinePunct w:val="0"/>
              <w:autoSpaceDE/>
              <w:autoSpaceDN/>
              <w:bidi w:val="0"/>
              <w:adjustRightInd/>
              <w:snapToGrid w:val="0"/>
              <w:spacing w:line="240" w:lineRule="auto"/>
              <w:ind w:left="93" w:leftChars="0" w:right="62" w:rightChars="0" w:hanging="93" w:hangingChars="50"/>
              <w:jc w:val="center"/>
              <w:textAlignment w:val="auto"/>
              <w:rPr>
                <w:rFonts w:hint="eastAsia" w:ascii="仿宋" w:hAnsi="仿宋" w:eastAsia="仿宋" w:cs="仿宋"/>
                <w:color w:val="auto"/>
                <w:sz w:val="21"/>
                <w:szCs w:val="21"/>
              </w:rPr>
            </w:pPr>
            <w:bookmarkStart w:id="430" w:name="OLE_LINK25"/>
            <w:r>
              <w:rPr>
                <w:rFonts w:hint="eastAsia" w:ascii="仿宋" w:hAnsi="仿宋" w:eastAsia="仿宋" w:cs="仿宋"/>
                <w:snapToGrid w:val="0"/>
                <w:color w:val="auto"/>
                <w:spacing w:val="-12"/>
                <w:kern w:val="0"/>
                <w:sz w:val="21"/>
                <w:szCs w:val="21"/>
                <w:highlight w:val="none"/>
                <w:lang w:val="en-US" w:eastAsia="en-US" w:bidi="ar-SA"/>
              </w:rPr>
              <w:t>具有履行合同所必需的设备和专业技术能力</w:t>
            </w:r>
            <w:bookmarkEnd w:id="430"/>
          </w:p>
        </w:tc>
        <w:tc>
          <w:tcPr>
            <w:tcW w:w="5683" w:type="dxa"/>
            <w:vAlign w:val="center"/>
          </w:tcPr>
          <w:p w14:paraId="42E9E54E">
            <w:pPr>
              <w:pStyle w:val="62"/>
              <w:pageBreakBefore w:val="0"/>
              <w:widowControl/>
              <w:shd w:val="clear"/>
              <w:kinsoku/>
              <w:wordWrap/>
              <w:overflowPunct/>
              <w:topLinePunct w:val="0"/>
              <w:autoSpaceDE/>
              <w:autoSpaceDN/>
              <w:bidi w:val="0"/>
              <w:snapToGrid/>
              <w:spacing w:before="0" w:after="0" w:line="240" w:lineRule="auto"/>
              <w:jc w:val="left"/>
              <w:rPr>
                <w:rFonts w:hint="eastAsia" w:ascii="仿宋" w:hAnsi="仿宋" w:eastAsia="仿宋" w:cs="仿宋"/>
                <w:color w:val="auto"/>
                <w:spacing w:val="3"/>
                <w:kern w:val="2"/>
                <w:sz w:val="21"/>
                <w:szCs w:val="21"/>
                <w:highlight w:val="none"/>
                <w:lang w:val="en-US" w:eastAsia="en-US" w:bidi="ar-SA"/>
              </w:rPr>
            </w:pPr>
            <w:bookmarkStart w:id="431" w:name="OLE_LINK26"/>
            <w:r>
              <w:rPr>
                <w:rFonts w:hint="eastAsia" w:ascii="仿宋" w:hAnsi="仿宋" w:eastAsia="仿宋" w:cs="仿宋"/>
                <w:color w:val="auto"/>
                <w:spacing w:val="3"/>
                <w:kern w:val="2"/>
                <w:sz w:val="21"/>
                <w:szCs w:val="21"/>
                <w:highlight w:val="none"/>
                <w:lang w:val="en-US" w:eastAsia="zh-CN" w:bidi="ar-SA"/>
              </w:rPr>
              <w:t>供应商</w:t>
            </w:r>
            <w:r>
              <w:rPr>
                <w:rFonts w:hint="eastAsia" w:ascii="仿宋" w:hAnsi="仿宋" w:eastAsia="仿宋" w:cs="仿宋"/>
                <w:color w:val="auto"/>
                <w:spacing w:val="3"/>
                <w:kern w:val="2"/>
                <w:sz w:val="21"/>
                <w:szCs w:val="21"/>
                <w:highlight w:val="none"/>
                <w:lang w:val="en-US" w:eastAsia="en-US" w:bidi="ar-SA"/>
              </w:rPr>
              <w:t>履行合同所必须的设备和专业技术能力的证明材料或声明</w:t>
            </w:r>
            <w:r>
              <w:rPr>
                <w:rFonts w:hint="eastAsia" w:ascii="仿宋" w:hAnsi="仿宋" w:eastAsia="仿宋" w:cs="仿宋"/>
                <w:color w:val="auto"/>
                <w:spacing w:val="3"/>
                <w:kern w:val="2"/>
                <w:sz w:val="21"/>
                <w:szCs w:val="21"/>
                <w:highlight w:val="none"/>
                <w:lang w:val="en-US" w:eastAsia="zh-CN" w:bidi="ar-SA"/>
              </w:rPr>
              <w:t>。</w:t>
            </w:r>
            <w:bookmarkEnd w:id="431"/>
          </w:p>
        </w:tc>
        <w:tc>
          <w:tcPr>
            <w:tcW w:w="1145" w:type="dxa"/>
            <w:vAlign w:val="center"/>
          </w:tcPr>
          <w:p w14:paraId="040F46FA">
            <w:pPr>
              <w:pStyle w:val="86"/>
              <w:keepNext w:val="0"/>
              <w:keepLines w:val="0"/>
              <w:pageBreakBefore w:val="0"/>
              <w:widowControl/>
              <w:shd w:val="clear"/>
              <w:kinsoku w:val="0"/>
              <w:wordWrap/>
              <w:overflowPunct/>
              <w:topLinePunct w:val="0"/>
              <w:autoSpaceDE w:val="0"/>
              <w:autoSpaceDN w:val="0"/>
              <w:bidi w:val="0"/>
              <w:adjustRightInd w:val="0"/>
              <w:snapToGrid w:val="0"/>
              <w:spacing w:line="240" w:lineRule="auto"/>
              <w:ind w:left="115" w:leftChars="0" w:right="300" w:rightChars="0" w:firstLine="1" w:firstLineChars="0"/>
              <w:jc w:val="left"/>
              <w:textAlignment w:val="baseline"/>
              <w:rPr>
                <w:rFonts w:hint="eastAsia" w:ascii="仿宋" w:hAnsi="仿宋" w:eastAsia="仿宋" w:cs="仿宋"/>
                <w:color w:val="auto"/>
                <w:sz w:val="21"/>
                <w:szCs w:val="21"/>
              </w:rPr>
            </w:pPr>
          </w:p>
        </w:tc>
      </w:tr>
      <w:tr w14:paraId="758A7E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745" w:type="dxa"/>
            <w:vAlign w:val="center"/>
          </w:tcPr>
          <w:p w14:paraId="69571097">
            <w:pPr>
              <w:pStyle w:val="86"/>
              <w:keepNext w:val="0"/>
              <w:keepLines w:val="0"/>
              <w:pageBreakBefore w:val="0"/>
              <w:widowControl/>
              <w:shd w:val="clear"/>
              <w:kinsoku w:val="0"/>
              <w:wordWrap/>
              <w:overflowPunct/>
              <w:topLinePunct w:val="0"/>
              <w:autoSpaceDE w:val="0"/>
              <w:autoSpaceDN w:val="0"/>
              <w:bidi w:val="0"/>
              <w:adjustRightInd w:val="0"/>
              <w:snapToGrid w:val="0"/>
              <w:spacing w:line="240" w:lineRule="auto"/>
              <w:ind w:left="256" w:leftChars="0"/>
              <w:jc w:val="both"/>
              <w:textAlignment w:val="baseline"/>
              <w:rPr>
                <w:rFonts w:hint="eastAsia" w:ascii="仿宋" w:hAnsi="仿宋" w:eastAsia="仿宋" w:cs="仿宋"/>
                <w:color w:val="auto"/>
                <w:sz w:val="21"/>
                <w:szCs w:val="21"/>
              </w:rPr>
            </w:pPr>
            <w:r>
              <w:rPr>
                <w:rFonts w:hint="eastAsia" w:ascii="仿宋" w:hAnsi="仿宋" w:eastAsia="仿宋" w:cs="仿宋"/>
                <w:b/>
                <w:bCs/>
                <w:color w:val="auto"/>
                <w:spacing w:val="-11"/>
                <w:sz w:val="21"/>
                <w:szCs w:val="21"/>
                <w:highlight w:val="none"/>
                <w:lang w:val="en-US" w:eastAsia="zh-CN"/>
              </w:rPr>
              <w:t>4</w:t>
            </w:r>
          </w:p>
        </w:tc>
        <w:tc>
          <w:tcPr>
            <w:tcW w:w="2008" w:type="dxa"/>
            <w:vAlign w:val="center"/>
          </w:tcPr>
          <w:p w14:paraId="3F5E8A19">
            <w:pPr>
              <w:keepNext w:val="0"/>
              <w:keepLines w:val="0"/>
              <w:pageBreakBefore w:val="0"/>
              <w:widowControl w:val="0"/>
              <w:shd w:val="clear"/>
              <w:tabs>
                <w:tab w:val="left" w:pos="1080"/>
              </w:tabs>
              <w:kinsoku/>
              <w:wordWrap/>
              <w:overflowPunct/>
              <w:topLinePunct w:val="0"/>
              <w:autoSpaceDE/>
              <w:autoSpaceDN/>
              <w:bidi w:val="0"/>
              <w:adjustRightInd/>
              <w:snapToGrid w:val="0"/>
              <w:spacing w:line="240" w:lineRule="auto"/>
              <w:ind w:left="101" w:leftChars="0" w:right="62" w:rightChars="0" w:hanging="101" w:hangingChars="50"/>
              <w:jc w:val="center"/>
              <w:textAlignment w:val="auto"/>
              <w:rPr>
                <w:rFonts w:hint="eastAsia" w:ascii="仿宋" w:hAnsi="仿宋" w:eastAsia="仿宋" w:cs="仿宋"/>
                <w:color w:val="auto"/>
                <w:sz w:val="21"/>
                <w:szCs w:val="21"/>
              </w:rPr>
            </w:pPr>
            <w:bookmarkStart w:id="432" w:name="OLE_LINK27"/>
            <w:r>
              <w:rPr>
                <w:rFonts w:hint="eastAsia" w:ascii="仿宋" w:hAnsi="仿宋" w:eastAsia="仿宋" w:cs="仿宋"/>
                <w:snapToGrid w:val="0"/>
                <w:color w:val="auto"/>
                <w:spacing w:val="-4"/>
                <w:kern w:val="0"/>
                <w:sz w:val="21"/>
                <w:szCs w:val="21"/>
                <w:highlight w:val="none"/>
                <w:lang w:val="en-US" w:eastAsia="en-US" w:bidi="ar-SA"/>
              </w:rPr>
              <w:t>具有依法缴纳税收和社会保障资金的良好记录</w:t>
            </w:r>
            <w:bookmarkEnd w:id="432"/>
          </w:p>
        </w:tc>
        <w:tc>
          <w:tcPr>
            <w:tcW w:w="5683" w:type="dxa"/>
            <w:vAlign w:val="center"/>
          </w:tcPr>
          <w:p w14:paraId="661727A0">
            <w:pPr>
              <w:keepNext w:val="0"/>
              <w:keepLines w:val="0"/>
              <w:pageBreakBefore w:val="0"/>
              <w:widowControl w:val="0"/>
              <w:shd w:val="clear"/>
              <w:tabs>
                <w:tab w:val="left" w:pos="1080"/>
              </w:tabs>
              <w:kinsoku/>
              <w:wordWrap/>
              <w:overflowPunct/>
              <w:topLinePunct w:val="0"/>
              <w:autoSpaceDE/>
              <w:autoSpaceDN/>
              <w:bidi w:val="0"/>
              <w:adjustRightInd/>
              <w:snapToGrid w:val="0"/>
              <w:spacing w:line="240" w:lineRule="auto"/>
              <w:ind w:right="62" w:rightChars="0"/>
              <w:jc w:val="left"/>
              <w:textAlignment w:val="auto"/>
              <w:rPr>
                <w:rFonts w:hint="eastAsia" w:ascii="仿宋" w:hAnsi="仿宋" w:eastAsia="仿宋" w:cs="仿宋"/>
                <w:color w:val="auto"/>
                <w:spacing w:val="3"/>
                <w:kern w:val="2"/>
                <w:sz w:val="21"/>
                <w:szCs w:val="21"/>
                <w:highlight w:val="none"/>
                <w:lang w:val="en-US" w:eastAsia="en-US" w:bidi="ar-SA"/>
              </w:rPr>
            </w:pPr>
            <w:bookmarkStart w:id="433" w:name="OLE_LINK28"/>
            <w:r>
              <w:rPr>
                <w:rFonts w:hint="eastAsia" w:ascii="仿宋" w:hAnsi="仿宋" w:eastAsia="仿宋" w:cs="仿宋"/>
                <w:color w:val="auto"/>
                <w:spacing w:val="3"/>
                <w:kern w:val="2"/>
                <w:sz w:val="21"/>
                <w:szCs w:val="21"/>
                <w:highlight w:val="none"/>
                <w:lang w:val="en-US" w:eastAsia="zh-CN" w:bidi="ar-SA"/>
              </w:rPr>
              <w:t>供应商</w:t>
            </w:r>
            <w:r>
              <w:rPr>
                <w:rFonts w:hint="eastAsia" w:ascii="仿宋" w:hAnsi="仿宋" w:eastAsia="仿宋" w:cs="仿宋"/>
                <w:color w:val="auto"/>
                <w:spacing w:val="3"/>
                <w:kern w:val="2"/>
                <w:sz w:val="21"/>
                <w:szCs w:val="21"/>
                <w:highlight w:val="none"/>
                <w:lang w:val="en-US" w:eastAsia="en-US" w:bidi="ar-SA"/>
              </w:rPr>
              <w:t>依法缴纳税收的证明材料：本项目投标截止时间前 6 个月内（至少提供1个月）缴纳税收的凭据；</w:t>
            </w:r>
            <w:r>
              <w:rPr>
                <w:rFonts w:hint="eastAsia" w:ascii="仿宋" w:hAnsi="仿宋" w:eastAsia="仿宋" w:cs="仿宋"/>
                <w:color w:val="auto"/>
                <w:spacing w:val="3"/>
                <w:kern w:val="2"/>
                <w:sz w:val="21"/>
                <w:szCs w:val="21"/>
                <w:highlight w:val="none"/>
                <w:lang w:val="en-US" w:eastAsia="zh-CN" w:bidi="ar-SA"/>
              </w:rPr>
              <w:t>供应商</w:t>
            </w:r>
            <w:r>
              <w:rPr>
                <w:rFonts w:hint="eastAsia" w:ascii="仿宋" w:hAnsi="仿宋" w:eastAsia="仿宋" w:cs="仿宋"/>
                <w:color w:val="auto"/>
                <w:spacing w:val="3"/>
                <w:kern w:val="2"/>
                <w:sz w:val="21"/>
                <w:szCs w:val="21"/>
                <w:highlight w:val="none"/>
                <w:lang w:val="en-US" w:eastAsia="en-US" w:bidi="ar-SA"/>
              </w:rPr>
              <w:t>依法缴纳社会保障资金的证明材料：本项目投标截止时间时间前 6个月内（至少提供1个月）缴纳社会保险的凭据；</w:t>
            </w:r>
            <w:r>
              <w:rPr>
                <w:rFonts w:hint="eastAsia" w:ascii="仿宋" w:hAnsi="仿宋" w:eastAsia="仿宋" w:cs="仿宋"/>
                <w:color w:val="auto"/>
                <w:spacing w:val="3"/>
                <w:kern w:val="2"/>
                <w:sz w:val="21"/>
                <w:szCs w:val="21"/>
                <w:highlight w:val="none"/>
                <w:lang w:val="en-US" w:eastAsia="zh-CN" w:bidi="ar-SA"/>
              </w:rPr>
              <w:t>供应商</w:t>
            </w:r>
            <w:r>
              <w:rPr>
                <w:rFonts w:hint="eastAsia" w:ascii="仿宋" w:hAnsi="仿宋" w:eastAsia="仿宋" w:cs="仿宋"/>
                <w:color w:val="auto"/>
                <w:spacing w:val="3"/>
                <w:kern w:val="2"/>
                <w:sz w:val="21"/>
                <w:szCs w:val="21"/>
                <w:highlight w:val="none"/>
                <w:lang w:val="en-US" w:eastAsia="en-US" w:bidi="ar-SA"/>
              </w:rPr>
              <w:t>为其他组织或自然人的，也需要按此项规定提供缴纳税收的凭据和交纳社会保险的凭据。如</w:t>
            </w:r>
            <w:r>
              <w:rPr>
                <w:rFonts w:hint="eastAsia" w:ascii="仿宋" w:hAnsi="仿宋" w:eastAsia="仿宋" w:cs="仿宋"/>
                <w:color w:val="auto"/>
                <w:spacing w:val="3"/>
                <w:kern w:val="2"/>
                <w:sz w:val="21"/>
                <w:szCs w:val="21"/>
                <w:highlight w:val="none"/>
                <w:lang w:val="en-US" w:eastAsia="zh-CN" w:bidi="ar-SA"/>
              </w:rPr>
              <w:t>供应商</w:t>
            </w:r>
            <w:r>
              <w:rPr>
                <w:rFonts w:hint="eastAsia" w:ascii="仿宋" w:hAnsi="仿宋" w:eastAsia="仿宋" w:cs="仿宋"/>
                <w:color w:val="auto"/>
                <w:spacing w:val="3"/>
                <w:kern w:val="2"/>
                <w:sz w:val="21"/>
                <w:szCs w:val="21"/>
                <w:highlight w:val="none"/>
                <w:lang w:val="en-US" w:eastAsia="en-US" w:bidi="ar-SA"/>
              </w:rPr>
              <w:t>的社会保险为委托第三方代缴，还需同时提供</w:t>
            </w:r>
            <w:r>
              <w:rPr>
                <w:rFonts w:hint="eastAsia" w:ascii="仿宋" w:hAnsi="仿宋" w:eastAsia="仿宋" w:cs="仿宋"/>
                <w:color w:val="auto"/>
                <w:spacing w:val="3"/>
                <w:kern w:val="2"/>
                <w:sz w:val="21"/>
                <w:szCs w:val="21"/>
                <w:highlight w:val="none"/>
                <w:lang w:val="en-US" w:eastAsia="zh-CN" w:bidi="ar-SA"/>
              </w:rPr>
              <w:t>供应商</w:t>
            </w:r>
            <w:r>
              <w:rPr>
                <w:rFonts w:hint="eastAsia" w:ascii="仿宋" w:hAnsi="仿宋" w:eastAsia="仿宋" w:cs="仿宋"/>
                <w:color w:val="auto"/>
                <w:spacing w:val="3"/>
                <w:kern w:val="2"/>
                <w:sz w:val="21"/>
                <w:szCs w:val="21"/>
                <w:highlight w:val="none"/>
                <w:lang w:val="en-US" w:eastAsia="en-US" w:bidi="ar-SA"/>
              </w:rPr>
              <w:t>与第三方服务机构签署的服务合同（合同中应明确写明第三方为供应商代缴其社会保险）</w:t>
            </w:r>
            <w:bookmarkEnd w:id="433"/>
          </w:p>
        </w:tc>
        <w:tc>
          <w:tcPr>
            <w:tcW w:w="1145" w:type="dxa"/>
            <w:vAlign w:val="center"/>
          </w:tcPr>
          <w:p w14:paraId="20170341">
            <w:pPr>
              <w:pStyle w:val="86"/>
              <w:keepNext w:val="0"/>
              <w:keepLines w:val="0"/>
              <w:pageBreakBefore w:val="0"/>
              <w:widowControl/>
              <w:shd w:val="clear"/>
              <w:kinsoku w:val="0"/>
              <w:wordWrap/>
              <w:overflowPunct/>
              <w:topLinePunct w:val="0"/>
              <w:autoSpaceDE w:val="0"/>
              <w:autoSpaceDN w:val="0"/>
              <w:bidi w:val="0"/>
              <w:adjustRightInd w:val="0"/>
              <w:snapToGrid w:val="0"/>
              <w:spacing w:line="240" w:lineRule="auto"/>
              <w:ind w:left="115" w:leftChars="0" w:right="300" w:rightChars="0" w:firstLine="1" w:firstLineChars="0"/>
              <w:jc w:val="left"/>
              <w:textAlignment w:val="baseline"/>
              <w:rPr>
                <w:rFonts w:hint="eastAsia" w:ascii="仿宋" w:hAnsi="仿宋" w:eastAsia="仿宋" w:cs="仿宋"/>
                <w:color w:val="auto"/>
                <w:sz w:val="21"/>
                <w:szCs w:val="21"/>
              </w:rPr>
            </w:pPr>
          </w:p>
        </w:tc>
      </w:tr>
      <w:tr w14:paraId="7F3AB0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745" w:type="dxa"/>
            <w:vAlign w:val="center"/>
          </w:tcPr>
          <w:p w14:paraId="6721B53D">
            <w:pPr>
              <w:pStyle w:val="86"/>
              <w:keepNext w:val="0"/>
              <w:keepLines w:val="0"/>
              <w:pageBreakBefore w:val="0"/>
              <w:widowControl/>
              <w:shd w:val="clear"/>
              <w:kinsoku w:val="0"/>
              <w:wordWrap/>
              <w:overflowPunct/>
              <w:topLinePunct w:val="0"/>
              <w:autoSpaceDE w:val="0"/>
              <w:autoSpaceDN w:val="0"/>
              <w:bidi w:val="0"/>
              <w:adjustRightInd w:val="0"/>
              <w:snapToGrid w:val="0"/>
              <w:spacing w:line="240" w:lineRule="auto"/>
              <w:ind w:left="256" w:leftChars="0"/>
              <w:jc w:val="both"/>
              <w:textAlignment w:val="baseline"/>
              <w:rPr>
                <w:rFonts w:hint="eastAsia" w:ascii="仿宋" w:hAnsi="仿宋" w:eastAsia="仿宋" w:cs="仿宋"/>
                <w:b/>
                <w:bCs/>
                <w:color w:val="auto"/>
                <w:spacing w:val="1"/>
                <w:sz w:val="21"/>
                <w:szCs w:val="21"/>
                <w:lang w:val="en-US" w:eastAsia="zh-CN"/>
              </w:rPr>
            </w:pPr>
            <w:r>
              <w:rPr>
                <w:rFonts w:hint="eastAsia" w:ascii="仿宋" w:hAnsi="仿宋" w:eastAsia="仿宋" w:cs="仿宋"/>
                <w:b/>
                <w:bCs/>
                <w:color w:val="auto"/>
                <w:spacing w:val="-11"/>
                <w:sz w:val="21"/>
                <w:szCs w:val="21"/>
                <w:highlight w:val="none"/>
                <w:lang w:val="en-US" w:eastAsia="zh-CN"/>
              </w:rPr>
              <w:t>5</w:t>
            </w:r>
          </w:p>
        </w:tc>
        <w:tc>
          <w:tcPr>
            <w:tcW w:w="2008" w:type="dxa"/>
            <w:vAlign w:val="center"/>
          </w:tcPr>
          <w:p w14:paraId="1A418AEC">
            <w:pPr>
              <w:keepNext w:val="0"/>
              <w:keepLines w:val="0"/>
              <w:pageBreakBefore w:val="0"/>
              <w:widowControl w:val="0"/>
              <w:shd w:val="clear"/>
              <w:tabs>
                <w:tab w:val="left" w:pos="1080"/>
              </w:tabs>
              <w:kinsoku/>
              <w:wordWrap/>
              <w:overflowPunct/>
              <w:topLinePunct w:val="0"/>
              <w:autoSpaceDE/>
              <w:autoSpaceDN/>
              <w:bidi w:val="0"/>
              <w:adjustRightInd/>
              <w:snapToGrid w:val="0"/>
              <w:spacing w:line="240" w:lineRule="auto"/>
              <w:ind w:left="101" w:leftChars="0" w:right="62" w:rightChars="0" w:hanging="101" w:hangingChars="50"/>
              <w:jc w:val="center"/>
              <w:textAlignment w:val="auto"/>
              <w:rPr>
                <w:rFonts w:hint="eastAsia" w:ascii="仿宋" w:hAnsi="仿宋" w:eastAsia="仿宋" w:cs="仿宋"/>
                <w:color w:val="auto"/>
                <w:spacing w:val="1"/>
                <w:sz w:val="21"/>
                <w:szCs w:val="21"/>
              </w:rPr>
            </w:pPr>
            <w:bookmarkStart w:id="434" w:name="OLE_LINK29"/>
            <w:r>
              <w:rPr>
                <w:rFonts w:hint="eastAsia" w:ascii="仿宋" w:hAnsi="仿宋" w:eastAsia="仿宋" w:cs="仿宋"/>
                <w:snapToGrid w:val="0"/>
                <w:color w:val="auto"/>
                <w:spacing w:val="-4"/>
                <w:kern w:val="0"/>
                <w:sz w:val="21"/>
                <w:szCs w:val="21"/>
                <w:highlight w:val="none"/>
                <w:lang w:val="en-US" w:eastAsia="en-US" w:bidi="ar-SA"/>
              </w:rPr>
              <w:t>参加政府采购活动前三年内，在经营活动中没有重大违法记录</w:t>
            </w:r>
            <w:bookmarkEnd w:id="434"/>
          </w:p>
        </w:tc>
        <w:tc>
          <w:tcPr>
            <w:tcW w:w="5683" w:type="dxa"/>
            <w:vAlign w:val="center"/>
          </w:tcPr>
          <w:p w14:paraId="60FF20F0">
            <w:pPr>
              <w:keepNext w:val="0"/>
              <w:keepLines w:val="0"/>
              <w:pageBreakBefore w:val="0"/>
              <w:widowControl w:val="0"/>
              <w:shd w:val="clear"/>
              <w:tabs>
                <w:tab w:val="left" w:pos="1080"/>
              </w:tabs>
              <w:kinsoku/>
              <w:wordWrap/>
              <w:overflowPunct/>
              <w:topLinePunct w:val="0"/>
              <w:autoSpaceDE/>
              <w:autoSpaceDN/>
              <w:bidi w:val="0"/>
              <w:adjustRightInd/>
              <w:snapToGrid w:val="0"/>
              <w:spacing w:line="240" w:lineRule="auto"/>
              <w:ind w:left="108" w:leftChars="0" w:right="62" w:rightChars="0" w:hanging="108" w:hangingChars="50"/>
              <w:jc w:val="left"/>
              <w:textAlignment w:val="auto"/>
              <w:rPr>
                <w:rFonts w:hint="eastAsia" w:ascii="仿宋" w:hAnsi="仿宋" w:eastAsia="仿宋" w:cs="仿宋"/>
                <w:color w:val="auto"/>
                <w:spacing w:val="3"/>
                <w:kern w:val="2"/>
                <w:sz w:val="21"/>
                <w:szCs w:val="21"/>
                <w:highlight w:val="none"/>
                <w:lang w:val="en-US" w:eastAsia="en-US" w:bidi="ar-SA"/>
              </w:rPr>
            </w:pPr>
            <w:bookmarkStart w:id="435" w:name="OLE_LINK30"/>
            <w:r>
              <w:rPr>
                <w:rFonts w:hint="eastAsia" w:ascii="仿宋" w:hAnsi="仿宋" w:eastAsia="仿宋" w:cs="仿宋"/>
                <w:color w:val="auto"/>
                <w:spacing w:val="3"/>
                <w:kern w:val="2"/>
                <w:sz w:val="21"/>
                <w:szCs w:val="21"/>
                <w:highlight w:val="none"/>
                <w:lang w:val="en-US" w:eastAsia="en-US" w:bidi="ar-SA"/>
              </w:rPr>
              <w:t>参加政府采购活动前 3 年内在经营活动中没有重大违法记录的书面声明</w:t>
            </w:r>
            <w:bookmarkEnd w:id="435"/>
          </w:p>
        </w:tc>
        <w:tc>
          <w:tcPr>
            <w:tcW w:w="1145" w:type="dxa"/>
            <w:vAlign w:val="center"/>
          </w:tcPr>
          <w:p w14:paraId="2C7C642E">
            <w:pPr>
              <w:pStyle w:val="86"/>
              <w:keepNext w:val="0"/>
              <w:keepLines w:val="0"/>
              <w:pageBreakBefore w:val="0"/>
              <w:widowControl/>
              <w:shd w:val="clear"/>
              <w:kinsoku w:val="0"/>
              <w:wordWrap/>
              <w:overflowPunct/>
              <w:topLinePunct w:val="0"/>
              <w:autoSpaceDE w:val="0"/>
              <w:autoSpaceDN w:val="0"/>
              <w:bidi w:val="0"/>
              <w:adjustRightInd w:val="0"/>
              <w:snapToGrid w:val="0"/>
              <w:spacing w:line="240" w:lineRule="auto"/>
              <w:ind w:left="115" w:leftChars="0" w:right="300" w:rightChars="0" w:firstLine="1" w:firstLineChars="0"/>
              <w:jc w:val="left"/>
              <w:textAlignment w:val="baseline"/>
              <w:rPr>
                <w:rFonts w:hint="eastAsia" w:ascii="仿宋" w:hAnsi="仿宋" w:eastAsia="仿宋" w:cs="仿宋"/>
                <w:color w:val="auto"/>
                <w:spacing w:val="1"/>
                <w:sz w:val="21"/>
                <w:szCs w:val="21"/>
              </w:rPr>
            </w:pPr>
          </w:p>
        </w:tc>
      </w:tr>
      <w:tr w14:paraId="02412B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745" w:type="dxa"/>
            <w:vAlign w:val="center"/>
          </w:tcPr>
          <w:p w14:paraId="2DB13B1C">
            <w:pPr>
              <w:pStyle w:val="86"/>
              <w:keepNext w:val="0"/>
              <w:keepLines w:val="0"/>
              <w:pageBreakBefore w:val="0"/>
              <w:widowControl/>
              <w:shd w:val="clear"/>
              <w:kinsoku w:val="0"/>
              <w:wordWrap/>
              <w:overflowPunct/>
              <w:topLinePunct w:val="0"/>
              <w:autoSpaceDE w:val="0"/>
              <w:autoSpaceDN w:val="0"/>
              <w:bidi w:val="0"/>
              <w:adjustRightInd w:val="0"/>
              <w:snapToGrid w:val="0"/>
              <w:spacing w:line="240" w:lineRule="auto"/>
              <w:ind w:left="256" w:leftChars="0"/>
              <w:jc w:val="both"/>
              <w:textAlignment w:val="baseline"/>
              <w:rPr>
                <w:rFonts w:hint="eastAsia" w:ascii="仿宋" w:hAnsi="仿宋" w:eastAsia="仿宋" w:cs="仿宋"/>
                <w:b/>
                <w:bCs/>
                <w:color w:val="auto"/>
                <w:spacing w:val="1"/>
                <w:sz w:val="21"/>
                <w:szCs w:val="21"/>
                <w:lang w:val="en-US" w:eastAsia="zh-CN"/>
              </w:rPr>
            </w:pPr>
            <w:r>
              <w:rPr>
                <w:rFonts w:hint="eastAsia" w:ascii="仿宋" w:hAnsi="仿宋" w:eastAsia="仿宋" w:cs="仿宋"/>
                <w:b/>
                <w:bCs/>
                <w:color w:val="auto"/>
                <w:spacing w:val="-11"/>
                <w:sz w:val="21"/>
                <w:szCs w:val="21"/>
                <w:highlight w:val="none"/>
                <w:lang w:val="en-US" w:eastAsia="zh-CN"/>
              </w:rPr>
              <w:t>6</w:t>
            </w:r>
          </w:p>
        </w:tc>
        <w:tc>
          <w:tcPr>
            <w:tcW w:w="2008" w:type="dxa"/>
            <w:vAlign w:val="center"/>
          </w:tcPr>
          <w:p w14:paraId="733B1C12">
            <w:pPr>
              <w:pStyle w:val="86"/>
              <w:keepNext w:val="0"/>
              <w:keepLines w:val="0"/>
              <w:pageBreakBefore w:val="0"/>
              <w:widowControl/>
              <w:shd w:val="clear"/>
              <w:kinsoku w:val="0"/>
              <w:wordWrap/>
              <w:overflowPunct/>
              <w:topLinePunct w:val="0"/>
              <w:autoSpaceDE w:val="0"/>
              <w:autoSpaceDN w:val="0"/>
              <w:bidi w:val="0"/>
              <w:adjustRightInd w:val="0"/>
              <w:snapToGrid w:val="0"/>
              <w:spacing w:line="240" w:lineRule="auto"/>
              <w:ind w:left="111" w:leftChars="0" w:right="105" w:rightChars="0" w:firstLine="1" w:firstLineChars="0"/>
              <w:jc w:val="center"/>
              <w:textAlignment w:val="baseline"/>
              <w:rPr>
                <w:rFonts w:hint="eastAsia" w:ascii="仿宋" w:hAnsi="仿宋" w:eastAsia="仿宋" w:cs="仿宋"/>
                <w:color w:val="auto"/>
                <w:spacing w:val="1"/>
                <w:sz w:val="21"/>
                <w:szCs w:val="21"/>
              </w:rPr>
            </w:pPr>
            <w:bookmarkStart w:id="436" w:name="OLE_LINK33"/>
            <w:r>
              <w:rPr>
                <w:rFonts w:hint="eastAsia" w:ascii="仿宋" w:hAnsi="仿宋" w:eastAsia="仿宋" w:cs="仿宋"/>
                <w:color w:val="auto"/>
                <w:spacing w:val="-3"/>
                <w:sz w:val="21"/>
                <w:szCs w:val="21"/>
                <w:highlight w:val="none"/>
              </w:rPr>
              <w:t>法律、行政法规</w:t>
            </w:r>
            <w:r>
              <w:rPr>
                <w:rFonts w:hint="eastAsia" w:ascii="仿宋" w:hAnsi="仿宋" w:eastAsia="仿宋" w:cs="仿宋"/>
                <w:color w:val="auto"/>
                <w:spacing w:val="36"/>
                <w:sz w:val="21"/>
                <w:szCs w:val="21"/>
                <w:highlight w:val="none"/>
              </w:rPr>
              <w:t>规定的其他条</w:t>
            </w:r>
            <w:r>
              <w:rPr>
                <w:rFonts w:hint="eastAsia" w:ascii="仿宋" w:hAnsi="仿宋" w:eastAsia="仿宋" w:cs="仿宋"/>
                <w:color w:val="auto"/>
                <w:sz w:val="21"/>
                <w:szCs w:val="21"/>
                <w:highlight w:val="none"/>
              </w:rPr>
              <w:t>件</w:t>
            </w:r>
            <w:bookmarkEnd w:id="436"/>
          </w:p>
        </w:tc>
        <w:tc>
          <w:tcPr>
            <w:tcW w:w="5683" w:type="dxa"/>
            <w:vAlign w:val="center"/>
          </w:tcPr>
          <w:p w14:paraId="0C419E5E">
            <w:pPr>
              <w:pStyle w:val="86"/>
              <w:keepNext w:val="0"/>
              <w:keepLines w:val="0"/>
              <w:pageBreakBefore w:val="0"/>
              <w:widowControl/>
              <w:shd w:val="clear"/>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color w:val="auto"/>
                <w:spacing w:val="3"/>
                <w:kern w:val="2"/>
                <w:sz w:val="21"/>
                <w:szCs w:val="21"/>
                <w:highlight w:val="none"/>
                <w:lang w:val="en-US" w:eastAsia="en-US" w:bidi="ar-SA"/>
              </w:rPr>
            </w:pPr>
            <w:bookmarkStart w:id="437" w:name="OLE_LINK34"/>
            <w:r>
              <w:rPr>
                <w:rFonts w:hint="eastAsia" w:ascii="仿宋" w:hAnsi="仿宋" w:eastAsia="仿宋" w:cs="仿宋"/>
                <w:color w:val="auto"/>
                <w:spacing w:val="3"/>
                <w:kern w:val="2"/>
                <w:sz w:val="21"/>
                <w:szCs w:val="21"/>
                <w:highlight w:val="none"/>
                <w:lang w:val="en-US" w:eastAsia="en-US" w:bidi="ar-SA"/>
              </w:rPr>
              <w:t>法律、行政法规规定的其他条件</w:t>
            </w:r>
            <w:bookmarkEnd w:id="437"/>
          </w:p>
        </w:tc>
        <w:tc>
          <w:tcPr>
            <w:tcW w:w="1145" w:type="dxa"/>
            <w:vAlign w:val="center"/>
          </w:tcPr>
          <w:p w14:paraId="2C9B7B7D">
            <w:pPr>
              <w:keepNext w:val="0"/>
              <w:keepLines w:val="0"/>
              <w:pageBreakBefore w:val="0"/>
              <w:widowControl/>
              <w:shd w:val="clear"/>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color w:val="auto"/>
                <w:spacing w:val="1"/>
                <w:sz w:val="21"/>
                <w:szCs w:val="21"/>
              </w:rPr>
            </w:pPr>
          </w:p>
        </w:tc>
      </w:tr>
      <w:tr w14:paraId="723E1F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45" w:type="dxa"/>
            <w:vAlign w:val="center"/>
          </w:tcPr>
          <w:p w14:paraId="7C5277D9">
            <w:pPr>
              <w:pStyle w:val="86"/>
              <w:keepNext w:val="0"/>
              <w:keepLines w:val="0"/>
              <w:pageBreakBefore w:val="0"/>
              <w:widowControl/>
              <w:shd w:val="clear"/>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b/>
                <w:bCs/>
                <w:color w:val="auto"/>
                <w:spacing w:val="-11"/>
                <w:sz w:val="21"/>
                <w:szCs w:val="21"/>
                <w:highlight w:val="none"/>
                <w:lang w:val="en-US" w:eastAsia="zh-CN"/>
              </w:rPr>
            </w:pPr>
            <w:r>
              <w:rPr>
                <w:rFonts w:hint="eastAsia" w:ascii="仿宋" w:hAnsi="仿宋" w:eastAsia="仿宋" w:cs="仿宋"/>
                <w:b/>
                <w:bCs/>
                <w:color w:val="auto"/>
                <w:spacing w:val="-11"/>
                <w:sz w:val="21"/>
                <w:szCs w:val="21"/>
                <w:highlight w:val="none"/>
                <w:lang w:val="en-US" w:eastAsia="zh-CN"/>
              </w:rPr>
              <w:t>7</w:t>
            </w:r>
          </w:p>
        </w:tc>
        <w:tc>
          <w:tcPr>
            <w:tcW w:w="2008" w:type="dxa"/>
            <w:vAlign w:val="center"/>
          </w:tcPr>
          <w:p w14:paraId="18493136">
            <w:pPr>
              <w:pStyle w:val="86"/>
              <w:keepNext w:val="0"/>
              <w:keepLines w:val="0"/>
              <w:pageBreakBefore w:val="0"/>
              <w:widowControl/>
              <w:shd w:val="clear"/>
              <w:kinsoku w:val="0"/>
              <w:wordWrap/>
              <w:overflowPunct/>
              <w:topLinePunct w:val="0"/>
              <w:autoSpaceDE w:val="0"/>
              <w:autoSpaceDN w:val="0"/>
              <w:bidi w:val="0"/>
              <w:adjustRightInd w:val="0"/>
              <w:snapToGrid w:val="0"/>
              <w:spacing w:line="240" w:lineRule="auto"/>
              <w:ind w:left="111" w:leftChars="0" w:right="105" w:rightChars="0" w:firstLine="1" w:firstLineChars="0"/>
              <w:jc w:val="center"/>
              <w:textAlignment w:val="baseline"/>
              <w:rPr>
                <w:rFonts w:hint="default" w:ascii="仿宋" w:hAnsi="仿宋" w:eastAsia="仿宋" w:cs="仿宋"/>
                <w:color w:val="auto"/>
                <w:spacing w:val="-3"/>
                <w:sz w:val="21"/>
                <w:szCs w:val="21"/>
                <w:highlight w:val="none"/>
                <w:shd w:val="clear" w:color="auto" w:fill="auto"/>
                <w:lang w:val="en-US" w:eastAsia="zh-CN"/>
              </w:rPr>
            </w:pPr>
            <w:r>
              <w:rPr>
                <w:rFonts w:hint="default" w:ascii="仿宋" w:hAnsi="仿宋" w:eastAsia="仿宋" w:cs="仿宋"/>
                <w:color w:val="auto"/>
                <w:spacing w:val="-3"/>
                <w:sz w:val="21"/>
                <w:szCs w:val="21"/>
                <w:highlight w:val="none"/>
                <w:shd w:val="clear" w:color="auto" w:fill="auto"/>
                <w:lang w:val="en-US" w:eastAsia="zh-CN"/>
              </w:rPr>
              <w:t>本项目的特定资格要求</w:t>
            </w:r>
          </w:p>
        </w:tc>
        <w:tc>
          <w:tcPr>
            <w:tcW w:w="5683" w:type="dxa"/>
            <w:vAlign w:val="center"/>
          </w:tcPr>
          <w:p w14:paraId="65F2BA45">
            <w:pPr>
              <w:pStyle w:val="86"/>
              <w:keepNext w:val="0"/>
              <w:keepLines w:val="0"/>
              <w:pageBreakBefore w:val="0"/>
              <w:widowControl/>
              <w:shd w:val="clear"/>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color w:val="auto"/>
                <w:spacing w:val="3"/>
                <w:kern w:val="2"/>
                <w:sz w:val="21"/>
                <w:szCs w:val="21"/>
                <w:highlight w:val="none"/>
                <w:lang w:val="en-US" w:eastAsia="en-US" w:bidi="ar-SA"/>
              </w:rPr>
            </w:pPr>
            <w:r>
              <w:rPr>
                <w:rFonts w:hint="eastAsia" w:ascii="仿宋" w:hAnsi="仿宋" w:eastAsia="仿宋" w:cs="仿宋"/>
                <w:color w:val="auto"/>
                <w:spacing w:val="3"/>
                <w:kern w:val="2"/>
                <w:sz w:val="21"/>
                <w:szCs w:val="21"/>
                <w:highlight w:val="none"/>
                <w:lang w:val="en-US" w:eastAsia="en-US" w:bidi="ar-SA"/>
              </w:rPr>
              <w:t>同时具备（1）投标人具有工程设计综合甲级资质或工程设计水利行业甲级资质或工程设计水利行业（城市防洪）专业甲级资质；（2）投标人已通过全国投资项目在线审批监管平台（www．tzxm．gov．cn）备案，备案的工程咨询专业包含水利水电专业，工程咨询服务范围包含规划咨询（投标人应提供全国投资项目在线审批监管平台（www．tzxm．gov．cn）备案截图（应能清晰反映投标人从事的工程咨询专业和服务范围等内容）</w:t>
            </w:r>
          </w:p>
        </w:tc>
        <w:tc>
          <w:tcPr>
            <w:tcW w:w="1145" w:type="dxa"/>
            <w:vAlign w:val="center"/>
          </w:tcPr>
          <w:p w14:paraId="7EAB841F">
            <w:pPr>
              <w:keepNext w:val="0"/>
              <w:keepLines w:val="0"/>
              <w:pageBreakBefore w:val="0"/>
              <w:widowControl/>
              <w:shd w:val="clear"/>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color w:val="auto"/>
                <w:spacing w:val="1"/>
                <w:sz w:val="21"/>
                <w:szCs w:val="21"/>
                <w:lang w:val="en-US" w:eastAsia="zh-CN"/>
              </w:rPr>
            </w:pPr>
          </w:p>
        </w:tc>
      </w:tr>
      <w:tr w14:paraId="63A45D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745" w:type="dxa"/>
            <w:vAlign w:val="center"/>
          </w:tcPr>
          <w:p w14:paraId="0048BC9F">
            <w:pPr>
              <w:pStyle w:val="86"/>
              <w:keepNext w:val="0"/>
              <w:keepLines w:val="0"/>
              <w:pageBreakBefore w:val="0"/>
              <w:widowControl/>
              <w:shd w:val="clear"/>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b/>
                <w:bCs/>
                <w:color w:val="auto"/>
                <w:spacing w:val="-11"/>
                <w:sz w:val="21"/>
                <w:szCs w:val="21"/>
                <w:highlight w:val="none"/>
                <w:lang w:val="en-US" w:eastAsia="zh-CN"/>
              </w:rPr>
            </w:pPr>
            <w:r>
              <w:rPr>
                <w:rFonts w:hint="eastAsia" w:ascii="仿宋" w:hAnsi="仿宋" w:eastAsia="仿宋" w:cs="仿宋"/>
                <w:b/>
                <w:bCs/>
                <w:color w:val="auto"/>
                <w:spacing w:val="-11"/>
                <w:sz w:val="21"/>
                <w:szCs w:val="21"/>
                <w:highlight w:val="none"/>
                <w:lang w:val="en-US" w:eastAsia="zh-CN"/>
              </w:rPr>
              <w:t>8</w:t>
            </w:r>
          </w:p>
        </w:tc>
        <w:tc>
          <w:tcPr>
            <w:tcW w:w="2008" w:type="dxa"/>
            <w:vAlign w:val="center"/>
          </w:tcPr>
          <w:p w14:paraId="72B4BCBA">
            <w:pPr>
              <w:pStyle w:val="86"/>
              <w:keepNext w:val="0"/>
              <w:keepLines w:val="0"/>
              <w:pageBreakBefore w:val="0"/>
              <w:widowControl/>
              <w:shd w:val="clear"/>
              <w:kinsoku w:val="0"/>
              <w:wordWrap/>
              <w:overflowPunct/>
              <w:topLinePunct w:val="0"/>
              <w:autoSpaceDE w:val="0"/>
              <w:autoSpaceDN w:val="0"/>
              <w:bidi w:val="0"/>
              <w:adjustRightInd w:val="0"/>
              <w:snapToGrid w:val="0"/>
              <w:spacing w:line="240" w:lineRule="auto"/>
              <w:ind w:left="114" w:leftChars="0" w:right="108" w:rightChars="0" w:hanging="2" w:firstLineChars="0"/>
              <w:jc w:val="center"/>
              <w:textAlignment w:val="baseline"/>
              <w:rPr>
                <w:rFonts w:hint="default" w:ascii="仿宋" w:hAnsi="仿宋" w:eastAsia="仿宋" w:cs="仿宋"/>
                <w:color w:val="auto"/>
                <w:spacing w:val="-3"/>
                <w:sz w:val="21"/>
                <w:szCs w:val="21"/>
                <w:highlight w:val="none"/>
                <w:shd w:val="clear" w:color="auto" w:fill="auto"/>
                <w:lang w:val="en-US" w:eastAsia="zh-CN"/>
              </w:rPr>
            </w:pPr>
            <w:r>
              <w:rPr>
                <w:rFonts w:hint="eastAsia" w:ascii="仿宋" w:hAnsi="仿宋" w:eastAsia="仿宋" w:cs="仿宋"/>
                <w:color w:val="auto"/>
                <w:spacing w:val="3"/>
                <w:kern w:val="2"/>
                <w:sz w:val="21"/>
                <w:szCs w:val="21"/>
                <w:highlight w:val="none"/>
                <w:lang w:val="en-US" w:eastAsia="en-US" w:bidi="ar-SA"/>
              </w:rPr>
              <w:t>在资格审查阶段经查询，未被列入“失信被执行人”、“重大税收违法失信主体”、“政府采购严重违法失信行为记录名单”其中之一。如有以上不良信用记录之一的，其响应无效。</w:t>
            </w:r>
          </w:p>
        </w:tc>
        <w:tc>
          <w:tcPr>
            <w:tcW w:w="5683" w:type="dxa"/>
            <w:vAlign w:val="center"/>
          </w:tcPr>
          <w:p w14:paraId="3B864295">
            <w:pPr>
              <w:pStyle w:val="86"/>
              <w:keepNext w:val="0"/>
              <w:keepLines w:val="0"/>
              <w:pageBreakBefore w:val="0"/>
              <w:widowControl/>
              <w:shd w:val="clear"/>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color w:val="auto"/>
                <w:spacing w:val="3"/>
                <w:kern w:val="2"/>
                <w:sz w:val="21"/>
                <w:szCs w:val="21"/>
                <w:highlight w:val="none"/>
                <w:lang w:val="en-US" w:eastAsia="en-US" w:bidi="ar-SA"/>
              </w:rPr>
            </w:pPr>
            <w:r>
              <w:rPr>
                <w:rFonts w:hint="eastAsia" w:ascii="仿宋" w:hAnsi="仿宋" w:eastAsia="仿宋" w:cs="仿宋"/>
                <w:color w:val="auto"/>
                <w:spacing w:val="3"/>
                <w:kern w:val="2"/>
                <w:sz w:val="21"/>
                <w:szCs w:val="21"/>
                <w:highlight w:val="none"/>
                <w:lang w:val="en-US" w:eastAsia="en-US" w:bidi="ar-SA"/>
              </w:rPr>
              <w:t>查询渠道：信用中国网站和中国政府采购网（www.cr editchina.gov.cn、www.ccgp.gov.cn）；</w:t>
            </w:r>
          </w:p>
          <w:p w14:paraId="436C9A58">
            <w:pPr>
              <w:pStyle w:val="86"/>
              <w:keepNext w:val="0"/>
              <w:keepLines w:val="0"/>
              <w:pageBreakBefore w:val="0"/>
              <w:widowControl/>
              <w:shd w:val="clear"/>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color w:val="auto"/>
                <w:spacing w:val="3"/>
                <w:kern w:val="2"/>
                <w:sz w:val="21"/>
                <w:szCs w:val="21"/>
                <w:highlight w:val="none"/>
                <w:lang w:val="en-US" w:eastAsia="en-US" w:bidi="ar-SA"/>
              </w:rPr>
            </w:pPr>
            <w:r>
              <w:rPr>
                <w:rFonts w:hint="eastAsia" w:ascii="仿宋" w:hAnsi="仿宋" w:eastAsia="仿宋" w:cs="仿宋"/>
                <w:color w:val="auto"/>
                <w:spacing w:val="3"/>
                <w:kern w:val="2"/>
                <w:sz w:val="21"/>
                <w:szCs w:val="21"/>
                <w:highlight w:val="none"/>
                <w:lang w:val="en-US" w:eastAsia="en-US" w:bidi="ar-SA"/>
              </w:rPr>
              <w:t>截止时间：递交响应文件截止时间以后、资格审查阶段对供应商信用记录的实际查询时间；</w:t>
            </w:r>
          </w:p>
          <w:p w14:paraId="54CA7A46">
            <w:pPr>
              <w:pStyle w:val="86"/>
              <w:keepNext w:val="0"/>
              <w:keepLines w:val="0"/>
              <w:pageBreakBefore w:val="0"/>
              <w:widowControl/>
              <w:shd w:val="clear"/>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color w:val="auto"/>
                <w:spacing w:val="3"/>
                <w:kern w:val="2"/>
                <w:sz w:val="21"/>
                <w:szCs w:val="21"/>
                <w:highlight w:val="none"/>
                <w:lang w:val="en-US" w:eastAsia="en-US" w:bidi="ar-SA"/>
              </w:rPr>
            </w:pPr>
            <w:r>
              <w:rPr>
                <w:rFonts w:hint="eastAsia" w:ascii="仿宋" w:hAnsi="仿宋" w:eastAsia="仿宋" w:cs="仿宋"/>
                <w:color w:val="auto"/>
                <w:spacing w:val="3"/>
                <w:kern w:val="2"/>
                <w:sz w:val="21"/>
                <w:szCs w:val="21"/>
                <w:highlight w:val="none"/>
                <w:lang w:val="en-US" w:eastAsia="en-US" w:bidi="ar-SA"/>
              </w:rPr>
              <w:t>信用信息查询记录和证据留存具体方式：查询结果网页打印页作为查询记录和证据，与其他采购文件一并保存；</w:t>
            </w:r>
          </w:p>
          <w:p w14:paraId="556C5BF8">
            <w:pPr>
              <w:pStyle w:val="86"/>
              <w:keepNext w:val="0"/>
              <w:keepLines w:val="0"/>
              <w:pageBreakBefore w:val="0"/>
              <w:widowControl/>
              <w:shd w:val="clear"/>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color w:val="auto"/>
                <w:spacing w:val="3"/>
                <w:kern w:val="2"/>
                <w:sz w:val="21"/>
                <w:szCs w:val="21"/>
                <w:highlight w:val="none"/>
                <w:lang w:val="en-US" w:eastAsia="en-US" w:bidi="ar-SA"/>
              </w:rPr>
            </w:pPr>
            <w:r>
              <w:rPr>
                <w:rFonts w:hint="eastAsia" w:ascii="仿宋" w:hAnsi="仿宋" w:eastAsia="仿宋" w:cs="仿宋"/>
                <w:color w:val="auto"/>
                <w:spacing w:val="3"/>
                <w:kern w:val="2"/>
                <w:sz w:val="21"/>
                <w:szCs w:val="21"/>
                <w:highlight w:val="none"/>
                <w:lang w:val="en-US" w:eastAsia="en-US" w:bidi="ar-SA"/>
              </w:rPr>
              <w:t>信用记录的使用原则：经认定被列入失信被执行人、重大税收违法失信主体、政府采购严重违法失信行为 记录名单的供应商，其磋商响应无效。联合体形式响应的，联合体成员存在不良信用记录，视同联合体存 在不良信用记录。</w:t>
            </w:r>
          </w:p>
        </w:tc>
        <w:tc>
          <w:tcPr>
            <w:tcW w:w="1145" w:type="dxa"/>
            <w:vAlign w:val="center"/>
          </w:tcPr>
          <w:p w14:paraId="388AA97A">
            <w:pPr>
              <w:pStyle w:val="86"/>
              <w:keepNext w:val="0"/>
              <w:keepLines w:val="0"/>
              <w:pageBreakBefore w:val="0"/>
              <w:widowControl/>
              <w:shd w:val="clear"/>
              <w:kinsoku w:val="0"/>
              <w:wordWrap/>
              <w:overflowPunct/>
              <w:topLinePunct w:val="0"/>
              <w:autoSpaceDE w:val="0"/>
              <w:autoSpaceDN w:val="0"/>
              <w:bidi w:val="0"/>
              <w:adjustRightInd w:val="0"/>
              <w:snapToGrid w:val="0"/>
              <w:spacing w:line="240" w:lineRule="auto"/>
              <w:ind w:left="116" w:leftChars="0" w:right="99" w:rightChars="0"/>
              <w:jc w:val="both"/>
              <w:textAlignment w:val="baseline"/>
              <w:rPr>
                <w:rFonts w:hint="eastAsia" w:ascii="仿宋" w:hAnsi="仿宋" w:eastAsia="仿宋" w:cs="仿宋"/>
                <w:color w:val="auto"/>
                <w:spacing w:val="1"/>
                <w:sz w:val="21"/>
                <w:szCs w:val="21"/>
                <w:lang w:val="en-US" w:eastAsia="zh-CN"/>
              </w:rPr>
            </w:pPr>
            <w:r>
              <w:rPr>
                <w:rFonts w:hint="eastAsia" w:ascii="仿宋" w:hAnsi="仿宋" w:eastAsia="仿宋" w:cs="仿宋"/>
                <w:color w:val="auto"/>
                <w:spacing w:val="-8"/>
                <w:sz w:val="21"/>
                <w:szCs w:val="21"/>
                <w:highlight w:val="none"/>
              </w:rPr>
              <w:t>无须供应商</w:t>
            </w:r>
            <w:r>
              <w:rPr>
                <w:rFonts w:hint="eastAsia" w:ascii="仿宋" w:hAnsi="仿宋" w:eastAsia="仿宋" w:cs="仿宋"/>
                <w:color w:val="auto"/>
                <w:spacing w:val="-10"/>
                <w:sz w:val="21"/>
                <w:szCs w:val="21"/>
                <w:highlight w:val="none"/>
              </w:rPr>
              <w:t>提供，由采购</w:t>
            </w:r>
            <w:r>
              <w:rPr>
                <w:rFonts w:hint="eastAsia" w:ascii="仿宋" w:hAnsi="仿宋" w:eastAsia="仿宋" w:cs="仿宋"/>
                <w:color w:val="auto"/>
                <w:spacing w:val="-3"/>
                <w:sz w:val="21"/>
                <w:szCs w:val="21"/>
                <w:highlight w:val="none"/>
              </w:rPr>
              <w:t>人或采购代</w:t>
            </w:r>
            <w:r>
              <w:rPr>
                <w:rFonts w:hint="eastAsia" w:ascii="仿宋" w:hAnsi="仿宋" w:eastAsia="仿宋" w:cs="仿宋"/>
                <w:color w:val="auto"/>
                <w:spacing w:val="-9"/>
                <w:sz w:val="21"/>
                <w:szCs w:val="21"/>
                <w:highlight w:val="none"/>
              </w:rPr>
              <w:t>理机构查询。</w:t>
            </w:r>
          </w:p>
        </w:tc>
      </w:tr>
      <w:tr w14:paraId="356261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745" w:type="dxa"/>
            <w:vAlign w:val="center"/>
          </w:tcPr>
          <w:p w14:paraId="7A095BA3">
            <w:pPr>
              <w:pStyle w:val="49"/>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b/>
                <w:bCs/>
                <w:color w:val="auto"/>
                <w:spacing w:val="-11"/>
                <w:sz w:val="21"/>
                <w:szCs w:val="21"/>
                <w:highlight w:val="none"/>
                <w:lang w:val="en-US" w:eastAsia="zh-CN"/>
              </w:rPr>
            </w:pPr>
            <w:r>
              <w:rPr>
                <w:rFonts w:hint="eastAsia" w:ascii="仿宋" w:hAnsi="仿宋" w:eastAsia="仿宋" w:cs="仿宋"/>
                <w:b/>
                <w:bCs/>
                <w:color w:val="auto"/>
                <w:sz w:val="21"/>
                <w:szCs w:val="21"/>
                <w:highlight w:val="none"/>
                <w:lang w:val="en-US" w:eastAsia="zh-CN"/>
              </w:rPr>
              <w:t>9</w:t>
            </w:r>
          </w:p>
        </w:tc>
        <w:tc>
          <w:tcPr>
            <w:tcW w:w="2008" w:type="dxa"/>
            <w:vAlign w:val="center"/>
          </w:tcPr>
          <w:p w14:paraId="224CF317">
            <w:pPr>
              <w:pStyle w:val="86"/>
              <w:keepNext w:val="0"/>
              <w:keepLines w:val="0"/>
              <w:pageBreakBefore w:val="0"/>
              <w:widowControl/>
              <w:shd w:val="clear"/>
              <w:kinsoku w:val="0"/>
              <w:wordWrap/>
              <w:overflowPunct/>
              <w:topLinePunct w:val="0"/>
              <w:autoSpaceDE w:val="0"/>
              <w:autoSpaceDN w:val="0"/>
              <w:bidi w:val="0"/>
              <w:adjustRightInd w:val="0"/>
              <w:snapToGrid w:val="0"/>
              <w:spacing w:line="240" w:lineRule="auto"/>
              <w:ind w:left="114" w:leftChars="0" w:right="108" w:rightChars="0" w:hanging="2" w:firstLineChars="0"/>
              <w:jc w:val="center"/>
              <w:textAlignment w:val="baseline"/>
              <w:rPr>
                <w:rFonts w:hint="default" w:ascii="仿宋" w:hAnsi="仿宋" w:eastAsia="仿宋" w:cs="仿宋"/>
                <w:color w:val="auto"/>
                <w:spacing w:val="-3"/>
                <w:sz w:val="21"/>
                <w:szCs w:val="21"/>
                <w:highlight w:val="none"/>
                <w:shd w:val="clear" w:color="auto" w:fill="auto"/>
                <w:lang w:val="en-US" w:eastAsia="zh-CN"/>
              </w:rPr>
            </w:pPr>
            <w:r>
              <w:rPr>
                <w:rFonts w:hint="eastAsia" w:ascii="仿宋" w:hAnsi="仿宋" w:eastAsia="仿宋" w:cs="仿宋"/>
                <w:color w:val="auto"/>
                <w:spacing w:val="1"/>
                <w:sz w:val="21"/>
                <w:szCs w:val="21"/>
                <w:lang w:val="en-US" w:eastAsia="zh-CN"/>
              </w:rPr>
              <w:t>政府购买服务承接主体的要求</w:t>
            </w:r>
          </w:p>
        </w:tc>
        <w:tc>
          <w:tcPr>
            <w:tcW w:w="5683" w:type="dxa"/>
            <w:vAlign w:val="center"/>
          </w:tcPr>
          <w:p w14:paraId="0A9AA607">
            <w:pPr>
              <w:pStyle w:val="49"/>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color w:val="auto"/>
                <w:spacing w:val="3"/>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如本项目属于政府购买服务，投标人不属于公益一类事业单位、使用事业编制且由财政拨款保障的群团组织。</w:t>
            </w:r>
          </w:p>
        </w:tc>
        <w:tc>
          <w:tcPr>
            <w:tcW w:w="1145" w:type="dxa"/>
            <w:vAlign w:val="center"/>
          </w:tcPr>
          <w:p w14:paraId="67FC29BC">
            <w:pPr>
              <w:keepNext w:val="0"/>
              <w:keepLines w:val="0"/>
              <w:pageBreakBefore w:val="0"/>
              <w:widowControl/>
              <w:shd w:val="clear"/>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color w:val="auto"/>
                <w:spacing w:val="1"/>
                <w:sz w:val="21"/>
                <w:szCs w:val="21"/>
                <w:lang w:val="en-US" w:eastAsia="zh-CN"/>
              </w:rPr>
            </w:pPr>
          </w:p>
        </w:tc>
      </w:tr>
    </w:tbl>
    <w:p w14:paraId="6B06FD05">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p>
    <w:p w14:paraId="74C4D1D1">
      <w:pPr>
        <w:rPr>
          <w:rFonts w:hint="eastAsia" w:ascii="仿宋" w:hAnsi="仿宋" w:eastAsia="仿宋" w:cs="仿宋"/>
          <w:b/>
          <w:bCs/>
          <w:color w:val="auto"/>
          <w:kern w:val="44"/>
          <w:sz w:val="36"/>
          <w:szCs w:val="36"/>
          <w:highlight w:val="none"/>
          <w:lang w:val="en-US" w:eastAsia="zh-CN" w:bidi="ar-SA"/>
        </w:rPr>
      </w:pPr>
      <w:bookmarkStart w:id="438" w:name="_Toc155185903"/>
      <w:bookmarkStart w:id="439" w:name="_Toc18814"/>
      <w:r>
        <w:rPr>
          <w:rFonts w:hint="eastAsia" w:ascii="仿宋" w:hAnsi="仿宋" w:eastAsia="仿宋" w:cs="仿宋"/>
          <w:b/>
          <w:bCs/>
          <w:color w:val="auto"/>
          <w:kern w:val="44"/>
          <w:sz w:val="36"/>
          <w:szCs w:val="36"/>
          <w:highlight w:val="none"/>
          <w:lang w:val="en-US" w:eastAsia="zh-CN" w:bidi="ar-SA"/>
        </w:rPr>
        <w:br w:type="page"/>
      </w:r>
    </w:p>
    <w:p w14:paraId="6AAEF52E">
      <w:pPr>
        <w:jc w:val="center"/>
        <w:rPr>
          <w:rFonts w:hint="eastAsia" w:ascii="仿宋" w:hAnsi="仿宋" w:eastAsia="仿宋" w:cs="仿宋"/>
          <w:b/>
          <w:bCs/>
          <w:color w:val="auto"/>
          <w:kern w:val="44"/>
          <w:sz w:val="35"/>
          <w:szCs w:val="35"/>
          <w:highlight w:val="none"/>
          <w:lang w:val="en-US" w:eastAsia="zh-CN" w:bidi="ar-SA"/>
        </w:rPr>
      </w:pPr>
      <w:r>
        <w:rPr>
          <w:rFonts w:hint="eastAsia" w:ascii="仿宋" w:hAnsi="仿宋" w:eastAsia="仿宋" w:cs="仿宋"/>
          <w:b/>
          <w:bCs/>
          <w:color w:val="auto"/>
          <w:kern w:val="44"/>
          <w:sz w:val="35"/>
          <w:szCs w:val="35"/>
          <w:highlight w:val="none"/>
          <w:lang w:val="en-US" w:eastAsia="zh-CN" w:bidi="ar-SA"/>
        </w:rPr>
        <w:t>第五章 评标方法</w:t>
      </w:r>
      <w:bookmarkEnd w:id="438"/>
      <w:r>
        <w:rPr>
          <w:rFonts w:hint="eastAsia" w:ascii="仿宋" w:hAnsi="仿宋" w:eastAsia="仿宋" w:cs="仿宋"/>
          <w:b/>
          <w:bCs/>
          <w:color w:val="auto"/>
          <w:kern w:val="44"/>
          <w:sz w:val="35"/>
          <w:szCs w:val="35"/>
          <w:highlight w:val="none"/>
          <w:lang w:val="en-US" w:eastAsia="zh-CN" w:bidi="ar-SA"/>
        </w:rPr>
        <w:t>及标准(综合评分法)</w:t>
      </w:r>
      <w:bookmarkEnd w:id="439"/>
    </w:p>
    <w:p w14:paraId="068335C5">
      <w:pPr>
        <w:pStyle w:val="37"/>
        <w:pageBreakBefore w:val="0"/>
        <w:widowControl w:val="0"/>
        <w:kinsoku/>
        <w:overflowPunct/>
        <w:topLinePunct w:val="0"/>
        <w:autoSpaceDE/>
        <w:autoSpaceDN/>
        <w:bidi w:val="0"/>
        <w:adjustRightInd/>
        <w:snapToGrid/>
        <w:spacing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根据《中华人民共和国政府采购法》及其实施条例、《政府采购货物和服务招标投标管理办法》</w:t>
      </w:r>
      <w:r>
        <w:rPr>
          <w:rFonts w:hint="eastAsia" w:ascii="仿宋" w:hAnsi="仿宋" w:eastAsia="仿宋" w:cs="仿宋"/>
          <w:color w:val="auto"/>
          <w:highlight w:val="none"/>
          <w:lang w:val="en-US" w:eastAsia="zh-CN"/>
        </w:rPr>
        <w:t>及</w:t>
      </w:r>
      <w:r>
        <w:rPr>
          <w:rFonts w:hint="eastAsia" w:ascii="仿宋" w:hAnsi="仿宋" w:eastAsia="仿宋" w:cs="仿宋"/>
          <w:color w:val="auto"/>
          <w:highlight w:val="none"/>
        </w:rPr>
        <w:t>相关法律法规确定以下评标</w:t>
      </w:r>
      <w:r>
        <w:rPr>
          <w:rFonts w:hint="eastAsia" w:ascii="仿宋" w:hAnsi="仿宋" w:eastAsia="仿宋" w:cs="仿宋"/>
          <w:color w:val="auto"/>
          <w:highlight w:val="none"/>
          <w:lang w:val="en-US" w:eastAsia="zh-CN"/>
        </w:rPr>
        <w:t>方</w:t>
      </w:r>
      <w:r>
        <w:rPr>
          <w:rFonts w:hint="eastAsia" w:ascii="仿宋" w:hAnsi="仿宋" w:eastAsia="仿宋" w:cs="仿宋"/>
          <w:color w:val="auto"/>
          <w:highlight w:val="none"/>
        </w:rPr>
        <w:t>法及标准。</w:t>
      </w:r>
    </w:p>
    <w:p w14:paraId="1A115E7D">
      <w:pPr>
        <w:pStyle w:val="3"/>
        <w:keepNext/>
        <w:keepLines/>
        <w:pageBreakBefore w:val="0"/>
        <w:widowControl w:val="0"/>
        <w:numPr>
          <w:ilvl w:val="0"/>
          <w:numId w:val="0"/>
        </w:numPr>
        <w:kinsoku/>
        <w:wordWrap/>
        <w:overflowPunct/>
        <w:topLinePunct w:val="0"/>
        <w:autoSpaceDE/>
        <w:autoSpaceDN/>
        <w:bidi w:val="0"/>
        <w:adjustRightInd/>
        <w:snapToGrid/>
        <w:spacing w:before="100" w:after="100" w:line="440" w:lineRule="exact"/>
        <w:ind w:left="420" w:leftChars="0" w:hanging="420" w:firstLineChars="0"/>
        <w:textAlignment w:val="auto"/>
        <w:rPr>
          <w:rFonts w:hint="eastAsia" w:ascii="仿宋" w:hAnsi="仿宋" w:eastAsia="仿宋" w:cs="仿宋"/>
          <w:color w:val="auto"/>
          <w:sz w:val="28"/>
          <w:szCs w:val="28"/>
          <w:highlight w:val="none"/>
          <w:lang w:val="zh-CN" w:eastAsia="zh-CN"/>
        </w:rPr>
      </w:pPr>
      <w:bookmarkStart w:id="440" w:name="_Toc21370"/>
      <w:bookmarkStart w:id="441" w:name="_Toc511894518"/>
      <w:bookmarkStart w:id="442" w:name="_Toc272247709"/>
      <w:bookmarkStart w:id="443" w:name="_Toc109899903"/>
      <w:bookmarkStart w:id="444" w:name="_Toc140132826"/>
      <w:bookmarkStart w:id="445" w:name="_Toc61280402"/>
      <w:bookmarkStart w:id="446" w:name="_Toc109900322"/>
      <w:bookmarkStart w:id="447" w:name="_Toc109899484"/>
      <w:bookmarkStart w:id="448" w:name="_Toc494561962"/>
      <w:bookmarkStart w:id="449" w:name="_Toc155185905"/>
      <w:bookmarkStart w:id="450" w:name="_Toc278891606"/>
      <w:r>
        <w:rPr>
          <w:rFonts w:hint="eastAsia" w:ascii="仿宋" w:hAnsi="仿宋" w:eastAsia="仿宋" w:cs="仿宋"/>
          <w:color w:val="auto"/>
          <w:sz w:val="28"/>
          <w:szCs w:val="28"/>
          <w:highlight w:val="none"/>
          <w:lang w:val="zh-CN" w:eastAsia="zh-CN"/>
        </w:rPr>
        <w:t>一、评标</w:t>
      </w:r>
      <w:r>
        <w:rPr>
          <w:rFonts w:hint="eastAsia" w:ascii="仿宋" w:hAnsi="仿宋" w:eastAsia="仿宋" w:cs="仿宋"/>
          <w:color w:val="auto"/>
          <w:sz w:val="28"/>
          <w:szCs w:val="28"/>
          <w:highlight w:val="none"/>
          <w:lang w:val="en-US" w:eastAsia="zh-CN"/>
        </w:rPr>
        <w:t>方</w:t>
      </w:r>
      <w:r>
        <w:rPr>
          <w:rFonts w:hint="eastAsia" w:ascii="仿宋" w:hAnsi="仿宋" w:eastAsia="仿宋" w:cs="仿宋"/>
          <w:color w:val="auto"/>
          <w:sz w:val="28"/>
          <w:szCs w:val="28"/>
          <w:highlight w:val="none"/>
          <w:lang w:val="zh-CN" w:eastAsia="zh-CN"/>
        </w:rPr>
        <w:t>法</w:t>
      </w:r>
      <w:bookmarkEnd w:id="440"/>
    </w:p>
    <w:p w14:paraId="01F145A3">
      <w:pPr>
        <w:pStyle w:val="37"/>
        <w:keepNext w:val="0"/>
        <w:keepLines w:val="0"/>
        <w:pageBreakBefore w:val="0"/>
        <w:widowControl w:val="0"/>
        <w:kinsoku/>
        <w:wordWrap w:val="0"/>
        <w:overflowPunct/>
        <w:topLinePunct w:val="0"/>
        <w:autoSpaceDE/>
        <w:autoSpaceDN/>
        <w:bidi w:val="0"/>
        <w:adjustRightInd/>
        <w:snapToGrid/>
        <w:spacing w:line="440" w:lineRule="exact"/>
        <w:ind w:firstLine="482"/>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b/>
          <w:bCs/>
          <w:color w:val="auto"/>
          <w:highlight w:val="none"/>
        </w:rPr>
        <w:t>本项目采用综合评分法</w:t>
      </w:r>
      <w:r>
        <w:rPr>
          <w:rFonts w:hint="eastAsia" w:ascii="仿宋" w:hAnsi="仿宋" w:eastAsia="仿宋" w:cs="仿宋"/>
          <w:color w:val="auto"/>
          <w:highlight w:val="none"/>
        </w:rPr>
        <w:t>。综合评分法，是指投标文件满足招标文件全部实质性要求，且按照评审因素的量化指标评审得分最高的投标人为中标候选人的评标方法。</w:t>
      </w:r>
    </w:p>
    <w:p w14:paraId="0E59C438">
      <w:pPr>
        <w:pStyle w:val="3"/>
        <w:keepNext/>
        <w:keepLines/>
        <w:pageBreakBefore w:val="0"/>
        <w:widowControl w:val="0"/>
        <w:numPr>
          <w:ilvl w:val="0"/>
          <w:numId w:val="0"/>
        </w:numPr>
        <w:kinsoku/>
        <w:wordWrap/>
        <w:overflowPunct/>
        <w:topLinePunct w:val="0"/>
        <w:autoSpaceDE/>
        <w:autoSpaceDN/>
        <w:bidi w:val="0"/>
        <w:adjustRightInd/>
        <w:snapToGrid/>
        <w:spacing w:before="100" w:after="100" w:line="440" w:lineRule="exact"/>
        <w:ind w:left="420" w:leftChars="0" w:hanging="420" w:firstLineChars="0"/>
        <w:textAlignment w:val="auto"/>
        <w:rPr>
          <w:rFonts w:hint="eastAsia" w:ascii="仿宋" w:hAnsi="仿宋" w:eastAsia="仿宋" w:cs="仿宋"/>
          <w:color w:val="auto"/>
          <w:sz w:val="28"/>
          <w:szCs w:val="28"/>
          <w:highlight w:val="none"/>
          <w:lang w:val="zh-CN" w:eastAsia="zh-CN"/>
        </w:rPr>
      </w:pPr>
      <w:bookmarkStart w:id="451" w:name="_Toc4945"/>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lang w:val="zh-CN" w:eastAsia="zh-CN"/>
        </w:rPr>
        <w:t>、评标程序</w:t>
      </w:r>
      <w:bookmarkEnd w:id="451"/>
    </w:p>
    <w:p w14:paraId="1BA0F209">
      <w:pPr>
        <w:pStyle w:val="4"/>
        <w:keepNext/>
        <w:keepLines/>
        <w:pageBreakBefore w:val="0"/>
        <w:widowControl w:val="0"/>
        <w:numPr>
          <w:ilvl w:val="0"/>
          <w:numId w:val="0"/>
        </w:numPr>
        <w:kinsoku/>
        <w:wordWrap/>
        <w:overflowPunct/>
        <w:topLinePunct w:val="0"/>
        <w:autoSpaceDE/>
        <w:autoSpaceDN/>
        <w:bidi w:val="0"/>
        <w:adjustRightInd/>
        <w:snapToGrid/>
        <w:spacing w:before="60" w:after="60" w:line="440" w:lineRule="exact"/>
        <w:ind w:left="420" w:leftChars="0" w:hanging="420" w:firstLineChars="0"/>
        <w:textAlignment w:val="auto"/>
        <w:rPr>
          <w:rFonts w:hint="eastAsia" w:ascii="仿宋" w:hAnsi="仿宋" w:eastAsia="仿宋" w:cs="仿宋"/>
          <w:b/>
          <w:bCs/>
          <w:color w:val="auto"/>
          <w:kern w:val="2"/>
          <w:sz w:val="24"/>
          <w:szCs w:val="24"/>
          <w:highlight w:val="none"/>
          <w:lang w:val="zh-CN" w:eastAsia="zh-CN" w:bidi="ar-SA"/>
        </w:rPr>
      </w:pPr>
      <w:bookmarkStart w:id="452" w:name="_Toc30735"/>
      <w:bookmarkStart w:id="453" w:name="_Toc18989"/>
      <w:bookmarkStart w:id="454" w:name="_Toc27226"/>
      <w:r>
        <w:rPr>
          <w:rFonts w:hint="eastAsia" w:ascii="仿宋" w:hAnsi="仿宋" w:eastAsia="仿宋" w:cs="仿宋"/>
          <w:b/>
          <w:bCs/>
          <w:color w:val="auto"/>
          <w:kern w:val="2"/>
          <w:sz w:val="24"/>
          <w:szCs w:val="24"/>
          <w:highlight w:val="none"/>
          <w:lang w:val="zh-CN" w:eastAsia="zh-CN" w:bidi="ar-SA"/>
        </w:rPr>
        <w:t>（一）符合性审查</w:t>
      </w:r>
      <w:bookmarkEnd w:id="452"/>
      <w:bookmarkEnd w:id="453"/>
      <w:bookmarkEnd w:id="454"/>
    </w:p>
    <w:p w14:paraId="5B368A93">
      <w:pPr>
        <w:pStyle w:val="37"/>
        <w:pageBreakBefore w:val="0"/>
        <w:widowControl w:val="0"/>
        <w:kinsoku/>
        <w:overflowPunct/>
        <w:topLinePunct w:val="0"/>
        <w:autoSpaceDE/>
        <w:autoSpaceDN/>
        <w:bidi w:val="0"/>
        <w:adjustRightInd/>
        <w:snapToGrid/>
        <w:spacing w:line="440" w:lineRule="exact"/>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评标委员会应当对</w:t>
      </w:r>
      <w:r>
        <w:rPr>
          <w:rFonts w:hint="eastAsia" w:ascii="仿宋" w:hAnsi="仿宋" w:eastAsia="仿宋" w:cs="仿宋"/>
          <w:color w:val="auto"/>
          <w:highlight w:val="none"/>
          <w:lang w:val="en-US" w:eastAsia="zh-CN"/>
        </w:rPr>
        <w:t>通过</w:t>
      </w:r>
      <w:r>
        <w:rPr>
          <w:rFonts w:hint="eastAsia" w:ascii="仿宋" w:hAnsi="仿宋" w:eastAsia="仿宋" w:cs="仿宋"/>
          <w:color w:val="auto"/>
          <w:highlight w:val="none"/>
        </w:rPr>
        <w:t>资格</w:t>
      </w:r>
      <w:r>
        <w:rPr>
          <w:rFonts w:hint="eastAsia" w:ascii="仿宋" w:hAnsi="仿宋" w:eastAsia="仿宋" w:cs="仿宋"/>
          <w:color w:val="auto"/>
          <w:highlight w:val="none"/>
          <w:lang w:val="en-US" w:eastAsia="zh-CN"/>
        </w:rPr>
        <w:t>审查</w:t>
      </w:r>
      <w:r>
        <w:rPr>
          <w:rFonts w:hint="eastAsia" w:ascii="仿宋" w:hAnsi="仿宋" w:eastAsia="仿宋" w:cs="仿宋"/>
          <w:color w:val="auto"/>
          <w:highlight w:val="none"/>
        </w:rPr>
        <w:t>的投标人的投标文件进行符合性审查，以确定其是否满足招标文件的实质性要求。投标人必须通过符合性审查的全部评审指标</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不满足招标文件的实质性要求的，</w:t>
      </w:r>
      <w:r>
        <w:rPr>
          <w:rFonts w:hint="eastAsia" w:ascii="仿宋" w:hAnsi="仿宋" w:eastAsia="仿宋" w:cs="仿宋"/>
          <w:color w:val="auto"/>
          <w:highlight w:val="none"/>
          <w:lang w:val="en-US" w:eastAsia="zh-CN"/>
        </w:rPr>
        <w:t>其</w:t>
      </w:r>
      <w:r>
        <w:rPr>
          <w:rFonts w:hint="eastAsia" w:ascii="仿宋" w:hAnsi="仿宋" w:eastAsia="仿宋" w:cs="仿宋"/>
          <w:b/>
          <w:bCs/>
          <w:color w:val="auto"/>
          <w:highlight w:val="none"/>
        </w:rPr>
        <w:t>投标无效</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具体内容详</w:t>
      </w:r>
      <w:r>
        <w:rPr>
          <w:rFonts w:hint="eastAsia" w:ascii="仿宋" w:hAnsi="仿宋" w:eastAsia="仿宋" w:cs="仿宋"/>
          <w:color w:val="auto"/>
          <w:highlight w:val="none"/>
          <w:lang w:val="zh-CN"/>
        </w:rPr>
        <w:t>本章“</w:t>
      </w:r>
      <w:r>
        <w:rPr>
          <w:rFonts w:hint="eastAsia" w:ascii="仿宋" w:hAnsi="仿宋" w:eastAsia="仿宋" w:cs="仿宋"/>
          <w:color w:val="auto"/>
          <w:highlight w:val="none"/>
          <w:lang w:val="en-US" w:eastAsia="zh-CN"/>
        </w:rPr>
        <w:t>四</w:t>
      </w:r>
      <w:r>
        <w:rPr>
          <w:rFonts w:hint="eastAsia" w:ascii="仿宋" w:hAnsi="仿宋" w:eastAsia="仿宋" w:cs="仿宋"/>
          <w:color w:val="auto"/>
          <w:highlight w:val="none"/>
          <w:lang w:val="zh-CN"/>
        </w:rPr>
        <w:t>、评标标准”中</w:t>
      </w:r>
      <w:r>
        <w:rPr>
          <w:rFonts w:hint="eastAsia" w:ascii="仿宋" w:hAnsi="仿宋" w:eastAsia="仿宋" w:cs="仿宋"/>
          <w:color w:val="auto"/>
          <w:highlight w:val="none"/>
          <w:lang w:val="en-US" w:eastAsia="zh-CN"/>
        </w:rPr>
        <w:t>的</w:t>
      </w:r>
      <w:r>
        <w:rPr>
          <w:rFonts w:hint="eastAsia" w:ascii="仿宋" w:hAnsi="仿宋" w:eastAsia="仿宋" w:cs="仿宋"/>
          <w:color w:val="auto"/>
          <w:highlight w:val="none"/>
          <w:lang w:val="zh-CN"/>
        </w:rPr>
        <w:t>“（一）符合性审查”。</w:t>
      </w:r>
    </w:p>
    <w:p w14:paraId="12DC4065">
      <w:pPr>
        <w:pStyle w:val="37"/>
        <w:pageBreakBefore w:val="0"/>
        <w:widowControl w:val="0"/>
        <w:kinsoku/>
        <w:overflowPunct/>
        <w:topLinePunct w:val="0"/>
        <w:autoSpaceDE/>
        <w:autoSpaceDN/>
        <w:bidi w:val="0"/>
        <w:adjustRightInd/>
        <w:snapToGrid/>
        <w:spacing w:line="440" w:lineRule="exact"/>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en-US" w:eastAsia="zh-CN"/>
        </w:rPr>
        <w:t>通过</w:t>
      </w:r>
      <w:r>
        <w:rPr>
          <w:rFonts w:hint="eastAsia" w:ascii="仿宋" w:hAnsi="仿宋" w:eastAsia="仿宋" w:cs="仿宋"/>
          <w:color w:val="auto"/>
          <w:highlight w:val="none"/>
        </w:rPr>
        <w:t>符合性审查</w:t>
      </w:r>
      <w:r>
        <w:rPr>
          <w:rFonts w:hint="eastAsia" w:ascii="仿宋" w:hAnsi="仿宋" w:eastAsia="仿宋" w:cs="仿宋"/>
          <w:color w:val="auto"/>
          <w:highlight w:val="none"/>
          <w:lang w:val="en-US" w:eastAsia="zh-CN"/>
        </w:rPr>
        <w:t>的</w:t>
      </w:r>
      <w:r>
        <w:rPr>
          <w:rFonts w:hint="eastAsia" w:ascii="仿宋" w:hAnsi="仿宋" w:eastAsia="仿宋" w:cs="仿宋"/>
          <w:color w:val="auto"/>
          <w:highlight w:val="none"/>
        </w:rPr>
        <w:t>有效</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不足3家的应当终止采购活动，发布项目终止公告并说明原因，重新开展采购活动。</w:t>
      </w:r>
    </w:p>
    <w:p w14:paraId="7F7132A6">
      <w:pPr>
        <w:pStyle w:val="4"/>
        <w:keepNext/>
        <w:keepLines/>
        <w:pageBreakBefore w:val="0"/>
        <w:widowControl w:val="0"/>
        <w:numPr>
          <w:ilvl w:val="0"/>
          <w:numId w:val="0"/>
        </w:numPr>
        <w:kinsoku/>
        <w:wordWrap/>
        <w:overflowPunct/>
        <w:topLinePunct w:val="0"/>
        <w:autoSpaceDE/>
        <w:autoSpaceDN/>
        <w:bidi w:val="0"/>
        <w:adjustRightInd/>
        <w:snapToGrid/>
        <w:spacing w:before="60" w:after="60" w:line="440" w:lineRule="exact"/>
        <w:ind w:left="420" w:leftChars="0" w:hanging="420" w:firstLineChars="0"/>
        <w:textAlignment w:val="auto"/>
        <w:rPr>
          <w:rFonts w:hint="eastAsia" w:ascii="仿宋" w:hAnsi="仿宋" w:eastAsia="仿宋" w:cs="仿宋"/>
          <w:b/>
          <w:bCs/>
          <w:color w:val="auto"/>
          <w:kern w:val="2"/>
          <w:sz w:val="24"/>
          <w:szCs w:val="24"/>
          <w:highlight w:val="none"/>
          <w:lang w:val="zh-CN" w:eastAsia="zh-CN" w:bidi="ar-SA"/>
        </w:rPr>
      </w:pPr>
      <w:bookmarkStart w:id="455" w:name="_Toc155185907"/>
      <w:bookmarkStart w:id="456" w:name="_Toc102056244"/>
      <w:bookmarkStart w:id="457" w:name="_Toc102114946"/>
      <w:bookmarkStart w:id="458" w:name="_Toc102119879"/>
      <w:bookmarkStart w:id="459" w:name="_Toc102116048"/>
      <w:bookmarkStart w:id="460" w:name="_Toc102057744"/>
      <w:bookmarkStart w:id="461" w:name="_Toc102116178"/>
      <w:bookmarkStart w:id="462" w:name="_Toc2036"/>
      <w:bookmarkStart w:id="463" w:name="_Toc163492903"/>
      <w:bookmarkStart w:id="464" w:name="_Toc10476"/>
      <w:bookmarkStart w:id="465" w:name="_Toc20930"/>
      <w:r>
        <w:rPr>
          <w:rFonts w:hint="eastAsia" w:ascii="仿宋" w:hAnsi="仿宋" w:eastAsia="仿宋" w:cs="仿宋"/>
          <w:b/>
          <w:bCs/>
          <w:color w:val="auto"/>
          <w:kern w:val="2"/>
          <w:sz w:val="24"/>
          <w:szCs w:val="24"/>
          <w:highlight w:val="none"/>
          <w:lang w:val="zh-CN" w:eastAsia="zh-CN" w:bidi="ar-SA"/>
        </w:rPr>
        <w:t>（</w:t>
      </w:r>
      <w:r>
        <w:rPr>
          <w:rFonts w:hint="eastAsia" w:ascii="仿宋" w:hAnsi="仿宋" w:eastAsia="仿宋" w:cs="仿宋"/>
          <w:b/>
          <w:bCs/>
          <w:color w:val="auto"/>
          <w:kern w:val="2"/>
          <w:sz w:val="24"/>
          <w:szCs w:val="24"/>
          <w:highlight w:val="none"/>
          <w:lang w:val="en-US" w:eastAsia="zh-CN" w:bidi="ar-SA"/>
        </w:rPr>
        <w:t>二</w:t>
      </w:r>
      <w:r>
        <w:rPr>
          <w:rFonts w:hint="eastAsia" w:ascii="仿宋" w:hAnsi="仿宋" w:eastAsia="仿宋" w:cs="仿宋"/>
          <w:b/>
          <w:bCs/>
          <w:color w:val="auto"/>
          <w:kern w:val="2"/>
          <w:sz w:val="24"/>
          <w:szCs w:val="24"/>
          <w:highlight w:val="none"/>
          <w:lang w:val="zh-CN" w:eastAsia="zh-CN" w:bidi="ar-SA"/>
        </w:rPr>
        <w:t>）投标文件澄清</w:t>
      </w:r>
      <w:bookmarkEnd w:id="455"/>
      <w:bookmarkEnd w:id="456"/>
      <w:bookmarkEnd w:id="457"/>
      <w:bookmarkEnd w:id="458"/>
      <w:bookmarkEnd w:id="459"/>
      <w:bookmarkEnd w:id="460"/>
      <w:bookmarkEnd w:id="461"/>
      <w:r>
        <w:rPr>
          <w:rFonts w:hint="eastAsia" w:ascii="仿宋" w:hAnsi="仿宋" w:eastAsia="仿宋" w:cs="仿宋"/>
          <w:b/>
          <w:bCs/>
          <w:color w:val="auto"/>
          <w:kern w:val="2"/>
          <w:sz w:val="24"/>
          <w:szCs w:val="24"/>
          <w:highlight w:val="none"/>
          <w:lang w:val="zh-CN" w:eastAsia="zh-CN" w:bidi="ar-SA"/>
        </w:rPr>
        <w:t>及修正</w:t>
      </w:r>
      <w:bookmarkEnd w:id="462"/>
      <w:bookmarkEnd w:id="463"/>
      <w:bookmarkEnd w:id="464"/>
      <w:bookmarkEnd w:id="465"/>
    </w:p>
    <w:p w14:paraId="13741B93">
      <w:pPr>
        <w:pStyle w:val="37"/>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w:t>
      </w:r>
      <w:r>
        <w:rPr>
          <w:rFonts w:hint="eastAsia" w:ascii="仿宋" w:hAnsi="仿宋" w:eastAsia="仿宋" w:cs="仿宋"/>
          <w:iCs/>
          <w:color w:val="auto"/>
          <w:spacing w:val="-6"/>
          <w:sz w:val="24"/>
          <w:highlight w:val="none"/>
        </w:rPr>
        <w:t>评标期间，对于投标文件中含义不明确、同类问题表述不一致或者有明显文字和计算错误的内容需要投标人作出必要的澄清、说明或者补正的，评标委员会应当在</w:t>
      </w:r>
      <w:r>
        <w:rPr>
          <w:rFonts w:hint="eastAsia" w:ascii="仿宋" w:hAnsi="仿宋" w:eastAsia="仿宋" w:cs="仿宋"/>
          <w:iCs/>
          <w:color w:val="auto"/>
          <w:spacing w:val="-6"/>
          <w:sz w:val="24"/>
          <w:highlight w:val="none"/>
          <w:lang w:val="en-US" w:eastAsia="zh-CN"/>
        </w:rPr>
        <w:t>政采云平台评标</w:t>
      </w:r>
      <w:r>
        <w:rPr>
          <w:rFonts w:hint="eastAsia" w:ascii="仿宋" w:hAnsi="仿宋" w:eastAsia="仿宋" w:cs="仿宋"/>
          <w:iCs/>
          <w:color w:val="auto"/>
          <w:spacing w:val="-6"/>
          <w:sz w:val="24"/>
          <w:highlight w:val="none"/>
        </w:rPr>
        <w:t>系统中以书面形式要求投标人作出必要的澄清、说明或者补正。</w:t>
      </w:r>
    </w:p>
    <w:p w14:paraId="2D71EA7F">
      <w:pPr>
        <w:pStyle w:val="37"/>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.投标人应按照评标委员会要求在规定时间内作出澄清、说明或者补正，澄清、说明或者补正不得超出投标文件的范围或者改变投标文件的实质性内容。</w:t>
      </w:r>
    </w:p>
    <w:p w14:paraId="1234A417">
      <w:pPr>
        <w:pStyle w:val="37"/>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.投标人的澄清、说明或者补正是其投标文件的有效组成部分，澄清、说明或者补正应当在</w:t>
      </w:r>
      <w:r>
        <w:rPr>
          <w:rFonts w:hint="eastAsia" w:ascii="仿宋" w:hAnsi="仿宋" w:eastAsia="仿宋" w:cs="仿宋"/>
          <w:color w:val="auto"/>
          <w:highlight w:val="none"/>
          <w:lang w:val="en-US" w:eastAsia="zh-CN"/>
        </w:rPr>
        <w:t>政采云平台评标</w:t>
      </w:r>
      <w:r>
        <w:rPr>
          <w:rFonts w:hint="eastAsia" w:ascii="仿宋" w:hAnsi="仿宋" w:eastAsia="仿宋" w:cs="仿宋"/>
          <w:color w:val="auto"/>
          <w:highlight w:val="none"/>
        </w:rPr>
        <w:t>系统中加盖电子印章后提交。</w:t>
      </w:r>
    </w:p>
    <w:p w14:paraId="511C99B3">
      <w:pPr>
        <w:pStyle w:val="37"/>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.报价合理性说明：评标委员会认为投标人的报价明显低于其他通过符合性审查投标人的报价，有可能影响</w:t>
      </w:r>
      <w:r>
        <w:rPr>
          <w:rFonts w:hint="eastAsia" w:ascii="仿宋" w:hAnsi="仿宋" w:eastAsia="仿宋" w:cs="仿宋"/>
          <w:color w:val="auto"/>
          <w:highlight w:val="none"/>
          <w:lang w:val="en-US" w:eastAsia="zh-CN"/>
        </w:rPr>
        <w:t>服务</w:t>
      </w:r>
      <w:r>
        <w:rPr>
          <w:rFonts w:hint="eastAsia" w:ascii="仿宋" w:hAnsi="仿宋" w:eastAsia="仿宋" w:cs="仿宋"/>
          <w:color w:val="auto"/>
          <w:highlight w:val="none"/>
        </w:rPr>
        <w:t>质量或者不能诚信履约的，</w:t>
      </w:r>
      <w:r>
        <w:rPr>
          <w:rFonts w:hint="eastAsia" w:ascii="仿宋" w:hAnsi="仿宋" w:eastAsia="仿宋" w:cs="仿宋"/>
          <w:color w:val="auto"/>
          <w:highlight w:val="none"/>
          <w:lang w:val="en-US" w:eastAsia="zh-CN"/>
        </w:rPr>
        <w:t>应当</w:t>
      </w:r>
      <w:r>
        <w:rPr>
          <w:rFonts w:hint="eastAsia" w:ascii="仿宋" w:hAnsi="仿宋" w:eastAsia="仿宋" w:cs="仿宋"/>
          <w:color w:val="auto"/>
          <w:highlight w:val="none"/>
        </w:rPr>
        <w:t>要求</w:t>
      </w:r>
      <w:r>
        <w:rPr>
          <w:rFonts w:hint="eastAsia" w:ascii="仿宋" w:hAnsi="仿宋" w:eastAsia="仿宋" w:cs="仿宋"/>
          <w:color w:val="auto"/>
          <w:highlight w:val="none"/>
          <w:lang w:val="en-US" w:eastAsia="zh-CN"/>
        </w:rPr>
        <w:t>该投标人</w:t>
      </w:r>
      <w:r>
        <w:rPr>
          <w:rFonts w:hint="eastAsia" w:ascii="仿宋" w:hAnsi="仿宋" w:eastAsia="仿宋" w:cs="仿宋"/>
          <w:color w:val="auto"/>
          <w:highlight w:val="none"/>
        </w:rPr>
        <w:t>在合理的时间内提供说明，必要时提交相关证明材料；</w:t>
      </w:r>
      <w:r>
        <w:rPr>
          <w:rFonts w:hint="eastAsia" w:ascii="仿宋" w:hAnsi="仿宋" w:eastAsia="仿宋" w:cs="仿宋"/>
          <w:color w:val="auto"/>
          <w:highlight w:val="none"/>
          <w:lang w:val="en-US" w:eastAsia="zh-CN"/>
        </w:rPr>
        <w:t>若</w:t>
      </w:r>
      <w:r>
        <w:rPr>
          <w:rFonts w:hint="eastAsia" w:ascii="仿宋" w:hAnsi="仿宋" w:eastAsia="仿宋" w:cs="仿宋"/>
          <w:color w:val="auto"/>
          <w:highlight w:val="none"/>
        </w:rPr>
        <w:t>投标人不能证明其报价合理性的，评标委员</w:t>
      </w:r>
      <w:r>
        <w:rPr>
          <w:rFonts w:hint="eastAsia" w:ascii="仿宋" w:hAnsi="仿宋" w:eastAsia="仿宋" w:cs="仿宋"/>
          <w:color w:val="auto"/>
          <w:highlight w:val="none"/>
          <w:lang w:val="en-US" w:eastAsia="zh-CN"/>
        </w:rPr>
        <w:t>会应当</w:t>
      </w:r>
      <w:r>
        <w:rPr>
          <w:rFonts w:hint="eastAsia" w:ascii="仿宋" w:hAnsi="仿宋" w:eastAsia="仿宋" w:cs="仿宋"/>
          <w:color w:val="auto"/>
          <w:highlight w:val="none"/>
        </w:rPr>
        <w:t>将其作</w:t>
      </w:r>
      <w:r>
        <w:rPr>
          <w:rFonts w:hint="eastAsia" w:ascii="仿宋" w:hAnsi="仿宋" w:eastAsia="仿宋" w:cs="仿宋"/>
          <w:b/>
          <w:bCs/>
          <w:color w:val="auto"/>
          <w:highlight w:val="none"/>
        </w:rPr>
        <w:t>无效投标</w:t>
      </w:r>
      <w:r>
        <w:rPr>
          <w:rFonts w:hint="eastAsia" w:ascii="仿宋" w:hAnsi="仿宋" w:eastAsia="仿宋" w:cs="仿宋"/>
          <w:color w:val="auto"/>
          <w:highlight w:val="none"/>
        </w:rPr>
        <w:t>处理。</w:t>
      </w:r>
    </w:p>
    <w:p w14:paraId="7E69D2E6">
      <w:pPr>
        <w:pStyle w:val="37"/>
        <w:keepNext w:val="0"/>
        <w:keepLines w:val="0"/>
        <w:pageBreakBefore w:val="0"/>
        <w:widowControl w:val="0"/>
        <w:kinsoku/>
        <w:wordWrap w:val="0"/>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rFonts w:hint="eastAsia" w:ascii="仿宋" w:hAnsi="仿宋" w:eastAsia="仿宋" w:cs="仿宋"/>
          <w:b/>
          <w:bCs/>
          <w:color w:val="auto"/>
          <w:highlight w:val="none"/>
          <w:lang w:val="en-US" w:eastAsia="zh-CN"/>
        </w:rPr>
        <w:t>投标无效</w:t>
      </w:r>
      <w:r>
        <w:rPr>
          <w:rFonts w:hint="eastAsia" w:ascii="仿宋" w:hAnsi="仿宋" w:eastAsia="仿宋" w:cs="仿宋"/>
          <w:color w:val="auto"/>
          <w:highlight w:val="none"/>
          <w:lang w:val="en-US" w:eastAsia="zh-CN"/>
        </w:rPr>
        <w:t>。</w:t>
      </w:r>
    </w:p>
    <w:p w14:paraId="3F63037C">
      <w:pPr>
        <w:pStyle w:val="37"/>
        <w:keepNext w:val="0"/>
        <w:keepLines w:val="0"/>
        <w:pageBreakBefore w:val="0"/>
        <w:widowControl w:val="0"/>
        <w:kinsoku/>
        <w:wordWrap w:val="0"/>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8.投标文件报价出现前后不一致的，除招标文件另有规定外，按照下列规定修正：</w:t>
      </w:r>
    </w:p>
    <w:p w14:paraId="4AF77690">
      <w:pPr>
        <w:pStyle w:val="37"/>
        <w:keepNext w:val="0"/>
        <w:keepLines w:val="0"/>
        <w:pageBreakBefore w:val="0"/>
        <w:widowControl w:val="0"/>
        <w:kinsoku/>
        <w:wordWrap w:val="0"/>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8.1投标文件中开标一览表（报价表）内容与投标文件中相应内容不一致的，以开标一览表（报价表）为准；</w:t>
      </w:r>
    </w:p>
    <w:p w14:paraId="40542C1D">
      <w:pPr>
        <w:pStyle w:val="37"/>
        <w:keepNext w:val="0"/>
        <w:keepLines w:val="0"/>
        <w:pageBreakBefore w:val="0"/>
        <w:widowControl w:val="0"/>
        <w:kinsoku/>
        <w:wordWrap w:val="0"/>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8.2大写金额和小写金额不一致的，以大写金额为准；</w:t>
      </w:r>
    </w:p>
    <w:p w14:paraId="302379AD">
      <w:pPr>
        <w:pStyle w:val="37"/>
        <w:keepNext w:val="0"/>
        <w:keepLines w:val="0"/>
        <w:pageBreakBefore w:val="0"/>
        <w:widowControl w:val="0"/>
        <w:kinsoku/>
        <w:wordWrap w:val="0"/>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8.3单价金额小数点或者百分比有明显错位的，以开标一览表的总价为准，并修改单价；</w:t>
      </w:r>
    </w:p>
    <w:p w14:paraId="112061B2">
      <w:pPr>
        <w:pStyle w:val="37"/>
        <w:keepNext w:val="0"/>
        <w:keepLines w:val="0"/>
        <w:pageBreakBefore w:val="0"/>
        <w:widowControl w:val="0"/>
        <w:kinsoku/>
        <w:wordWrap w:val="0"/>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8.4总价金额与按单价汇总金额不一致的，以单价金额计算结果为准。</w:t>
      </w:r>
    </w:p>
    <w:p w14:paraId="12798026">
      <w:pPr>
        <w:pStyle w:val="37"/>
        <w:keepNext w:val="0"/>
        <w:keepLines w:val="0"/>
        <w:pageBreakBefore w:val="0"/>
        <w:widowControl w:val="0"/>
        <w:kinsoku/>
        <w:wordWrap w:val="0"/>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同时出现两种以上不一致的，按照8.1—8.4的顺序修正。修正后的报价采用书面形式，并加盖公章，或者由法定代表人或其授权的代表签字，经投标人确认后产生约束力，投标人不确认的，其</w:t>
      </w:r>
      <w:r>
        <w:rPr>
          <w:rFonts w:hint="eastAsia" w:ascii="仿宋" w:hAnsi="仿宋" w:eastAsia="仿宋" w:cs="仿宋"/>
          <w:b/>
          <w:bCs/>
          <w:color w:val="auto"/>
          <w:highlight w:val="none"/>
          <w:lang w:val="en-US" w:eastAsia="zh-CN"/>
        </w:rPr>
        <w:t>投标无效</w:t>
      </w:r>
      <w:r>
        <w:rPr>
          <w:rFonts w:hint="eastAsia" w:ascii="仿宋" w:hAnsi="仿宋" w:eastAsia="仿宋" w:cs="仿宋"/>
          <w:color w:val="auto"/>
          <w:highlight w:val="none"/>
          <w:lang w:val="en-US" w:eastAsia="zh-CN"/>
        </w:rPr>
        <w:t>。</w:t>
      </w:r>
    </w:p>
    <w:p w14:paraId="0E666638">
      <w:pPr>
        <w:pStyle w:val="4"/>
        <w:keepNext/>
        <w:keepLines/>
        <w:pageBreakBefore w:val="0"/>
        <w:widowControl w:val="0"/>
        <w:numPr>
          <w:ilvl w:val="0"/>
          <w:numId w:val="0"/>
        </w:numPr>
        <w:kinsoku/>
        <w:wordWrap/>
        <w:overflowPunct/>
        <w:topLinePunct w:val="0"/>
        <w:autoSpaceDE/>
        <w:autoSpaceDN/>
        <w:bidi w:val="0"/>
        <w:adjustRightInd/>
        <w:snapToGrid/>
        <w:spacing w:before="60" w:after="60" w:line="440" w:lineRule="exact"/>
        <w:ind w:left="420" w:leftChars="0" w:hanging="420" w:firstLineChars="0"/>
        <w:textAlignment w:val="auto"/>
        <w:rPr>
          <w:rFonts w:hint="eastAsia" w:ascii="仿宋" w:hAnsi="仿宋" w:eastAsia="仿宋" w:cs="仿宋"/>
          <w:b/>
          <w:bCs/>
          <w:color w:val="auto"/>
          <w:kern w:val="2"/>
          <w:sz w:val="24"/>
          <w:szCs w:val="24"/>
          <w:highlight w:val="none"/>
          <w:lang w:val="zh-CN" w:eastAsia="zh-CN" w:bidi="ar-SA"/>
        </w:rPr>
      </w:pPr>
      <w:bookmarkStart w:id="466" w:name="_Toc1388"/>
      <w:bookmarkStart w:id="467" w:name="_Toc8536"/>
      <w:bookmarkStart w:id="468" w:name="_Toc13289"/>
      <w:r>
        <w:rPr>
          <w:rFonts w:hint="eastAsia" w:ascii="仿宋" w:hAnsi="仿宋" w:eastAsia="仿宋" w:cs="仿宋"/>
          <w:b/>
          <w:bCs/>
          <w:color w:val="auto"/>
          <w:kern w:val="2"/>
          <w:sz w:val="24"/>
          <w:szCs w:val="24"/>
          <w:highlight w:val="none"/>
          <w:lang w:val="zh-CN" w:eastAsia="zh-CN" w:bidi="ar-SA"/>
        </w:rPr>
        <w:t>（</w:t>
      </w:r>
      <w:r>
        <w:rPr>
          <w:rFonts w:hint="eastAsia" w:ascii="仿宋" w:hAnsi="仿宋" w:eastAsia="仿宋" w:cs="仿宋"/>
          <w:b/>
          <w:bCs/>
          <w:color w:val="auto"/>
          <w:kern w:val="2"/>
          <w:sz w:val="24"/>
          <w:szCs w:val="24"/>
          <w:highlight w:val="none"/>
          <w:lang w:val="en-US" w:eastAsia="zh-CN" w:bidi="ar-SA"/>
        </w:rPr>
        <w:t>三</w:t>
      </w:r>
      <w:r>
        <w:rPr>
          <w:rFonts w:hint="eastAsia" w:ascii="仿宋" w:hAnsi="仿宋" w:eastAsia="仿宋" w:cs="仿宋"/>
          <w:b/>
          <w:bCs/>
          <w:color w:val="auto"/>
          <w:kern w:val="2"/>
          <w:sz w:val="24"/>
          <w:szCs w:val="24"/>
          <w:highlight w:val="none"/>
          <w:lang w:val="zh-CN" w:eastAsia="zh-CN" w:bidi="ar-SA"/>
        </w:rPr>
        <w:t>）比较与评价</w:t>
      </w:r>
      <w:bookmarkEnd w:id="466"/>
      <w:bookmarkEnd w:id="467"/>
      <w:bookmarkEnd w:id="468"/>
    </w:p>
    <w:p w14:paraId="63456FC9">
      <w:pPr>
        <w:pStyle w:val="37"/>
        <w:pageBreakBefore w:val="0"/>
        <w:widowControl w:val="0"/>
        <w:kinsoku/>
        <w:overflowPunct/>
        <w:topLinePunct w:val="0"/>
        <w:autoSpaceDE/>
        <w:autoSpaceDN/>
        <w:bidi w:val="0"/>
        <w:adjustRightInd/>
        <w:snapToGrid/>
        <w:spacing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评标委员会应当按照招标文件中规定的评标方法和标准，对符合性审查合格的投标文件进行商务和技术评</w:t>
      </w:r>
      <w:r>
        <w:rPr>
          <w:rFonts w:hint="eastAsia" w:ascii="仿宋" w:hAnsi="仿宋" w:eastAsia="仿宋" w:cs="仿宋"/>
          <w:color w:val="auto"/>
          <w:highlight w:val="none"/>
          <w:lang w:val="en-US" w:eastAsia="zh-CN"/>
        </w:rPr>
        <w:t>估</w:t>
      </w:r>
      <w:r>
        <w:rPr>
          <w:rFonts w:hint="eastAsia" w:ascii="仿宋" w:hAnsi="仿宋" w:eastAsia="仿宋" w:cs="仿宋"/>
          <w:color w:val="auto"/>
          <w:highlight w:val="none"/>
        </w:rPr>
        <w:t>，综合比较与评价</w:t>
      </w:r>
      <w:r>
        <w:rPr>
          <w:rFonts w:hint="eastAsia" w:ascii="仿宋" w:hAnsi="仿宋" w:eastAsia="仿宋" w:cs="仿宋"/>
          <w:color w:val="auto"/>
          <w:highlight w:val="none"/>
          <w:lang w:val="en-US" w:eastAsia="zh-CN"/>
        </w:rPr>
        <w:t>；未通过符合性审查的投标文件不得进入比较与评价</w:t>
      </w:r>
      <w:r>
        <w:rPr>
          <w:rFonts w:hint="eastAsia" w:ascii="仿宋" w:hAnsi="仿宋" w:eastAsia="仿宋" w:cs="仿宋"/>
          <w:color w:val="auto"/>
          <w:highlight w:val="none"/>
        </w:rPr>
        <w:t>。评审因素包括投标报价、商务技术以及落实政府采购政策。评审因素及标准见本章</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四、</w:t>
      </w:r>
      <w:r>
        <w:rPr>
          <w:rFonts w:hint="eastAsia" w:ascii="仿宋" w:hAnsi="仿宋" w:eastAsia="仿宋" w:cs="仿宋"/>
          <w:color w:val="auto"/>
          <w:highlight w:val="none"/>
        </w:rPr>
        <w:t>评</w:t>
      </w:r>
      <w:r>
        <w:rPr>
          <w:rFonts w:hint="eastAsia" w:ascii="仿宋" w:hAnsi="仿宋" w:eastAsia="仿宋" w:cs="仿宋"/>
          <w:color w:val="auto"/>
          <w:highlight w:val="none"/>
          <w:lang w:val="en-US" w:eastAsia="zh-CN"/>
        </w:rPr>
        <w:t>标</w:t>
      </w:r>
      <w:r>
        <w:rPr>
          <w:rFonts w:hint="eastAsia" w:ascii="仿宋" w:hAnsi="仿宋" w:eastAsia="仿宋" w:cs="仿宋"/>
          <w:color w:val="auto"/>
          <w:highlight w:val="none"/>
        </w:rPr>
        <w:t>标准</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w:t>
      </w:r>
    </w:p>
    <w:p w14:paraId="0B349C2E">
      <w:pPr>
        <w:pStyle w:val="37"/>
        <w:keepNext w:val="0"/>
        <w:keepLines w:val="0"/>
        <w:pageBreakBefore w:val="0"/>
        <w:widowControl w:val="0"/>
        <w:kinsoku/>
        <w:overflowPunct/>
        <w:topLinePunct w:val="0"/>
        <w:autoSpaceDE/>
        <w:autoSpaceDN/>
        <w:bidi w:val="0"/>
        <w:adjustRightInd/>
        <w:snapToGrid/>
        <w:spacing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rPr>
        <w:t>.有效投标</w:t>
      </w:r>
      <w:r>
        <w:rPr>
          <w:rFonts w:hint="eastAsia" w:ascii="仿宋" w:hAnsi="仿宋" w:eastAsia="仿宋" w:cs="仿宋"/>
          <w:color w:val="auto"/>
          <w:highlight w:val="none"/>
          <w:lang w:val="en-US" w:eastAsia="zh-CN"/>
        </w:rPr>
        <w:t>人</w:t>
      </w:r>
      <w:r>
        <w:rPr>
          <w:rFonts w:hint="eastAsia" w:ascii="仿宋" w:hAnsi="仿宋" w:eastAsia="仿宋" w:cs="仿宋"/>
          <w:color w:val="auto"/>
          <w:highlight w:val="none"/>
        </w:rPr>
        <w:t>不足3家的应按</w:t>
      </w:r>
      <w:r>
        <w:rPr>
          <w:rFonts w:hint="eastAsia" w:ascii="仿宋" w:hAnsi="仿宋" w:eastAsia="仿宋" w:cs="仿宋"/>
          <w:b/>
          <w:bCs/>
          <w:color w:val="auto"/>
          <w:highlight w:val="none"/>
        </w:rPr>
        <w:t>废标</w:t>
      </w:r>
      <w:r>
        <w:rPr>
          <w:rFonts w:hint="eastAsia" w:ascii="仿宋" w:hAnsi="仿宋" w:eastAsia="仿宋" w:cs="仿宋"/>
          <w:color w:val="auto"/>
          <w:highlight w:val="none"/>
        </w:rPr>
        <w:t>处理。</w:t>
      </w:r>
    </w:p>
    <w:p w14:paraId="4C8736BF">
      <w:pPr>
        <w:pStyle w:val="4"/>
        <w:keepNext/>
        <w:keepLines/>
        <w:pageBreakBefore w:val="0"/>
        <w:widowControl w:val="0"/>
        <w:numPr>
          <w:ilvl w:val="0"/>
          <w:numId w:val="0"/>
        </w:numPr>
        <w:kinsoku/>
        <w:wordWrap/>
        <w:overflowPunct/>
        <w:topLinePunct w:val="0"/>
        <w:autoSpaceDE/>
        <w:autoSpaceDN/>
        <w:bidi w:val="0"/>
        <w:adjustRightInd/>
        <w:snapToGrid/>
        <w:spacing w:before="60" w:after="60" w:line="440" w:lineRule="exact"/>
        <w:ind w:left="420" w:leftChars="0" w:hanging="420" w:firstLineChars="0"/>
        <w:textAlignment w:val="auto"/>
        <w:rPr>
          <w:rFonts w:hint="eastAsia" w:ascii="仿宋" w:hAnsi="仿宋" w:eastAsia="仿宋" w:cs="仿宋"/>
          <w:b/>
          <w:bCs/>
          <w:color w:val="auto"/>
          <w:kern w:val="2"/>
          <w:sz w:val="24"/>
          <w:szCs w:val="24"/>
          <w:highlight w:val="none"/>
          <w:lang w:val="zh-CN" w:eastAsia="zh-CN" w:bidi="ar-SA"/>
        </w:rPr>
      </w:pPr>
      <w:bookmarkStart w:id="469" w:name="_Toc22691"/>
      <w:bookmarkStart w:id="470" w:name="_Toc4273"/>
      <w:bookmarkStart w:id="471" w:name="_Toc24190"/>
      <w:r>
        <w:rPr>
          <w:rFonts w:hint="eastAsia" w:ascii="仿宋" w:hAnsi="仿宋" w:eastAsia="仿宋" w:cs="仿宋"/>
          <w:b/>
          <w:bCs/>
          <w:color w:val="auto"/>
          <w:kern w:val="2"/>
          <w:sz w:val="24"/>
          <w:szCs w:val="24"/>
          <w:highlight w:val="none"/>
          <w:lang w:val="zh-CN" w:eastAsia="zh-CN" w:bidi="ar-SA"/>
        </w:rPr>
        <w:t>（</w:t>
      </w:r>
      <w:r>
        <w:rPr>
          <w:rFonts w:hint="eastAsia" w:ascii="仿宋" w:hAnsi="仿宋" w:eastAsia="仿宋" w:cs="仿宋"/>
          <w:b/>
          <w:bCs/>
          <w:color w:val="auto"/>
          <w:kern w:val="2"/>
          <w:sz w:val="24"/>
          <w:szCs w:val="24"/>
          <w:highlight w:val="none"/>
          <w:lang w:val="en-US" w:eastAsia="zh-CN" w:bidi="ar-SA"/>
        </w:rPr>
        <w:t>四</w:t>
      </w:r>
      <w:r>
        <w:rPr>
          <w:rFonts w:hint="eastAsia" w:ascii="仿宋" w:hAnsi="仿宋" w:eastAsia="仿宋" w:cs="仿宋"/>
          <w:b/>
          <w:bCs/>
          <w:color w:val="auto"/>
          <w:kern w:val="2"/>
          <w:sz w:val="24"/>
          <w:szCs w:val="24"/>
          <w:highlight w:val="none"/>
          <w:lang w:val="zh-CN" w:eastAsia="zh-CN" w:bidi="ar-SA"/>
        </w:rPr>
        <w:t>）报价评审</w:t>
      </w:r>
      <w:bookmarkEnd w:id="469"/>
      <w:bookmarkEnd w:id="470"/>
      <w:bookmarkEnd w:id="471"/>
    </w:p>
    <w:p w14:paraId="1360042A">
      <w:pPr>
        <w:pStyle w:val="37"/>
        <w:pageBreakBefore w:val="0"/>
        <w:widowControl w:val="0"/>
        <w:kinsoku/>
        <w:overflowPunct/>
        <w:topLinePunct w:val="0"/>
        <w:autoSpaceDE/>
        <w:autoSpaceDN/>
        <w:bidi w:val="0"/>
        <w:adjustRightInd/>
        <w:snapToGrid/>
        <w:spacing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11.</w:t>
      </w:r>
      <w:r>
        <w:rPr>
          <w:rFonts w:hint="eastAsia" w:ascii="仿宋" w:hAnsi="仿宋" w:eastAsia="仿宋" w:cs="仿宋"/>
          <w:color w:val="auto"/>
          <w:highlight w:val="none"/>
        </w:rPr>
        <w:t>投标报价评审</w:t>
      </w:r>
    </w:p>
    <w:p w14:paraId="64971905">
      <w:pPr>
        <w:pStyle w:val="37"/>
        <w:pageBreakBefore w:val="0"/>
        <w:widowControl w:val="0"/>
        <w:kinsoku/>
        <w:overflowPunct/>
        <w:topLinePunct w:val="0"/>
        <w:autoSpaceDE/>
        <w:autoSpaceDN/>
        <w:bidi w:val="0"/>
        <w:adjustRightInd/>
        <w:snapToGrid/>
        <w:spacing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11.1服务项目的价格分值占总分值的比重不得低于10%。执行国家统一定价标准和采用固定价格采购的项目，其价格不列为评审因素。</w:t>
      </w:r>
      <w:r>
        <w:rPr>
          <w:rFonts w:hint="eastAsia" w:ascii="仿宋" w:hAnsi="仿宋" w:eastAsia="仿宋" w:cs="仿宋"/>
          <w:color w:val="auto"/>
          <w:highlight w:val="none"/>
        </w:rPr>
        <w:t>价格分应当采用低价优先法计算，即满足招标文件要求且投标价格最低的投标报价为评标基准价，其价格分为满分。其他投标人的价格分统一按照下列公式计算：</w:t>
      </w:r>
    </w:p>
    <w:p w14:paraId="2A4D6D0A">
      <w:pPr>
        <w:pStyle w:val="37"/>
        <w:pageBreakBefore w:val="0"/>
        <w:widowControl w:val="0"/>
        <w:kinsoku/>
        <w:overflowPunct/>
        <w:topLinePunct w:val="0"/>
        <w:autoSpaceDE/>
        <w:autoSpaceDN/>
        <w:bidi w:val="0"/>
        <w:adjustRightInd/>
        <w:snapToGrid/>
        <w:spacing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投标报价得分=(评标基准价／投标报价)×价格</w:t>
      </w:r>
      <w:r>
        <w:rPr>
          <w:rFonts w:hint="eastAsia" w:ascii="仿宋" w:hAnsi="仿宋" w:eastAsia="仿宋" w:cs="仿宋"/>
          <w:color w:val="auto"/>
          <w:highlight w:val="none"/>
          <w:lang w:eastAsia="zh-CN"/>
        </w:rPr>
        <w:t>分值</w:t>
      </w:r>
    </w:p>
    <w:p w14:paraId="081A0C4C">
      <w:pPr>
        <w:pStyle w:val="37"/>
        <w:pageBreakBefore w:val="0"/>
        <w:widowControl w:val="0"/>
        <w:kinsoku/>
        <w:overflowPunct/>
        <w:topLinePunct w:val="0"/>
        <w:autoSpaceDE/>
        <w:autoSpaceDN/>
        <w:bidi w:val="0"/>
        <w:adjustRightInd/>
        <w:snapToGrid/>
        <w:spacing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评标过程中，不得去掉报价中的最高报价和最低报价。</w:t>
      </w:r>
    </w:p>
    <w:p w14:paraId="6B5B037C">
      <w:pPr>
        <w:pStyle w:val="37"/>
        <w:pageBreakBefore w:val="0"/>
        <w:widowControl w:val="0"/>
        <w:kinsoku/>
        <w:overflowPunct/>
        <w:topLinePunct w:val="0"/>
        <w:autoSpaceDE/>
        <w:autoSpaceDN/>
        <w:bidi w:val="0"/>
        <w:adjustRightInd/>
        <w:snapToGrid/>
        <w:spacing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11.</w:t>
      </w:r>
      <w:r>
        <w:rPr>
          <w:rFonts w:hint="eastAsia" w:ascii="仿宋" w:hAnsi="仿宋" w:eastAsia="仿宋" w:cs="仿宋"/>
          <w:color w:val="auto"/>
          <w:highlight w:val="none"/>
        </w:rPr>
        <w:t>2</w:t>
      </w:r>
      <w:r>
        <w:rPr>
          <w:rFonts w:hint="eastAsia" w:ascii="仿宋" w:hAnsi="仿宋" w:eastAsia="仿宋" w:cs="仿宋"/>
          <w:iCs/>
          <w:color w:val="auto"/>
          <w:spacing w:val="-6"/>
          <w:sz w:val="24"/>
          <w:highlight w:val="none"/>
        </w:rPr>
        <w:t>除算术修正和落实政府采购政策的价格扣除外，不对投标报价进行调整；</w:t>
      </w:r>
    </w:p>
    <w:p w14:paraId="29A31E77">
      <w:pPr>
        <w:pStyle w:val="37"/>
        <w:pageBreakBefore w:val="0"/>
        <w:widowControl w:val="0"/>
        <w:kinsoku/>
        <w:overflowPunct/>
        <w:topLinePunct w:val="0"/>
        <w:autoSpaceDE/>
        <w:autoSpaceDN/>
        <w:bidi w:val="0"/>
        <w:adjustRightInd/>
        <w:snapToGrid/>
        <w:spacing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11.</w:t>
      </w:r>
      <w:r>
        <w:rPr>
          <w:rFonts w:hint="eastAsia" w:ascii="仿宋" w:hAnsi="仿宋" w:eastAsia="仿宋" w:cs="仿宋"/>
          <w:color w:val="auto"/>
          <w:highlight w:val="none"/>
        </w:rPr>
        <w:t>3价格</w:t>
      </w:r>
      <w:r>
        <w:rPr>
          <w:rFonts w:hint="eastAsia" w:ascii="仿宋" w:hAnsi="仿宋" w:eastAsia="仿宋" w:cs="仿宋"/>
          <w:color w:val="auto"/>
          <w:highlight w:val="none"/>
          <w:lang w:eastAsia="zh-CN"/>
        </w:rPr>
        <w:t>分值</w:t>
      </w:r>
      <w:r>
        <w:rPr>
          <w:rFonts w:hint="eastAsia" w:ascii="仿宋" w:hAnsi="仿宋" w:eastAsia="仿宋" w:cs="仿宋"/>
          <w:color w:val="auto"/>
          <w:highlight w:val="none"/>
        </w:rPr>
        <w:t>见本章</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四、</w:t>
      </w:r>
      <w:r>
        <w:rPr>
          <w:rFonts w:hint="eastAsia" w:ascii="仿宋" w:hAnsi="仿宋" w:eastAsia="仿宋" w:cs="仿宋"/>
          <w:color w:val="auto"/>
          <w:highlight w:val="none"/>
        </w:rPr>
        <w:t>评</w:t>
      </w:r>
      <w:r>
        <w:rPr>
          <w:rFonts w:hint="eastAsia" w:ascii="仿宋" w:hAnsi="仿宋" w:eastAsia="仿宋" w:cs="仿宋"/>
          <w:color w:val="auto"/>
          <w:highlight w:val="none"/>
          <w:lang w:val="en-US" w:eastAsia="zh-CN"/>
        </w:rPr>
        <w:t>标</w:t>
      </w:r>
      <w:r>
        <w:rPr>
          <w:rFonts w:hint="eastAsia" w:ascii="仿宋" w:hAnsi="仿宋" w:eastAsia="仿宋" w:cs="仿宋"/>
          <w:color w:val="auto"/>
          <w:highlight w:val="none"/>
        </w:rPr>
        <w:t>标准</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w:t>
      </w:r>
    </w:p>
    <w:p w14:paraId="540B8F9D">
      <w:pPr>
        <w:pStyle w:val="37"/>
        <w:pageBreakBefore w:val="0"/>
        <w:widowControl w:val="0"/>
        <w:kinsoku/>
        <w:overflowPunct/>
        <w:topLinePunct w:val="0"/>
        <w:autoSpaceDE/>
        <w:autoSpaceDN/>
        <w:bidi w:val="0"/>
        <w:adjustRightInd/>
        <w:snapToGrid/>
        <w:spacing w:line="440" w:lineRule="exact"/>
        <w:textAlignment w:val="auto"/>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w:t>
      </w:r>
      <w:r>
        <w:rPr>
          <w:rFonts w:hint="eastAsia" w:ascii="仿宋" w:hAnsi="仿宋" w:eastAsia="仿宋" w:cs="仿宋"/>
          <w:b w:val="0"/>
          <w:bCs w:val="0"/>
          <w:color w:val="auto"/>
          <w:highlight w:val="none"/>
          <w:lang w:val="en-US" w:eastAsia="zh-CN"/>
        </w:rPr>
        <w:t>2</w:t>
      </w:r>
      <w:r>
        <w:rPr>
          <w:rFonts w:hint="eastAsia" w:ascii="仿宋" w:hAnsi="仿宋" w:eastAsia="仿宋" w:cs="仿宋"/>
          <w:b w:val="0"/>
          <w:bCs w:val="0"/>
          <w:color w:val="auto"/>
          <w:highlight w:val="none"/>
        </w:rPr>
        <w:t>.政府采购政策评审</w:t>
      </w:r>
    </w:p>
    <w:p w14:paraId="4BDA6A79">
      <w:pPr>
        <w:pStyle w:val="37"/>
        <w:pageBreakBefore w:val="0"/>
        <w:widowControl w:val="0"/>
        <w:numPr>
          <w:ilvl w:val="0"/>
          <w:numId w:val="0"/>
        </w:numPr>
        <w:kinsoku/>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.1非专门面向中小企业的采购项目或采购包，对符合规定的小微企业（</w:t>
      </w:r>
      <w:r>
        <w:rPr>
          <w:rFonts w:hint="eastAsia" w:ascii="仿宋" w:hAnsi="仿宋" w:eastAsia="仿宋" w:cs="仿宋"/>
          <w:color w:val="auto"/>
          <w:highlight w:val="none"/>
          <w:lang w:val="en-US" w:eastAsia="zh-CN"/>
        </w:rPr>
        <w:t>含</w:t>
      </w:r>
      <w:r>
        <w:rPr>
          <w:rFonts w:hint="eastAsia" w:ascii="仿宋" w:hAnsi="仿宋" w:eastAsia="仿宋" w:cs="仿宋"/>
          <w:color w:val="auto"/>
          <w:highlight w:val="none"/>
        </w:rPr>
        <w:t>监狱企业、残疾人福利性单位、联合体各方均为小微企业的联合体、符合小微企业划分标准的个体工商户视同小微企业）报价按照本招标文件</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投标人须知前附表”中的规定扣除，对小微企业中的监狱企业、残疾人福利性单位、采购产品纳入创新产品应用示范推荐目录内企业、采购产品获得节能产品或环境标志产品认证证书的企业报价按照本</w:t>
      </w:r>
      <w:r>
        <w:rPr>
          <w:rFonts w:hint="eastAsia" w:ascii="仿宋" w:hAnsi="仿宋" w:eastAsia="仿宋" w:cs="仿宋"/>
          <w:color w:val="auto"/>
          <w:highlight w:val="none"/>
          <w:lang w:val="en-US" w:eastAsia="zh-CN"/>
        </w:rPr>
        <w:t>招标</w:t>
      </w:r>
      <w:r>
        <w:rPr>
          <w:rFonts w:hint="eastAsia" w:ascii="仿宋" w:hAnsi="仿宋" w:eastAsia="仿宋" w:cs="仿宋"/>
          <w:color w:val="auto"/>
          <w:highlight w:val="none"/>
        </w:rPr>
        <w:t>文件</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投标人</w:t>
      </w:r>
      <w:r>
        <w:rPr>
          <w:rFonts w:hint="eastAsia" w:ascii="仿宋" w:hAnsi="仿宋" w:eastAsia="仿宋" w:cs="仿宋"/>
          <w:color w:val="auto"/>
          <w:highlight w:val="none"/>
        </w:rPr>
        <w:t>须知前附表”中的规定扣除，用扣除后的价格计算评审基准价。</w:t>
      </w:r>
    </w:p>
    <w:p w14:paraId="2C79A20A">
      <w:pPr>
        <w:pStyle w:val="37"/>
        <w:pageBreakBefore w:val="0"/>
        <w:widowControl w:val="0"/>
        <w:numPr>
          <w:ilvl w:val="0"/>
          <w:numId w:val="0"/>
        </w:numPr>
        <w:kinsoku/>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12.</w:t>
      </w:r>
      <w:r>
        <w:rPr>
          <w:rFonts w:hint="eastAsia" w:ascii="仿宋" w:hAnsi="仿宋" w:eastAsia="仿宋" w:cs="仿宋"/>
          <w:color w:val="auto"/>
          <w:highlight w:val="none"/>
          <w:lang w:val="zh-CN" w:eastAsia="zh-CN"/>
        </w:rPr>
        <w:t>2</w:t>
      </w:r>
      <w:r>
        <w:rPr>
          <w:rFonts w:hint="eastAsia" w:ascii="仿宋" w:hAnsi="仿宋" w:eastAsia="仿宋" w:cs="仿宋"/>
          <w:color w:val="auto"/>
          <w:highlight w:val="none"/>
        </w:rPr>
        <w:t>参加政府采购活动的小微企业（含节能环保、创新产品企业）未提供“中小企业声明函”的；监狱企业未提供“监狱企业证明文件”的；残疾人福利性单位未提供“残疾人福利性单位声明函”的；不得享受相应的价格扣除优惠。组成联合体或者接受分包的小微企业与联合体内其他企业、分包企业之间存在直接控股、管理关系的，不得享受价格扣除优惠。</w:t>
      </w:r>
      <w:r>
        <w:rPr>
          <w:rFonts w:hint="eastAsia" w:ascii="仿宋" w:hAnsi="仿宋" w:eastAsia="仿宋" w:cs="仿宋"/>
          <w:color w:val="auto"/>
          <w:highlight w:val="none"/>
          <w:lang w:val="en-US" w:eastAsia="zh-CN"/>
        </w:rPr>
        <w:t>若供应商同时属于小型或微型企业、监狱企业、残疾人福利性单位 中的两种及以上，将不重复享受小微企业价格扣减的优惠政策。</w:t>
      </w:r>
    </w:p>
    <w:p w14:paraId="63940C49">
      <w:pPr>
        <w:pStyle w:val="37"/>
        <w:pageBreakBefore w:val="0"/>
        <w:widowControl w:val="0"/>
        <w:numPr>
          <w:ilvl w:val="0"/>
          <w:numId w:val="0"/>
        </w:numPr>
        <w:kinsoku/>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组成联合体或者接受分包的小微企业与联合体内其他企业、分包企业之间存在直接控股、管理关系的，不享受价格扣除优惠政策。</w:t>
      </w:r>
    </w:p>
    <w:p w14:paraId="4ADEC9BB">
      <w:pPr>
        <w:pStyle w:val="37"/>
        <w:pageBreakBefore w:val="0"/>
        <w:widowControl w:val="0"/>
        <w:numPr>
          <w:ilvl w:val="0"/>
          <w:numId w:val="0"/>
        </w:numPr>
        <w:kinsoku/>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价格扣除比例对小型企业和微型企业同等对待，不作区分。</w:t>
      </w:r>
    </w:p>
    <w:p w14:paraId="3496C3B7">
      <w:pPr>
        <w:pStyle w:val="37"/>
        <w:pageBreakBefore w:val="0"/>
        <w:widowControl w:val="0"/>
        <w:numPr>
          <w:ilvl w:val="0"/>
          <w:numId w:val="0"/>
        </w:numPr>
        <w:kinsoku/>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12.</w:t>
      </w:r>
      <w:r>
        <w:rPr>
          <w:rFonts w:hint="eastAsia" w:ascii="仿宋" w:hAnsi="仿宋" w:eastAsia="仿宋" w:cs="仿宋"/>
          <w:color w:val="auto"/>
          <w:highlight w:val="none"/>
          <w:lang w:val="zh-CN" w:eastAsia="zh-CN"/>
        </w:rPr>
        <w:t>3</w:t>
      </w:r>
      <w:r>
        <w:rPr>
          <w:rFonts w:hint="eastAsia" w:ascii="仿宋" w:hAnsi="仿宋" w:eastAsia="仿宋" w:cs="仿宋"/>
          <w:color w:val="auto"/>
          <w:highlight w:val="none"/>
        </w:rPr>
        <w:t>专门面向中小企业、预留部分采购份额面向中小企业采购的项目或采购包，评审时不再进行价格扣除。</w:t>
      </w:r>
    </w:p>
    <w:p w14:paraId="6541E274">
      <w:pPr>
        <w:pStyle w:val="37"/>
        <w:pageBreakBefore w:val="0"/>
        <w:widowControl w:val="0"/>
        <w:numPr>
          <w:ilvl w:val="0"/>
          <w:numId w:val="0"/>
        </w:numPr>
        <w:kinsoku/>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12.4</w:t>
      </w:r>
      <w:r>
        <w:rPr>
          <w:rFonts w:hint="eastAsia" w:ascii="仿宋" w:hAnsi="仿宋" w:eastAsia="仿宋" w:cs="仿宋"/>
          <w:color w:val="auto"/>
          <w:highlight w:val="none"/>
        </w:rPr>
        <w:t>对于未预留份额专门面向中小企业的政府采购项目，以及预留份额政府采购项目中的非预留部分标项，对小型和微型企业的投标报价给予10%-20%的扣除，用扣除后的价格参与评审。接受大中型企业与小微企业组成联合体或者允许大中型企业向一家或者多家小微企业分包的政府采购项目，对于联合</w:t>
      </w:r>
      <w:r>
        <w:rPr>
          <w:rFonts w:hint="eastAsia" w:ascii="仿宋" w:hAnsi="仿宋" w:eastAsia="仿宋" w:cs="仿宋"/>
          <w:color w:val="auto"/>
          <w:highlight w:val="none"/>
          <w:lang w:val="en-US" w:eastAsia="zh-CN"/>
        </w:rPr>
        <w:t>体</w:t>
      </w:r>
      <w:r>
        <w:rPr>
          <w:rFonts w:hint="eastAsia" w:ascii="仿宋" w:hAnsi="仿宋" w:eastAsia="仿宋" w:cs="仿宋"/>
          <w:color w:val="auto"/>
          <w:highlight w:val="none"/>
        </w:rPr>
        <w:t>协议</w:t>
      </w:r>
      <w:r>
        <w:rPr>
          <w:rFonts w:hint="eastAsia" w:ascii="仿宋" w:hAnsi="仿宋" w:eastAsia="仿宋" w:cs="仿宋"/>
          <w:color w:val="auto"/>
          <w:highlight w:val="none"/>
          <w:lang w:val="en-US" w:eastAsia="zh-CN"/>
        </w:rPr>
        <w:t>书</w:t>
      </w:r>
      <w:r>
        <w:rPr>
          <w:rFonts w:hint="eastAsia" w:ascii="仿宋" w:hAnsi="仿宋" w:eastAsia="仿宋" w:cs="仿宋"/>
          <w:color w:val="auto"/>
          <w:highlight w:val="none"/>
        </w:rPr>
        <w:t>或者分包意向协议</w:t>
      </w:r>
      <w:r>
        <w:rPr>
          <w:rFonts w:hint="eastAsia" w:ascii="仿宋" w:hAnsi="仿宋" w:eastAsia="仿宋" w:cs="仿宋"/>
          <w:color w:val="auto"/>
          <w:highlight w:val="none"/>
          <w:lang w:val="en-US" w:eastAsia="zh-CN"/>
        </w:rPr>
        <w:t>书</w:t>
      </w:r>
      <w:r>
        <w:rPr>
          <w:rFonts w:hint="eastAsia" w:ascii="仿宋" w:hAnsi="仿宋" w:eastAsia="仿宋" w:cs="仿宋"/>
          <w:color w:val="auto"/>
          <w:highlight w:val="none"/>
        </w:rPr>
        <w:t>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6D98B661">
      <w:pPr>
        <w:pStyle w:val="4"/>
        <w:keepNext/>
        <w:keepLines/>
        <w:pageBreakBefore w:val="0"/>
        <w:widowControl w:val="0"/>
        <w:numPr>
          <w:ilvl w:val="0"/>
          <w:numId w:val="0"/>
        </w:numPr>
        <w:kinsoku/>
        <w:wordWrap/>
        <w:overflowPunct/>
        <w:topLinePunct w:val="0"/>
        <w:autoSpaceDE/>
        <w:autoSpaceDN/>
        <w:bidi w:val="0"/>
        <w:adjustRightInd/>
        <w:snapToGrid/>
        <w:spacing w:before="60" w:after="60" w:line="440" w:lineRule="exact"/>
        <w:ind w:left="420" w:leftChars="0" w:hanging="420" w:firstLineChars="0"/>
        <w:textAlignment w:val="auto"/>
        <w:rPr>
          <w:rFonts w:hint="eastAsia" w:ascii="仿宋" w:hAnsi="仿宋" w:eastAsia="仿宋" w:cs="仿宋"/>
          <w:b/>
          <w:bCs/>
          <w:color w:val="auto"/>
          <w:kern w:val="2"/>
          <w:sz w:val="24"/>
          <w:szCs w:val="24"/>
          <w:highlight w:val="none"/>
          <w:lang w:val="zh-CN" w:eastAsia="zh-CN" w:bidi="ar-SA"/>
        </w:rPr>
      </w:pPr>
      <w:bookmarkStart w:id="472" w:name="_Toc8718"/>
      <w:bookmarkStart w:id="473" w:name="_Toc13576"/>
      <w:bookmarkStart w:id="474" w:name="_Toc32272"/>
      <w:r>
        <w:rPr>
          <w:rFonts w:hint="eastAsia" w:ascii="仿宋" w:hAnsi="仿宋" w:eastAsia="仿宋" w:cs="仿宋"/>
          <w:b/>
          <w:bCs/>
          <w:color w:val="auto"/>
          <w:kern w:val="2"/>
          <w:sz w:val="24"/>
          <w:szCs w:val="24"/>
          <w:highlight w:val="none"/>
          <w:lang w:val="zh-CN" w:eastAsia="zh-CN" w:bidi="ar-SA"/>
        </w:rPr>
        <w:t>（</w:t>
      </w:r>
      <w:r>
        <w:rPr>
          <w:rFonts w:hint="eastAsia" w:ascii="仿宋" w:hAnsi="仿宋" w:eastAsia="仿宋" w:cs="仿宋"/>
          <w:b/>
          <w:bCs/>
          <w:color w:val="auto"/>
          <w:kern w:val="2"/>
          <w:sz w:val="24"/>
          <w:szCs w:val="24"/>
          <w:highlight w:val="none"/>
          <w:lang w:val="en-US" w:eastAsia="zh-CN" w:bidi="ar-SA"/>
        </w:rPr>
        <w:t>五</w:t>
      </w:r>
      <w:r>
        <w:rPr>
          <w:rFonts w:hint="eastAsia" w:ascii="仿宋" w:hAnsi="仿宋" w:eastAsia="仿宋" w:cs="仿宋"/>
          <w:b/>
          <w:bCs/>
          <w:color w:val="auto"/>
          <w:kern w:val="2"/>
          <w:sz w:val="24"/>
          <w:szCs w:val="24"/>
          <w:highlight w:val="none"/>
          <w:lang w:val="zh-CN" w:eastAsia="zh-CN" w:bidi="ar-SA"/>
        </w:rPr>
        <w:t>）评标得分及复核</w:t>
      </w:r>
      <w:bookmarkEnd w:id="472"/>
      <w:bookmarkEnd w:id="473"/>
      <w:bookmarkEnd w:id="474"/>
    </w:p>
    <w:p w14:paraId="3E4D0839">
      <w:pPr>
        <w:pStyle w:val="37"/>
        <w:keepNext w:val="0"/>
        <w:keepLines w:val="0"/>
        <w:pageBreakBefore w:val="0"/>
        <w:widowControl w:val="0"/>
        <w:kinsoku/>
        <w:wordWrap w:val="0"/>
        <w:overflowPunct/>
        <w:topLinePunct w:val="0"/>
        <w:autoSpaceDE/>
        <w:autoSpaceDN/>
        <w:bidi w:val="0"/>
        <w:adjustRightInd/>
        <w:snapToGrid/>
        <w:spacing w:line="440" w:lineRule="exact"/>
        <w:ind w:firstLine="482"/>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13.评标过程中，各项分值一般精确到小数点后两位，评标得分应为商务评分、技术评分、报价评分之和。评标委员会各成员应汇总每个投标人的得分。</w:t>
      </w:r>
    </w:p>
    <w:p w14:paraId="499DA767">
      <w:pPr>
        <w:pStyle w:val="37"/>
        <w:keepNext w:val="0"/>
        <w:keepLines w:val="0"/>
        <w:pageBreakBefore w:val="0"/>
        <w:widowControl w:val="0"/>
        <w:kinsoku/>
        <w:wordWrap w:val="0"/>
        <w:overflowPunct/>
        <w:topLinePunct w:val="0"/>
        <w:autoSpaceDE/>
        <w:autoSpaceDN/>
        <w:bidi w:val="0"/>
        <w:adjustRightInd/>
        <w:snapToGrid/>
        <w:spacing w:line="440" w:lineRule="exact"/>
        <w:ind w:firstLine="482"/>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14.评标结果汇总完成后，采购代理机构应对评标结果进行复核。经复核发现存在以下情形之一的，</w:t>
      </w:r>
      <w:r>
        <w:rPr>
          <w:rFonts w:hint="eastAsia" w:ascii="仿宋" w:hAnsi="仿宋" w:eastAsia="仿宋" w:cs="仿宋"/>
          <w:iCs/>
          <w:color w:val="auto"/>
          <w:spacing w:val="-6"/>
          <w:sz w:val="24"/>
          <w:highlight w:val="none"/>
          <w:lang w:val="en-US" w:eastAsia="zh-CN"/>
        </w:rPr>
        <w:t>评标委员会应当当场修改评标结果，并在评标报告中记载</w:t>
      </w:r>
      <w:r>
        <w:rPr>
          <w:rFonts w:hint="eastAsia" w:ascii="仿宋" w:hAnsi="仿宋" w:eastAsia="仿宋" w:cs="仿宋"/>
          <w:color w:val="auto"/>
          <w:highlight w:val="none"/>
          <w:lang w:val="en-US" w:eastAsia="zh-CN"/>
        </w:rPr>
        <w:t>：</w:t>
      </w:r>
    </w:p>
    <w:p w14:paraId="091D0A8F">
      <w:pPr>
        <w:pStyle w:val="37"/>
        <w:keepNext w:val="0"/>
        <w:keepLines w:val="0"/>
        <w:pageBreakBefore w:val="0"/>
        <w:widowControl w:val="0"/>
        <w:kinsoku/>
        <w:wordWrap w:val="0"/>
        <w:overflowPunct/>
        <w:topLinePunct w:val="0"/>
        <w:autoSpaceDE/>
        <w:autoSpaceDN/>
        <w:bidi w:val="0"/>
        <w:adjustRightInd/>
        <w:snapToGrid/>
        <w:spacing w:line="440" w:lineRule="exact"/>
        <w:ind w:firstLine="482"/>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14.1分值汇总计算错误的；</w:t>
      </w:r>
    </w:p>
    <w:p w14:paraId="221094B2">
      <w:pPr>
        <w:pStyle w:val="37"/>
        <w:keepNext w:val="0"/>
        <w:keepLines w:val="0"/>
        <w:pageBreakBefore w:val="0"/>
        <w:widowControl w:val="0"/>
        <w:kinsoku/>
        <w:wordWrap w:val="0"/>
        <w:overflowPunct/>
        <w:topLinePunct w:val="0"/>
        <w:autoSpaceDE/>
        <w:autoSpaceDN/>
        <w:bidi w:val="0"/>
        <w:adjustRightInd/>
        <w:snapToGrid/>
        <w:spacing w:line="440" w:lineRule="exact"/>
        <w:ind w:firstLine="482"/>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14.2分项评分超出评分标准范围的；</w:t>
      </w:r>
    </w:p>
    <w:p w14:paraId="3F9C8968">
      <w:pPr>
        <w:pStyle w:val="37"/>
        <w:keepNext w:val="0"/>
        <w:keepLines w:val="0"/>
        <w:pageBreakBefore w:val="0"/>
        <w:widowControl w:val="0"/>
        <w:kinsoku/>
        <w:wordWrap w:val="0"/>
        <w:overflowPunct/>
        <w:topLinePunct w:val="0"/>
        <w:autoSpaceDE/>
        <w:autoSpaceDN/>
        <w:bidi w:val="0"/>
        <w:adjustRightInd/>
        <w:snapToGrid/>
        <w:spacing w:line="440" w:lineRule="exact"/>
        <w:ind w:firstLine="482"/>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14.3评标委员会成员对客观评审因素评分不一致的；</w:t>
      </w:r>
    </w:p>
    <w:p w14:paraId="1DE733CC">
      <w:pPr>
        <w:pStyle w:val="37"/>
        <w:keepNext w:val="0"/>
        <w:keepLines w:val="0"/>
        <w:pageBreakBefore w:val="0"/>
        <w:widowControl w:val="0"/>
        <w:kinsoku/>
        <w:wordWrap w:val="0"/>
        <w:overflowPunct/>
        <w:topLinePunct w:val="0"/>
        <w:autoSpaceDE/>
        <w:autoSpaceDN/>
        <w:bidi w:val="0"/>
        <w:adjustRightInd/>
        <w:snapToGrid/>
        <w:spacing w:line="440" w:lineRule="exact"/>
        <w:ind w:firstLine="482"/>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14.4经评标委员会认定评分畸高、畸低的。</w:t>
      </w:r>
    </w:p>
    <w:p w14:paraId="19F12745">
      <w:pPr>
        <w:pStyle w:val="37"/>
        <w:keepNext w:val="0"/>
        <w:keepLines w:val="0"/>
        <w:pageBreakBefore w:val="0"/>
        <w:widowControl w:val="0"/>
        <w:kinsoku/>
        <w:wordWrap w:val="0"/>
        <w:overflowPunct/>
        <w:topLinePunct w:val="0"/>
        <w:autoSpaceDE/>
        <w:autoSpaceDN/>
        <w:bidi w:val="0"/>
        <w:adjustRightInd/>
        <w:snapToGrid/>
        <w:spacing w:line="440" w:lineRule="exact"/>
        <w:ind w:firstLine="482"/>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15.各投标人的最终得分为评标委员会所有成员对各投标人评标得分汇总后的算术平均值。</w:t>
      </w:r>
    </w:p>
    <w:p w14:paraId="3FCE03FA">
      <w:pPr>
        <w:pStyle w:val="37"/>
        <w:keepNext w:val="0"/>
        <w:keepLines w:val="0"/>
        <w:pageBreakBefore w:val="0"/>
        <w:widowControl w:val="0"/>
        <w:kinsoku/>
        <w:wordWrap w:val="0"/>
        <w:overflowPunct/>
        <w:topLinePunct w:val="0"/>
        <w:autoSpaceDE/>
        <w:autoSpaceDN/>
        <w:bidi w:val="0"/>
        <w:adjustRightInd/>
        <w:snapToGrid/>
        <w:spacing w:line="440" w:lineRule="exact"/>
        <w:ind w:firstLine="482"/>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15.1除资格性检查认定错误、分值汇总计算错误、分项评分超出评分标准范围、客观分评分不一致、经评标委员会一致认定评分畸高、畸低的情形外，采购人或者采购代理机构不得以任何理由组织重新评审。采购人、采购代理机构发现评标委员会未按照招标文件规定的评审标准进行评审的，应当重新开展采购活动，并同时书面报告本级财政部门。</w:t>
      </w:r>
    </w:p>
    <w:p w14:paraId="209A6A7A">
      <w:pPr>
        <w:pStyle w:val="37"/>
        <w:keepNext w:val="0"/>
        <w:keepLines w:val="0"/>
        <w:pageBreakBefore w:val="0"/>
        <w:widowControl w:val="0"/>
        <w:kinsoku/>
        <w:wordWrap w:val="0"/>
        <w:overflowPunct/>
        <w:topLinePunct w:val="0"/>
        <w:autoSpaceDE/>
        <w:autoSpaceDN/>
        <w:bidi w:val="0"/>
        <w:adjustRightInd/>
        <w:snapToGrid/>
        <w:spacing w:line="440" w:lineRule="exact"/>
        <w:ind w:firstLine="482"/>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15.2采购人或者采购代理机构不得通过对样品进行检测、对投标人进行考察等方式改变评审结果。</w:t>
      </w:r>
    </w:p>
    <w:p w14:paraId="1E9BCE1A">
      <w:pPr>
        <w:pStyle w:val="4"/>
        <w:keepNext/>
        <w:keepLines/>
        <w:pageBreakBefore w:val="0"/>
        <w:widowControl w:val="0"/>
        <w:numPr>
          <w:ilvl w:val="0"/>
          <w:numId w:val="0"/>
        </w:numPr>
        <w:kinsoku/>
        <w:wordWrap/>
        <w:overflowPunct/>
        <w:topLinePunct w:val="0"/>
        <w:autoSpaceDE/>
        <w:autoSpaceDN/>
        <w:bidi w:val="0"/>
        <w:adjustRightInd/>
        <w:snapToGrid/>
        <w:spacing w:before="60" w:after="60" w:line="440" w:lineRule="exact"/>
        <w:ind w:left="420" w:leftChars="0" w:hanging="420" w:firstLineChars="0"/>
        <w:textAlignment w:val="auto"/>
        <w:rPr>
          <w:rFonts w:hint="eastAsia" w:ascii="仿宋" w:hAnsi="仿宋" w:eastAsia="仿宋" w:cs="仿宋"/>
          <w:b/>
          <w:bCs/>
          <w:color w:val="auto"/>
          <w:kern w:val="2"/>
          <w:sz w:val="24"/>
          <w:szCs w:val="24"/>
          <w:highlight w:val="none"/>
          <w:lang w:val="zh-CN" w:eastAsia="zh-CN" w:bidi="ar-SA"/>
        </w:rPr>
      </w:pPr>
      <w:bookmarkStart w:id="475" w:name="_Toc25831"/>
      <w:bookmarkStart w:id="476" w:name="_Toc16908"/>
      <w:bookmarkStart w:id="477" w:name="_Toc10811"/>
      <w:r>
        <w:rPr>
          <w:rFonts w:hint="eastAsia" w:ascii="仿宋" w:hAnsi="仿宋" w:eastAsia="仿宋" w:cs="仿宋"/>
          <w:b/>
          <w:bCs/>
          <w:color w:val="auto"/>
          <w:kern w:val="2"/>
          <w:sz w:val="24"/>
          <w:szCs w:val="24"/>
          <w:highlight w:val="none"/>
          <w:lang w:val="zh-CN" w:eastAsia="zh-CN" w:bidi="ar-SA"/>
        </w:rPr>
        <w:t>（</w:t>
      </w:r>
      <w:r>
        <w:rPr>
          <w:rFonts w:hint="eastAsia" w:ascii="仿宋" w:hAnsi="仿宋" w:eastAsia="仿宋" w:cs="仿宋"/>
          <w:b/>
          <w:bCs/>
          <w:color w:val="auto"/>
          <w:kern w:val="2"/>
          <w:sz w:val="24"/>
          <w:szCs w:val="24"/>
          <w:highlight w:val="none"/>
          <w:lang w:val="en-US" w:eastAsia="zh-CN" w:bidi="ar-SA"/>
        </w:rPr>
        <w:t>六</w:t>
      </w:r>
      <w:r>
        <w:rPr>
          <w:rFonts w:hint="eastAsia" w:ascii="仿宋" w:hAnsi="仿宋" w:eastAsia="仿宋" w:cs="仿宋"/>
          <w:b/>
          <w:bCs/>
          <w:color w:val="auto"/>
          <w:kern w:val="2"/>
          <w:sz w:val="24"/>
          <w:szCs w:val="24"/>
          <w:highlight w:val="none"/>
          <w:lang w:val="zh-CN" w:eastAsia="zh-CN" w:bidi="ar-SA"/>
        </w:rPr>
        <w:t>）排序与推荐</w:t>
      </w:r>
      <w:bookmarkEnd w:id="475"/>
      <w:bookmarkEnd w:id="476"/>
      <w:bookmarkEnd w:id="477"/>
    </w:p>
    <w:p w14:paraId="0A5DA2A9">
      <w:pPr>
        <w:pStyle w:val="37"/>
        <w:pageBreakBefore w:val="0"/>
        <w:widowControl w:val="0"/>
        <w:kinsoku/>
        <w:overflowPunct/>
        <w:topLinePunct w:val="0"/>
        <w:autoSpaceDE/>
        <w:autoSpaceDN/>
        <w:bidi w:val="0"/>
        <w:adjustRightInd/>
        <w:snapToGrid/>
        <w:spacing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16.</w:t>
      </w:r>
      <w:r>
        <w:rPr>
          <w:rFonts w:hint="eastAsia" w:ascii="仿宋" w:hAnsi="仿宋" w:eastAsia="仿宋" w:cs="仿宋"/>
          <w:color w:val="auto"/>
          <w:highlight w:val="none"/>
        </w:rPr>
        <w:t>评标结果按评审后得分由高到低顺序排列。投标文件满足招标文件全部实质性要求，且按照评审因素的量化指标评审得分最高的投标人为排名第一的中标候选人。得分相同的，按投标报价由低到高顺序排列。得分且投标报价相同的，</w:t>
      </w:r>
      <w:r>
        <w:rPr>
          <w:rFonts w:hint="eastAsia" w:ascii="仿宋" w:hAnsi="仿宋" w:eastAsia="仿宋" w:cs="仿宋"/>
          <w:color w:val="auto"/>
          <w:highlight w:val="none"/>
          <w:lang w:val="en-US" w:eastAsia="zh-CN"/>
        </w:rPr>
        <w:t>按</w:t>
      </w:r>
      <w:r>
        <w:rPr>
          <w:rFonts w:hint="eastAsia" w:ascii="仿宋" w:hAnsi="仿宋" w:eastAsia="仿宋" w:cs="仿宋"/>
          <w:color w:val="auto"/>
          <w:highlight w:val="none"/>
        </w:rPr>
        <w:t>技术指标</w:t>
      </w:r>
      <w:r>
        <w:rPr>
          <w:rFonts w:hint="eastAsia" w:ascii="仿宋" w:hAnsi="仿宋" w:eastAsia="仿宋" w:cs="仿宋"/>
          <w:color w:val="auto"/>
          <w:highlight w:val="none"/>
          <w:lang w:val="en-US" w:eastAsia="zh-CN"/>
        </w:rPr>
        <w:t>优劣顺序排列</w:t>
      </w:r>
      <w:r>
        <w:rPr>
          <w:rFonts w:hint="eastAsia" w:ascii="仿宋" w:hAnsi="仿宋" w:eastAsia="仿宋" w:cs="仿宋"/>
          <w:color w:val="auto"/>
          <w:highlight w:val="none"/>
        </w:rPr>
        <w:t>。</w:t>
      </w:r>
    </w:p>
    <w:p w14:paraId="35EF7315">
      <w:pPr>
        <w:pStyle w:val="37"/>
        <w:pageBreakBefore w:val="0"/>
        <w:widowControl w:val="0"/>
        <w:kinsoku/>
        <w:overflowPunct/>
        <w:topLinePunct w:val="0"/>
        <w:autoSpaceDE/>
        <w:autoSpaceDN/>
        <w:bidi w:val="0"/>
        <w:adjustRightInd/>
        <w:snapToGrid/>
        <w:spacing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17.</w:t>
      </w:r>
      <w:r>
        <w:rPr>
          <w:rFonts w:hint="eastAsia" w:ascii="仿宋" w:hAnsi="仿宋" w:eastAsia="仿宋" w:cs="仿宋"/>
          <w:color w:val="auto"/>
          <w:highlight w:val="none"/>
        </w:rPr>
        <w:t>中标候选人</w:t>
      </w:r>
      <w:r>
        <w:rPr>
          <w:rFonts w:hint="eastAsia" w:ascii="仿宋" w:hAnsi="仿宋" w:eastAsia="仿宋" w:cs="仿宋"/>
          <w:color w:val="auto"/>
          <w:highlight w:val="none"/>
          <w:lang w:val="en-US" w:eastAsia="zh-CN"/>
        </w:rPr>
        <w:t>推荐家数详</w:t>
      </w:r>
      <w:r>
        <w:rPr>
          <w:rFonts w:hint="eastAsia" w:ascii="仿宋" w:hAnsi="仿宋" w:eastAsia="仿宋" w:cs="仿宋"/>
          <w:color w:val="auto"/>
          <w:highlight w:val="none"/>
        </w:rPr>
        <w:t>见“</w:t>
      </w:r>
      <w:r>
        <w:rPr>
          <w:rFonts w:hint="eastAsia" w:ascii="仿宋" w:hAnsi="仿宋" w:eastAsia="仿宋" w:cs="仿宋"/>
          <w:color w:val="auto"/>
          <w:highlight w:val="none"/>
          <w:lang w:val="en-US" w:eastAsia="zh-CN"/>
        </w:rPr>
        <w:t>投标人须知</w:t>
      </w:r>
      <w:r>
        <w:rPr>
          <w:rFonts w:hint="eastAsia" w:ascii="仿宋" w:hAnsi="仿宋" w:eastAsia="仿宋" w:cs="仿宋"/>
          <w:color w:val="auto"/>
          <w:highlight w:val="none"/>
        </w:rPr>
        <w:t>前附表”。</w:t>
      </w:r>
    </w:p>
    <w:p w14:paraId="6F11CC25">
      <w:pPr>
        <w:pStyle w:val="4"/>
        <w:keepNext/>
        <w:keepLines/>
        <w:pageBreakBefore w:val="0"/>
        <w:widowControl w:val="0"/>
        <w:numPr>
          <w:ilvl w:val="0"/>
          <w:numId w:val="0"/>
        </w:numPr>
        <w:kinsoku/>
        <w:wordWrap/>
        <w:overflowPunct/>
        <w:topLinePunct w:val="0"/>
        <w:autoSpaceDE/>
        <w:autoSpaceDN/>
        <w:bidi w:val="0"/>
        <w:adjustRightInd/>
        <w:snapToGrid/>
        <w:spacing w:before="60" w:after="60" w:line="440" w:lineRule="exact"/>
        <w:ind w:left="420" w:leftChars="0" w:hanging="420" w:firstLineChars="0"/>
        <w:textAlignment w:val="auto"/>
        <w:rPr>
          <w:rFonts w:hint="eastAsia" w:ascii="仿宋" w:hAnsi="仿宋" w:eastAsia="仿宋" w:cs="仿宋"/>
          <w:b/>
          <w:bCs/>
          <w:color w:val="auto"/>
          <w:kern w:val="2"/>
          <w:sz w:val="24"/>
          <w:szCs w:val="24"/>
          <w:highlight w:val="none"/>
          <w:lang w:val="zh-CN" w:eastAsia="zh-CN" w:bidi="ar-SA"/>
        </w:rPr>
      </w:pPr>
      <w:bookmarkStart w:id="478" w:name="_Toc13628"/>
      <w:bookmarkStart w:id="479" w:name="_Toc7048"/>
      <w:bookmarkStart w:id="480" w:name="_Toc31063"/>
      <w:r>
        <w:rPr>
          <w:rFonts w:hint="eastAsia" w:ascii="仿宋" w:hAnsi="仿宋" w:eastAsia="仿宋" w:cs="仿宋"/>
          <w:b/>
          <w:bCs/>
          <w:color w:val="auto"/>
          <w:kern w:val="2"/>
          <w:sz w:val="24"/>
          <w:szCs w:val="24"/>
          <w:highlight w:val="none"/>
          <w:lang w:val="zh-CN" w:eastAsia="zh-CN" w:bidi="ar-SA"/>
        </w:rPr>
        <w:t>（</w:t>
      </w:r>
      <w:r>
        <w:rPr>
          <w:rFonts w:hint="eastAsia" w:ascii="仿宋" w:hAnsi="仿宋" w:eastAsia="仿宋" w:cs="仿宋"/>
          <w:b/>
          <w:bCs/>
          <w:color w:val="auto"/>
          <w:kern w:val="2"/>
          <w:sz w:val="24"/>
          <w:szCs w:val="24"/>
          <w:highlight w:val="none"/>
          <w:lang w:val="en-US" w:eastAsia="zh-CN" w:bidi="ar-SA"/>
        </w:rPr>
        <w:t>七</w:t>
      </w:r>
      <w:r>
        <w:rPr>
          <w:rFonts w:hint="eastAsia" w:ascii="仿宋" w:hAnsi="仿宋" w:eastAsia="仿宋" w:cs="仿宋"/>
          <w:b/>
          <w:bCs/>
          <w:color w:val="auto"/>
          <w:kern w:val="2"/>
          <w:sz w:val="24"/>
          <w:szCs w:val="24"/>
          <w:highlight w:val="none"/>
          <w:lang w:val="zh-CN" w:eastAsia="zh-CN" w:bidi="ar-SA"/>
        </w:rPr>
        <w:t>）编写评标报告</w:t>
      </w:r>
      <w:bookmarkEnd w:id="478"/>
      <w:bookmarkEnd w:id="479"/>
      <w:bookmarkEnd w:id="480"/>
    </w:p>
    <w:p w14:paraId="6CEDFF7E">
      <w:pPr>
        <w:pStyle w:val="37"/>
        <w:pageBreakBefore w:val="0"/>
        <w:widowControl w:val="0"/>
        <w:kinsoku/>
        <w:overflowPunct/>
        <w:topLinePunct w:val="0"/>
        <w:autoSpaceDE/>
        <w:autoSpaceDN/>
        <w:bidi w:val="0"/>
        <w:adjustRightInd/>
        <w:snapToGrid/>
        <w:spacing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18.</w:t>
      </w:r>
      <w:r>
        <w:rPr>
          <w:rFonts w:hint="eastAsia" w:ascii="仿宋" w:hAnsi="仿宋" w:eastAsia="仿宋" w:cs="仿宋"/>
          <w:color w:val="auto"/>
          <w:highlight w:val="none"/>
        </w:rPr>
        <w:t>评标委员会根据全体评标成员签字的原始评标记录和评标结果编写评标报告。评标委员会应当在评标报告上签名，对自己的评审意见承担法律责任。评标委员会成员对需要共同认定的事项存在争议的，应当按照少数服从多数的原则作出结论。持不同意见的评标委员会成员应当在评标报告上签署不同意见，并说明理由，否则视为同意评标报告。</w:t>
      </w:r>
    </w:p>
    <w:p w14:paraId="7CB0D670">
      <w:pPr>
        <w:pStyle w:val="4"/>
        <w:keepNext/>
        <w:keepLines/>
        <w:pageBreakBefore w:val="0"/>
        <w:widowControl w:val="0"/>
        <w:numPr>
          <w:ilvl w:val="0"/>
          <w:numId w:val="0"/>
        </w:numPr>
        <w:kinsoku/>
        <w:wordWrap/>
        <w:overflowPunct/>
        <w:topLinePunct w:val="0"/>
        <w:autoSpaceDE/>
        <w:autoSpaceDN/>
        <w:bidi w:val="0"/>
        <w:adjustRightInd/>
        <w:snapToGrid/>
        <w:spacing w:before="60" w:after="60" w:line="440" w:lineRule="exact"/>
        <w:ind w:left="420" w:leftChars="0" w:hanging="420" w:firstLineChars="0"/>
        <w:textAlignment w:val="auto"/>
        <w:rPr>
          <w:rFonts w:hint="eastAsia" w:ascii="仿宋" w:hAnsi="仿宋" w:eastAsia="仿宋" w:cs="仿宋"/>
          <w:b/>
          <w:bCs/>
          <w:color w:val="auto"/>
          <w:kern w:val="2"/>
          <w:sz w:val="24"/>
          <w:szCs w:val="24"/>
          <w:highlight w:val="none"/>
          <w:lang w:val="zh-CN" w:eastAsia="zh-CN" w:bidi="ar-SA"/>
        </w:rPr>
      </w:pPr>
      <w:bookmarkStart w:id="481" w:name="_Toc163492906"/>
      <w:bookmarkStart w:id="482" w:name="_Toc102057717"/>
      <w:bookmarkStart w:id="483" w:name="_Toc102114919"/>
      <w:bookmarkStart w:id="484" w:name="_Toc4897"/>
      <w:bookmarkStart w:id="485" w:name="_Toc155185913"/>
      <w:bookmarkStart w:id="486" w:name="_Toc25294"/>
      <w:bookmarkStart w:id="487" w:name="_Toc102056217"/>
      <w:bookmarkStart w:id="488" w:name="_Toc102119852"/>
      <w:bookmarkStart w:id="489" w:name="_Toc22304"/>
      <w:bookmarkStart w:id="490" w:name="_Toc102116151"/>
      <w:bookmarkStart w:id="491" w:name="_Toc102116021"/>
      <w:r>
        <w:rPr>
          <w:rFonts w:hint="eastAsia" w:ascii="仿宋" w:hAnsi="仿宋" w:eastAsia="仿宋" w:cs="仿宋"/>
          <w:b/>
          <w:bCs/>
          <w:color w:val="auto"/>
          <w:kern w:val="2"/>
          <w:sz w:val="24"/>
          <w:szCs w:val="24"/>
          <w:highlight w:val="none"/>
          <w:lang w:val="zh-CN" w:eastAsia="zh-CN" w:bidi="ar-SA"/>
        </w:rPr>
        <w:t>（</w:t>
      </w:r>
      <w:r>
        <w:rPr>
          <w:rFonts w:hint="eastAsia" w:ascii="仿宋" w:hAnsi="仿宋" w:eastAsia="仿宋" w:cs="仿宋"/>
          <w:b/>
          <w:bCs/>
          <w:color w:val="auto"/>
          <w:kern w:val="2"/>
          <w:sz w:val="24"/>
          <w:szCs w:val="24"/>
          <w:highlight w:val="none"/>
          <w:lang w:val="en-US" w:eastAsia="zh-CN" w:bidi="ar-SA"/>
        </w:rPr>
        <w:t>八</w:t>
      </w:r>
      <w:r>
        <w:rPr>
          <w:rFonts w:hint="eastAsia" w:ascii="仿宋" w:hAnsi="仿宋" w:eastAsia="仿宋" w:cs="仿宋"/>
          <w:b/>
          <w:bCs/>
          <w:color w:val="auto"/>
          <w:kern w:val="2"/>
          <w:sz w:val="24"/>
          <w:szCs w:val="24"/>
          <w:highlight w:val="none"/>
          <w:lang w:val="zh-CN" w:eastAsia="zh-CN" w:bidi="ar-SA"/>
        </w:rPr>
        <w:t>）</w:t>
      </w:r>
      <w:r>
        <w:rPr>
          <w:rFonts w:hint="eastAsia" w:ascii="仿宋" w:hAnsi="仿宋" w:eastAsia="仿宋" w:cs="仿宋"/>
          <w:b/>
          <w:bCs/>
          <w:color w:val="auto"/>
          <w:kern w:val="2"/>
          <w:sz w:val="24"/>
          <w:szCs w:val="24"/>
          <w:highlight w:val="none"/>
          <w:lang w:val="en-US" w:eastAsia="zh-CN" w:bidi="ar-SA"/>
        </w:rPr>
        <w:t>投标无效及</w:t>
      </w:r>
      <w:r>
        <w:rPr>
          <w:rFonts w:hint="eastAsia" w:ascii="仿宋" w:hAnsi="仿宋" w:eastAsia="仿宋" w:cs="仿宋"/>
          <w:b/>
          <w:bCs/>
          <w:color w:val="auto"/>
          <w:kern w:val="2"/>
          <w:sz w:val="24"/>
          <w:szCs w:val="24"/>
          <w:highlight w:val="none"/>
          <w:lang w:val="zh-CN" w:eastAsia="zh-CN" w:bidi="ar-SA"/>
        </w:rPr>
        <w:t>应予废标的情形</w:t>
      </w:r>
      <w:bookmarkEnd w:id="481"/>
      <w:bookmarkEnd w:id="482"/>
      <w:bookmarkEnd w:id="483"/>
      <w:bookmarkEnd w:id="484"/>
      <w:bookmarkEnd w:id="485"/>
      <w:bookmarkEnd w:id="486"/>
      <w:bookmarkEnd w:id="487"/>
      <w:bookmarkEnd w:id="488"/>
      <w:bookmarkEnd w:id="489"/>
      <w:bookmarkEnd w:id="490"/>
      <w:bookmarkEnd w:id="491"/>
    </w:p>
    <w:p w14:paraId="5674969F">
      <w:pPr>
        <w:pStyle w:val="37"/>
        <w:keepNext w:val="0"/>
        <w:keepLines w:val="0"/>
        <w:pageBreakBefore w:val="0"/>
        <w:widowControl w:val="0"/>
        <w:kinsoku/>
        <w:wordWrap w:val="0"/>
        <w:overflowPunct/>
        <w:topLinePunct w:val="0"/>
        <w:autoSpaceDE/>
        <w:autoSpaceDN/>
        <w:bidi w:val="0"/>
        <w:adjustRightInd/>
        <w:snapToGrid/>
        <w:spacing w:line="440" w:lineRule="exact"/>
        <w:ind w:firstLine="482"/>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19.投标人存在下列情形之一的，</w:t>
      </w:r>
      <w:r>
        <w:rPr>
          <w:rFonts w:hint="eastAsia" w:ascii="仿宋" w:hAnsi="仿宋" w:eastAsia="仿宋" w:cs="仿宋"/>
          <w:b/>
          <w:bCs/>
          <w:color w:val="auto"/>
          <w:highlight w:val="none"/>
          <w:lang w:val="en-US" w:eastAsia="zh-CN"/>
        </w:rPr>
        <w:t>投标无效</w:t>
      </w:r>
      <w:r>
        <w:rPr>
          <w:rFonts w:hint="eastAsia" w:ascii="仿宋" w:hAnsi="仿宋" w:eastAsia="仿宋" w:cs="仿宋"/>
          <w:color w:val="auto"/>
          <w:highlight w:val="none"/>
          <w:lang w:val="en-US" w:eastAsia="zh-CN"/>
        </w:rPr>
        <w:t>：</w:t>
      </w:r>
    </w:p>
    <w:p w14:paraId="1E5B0ABD">
      <w:pPr>
        <w:pStyle w:val="37"/>
        <w:keepNext w:val="0"/>
        <w:keepLines w:val="0"/>
        <w:pageBreakBefore w:val="0"/>
        <w:widowControl w:val="0"/>
        <w:kinsoku/>
        <w:wordWrap w:val="0"/>
        <w:overflowPunct/>
        <w:topLinePunct w:val="0"/>
        <w:autoSpaceDE/>
        <w:autoSpaceDN/>
        <w:bidi w:val="0"/>
        <w:adjustRightInd/>
        <w:snapToGrid/>
        <w:spacing w:line="440" w:lineRule="exact"/>
        <w:ind w:firstLine="482"/>
        <w:textAlignment w:val="auto"/>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en-US" w:eastAsia="zh-CN"/>
        </w:rPr>
        <w:t>19.</w:t>
      </w:r>
      <w:r>
        <w:rPr>
          <w:rFonts w:hint="eastAsia" w:ascii="仿宋" w:hAnsi="仿宋" w:eastAsia="仿宋" w:cs="仿宋"/>
          <w:color w:val="auto"/>
          <w:highlight w:val="none"/>
          <w:lang w:val="zh-CN" w:eastAsia="zh-CN"/>
        </w:rPr>
        <w:t>1</w:t>
      </w:r>
      <w:r>
        <w:rPr>
          <w:rFonts w:hint="eastAsia" w:ascii="仿宋" w:hAnsi="仿宋" w:eastAsia="仿宋" w:cs="仿宋"/>
          <w:color w:val="auto"/>
          <w:highlight w:val="none"/>
          <w:lang w:val="en-US" w:eastAsia="zh-CN"/>
        </w:rPr>
        <w:t>投标人</w:t>
      </w:r>
      <w:r>
        <w:rPr>
          <w:rFonts w:hint="eastAsia" w:ascii="仿宋" w:hAnsi="仿宋" w:eastAsia="仿宋" w:cs="仿宋"/>
          <w:color w:val="auto"/>
          <w:highlight w:val="none"/>
          <w:lang w:val="zh-CN" w:eastAsia="zh-CN"/>
        </w:rPr>
        <w:t>不具备《中华人民共和国政府采购法》第二十二条规定条件</w:t>
      </w:r>
      <w:r>
        <w:rPr>
          <w:rFonts w:hint="eastAsia" w:ascii="仿宋" w:hAnsi="仿宋" w:eastAsia="仿宋" w:cs="仿宋"/>
          <w:color w:val="auto"/>
          <w:highlight w:val="none"/>
          <w:lang w:val="en-US" w:eastAsia="zh-CN"/>
        </w:rPr>
        <w:t>；</w:t>
      </w:r>
    </w:p>
    <w:p w14:paraId="0D434BCE">
      <w:pPr>
        <w:pStyle w:val="37"/>
        <w:keepNext w:val="0"/>
        <w:keepLines w:val="0"/>
        <w:pageBreakBefore w:val="0"/>
        <w:widowControl w:val="0"/>
        <w:kinsoku/>
        <w:wordWrap w:val="0"/>
        <w:overflowPunct/>
        <w:topLinePunct w:val="0"/>
        <w:autoSpaceDE/>
        <w:autoSpaceDN/>
        <w:bidi w:val="0"/>
        <w:adjustRightInd/>
        <w:snapToGrid/>
        <w:spacing w:line="440" w:lineRule="exact"/>
        <w:ind w:firstLine="482"/>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19.</w:t>
      </w:r>
      <w:r>
        <w:rPr>
          <w:rFonts w:hint="eastAsia" w:ascii="仿宋" w:hAnsi="仿宋" w:eastAsia="仿宋" w:cs="仿宋"/>
          <w:color w:val="auto"/>
          <w:highlight w:val="none"/>
          <w:lang w:val="zh-CN" w:eastAsia="zh-CN"/>
        </w:rPr>
        <w:t>2</w:t>
      </w:r>
      <w:r>
        <w:rPr>
          <w:rFonts w:hint="eastAsia" w:ascii="仿宋" w:hAnsi="仿宋" w:eastAsia="仿宋" w:cs="仿宋"/>
          <w:color w:val="auto"/>
          <w:highlight w:val="none"/>
        </w:rPr>
        <w:t>投标文件未按招标文件要求签署、盖章的</w:t>
      </w:r>
      <w:r>
        <w:rPr>
          <w:rFonts w:hint="eastAsia" w:ascii="仿宋" w:hAnsi="仿宋" w:eastAsia="仿宋" w:cs="仿宋"/>
          <w:color w:val="auto"/>
          <w:highlight w:val="none"/>
          <w:lang w:val="en-US" w:eastAsia="zh-CN"/>
        </w:rPr>
        <w:t>；</w:t>
      </w:r>
    </w:p>
    <w:p w14:paraId="43E66BF7">
      <w:pPr>
        <w:pStyle w:val="37"/>
        <w:keepNext w:val="0"/>
        <w:keepLines w:val="0"/>
        <w:pageBreakBefore w:val="0"/>
        <w:widowControl w:val="0"/>
        <w:kinsoku/>
        <w:wordWrap w:val="0"/>
        <w:overflowPunct/>
        <w:topLinePunct w:val="0"/>
        <w:autoSpaceDE/>
        <w:autoSpaceDN/>
        <w:bidi w:val="0"/>
        <w:adjustRightInd/>
        <w:snapToGrid/>
        <w:spacing w:line="440" w:lineRule="exact"/>
        <w:ind w:firstLine="482"/>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19.</w:t>
      </w:r>
      <w:r>
        <w:rPr>
          <w:rFonts w:hint="eastAsia" w:ascii="仿宋" w:hAnsi="仿宋" w:eastAsia="仿宋" w:cs="仿宋"/>
          <w:color w:val="auto"/>
          <w:highlight w:val="none"/>
          <w:lang w:val="zh-CN" w:eastAsia="zh-CN"/>
        </w:rPr>
        <w:t>3</w:t>
      </w:r>
      <w:r>
        <w:rPr>
          <w:rFonts w:hint="eastAsia" w:ascii="仿宋" w:hAnsi="仿宋" w:eastAsia="仿宋" w:cs="仿宋"/>
          <w:color w:val="auto"/>
          <w:highlight w:val="none"/>
          <w:lang w:val="en-US" w:eastAsia="zh-CN"/>
        </w:rPr>
        <w:t>不具备招标文件中规定的资格要求的（投标人未提供有效资格文件的，视为投标人不具备招标文件中规定的资格要求）；</w:t>
      </w:r>
    </w:p>
    <w:p w14:paraId="248C92E6">
      <w:pPr>
        <w:pStyle w:val="37"/>
        <w:keepNext w:val="0"/>
        <w:keepLines w:val="0"/>
        <w:pageBreakBefore w:val="0"/>
        <w:widowControl w:val="0"/>
        <w:kinsoku/>
        <w:wordWrap w:val="0"/>
        <w:overflowPunct/>
        <w:topLinePunct w:val="0"/>
        <w:autoSpaceDE/>
        <w:autoSpaceDN/>
        <w:bidi w:val="0"/>
        <w:adjustRightInd/>
        <w:snapToGrid/>
        <w:spacing w:line="440" w:lineRule="exact"/>
        <w:ind w:firstLine="482"/>
        <w:textAlignment w:val="auto"/>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en-US" w:eastAsia="zh-CN"/>
        </w:rPr>
        <w:t>19.</w:t>
      </w:r>
      <w:r>
        <w:rPr>
          <w:rFonts w:hint="eastAsia" w:ascii="仿宋" w:hAnsi="仿宋" w:eastAsia="仿宋" w:cs="仿宋"/>
          <w:color w:val="auto"/>
          <w:highlight w:val="none"/>
          <w:lang w:val="zh-CN" w:eastAsia="zh-CN"/>
        </w:rPr>
        <w:t>4</w:t>
      </w:r>
      <w:r>
        <w:rPr>
          <w:rFonts w:hint="eastAsia" w:ascii="仿宋" w:hAnsi="仿宋" w:eastAsia="仿宋" w:cs="仿宋"/>
          <w:color w:val="auto"/>
          <w:highlight w:val="none"/>
          <w:lang w:val="en-US" w:eastAsia="zh-CN"/>
        </w:rPr>
        <w:t>投标</w:t>
      </w:r>
      <w:r>
        <w:rPr>
          <w:rFonts w:hint="eastAsia" w:ascii="仿宋" w:hAnsi="仿宋" w:eastAsia="仿宋" w:cs="仿宋"/>
          <w:color w:val="auto"/>
          <w:highlight w:val="none"/>
          <w:lang w:val="zh-CN" w:eastAsia="zh-CN"/>
        </w:rPr>
        <w:t>文件提供虚假材料的</w:t>
      </w:r>
      <w:r>
        <w:rPr>
          <w:rFonts w:hint="eastAsia" w:ascii="仿宋" w:hAnsi="仿宋" w:eastAsia="仿宋" w:cs="仿宋"/>
          <w:color w:val="auto"/>
          <w:highlight w:val="none"/>
          <w:lang w:val="en-US" w:eastAsia="zh-CN"/>
        </w:rPr>
        <w:t>；</w:t>
      </w:r>
    </w:p>
    <w:p w14:paraId="63C3DA44">
      <w:pPr>
        <w:pStyle w:val="37"/>
        <w:keepNext w:val="0"/>
        <w:keepLines w:val="0"/>
        <w:pageBreakBefore w:val="0"/>
        <w:widowControl w:val="0"/>
        <w:kinsoku/>
        <w:wordWrap w:val="0"/>
        <w:overflowPunct/>
        <w:topLinePunct w:val="0"/>
        <w:autoSpaceDE/>
        <w:autoSpaceDN/>
        <w:bidi w:val="0"/>
        <w:adjustRightInd/>
        <w:snapToGrid/>
        <w:spacing w:line="440" w:lineRule="exact"/>
        <w:ind w:firstLine="482"/>
        <w:textAlignment w:val="auto"/>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en-US" w:eastAsia="zh-CN"/>
        </w:rPr>
        <w:t>19.</w:t>
      </w:r>
      <w:r>
        <w:rPr>
          <w:rFonts w:hint="eastAsia" w:ascii="仿宋" w:hAnsi="仿宋" w:eastAsia="仿宋" w:cs="仿宋"/>
          <w:color w:val="auto"/>
          <w:highlight w:val="none"/>
          <w:lang w:val="zh-CN" w:eastAsia="zh-CN"/>
        </w:rPr>
        <w:t>5</w:t>
      </w:r>
      <w:r>
        <w:rPr>
          <w:rFonts w:hint="eastAsia" w:ascii="仿宋" w:hAnsi="仿宋" w:eastAsia="仿宋" w:cs="仿宋"/>
          <w:color w:val="auto"/>
          <w:highlight w:val="none"/>
          <w:lang w:val="en-US" w:eastAsia="zh-CN"/>
        </w:rPr>
        <w:t>投标</w:t>
      </w:r>
      <w:r>
        <w:rPr>
          <w:rFonts w:hint="eastAsia" w:ascii="仿宋" w:hAnsi="仿宋" w:eastAsia="仿宋" w:cs="仿宋"/>
          <w:color w:val="auto"/>
          <w:highlight w:val="none"/>
          <w:lang w:val="zh-CN" w:eastAsia="zh-CN"/>
        </w:rPr>
        <w:t>文件不满足</w:t>
      </w:r>
      <w:r>
        <w:rPr>
          <w:rFonts w:hint="eastAsia" w:ascii="仿宋" w:hAnsi="仿宋" w:eastAsia="仿宋" w:cs="仿宋"/>
          <w:color w:val="auto"/>
          <w:highlight w:val="none"/>
          <w:lang w:val="en-US" w:eastAsia="zh-CN"/>
        </w:rPr>
        <w:t>招标</w:t>
      </w:r>
      <w:r>
        <w:rPr>
          <w:rFonts w:hint="eastAsia" w:ascii="仿宋" w:hAnsi="仿宋" w:eastAsia="仿宋" w:cs="仿宋"/>
          <w:color w:val="auto"/>
          <w:highlight w:val="none"/>
          <w:lang w:val="zh-CN" w:eastAsia="zh-CN"/>
        </w:rPr>
        <w:t>文件中标注“★”号的实质性条款（或指标）要求的</w:t>
      </w:r>
      <w:r>
        <w:rPr>
          <w:rFonts w:hint="eastAsia" w:ascii="仿宋" w:hAnsi="仿宋" w:eastAsia="仿宋" w:cs="仿宋"/>
          <w:color w:val="auto"/>
          <w:highlight w:val="none"/>
          <w:lang w:val="en-US" w:eastAsia="zh-CN"/>
        </w:rPr>
        <w:t>；</w:t>
      </w:r>
    </w:p>
    <w:p w14:paraId="42D919EC">
      <w:pPr>
        <w:pStyle w:val="37"/>
        <w:keepNext w:val="0"/>
        <w:keepLines w:val="0"/>
        <w:pageBreakBefore w:val="0"/>
        <w:widowControl w:val="0"/>
        <w:kinsoku/>
        <w:wordWrap w:val="0"/>
        <w:overflowPunct/>
        <w:topLinePunct w:val="0"/>
        <w:autoSpaceDE/>
        <w:autoSpaceDN/>
        <w:bidi w:val="0"/>
        <w:adjustRightInd/>
        <w:snapToGrid/>
        <w:spacing w:line="440" w:lineRule="exact"/>
        <w:ind w:firstLine="482"/>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19.</w:t>
      </w:r>
      <w:r>
        <w:rPr>
          <w:rFonts w:hint="eastAsia" w:ascii="仿宋" w:hAnsi="仿宋" w:eastAsia="仿宋" w:cs="仿宋"/>
          <w:color w:val="auto"/>
          <w:highlight w:val="none"/>
          <w:lang w:val="zh-CN" w:eastAsia="zh-CN"/>
        </w:rPr>
        <w:t>6</w:t>
      </w:r>
      <w:r>
        <w:rPr>
          <w:rFonts w:hint="eastAsia" w:ascii="仿宋" w:hAnsi="仿宋" w:eastAsia="仿宋" w:cs="仿宋"/>
          <w:color w:val="auto"/>
          <w:highlight w:val="none"/>
          <w:lang w:val="en-US" w:eastAsia="zh-CN"/>
        </w:rPr>
        <w:t>投标人</w:t>
      </w:r>
      <w:r>
        <w:rPr>
          <w:rFonts w:hint="eastAsia" w:ascii="仿宋" w:hAnsi="仿宋" w:eastAsia="仿宋" w:cs="仿宋"/>
          <w:color w:val="auto"/>
          <w:highlight w:val="none"/>
          <w:lang w:val="zh-CN" w:eastAsia="zh-CN"/>
        </w:rPr>
        <w:t>报价超过招标文件中规定的</w:t>
      </w:r>
      <w:r>
        <w:rPr>
          <w:rFonts w:hint="eastAsia" w:ascii="仿宋" w:hAnsi="仿宋" w:eastAsia="仿宋" w:cs="仿宋"/>
          <w:color w:val="auto"/>
          <w:highlight w:val="none"/>
          <w:lang w:val="en-US" w:eastAsia="zh-CN"/>
        </w:rPr>
        <w:t>最高限价或者预算金额</w:t>
      </w:r>
      <w:r>
        <w:rPr>
          <w:rFonts w:hint="eastAsia" w:ascii="仿宋" w:hAnsi="仿宋" w:eastAsia="仿宋" w:cs="仿宋"/>
          <w:color w:val="auto"/>
          <w:highlight w:val="none"/>
          <w:lang w:val="zh-CN" w:eastAsia="zh-CN"/>
        </w:rPr>
        <w:t>的</w:t>
      </w:r>
      <w:r>
        <w:rPr>
          <w:rFonts w:hint="eastAsia" w:ascii="仿宋" w:hAnsi="仿宋" w:eastAsia="仿宋" w:cs="仿宋"/>
          <w:color w:val="auto"/>
          <w:highlight w:val="none"/>
          <w:lang w:val="en-US" w:eastAsia="zh-CN"/>
        </w:rPr>
        <w:t>；</w:t>
      </w:r>
    </w:p>
    <w:p w14:paraId="66A44E2F">
      <w:pPr>
        <w:pStyle w:val="37"/>
        <w:keepNext w:val="0"/>
        <w:keepLines w:val="0"/>
        <w:pageBreakBefore w:val="0"/>
        <w:widowControl w:val="0"/>
        <w:kinsoku/>
        <w:wordWrap w:val="0"/>
        <w:overflowPunct/>
        <w:topLinePunct w:val="0"/>
        <w:autoSpaceDE/>
        <w:autoSpaceDN/>
        <w:bidi w:val="0"/>
        <w:adjustRightInd/>
        <w:snapToGrid/>
        <w:spacing w:line="440" w:lineRule="exact"/>
        <w:ind w:firstLine="482"/>
        <w:textAlignment w:val="auto"/>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en-US" w:eastAsia="zh-CN"/>
        </w:rPr>
        <w:t>19.</w:t>
      </w:r>
      <w:r>
        <w:rPr>
          <w:rFonts w:hint="eastAsia" w:ascii="仿宋" w:hAnsi="仿宋" w:eastAsia="仿宋" w:cs="仿宋"/>
          <w:color w:val="auto"/>
          <w:highlight w:val="none"/>
          <w:lang w:val="zh-CN" w:eastAsia="zh-CN"/>
        </w:rPr>
        <w:t>7联合体的供应商未提交各方共同签署的</w:t>
      </w:r>
      <w:r>
        <w:rPr>
          <w:rFonts w:hint="eastAsia" w:ascii="仿宋" w:hAnsi="仿宋" w:eastAsia="仿宋" w:cs="仿宋"/>
          <w:color w:val="auto"/>
          <w:highlight w:val="none"/>
          <w:lang w:val="en-US" w:eastAsia="zh-CN"/>
        </w:rPr>
        <w:t>联合体</w:t>
      </w:r>
      <w:r>
        <w:rPr>
          <w:rFonts w:hint="eastAsia" w:ascii="仿宋" w:hAnsi="仿宋" w:eastAsia="仿宋" w:cs="仿宋"/>
          <w:color w:val="auto"/>
          <w:highlight w:val="none"/>
          <w:lang w:val="zh-CN" w:eastAsia="zh-CN"/>
        </w:rPr>
        <w:t>协议</w:t>
      </w:r>
      <w:r>
        <w:rPr>
          <w:rFonts w:hint="eastAsia" w:ascii="仿宋" w:hAnsi="仿宋" w:eastAsia="仿宋" w:cs="仿宋"/>
          <w:color w:val="auto"/>
          <w:highlight w:val="none"/>
          <w:lang w:val="en-US" w:eastAsia="zh-CN"/>
        </w:rPr>
        <w:t>的；</w:t>
      </w:r>
    </w:p>
    <w:p w14:paraId="2D7DD664">
      <w:pPr>
        <w:pStyle w:val="37"/>
        <w:keepNext w:val="0"/>
        <w:keepLines w:val="0"/>
        <w:pageBreakBefore w:val="0"/>
        <w:widowControl w:val="0"/>
        <w:kinsoku/>
        <w:wordWrap w:val="0"/>
        <w:overflowPunct/>
        <w:topLinePunct w:val="0"/>
        <w:autoSpaceDE/>
        <w:autoSpaceDN/>
        <w:bidi w:val="0"/>
        <w:adjustRightInd/>
        <w:snapToGrid/>
        <w:spacing w:line="440" w:lineRule="exact"/>
        <w:ind w:firstLine="482"/>
        <w:textAlignment w:val="auto"/>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en-US" w:eastAsia="zh-CN"/>
        </w:rPr>
        <w:t>19.</w:t>
      </w:r>
      <w:r>
        <w:rPr>
          <w:rFonts w:hint="eastAsia" w:ascii="仿宋" w:hAnsi="仿宋" w:eastAsia="仿宋" w:cs="仿宋"/>
          <w:color w:val="auto"/>
          <w:highlight w:val="none"/>
          <w:lang w:val="zh-CN" w:eastAsia="zh-CN"/>
        </w:rPr>
        <w:t>8</w:t>
      </w:r>
      <w:r>
        <w:rPr>
          <w:rFonts w:hint="eastAsia" w:ascii="仿宋" w:hAnsi="仿宋" w:eastAsia="仿宋" w:cs="仿宋"/>
          <w:color w:val="auto"/>
          <w:highlight w:val="none"/>
          <w:lang w:val="en-US" w:eastAsia="zh-CN"/>
        </w:rPr>
        <w:t>投标人</w:t>
      </w:r>
      <w:r>
        <w:rPr>
          <w:rFonts w:hint="eastAsia" w:ascii="仿宋" w:hAnsi="仿宋" w:eastAsia="仿宋" w:cs="仿宋"/>
          <w:color w:val="auto"/>
          <w:highlight w:val="none"/>
          <w:lang w:val="zh-CN" w:eastAsia="zh-CN"/>
        </w:rPr>
        <w:t>未按</w:t>
      </w:r>
      <w:r>
        <w:rPr>
          <w:rFonts w:hint="eastAsia" w:ascii="仿宋" w:hAnsi="仿宋" w:eastAsia="仿宋" w:cs="仿宋"/>
          <w:color w:val="auto"/>
          <w:highlight w:val="none"/>
          <w:lang w:val="en-US" w:eastAsia="zh-CN"/>
        </w:rPr>
        <w:t>招标</w:t>
      </w:r>
      <w:r>
        <w:rPr>
          <w:rFonts w:hint="eastAsia" w:ascii="仿宋" w:hAnsi="仿宋" w:eastAsia="仿宋" w:cs="仿宋"/>
          <w:color w:val="auto"/>
          <w:highlight w:val="none"/>
          <w:lang w:val="zh-CN" w:eastAsia="zh-CN"/>
        </w:rPr>
        <w:t>文件</w:t>
      </w:r>
      <w:r>
        <w:rPr>
          <w:rFonts w:hint="eastAsia" w:ascii="仿宋" w:hAnsi="仿宋" w:eastAsia="仿宋" w:cs="仿宋"/>
          <w:color w:val="auto"/>
          <w:highlight w:val="none"/>
          <w:lang w:val="en-US" w:eastAsia="zh-CN"/>
        </w:rPr>
        <w:t>的规定</w:t>
      </w:r>
      <w:r>
        <w:rPr>
          <w:rFonts w:hint="eastAsia" w:ascii="仿宋" w:hAnsi="仿宋" w:eastAsia="仿宋" w:cs="仿宋"/>
          <w:color w:val="auto"/>
          <w:highlight w:val="none"/>
          <w:lang w:val="zh-CN" w:eastAsia="zh-CN"/>
        </w:rPr>
        <w:t>交纳投标保证金</w:t>
      </w:r>
      <w:r>
        <w:rPr>
          <w:rFonts w:hint="eastAsia" w:ascii="仿宋" w:hAnsi="仿宋" w:eastAsia="仿宋" w:cs="仿宋"/>
          <w:color w:val="auto"/>
          <w:highlight w:val="none"/>
          <w:lang w:val="en-US" w:eastAsia="zh-CN"/>
        </w:rPr>
        <w:t>的；</w:t>
      </w:r>
    </w:p>
    <w:p w14:paraId="37FC6CDD">
      <w:pPr>
        <w:pStyle w:val="37"/>
        <w:keepNext w:val="0"/>
        <w:keepLines w:val="0"/>
        <w:pageBreakBefore w:val="0"/>
        <w:widowControl w:val="0"/>
        <w:kinsoku/>
        <w:wordWrap w:val="0"/>
        <w:overflowPunct/>
        <w:topLinePunct w:val="0"/>
        <w:autoSpaceDE/>
        <w:autoSpaceDN/>
        <w:bidi w:val="0"/>
        <w:adjustRightInd/>
        <w:snapToGrid/>
        <w:spacing w:line="440" w:lineRule="exact"/>
        <w:ind w:firstLine="482"/>
        <w:textAlignment w:val="auto"/>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en-US" w:eastAsia="zh-CN"/>
        </w:rPr>
        <w:t>19.</w:t>
      </w:r>
      <w:r>
        <w:rPr>
          <w:rFonts w:hint="eastAsia" w:ascii="仿宋" w:hAnsi="仿宋" w:eastAsia="仿宋" w:cs="仿宋"/>
          <w:color w:val="auto"/>
          <w:highlight w:val="none"/>
          <w:lang w:val="zh-CN" w:eastAsia="zh-CN"/>
        </w:rPr>
        <w:t>9评审期间,</w:t>
      </w:r>
      <w:r>
        <w:rPr>
          <w:rFonts w:hint="eastAsia" w:ascii="仿宋" w:hAnsi="仿宋" w:eastAsia="仿宋" w:cs="仿宋"/>
          <w:color w:val="auto"/>
          <w:highlight w:val="none"/>
          <w:lang w:val="en-US" w:eastAsia="zh-CN"/>
        </w:rPr>
        <w:t>投标人</w:t>
      </w:r>
      <w:r>
        <w:rPr>
          <w:rFonts w:hint="eastAsia" w:ascii="仿宋" w:hAnsi="仿宋" w:eastAsia="仿宋" w:cs="仿宋"/>
          <w:color w:val="auto"/>
          <w:highlight w:val="none"/>
          <w:lang w:val="zh-CN" w:eastAsia="zh-CN"/>
        </w:rPr>
        <w:t>没有按评标委员会的要求提交经授权代表签字的澄清、说明、补正或改变了</w:t>
      </w:r>
      <w:r>
        <w:rPr>
          <w:rFonts w:hint="eastAsia" w:ascii="仿宋" w:hAnsi="仿宋" w:eastAsia="仿宋" w:cs="仿宋"/>
          <w:color w:val="auto"/>
          <w:highlight w:val="none"/>
          <w:lang w:val="en-US" w:eastAsia="zh-CN"/>
        </w:rPr>
        <w:t>投标</w:t>
      </w:r>
      <w:r>
        <w:rPr>
          <w:rFonts w:hint="eastAsia" w:ascii="仿宋" w:hAnsi="仿宋" w:eastAsia="仿宋" w:cs="仿宋"/>
          <w:color w:val="auto"/>
          <w:highlight w:val="none"/>
          <w:lang w:val="zh-CN" w:eastAsia="zh-CN"/>
        </w:rPr>
        <w:t>文件的实质性内容</w:t>
      </w:r>
      <w:r>
        <w:rPr>
          <w:rFonts w:hint="eastAsia" w:ascii="仿宋" w:hAnsi="仿宋" w:eastAsia="仿宋" w:cs="仿宋"/>
          <w:color w:val="auto"/>
          <w:highlight w:val="none"/>
          <w:lang w:val="en-US" w:eastAsia="zh-CN"/>
        </w:rPr>
        <w:t>的；</w:t>
      </w:r>
    </w:p>
    <w:p w14:paraId="17E323D9">
      <w:pPr>
        <w:pStyle w:val="37"/>
        <w:keepNext w:val="0"/>
        <w:keepLines w:val="0"/>
        <w:pageBreakBefore w:val="0"/>
        <w:widowControl w:val="0"/>
        <w:kinsoku/>
        <w:wordWrap w:val="0"/>
        <w:overflowPunct/>
        <w:topLinePunct w:val="0"/>
        <w:autoSpaceDE/>
        <w:autoSpaceDN/>
        <w:bidi w:val="0"/>
        <w:adjustRightInd/>
        <w:snapToGrid/>
        <w:spacing w:line="440" w:lineRule="exact"/>
        <w:ind w:firstLine="482"/>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19.</w:t>
      </w:r>
      <w:r>
        <w:rPr>
          <w:rFonts w:hint="eastAsia" w:ascii="仿宋" w:hAnsi="仿宋" w:eastAsia="仿宋" w:cs="仿宋"/>
          <w:color w:val="auto"/>
          <w:highlight w:val="none"/>
          <w:lang w:val="zh-CN" w:eastAsia="zh-CN"/>
        </w:rPr>
        <w:t>10</w:t>
      </w:r>
      <w:r>
        <w:rPr>
          <w:rFonts w:hint="eastAsia" w:ascii="仿宋" w:hAnsi="仿宋" w:eastAsia="仿宋" w:cs="仿宋"/>
          <w:color w:val="auto"/>
          <w:highlight w:val="none"/>
          <w:lang w:val="en-US" w:eastAsia="zh-CN"/>
        </w:rPr>
        <w:t>投标人</w:t>
      </w:r>
      <w:r>
        <w:rPr>
          <w:rFonts w:hint="eastAsia" w:ascii="仿宋" w:hAnsi="仿宋" w:eastAsia="仿宋" w:cs="仿宋"/>
          <w:color w:val="auto"/>
          <w:highlight w:val="none"/>
          <w:lang w:val="zh-CN" w:eastAsia="zh-CN"/>
        </w:rPr>
        <w:t>对采购人、采购代理机构、评标委员会及其工作人员施加影响,有碍公平、公正</w:t>
      </w:r>
      <w:r>
        <w:rPr>
          <w:rFonts w:hint="eastAsia" w:ascii="仿宋" w:hAnsi="仿宋" w:eastAsia="仿宋" w:cs="仿宋"/>
          <w:color w:val="auto"/>
          <w:highlight w:val="none"/>
          <w:lang w:val="en-US" w:eastAsia="zh-CN"/>
        </w:rPr>
        <w:t>的；</w:t>
      </w:r>
    </w:p>
    <w:p w14:paraId="44BC5171">
      <w:pPr>
        <w:pStyle w:val="37"/>
        <w:keepNext w:val="0"/>
        <w:keepLines w:val="0"/>
        <w:pageBreakBefore w:val="0"/>
        <w:widowControl w:val="0"/>
        <w:kinsoku/>
        <w:wordWrap w:val="0"/>
        <w:overflowPunct/>
        <w:topLinePunct w:val="0"/>
        <w:autoSpaceDE/>
        <w:autoSpaceDN/>
        <w:bidi w:val="0"/>
        <w:adjustRightInd/>
        <w:snapToGrid/>
        <w:spacing w:line="440" w:lineRule="exact"/>
        <w:ind w:firstLine="482"/>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19.11投标文件含有采购人不能接受的附加条件的；</w:t>
      </w:r>
    </w:p>
    <w:p w14:paraId="359174F5">
      <w:pPr>
        <w:pStyle w:val="37"/>
        <w:keepNext w:val="0"/>
        <w:keepLines w:val="0"/>
        <w:pageBreakBefore w:val="0"/>
        <w:widowControl w:val="0"/>
        <w:kinsoku/>
        <w:wordWrap w:val="0"/>
        <w:overflowPunct/>
        <w:topLinePunct w:val="0"/>
        <w:autoSpaceDE/>
        <w:autoSpaceDN/>
        <w:bidi w:val="0"/>
        <w:adjustRightInd/>
        <w:snapToGrid/>
        <w:spacing w:line="440" w:lineRule="exact"/>
        <w:ind w:firstLine="482"/>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19.</w:t>
      </w:r>
      <w:r>
        <w:rPr>
          <w:rFonts w:hint="eastAsia" w:ascii="仿宋" w:hAnsi="仿宋" w:eastAsia="仿宋" w:cs="仿宋"/>
          <w:color w:val="auto"/>
          <w:highlight w:val="none"/>
          <w:lang w:val="zh-CN" w:eastAsia="zh-CN"/>
        </w:rPr>
        <w:t>1</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lang w:val="zh-CN" w:eastAsia="zh-CN"/>
        </w:rPr>
        <w:t>法律、法规、规章规定属于</w:t>
      </w:r>
      <w:r>
        <w:rPr>
          <w:rFonts w:hint="eastAsia" w:ascii="仿宋" w:hAnsi="仿宋" w:eastAsia="仿宋" w:cs="仿宋"/>
          <w:color w:val="auto"/>
          <w:highlight w:val="none"/>
          <w:lang w:val="en-US" w:eastAsia="zh-CN"/>
        </w:rPr>
        <w:t>投标</w:t>
      </w:r>
      <w:r>
        <w:rPr>
          <w:rFonts w:hint="eastAsia" w:ascii="仿宋" w:hAnsi="仿宋" w:eastAsia="仿宋" w:cs="仿宋"/>
          <w:color w:val="auto"/>
          <w:highlight w:val="none"/>
          <w:lang w:val="zh-CN" w:eastAsia="zh-CN"/>
        </w:rPr>
        <w:t>无效的其他情形。</w:t>
      </w:r>
    </w:p>
    <w:p w14:paraId="244A61C5">
      <w:pPr>
        <w:pStyle w:val="37"/>
        <w:keepNext w:val="0"/>
        <w:keepLines w:val="0"/>
        <w:pageBreakBefore w:val="0"/>
        <w:widowControl w:val="0"/>
        <w:kinsoku/>
        <w:wordWrap w:val="0"/>
        <w:overflowPunct/>
        <w:topLinePunct w:val="0"/>
        <w:autoSpaceDE/>
        <w:autoSpaceDN/>
        <w:bidi w:val="0"/>
        <w:adjustRightInd/>
        <w:snapToGrid/>
        <w:spacing w:line="440" w:lineRule="exact"/>
        <w:ind w:firstLine="482"/>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20.有下列情形之一的，视为投标人串通投标，其</w:t>
      </w:r>
      <w:r>
        <w:rPr>
          <w:rFonts w:hint="eastAsia" w:ascii="仿宋" w:hAnsi="仿宋" w:eastAsia="仿宋" w:cs="仿宋"/>
          <w:b/>
          <w:bCs/>
          <w:color w:val="auto"/>
          <w:highlight w:val="none"/>
          <w:lang w:val="en-US" w:eastAsia="zh-CN"/>
        </w:rPr>
        <w:t>投标无效</w:t>
      </w:r>
      <w:r>
        <w:rPr>
          <w:rFonts w:hint="eastAsia" w:ascii="仿宋" w:hAnsi="仿宋" w:eastAsia="仿宋" w:cs="仿宋"/>
          <w:color w:val="auto"/>
          <w:highlight w:val="none"/>
          <w:lang w:val="en-US" w:eastAsia="zh-CN"/>
        </w:rPr>
        <w:t>：</w:t>
      </w:r>
    </w:p>
    <w:p w14:paraId="22D0F177">
      <w:pPr>
        <w:pStyle w:val="37"/>
        <w:keepNext w:val="0"/>
        <w:keepLines w:val="0"/>
        <w:pageBreakBefore w:val="0"/>
        <w:widowControl w:val="0"/>
        <w:kinsoku/>
        <w:wordWrap w:val="0"/>
        <w:overflowPunct/>
        <w:topLinePunct w:val="0"/>
        <w:autoSpaceDE/>
        <w:autoSpaceDN/>
        <w:bidi w:val="0"/>
        <w:adjustRightInd/>
        <w:snapToGrid/>
        <w:spacing w:line="440" w:lineRule="exact"/>
        <w:ind w:firstLine="482"/>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20.1不同投标人的投标文件由同一单位或者个人编制；</w:t>
      </w:r>
    </w:p>
    <w:p w14:paraId="31A6216C">
      <w:pPr>
        <w:pStyle w:val="37"/>
        <w:keepNext w:val="0"/>
        <w:keepLines w:val="0"/>
        <w:pageBreakBefore w:val="0"/>
        <w:widowControl w:val="0"/>
        <w:kinsoku/>
        <w:wordWrap w:val="0"/>
        <w:overflowPunct/>
        <w:topLinePunct w:val="0"/>
        <w:autoSpaceDE/>
        <w:autoSpaceDN/>
        <w:bidi w:val="0"/>
        <w:adjustRightInd/>
        <w:snapToGrid/>
        <w:spacing w:line="440" w:lineRule="exact"/>
        <w:ind w:firstLine="482"/>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20.2不同投标人委托同一单位或者个人办理投标事宜；</w:t>
      </w:r>
    </w:p>
    <w:p w14:paraId="3A37B9CE">
      <w:pPr>
        <w:pStyle w:val="37"/>
        <w:keepNext w:val="0"/>
        <w:keepLines w:val="0"/>
        <w:pageBreakBefore w:val="0"/>
        <w:widowControl w:val="0"/>
        <w:kinsoku/>
        <w:wordWrap w:val="0"/>
        <w:overflowPunct/>
        <w:topLinePunct w:val="0"/>
        <w:autoSpaceDE/>
        <w:autoSpaceDN/>
        <w:bidi w:val="0"/>
        <w:adjustRightInd/>
        <w:snapToGrid/>
        <w:spacing w:line="440" w:lineRule="exact"/>
        <w:ind w:firstLine="482"/>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20.3不同投标人的投标文件载明的项目管理成员或者联系人员为同一人；</w:t>
      </w:r>
    </w:p>
    <w:p w14:paraId="0D849EDF">
      <w:pPr>
        <w:pStyle w:val="37"/>
        <w:keepNext w:val="0"/>
        <w:keepLines w:val="0"/>
        <w:pageBreakBefore w:val="0"/>
        <w:widowControl w:val="0"/>
        <w:kinsoku/>
        <w:wordWrap w:val="0"/>
        <w:overflowPunct/>
        <w:topLinePunct w:val="0"/>
        <w:autoSpaceDE/>
        <w:autoSpaceDN/>
        <w:bidi w:val="0"/>
        <w:adjustRightInd/>
        <w:snapToGrid/>
        <w:spacing w:line="440" w:lineRule="exact"/>
        <w:ind w:firstLine="482"/>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20.4不同投标人的投标文件异常一致或者投标报价呈规律性差异；</w:t>
      </w:r>
    </w:p>
    <w:p w14:paraId="3E45B30A">
      <w:pPr>
        <w:pStyle w:val="37"/>
        <w:keepNext w:val="0"/>
        <w:keepLines w:val="0"/>
        <w:pageBreakBefore w:val="0"/>
        <w:widowControl w:val="0"/>
        <w:kinsoku/>
        <w:wordWrap w:val="0"/>
        <w:overflowPunct/>
        <w:topLinePunct w:val="0"/>
        <w:autoSpaceDE/>
        <w:autoSpaceDN/>
        <w:bidi w:val="0"/>
        <w:adjustRightInd/>
        <w:snapToGrid/>
        <w:spacing w:line="440" w:lineRule="exact"/>
        <w:ind w:firstLine="482"/>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20.5不同投标人的投标文件相互混装；</w:t>
      </w:r>
    </w:p>
    <w:p w14:paraId="3317FE8F">
      <w:pPr>
        <w:pStyle w:val="37"/>
        <w:keepNext w:val="0"/>
        <w:keepLines w:val="0"/>
        <w:pageBreakBefore w:val="0"/>
        <w:widowControl w:val="0"/>
        <w:kinsoku/>
        <w:wordWrap w:val="0"/>
        <w:overflowPunct/>
        <w:topLinePunct w:val="0"/>
        <w:autoSpaceDE/>
        <w:autoSpaceDN/>
        <w:bidi w:val="0"/>
        <w:adjustRightInd/>
        <w:snapToGrid/>
        <w:spacing w:line="440" w:lineRule="exact"/>
        <w:ind w:firstLine="482"/>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20.6不同投标人的投标保证金从同一单位或者个人的账户转出；</w:t>
      </w:r>
    </w:p>
    <w:p w14:paraId="77B0D012">
      <w:pPr>
        <w:pStyle w:val="37"/>
        <w:keepNext w:val="0"/>
        <w:keepLines w:val="0"/>
        <w:pageBreakBefore w:val="0"/>
        <w:widowControl w:val="0"/>
        <w:kinsoku/>
        <w:wordWrap w:val="0"/>
        <w:overflowPunct/>
        <w:topLinePunct w:val="0"/>
        <w:autoSpaceDE/>
        <w:autoSpaceDN/>
        <w:bidi w:val="0"/>
        <w:adjustRightInd/>
        <w:snapToGrid/>
        <w:spacing w:line="440" w:lineRule="exact"/>
        <w:ind w:firstLine="482"/>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20.7</w:t>
      </w:r>
      <w:r>
        <w:rPr>
          <w:rFonts w:hint="eastAsia" w:ascii="仿宋" w:hAnsi="仿宋" w:eastAsia="仿宋" w:cs="仿宋"/>
          <w:color w:val="auto"/>
          <w:highlight w:val="none"/>
          <w:lang w:val="zh-CN" w:eastAsia="zh-CN"/>
        </w:rPr>
        <w:t>不同投标人使用同一电脑（机器特征值一致：如MAC地址等）或使用同一电子密钥，编制或上传电子投标文件</w:t>
      </w:r>
      <w:r>
        <w:rPr>
          <w:rFonts w:hint="eastAsia" w:ascii="仿宋" w:hAnsi="仿宋" w:eastAsia="仿宋" w:cs="仿宋"/>
          <w:color w:val="auto"/>
          <w:highlight w:val="none"/>
          <w:lang w:val="en-US" w:eastAsia="zh-CN"/>
        </w:rPr>
        <w:t>；</w:t>
      </w:r>
    </w:p>
    <w:p w14:paraId="33561956">
      <w:pPr>
        <w:pStyle w:val="37"/>
        <w:keepNext w:val="0"/>
        <w:keepLines w:val="0"/>
        <w:pageBreakBefore w:val="0"/>
        <w:widowControl w:val="0"/>
        <w:kinsoku/>
        <w:wordWrap w:val="0"/>
        <w:overflowPunct/>
        <w:topLinePunct w:val="0"/>
        <w:autoSpaceDE/>
        <w:autoSpaceDN/>
        <w:bidi w:val="0"/>
        <w:adjustRightInd/>
        <w:snapToGrid/>
        <w:spacing w:line="440" w:lineRule="exact"/>
        <w:ind w:firstLine="482"/>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20.8法律、法规、规章规定属于投标人串通投标的其他情形</w:t>
      </w:r>
      <w:r>
        <w:rPr>
          <w:rFonts w:hint="eastAsia" w:ascii="仿宋" w:hAnsi="仿宋" w:eastAsia="仿宋" w:cs="仿宋"/>
          <w:color w:val="auto"/>
          <w:highlight w:val="none"/>
          <w:lang w:val="zh-CN" w:eastAsia="zh-CN"/>
        </w:rPr>
        <w:t>。</w:t>
      </w:r>
    </w:p>
    <w:p w14:paraId="1D239C91">
      <w:pPr>
        <w:pStyle w:val="37"/>
        <w:keepNext w:val="0"/>
        <w:keepLines w:val="0"/>
        <w:pageBreakBefore w:val="0"/>
        <w:widowControl w:val="0"/>
        <w:kinsoku/>
        <w:wordWrap w:val="0"/>
        <w:overflowPunct/>
        <w:topLinePunct w:val="0"/>
        <w:autoSpaceDE/>
        <w:autoSpaceDN/>
        <w:bidi w:val="0"/>
        <w:adjustRightInd/>
        <w:snapToGrid/>
        <w:spacing w:line="440" w:lineRule="exact"/>
        <w:ind w:firstLine="482"/>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21</w:t>
      </w:r>
      <w:r>
        <w:rPr>
          <w:rFonts w:hint="eastAsia" w:ascii="仿宋" w:hAnsi="仿宋" w:eastAsia="仿宋" w:cs="仿宋"/>
          <w:color w:val="auto"/>
          <w:highlight w:val="none"/>
        </w:rPr>
        <w:t>.根据《中华人民共和国政府采购法》第三十六条之规定，在招标采购过程中，出现下列情形之一的，应予</w:t>
      </w:r>
      <w:r>
        <w:rPr>
          <w:rFonts w:hint="eastAsia" w:ascii="仿宋" w:hAnsi="仿宋" w:eastAsia="仿宋" w:cs="仿宋"/>
          <w:b/>
          <w:bCs/>
          <w:color w:val="auto"/>
          <w:highlight w:val="none"/>
        </w:rPr>
        <w:t>废标</w:t>
      </w:r>
      <w:r>
        <w:rPr>
          <w:rFonts w:hint="eastAsia" w:ascii="仿宋" w:hAnsi="仿宋" w:eastAsia="仿宋" w:cs="仿宋"/>
          <w:color w:val="auto"/>
          <w:highlight w:val="none"/>
        </w:rPr>
        <w:t>：</w:t>
      </w:r>
    </w:p>
    <w:p w14:paraId="549168E7">
      <w:pPr>
        <w:pStyle w:val="37"/>
        <w:keepNext w:val="0"/>
        <w:keepLines w:val="0"/>
        <w:pageBreakBefore w:val="0"/>
        <w:widowControl w:val="0"/>
        <w:kinsoku/>
        <w:wordWrap w:val="0"/>
        <w:overflowPunct/>
        <w:topLinePunct w:val="0"/>
        <w:autoSpaceDE/>
        <w:autoSpaceDN/>
        <w:bidi w:val="0"/>
        <w:adjustRightInd/>
        <w:snapToGrid/>
        <w:spacing w:line="440" w:lineRule="exact"/>
        <w:ind w:firstLine="482"/>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21</w:t>
      </w:r>
      <w:r>
        <w:rPr>
          <w:rFonts w:hint="eastAsia" w:ascii="仿宋" w:hAnsi="仿宋" w:eastAsia="仿宋" w:cs="仿宋"/>
          <w:color w:val="auto"/>
          <w:highlight w:val="none"/>
        </w:rPr>
        <w:t>.1</w:t>
      </w:r>
      <w:r>
        <w:rPr>
          <w:rFonts w:hint="eastAsia" w:ascii="仿宋" w:hAnsi="仿宋" w:eastAsia="仿宋" w:cs="仿宋"/>
          <w:iCs/>
          <w:color w:val="auto"/>
          <w:spacing w:val="-6"/>
          <w:sz w:val="24"/>
          <w:highlight w:val="none"/>
        </w:rPr>
        <w:t>符合专业条件的供应商或者对招标文件作实质响应的供应商不足3家的；</w:t>
      </w:r>
    </w:p>
    <w:p w14:paraId="33EF49F2">
      <w:pPr>
        <w:pStyle w:val="37"/>
        <w:keepNext w:val="0"/>
        <w:keepLines w:val="0"/>
        <w:pageBreakBefore w:val="0"/>
        <w:widowControl w:val="0"/>
        <w:kinsoku/>
        <w:wordWrap w:val="0"/>
        <w:overflowPunct/>
        <w:topLinePunct w:val="0"/>
        <w:autoSpaceDE/>
        <w:autoSpaceDN/>
        <w:bidi w:val="0"/>
        <w:adjustRightInd/>
        <w:snapToGrid/>
        <w:spacing w:line="440" w:lineRule="exact"/>
        <w:ind w:firstLine="482"/>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21</w:t>
      </w:r>
      <w:r>
        <w:rPr>
          <w:rFonts w:hint="eastAsia" w:ascii="仿宋" w:hAnsi="仿宋" w:eastAsia="仿宋" w:cs="仿宋"/>
          <w:color w:val="auto"/>
          <w:highlight w:val="none"/>
        </w:rPr>
        <w:t>.2出现影响采购公正的违法、违规行为的；</w:t>
      </w:r>
    </w:p>
    <w:p w14:paraId="260F47B9">
      <w:pPr>
        <w:pStyle w:val="37"/>
        <w:keepNext w:val="0"/>
        <w:keepLines w:val="0"/>
        <w:pageBreakBefore w:val="0"/>
        <w:widowControl w:val="0"/>
        <w:kinsoku/>
        <w:wordWrap w:val="0"/>
        <w:overflowPunct/>
        <w:topLinePunct w:val="0"/>
        <w:autoSpaceDE/>
        <w:autoSpaceDN/>
        <w:bidi w:val="0"/>
        <w:adjustRightInd/>
        <w:snapToGrid/>
        <w:spacing w:line="440" w:lineRule="exact"/>
        <w:ind w:firstLine="482"/>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21</w:t>
      </w:r>
      <w:r>
        <w:rPr>
          <w:rFonts w:hint="eastAsia" w:ascii="仿宋" w:hAnsi="仿宋" w:eastAsia="仿宋" w:cs="仿宋"/>
          <w:color w:val="auto"/>
          <w:highlight w:val="none"/>
        </w:rPr>
        <w:t>.3投标人的报价均超过了采购预算，采购人不能支付的；</w:t>
      </w:r>
    </w:p>
    <w:p w14:paraId="13B96574">
      <w:pPr>
        <w:pStyle w:val="37"/>
        <w:keepNext w:val="0"/>
        <w:keepLines w:val="0"/>
        <w:pageBreakBefore w:val="0"/>
        <w:widowControl w:val="0"/>
        <w:kinsoku/>
        <w:wordWrap w:val="0"/>
        <w:overflowPunct/>
        <w:topLinePunct w:val="0"/>
        <w:autoSpaceDE/>
        <w:autoSpaceDN/>
        <w:bidi w:val="0"/>
        <w:adjustRightInd/>
        <w:snapToGrid/>
        <w:spacing w:line="440" w:lineRule="exact"/>
        <w:ind w:firstLine="482"/>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21</w:t>
      </w:r>
      <w:r>
        <w:rPr>
          <w:rFonts w:hint="eastAsia" w:ascii="仿宋" w:hAnsi="仿宋" w:eastAsia="仿宋" w:cs="仿宋"/>
          <w:color w:val="auto"/>
          <w:highlight w:val="none"/>
        </w:rPr>
        <w:t>.4因重大变故，采购任务取消的</w:t>
      </w:r>
      <w:r>
        <w:rPr>
          <w:rFonts w:hint="eastAsia" w:ascii="仿宋" w:hAnsi="仿宋" w:eastAsia="仿宋" w:cs="仿宋"/>
          <w:color w:val="auto"/>
          <w:highlight w:val="none"/>
          <w:lang w:val="en-US" w:eastAsia="zh-CN"/>
        </w:rPr>
        <w:t>；</w:t>
      </w:r>
    </w:p>
    <w:p w14:paraId="29ACC8B7">
      <w:pPr>
        <w:pStyle w:val="37"/>
        <w:keepNext w:val="0"/>
        <w:keepLines w:val="0"/>
        <w:pageBreakBefore w:val="0"/>
        <w:widowControl w:val="0"/>
        <w:kinsoku/>
        <w:wordWrap w:val="0"/>
        <w:overflowPunct/>
        <w:topLinePunct w:val="0"/>
        <w:autoSpaceDE/>
        <w:autoSpaceDN/>
        <w:bidi w:val="0"/>
        <w:adjustRightInd/>
        <w:snapToGrid/>
        <w:spacing w:line="440" w:lineRule="exact"/>
        <w:ind w:firstLine="482"/>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21.5</w:t>
      </w:r>
      <w:r>
        <w:rPr>
          <w:rFonts w:hint="eastAsia" w:ascii="仿宋" w:hAnsi="仿宋" w:eastAsia="仿宋" w:cs="仿宋"/>
          <w:color w:val="auto"/>
          <w:highlight w:val="none"/>
        </w:rPr>
        <w:t>法律、法规、规章规定属于</w:t>
      </w:r>
      <w:r>
        <w:rPr>
          <w:rFonts w:hint="eastAsia" w:ascii="仿宋" w:hAnsi="仿宋" w:eastAsia="仿宋" w:cs="仿宋"/>
          <w:color w:val="auto"/>
          <w:highlight w:val="none"/>
          <w:lang w:val="en-US" w:eastAsia="zh-CN"/>
        </w:rPr>
        <w:t>废标</w:t>
      </w:r>
      <w:r>
        <w:rPr>
          <w:rFonts w:hint="eastAsia" w:ascii="仿宋" w:hAnsi="仿宋" w:eastAsia="仿宋" w:cs="仿宋"/>
          <w:color w:val="auto"/>
          <w:highlight w:val="none"/>
        </w:rPr>
        <w:t>的其他情形。</w:t>
      </w:r>
    </w:p>
    <w:p w14:paraId="0928AB40">
      <w:pPr>
        <w:pStyle w:val="37"/>
        <w:keepNext w:val="0"/>
        <w:keepLines w:val="0"/>
        <w:pageBreakBefore w:val="0"/>
        <w:widowControl w:val="0"/>
        <w:kinsoku/>
        <w:wordWrap w:val="0"/>
        <w:overflowPunct/>
        <w:topLinePunct w:val="0"/>
        <w:autoSpaceDE/>
        <w:autoSpaceDN/>
        <w:bidi w:val="0"/>
        <w:adjustRightInd/>
        <w:snapToGrid/>
        <w:spacing w:line="440" w:lineRule="exact"/>
        <w:ind w:firstLine="482"/>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22.</w:t>
      </w:r>
      <w:r>
        <w:rPr>
          <w:rFonts w:hint="eastAsia" w:ascii="仿宋" w:hAnsi="仿宋" w:eastAsia="仿宋" w:cs="仿宋"/>
          <w:color w:val="auto"/>
          <w:highlight w:val="none"/>
        </w:rPr>
        <w:t>废标后，采购人应当将废标理由通知所有投标人。</w:t>
      </w:r>
    </w:p>
    <w:p w14:paraId="4A94BBEB">
      <w:pPr>
        <w:pStyle w:val="4"/>
        <w:keepNext/>
        <w:keepLines/>
        <w:pageBreakBefore w:val="0"/>
        <w:widowControl w:val="0"/>
        <w:numPr>
          <w:ilvl w:val="0"/>
          <w:numId w:val="0"/>
        </w:numPr>
        <w:kinsoku/>
        <w:wordWrap/>
        <w:overflowPunct/>
        <w:topLinePunct w:val="0"/>
        <w:autoSpaceDE/>
        <w:autoSpaceDN/>
        <w:bidi w:val="0"/>
        <w:adjustRightInd/>
        <w:snapToGrid/>
        <w:spacing w:before="60" w:after="60" w:line="440" w:lineRule="exact"/>
        <w:ind w:left="420" w:leftChars="0" w:hanging="420" w:firstLineChars="0"/>
        <w:textAlignment w:val="auto"/>
        <w:rPr>
          <w:rFonts w:hint="eastAsia" w:ascii="仿宋" w:hAnsi="仿宋" w:eastAsia="仿宋" w:cs="仿宋"/>
          <w:b/>
          <w:bCs/>
          <w:color w:val="auto"/>
          <w:kern w:val="2"/>
          <w:sz w:val="24"/>
          <w:szCs w:val="24"/>
          <w:highlight w:val="none"/>
          <w:lang w:val="zh-CN" w:eastAsia="zh-CN" w:bidi="ar-SA"/>
        </w:rPr>
      </w:pPr>
      <w:bookmarkStart w:id="492" w:name="_Toc163492907"/>
      <w:bookmarkStart w:id="493" w:name="_Toc102114920"/>
      <w:bookmarkStart w:id="494" w:name="_Toc155185914"/>
      <w:bookmarkStart w:id="495" w:name="_Toc102116022"/>
      <w:bookmarkStart w:id="496" w:name="_Toc20839"/>
      <w:bookmarkStart w:id="497" w:name="_Toc102056218"/>
      <w:bookmarkStart w:id="498" w:name="_Toc102057718"/>
      <w:bookmarkStart w:id="499" w:name="_Toc5243"/>
      <w:bookmarkStart w:id="500" w:name="_Toc14002"/>
      <w:bookmarkStart w:id="501" w:name="_Toc102119853"/>
      <w:bookmarkStart w:id="502" w:name="_Toc102116152"/>
      <w:r>
        <w:rPr>
          <w:rFonts w:hint="eastAsia" w:ascii="仿宋" w:hAnsi="仿宋" w:eastAsia="仿宋" w:cs="仿宋"/>
          <w:b/>
          <w:bCs/>
          <w:color w:val="auto"/>
          <w:kern w:val="2"/>
          <w:sz w:val="24"/>
          <w:szCs w:val="24"/>
          <w:highlight w:val="none"/>
          <w:lang w:val="zh-CN" w:eastAsia="zh-CN" w:bidi="ar-SA"/>
        </w:rPr>
        <w:t>（</w:t>
      </w:r>
      <w:r>
        <w:rPr>
          <w:rFonts w:hint="eastAsia" w:ascii="仿宋" w:hAnsi="仿宋" w:eastAsia="仿宋" w:cs="仿宋"/>
          <w:b/>
          <w:bCs/>
          <w:color w:val="auto"/>
          <w:kern w:val="2"/>
          <w:sz w:val="24"/>
          <w:szCs w:val="24"/>
          <w:highlight w:val="none"/>
          <w:lang w:val="en-US" w:eastAsia="zh-CN" w:bidi="ar-SA"/>
        </w:rPr>
        <w:t>九</w:t>
      </w:r>
      <w:r>
        <w:rPr>
          <w:rFonts w:hint="eastAsia" w:ascii="仿宋" w:hAnsi="仿宋" w:eastAsia="仿宋" w:cs="仿宋"/>
          <w:b/>
          <w:bCs/>
          <w:color w:val="auto"/>
          <w:kern w:val="2"/>
          <w:sz w:val="24"/>
          <w:szCs w:val="24"/>
          <w:highlight w:val="none"/>
          <w:lang w:val="zh-CN" w:eastAsia="zh-CN" w:bidi="ar-SA"/>
        </w:rPr>
        <w:t>）停止评标的情形</w:t>
      </w:r>
      <w:bookmarkEnd w:id="492"/>
      <w:bookmarkEnd w:id="493"/>
      <w:bookmarkEnd w:id="494"/>
      <w:bookmarkEnd w:id="495"/>
      <w:bookmarkEnd w:id="496"/>
      <w:bookmarkEnd w:id="497"/>
      <w:bookmarkEnd w:id="498"/>
      <w:bookmarkEnd w:id="499"/>
      <w:bookmarkEnd w:id="500"/>
      <w:bookmarkEnd w:id="501"/>
      <w:bookmarkEnd w:id="502"/>
    </w:p>
    <w:p w14:paraId="23E8ECB1">
      <w:pPr>
        <w:pStyle w:val="37"/>
        <w:pageBreakBefore w:val="0"/>
        <w:widowControl w:val="0"/>
        <w:kinsoku/>
        <w:overflowPunct/>
        <w:topLinePunct w:val="0"/>
        <w:autoSpaceDE/>
        <w:autoSpaceDN/>
        <w:bidi w:val="0"/>
        <w:adjustRightInd/>
        <w:snapToGrid/>
        <w:spacing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23</w:t>
      </w:r>
      <w:r>
        <w:rPr>
          <w:rFonts w:hint="eastAsia" w:ascii="仿宋" w:hAnsi="仿宋" w:eastAsia="仿宋" w:cs="仿宋"/>
          <w:color w:val="auto"/>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567CFF03">
      <w:pPr>
        <w:pStyle w:val="4"/>
        <w:keepNext/>
        <w:keepLines/>
        <w:pageBreakBefore w:val="0"/>
        <w:widowControl w:val="0"/>
        <w:numPr>
          <w:ilvl w:val="0"/>
          <w:numId w:val="0"/>
        </w:numPr>
        <w:kinsoku/>
        <w:wordWrap/>
        <w:overflowPunct/>
        <w:topLinePunct w:val="0"/>
        <w:autoSpaceDE/>
        <w:autoSpaceDN/>
        <w:bidi w:val="0"/>
        <w:adjustRightInd/>
        <w:snapToGrid/>
        <w:spacing w:before="60" w:after="60" w:line="440" w:lineRule="exact"/>
        <w:ind w:left="420" w:leftChars="0" w:hanging="420" w:firstLineChars="0"/>
        <w:textAlignment w:val="auto"/>
        <w:rPr>
          <w:rFonts w:hint="eastAsia" w:ascii="仿宋" w:hAnsi="仿宋" w:eastAsia="仿宋" w:cs="仿宋"/>
          <w:b/>
          <w:bCs/>
          <w:color w:val="auto"/>
          <w:kern w:val="2"/>
          <w:sz w:val="24"/>
          <w:szCs w:val="24"/>
          <w:highlight w:val="none"/>
          <w:lang w:val="zh-CN" w:eastAsia="zh-CN" w:bidi="ar-SA"/>
        </w:rPr>
      </w:pPr>
      <w:bookmarkStart w:id="503" w:name="_Toc8262"/>
      <w:bookmarkStart w:id="504" w:name="_Toc10597"/>
      <w:bookmarkStart w:id="505" w:name="_Toc13967"/>
      <w:r>
        <w:rPr>
          <w:rFonts w:hint="eastAsia" w:ascii="仿宋" w:hAnsi="仿宋" w:eastAsia="仿宋" w:cs="仿宋"/>
          <w:b/>
          <w:bCs/>
          <w:color w:val="auto"/>
          <w:kern w:val="2"/>
          <w:sz w:val="24"/>
          <w:szCs w:val="24"/>
          <w:highlight w:val="none"/>
          <w:lang w:val="zh-CN" w:eastAsia="zh-CN" w:bidi="ar-SA"/>
        </w:rPr>
        <w:t>（</w:t>
      </w:r>
      <w:r>
        <w:rPr>
          <w:rFonts w:hint="eastAsia" w:ascii="仿宋" w:hAnsi="仿宋" w:eastAsia="仿宋" w:cs="仿宋"/>
          <w:b/>
          <w:bCs/>
          <w:color w:val="auto"/>
          <w:kern w:val="2"/>
          <w:sz w:val="24"/>
          <w:szCs w:val="24"/>
          <w:highlight w:val="none"/>
          <w:lang w:val="en-US" w:eastAsia="zh-CN" w:bidi="ar-SA"/>
        </w:rPr>
        <w:t>十</w:t>
      </w:r>
      <w:r>
        <w:rPr>
          <w:rFonts w:hint="eastAsia" w:ascii="仿宋" w:hAnsi="仿宋" w:eastAsia="仿宋" w:cs="仿宋"/>
          <w:b/>
          <w:bCs/>
          <w:color w:val="auto"/>
          <w:kern w:val="2"/>
          <w:sz w:val="24"/>
          <w:szCs w:val="24"/>
          <w:highlight w:val="none"/>
          <w:lang w:val="zh-CN" w:eastAsia="zh-CN" w:bidi="ar-SA"/>
        </w:rPr>
        <w:t>）重新开展采购</w:t>
      </w:r>
      <w:bookmarkEnd w:id="503"/>
      <w:bookmarkEnd w:id="504"/>
      <w:bookmarkEnd w:id="505"/>
    </w:p>
    <w:p w14:paraId="0B859B45">
      <w:pPr>
        <w:pStyle w:val="37"/>
        <w:keepNext w:val="0"/>
        <w:keepLines w:val="0"/>
        <w:pageBreakBefore w:val="0"/>
        <w:widowControl w:val="0"/>
        <w:kinsoku/>
        <w:wordWrap w:val="0"/>
        <w:overflowPunct/>
        <w:topLinePunct w:val="0"/>
        <w:autoSpaceDE/>
        <w:autoSpaceDN/>
        <w:bidi w:val="0"/>
        <w:adjustRightInd/>
        <w:snapToGrid/>
        <w:spacing w:line="440" w:lineRule="exact"/>
        <w:ind w:firstLine="482"/>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24.</w:t>
      </w:r>
      <w:r>
        <w:rPr>
          <w:rFonts w:hint="eastAsia" w:ascii="仿宋" w:hAnsi="仿宋" w:eastAsia="仿宋" w:cs="仿宋"/>
          <w:color w:val="auto"/>
          <w:highlight w:val="none"/>
        </w:rPr>
        <w:t>有</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中华人民共和国政府采购法</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第七十一条、第七十二条规定的违法行为之一，影响或者可能影响中标结果的，依照下列规定处理：</w:t>
      </w:r>
    </w:p>
    <w:p w14:paraId="3F5E00E7">
      <w:pPr>
        <w:pStyle w:val="37"/>
        <w:keepNext w:val="0"/>
        <w:keepLines w:val="0"/>
        <w:pageBreakBefore w:val="0"/>
        <w:widowControl w:val="0"/>
        <w:kinsoku/>
        <w:wordWrap w:val="0"/>
        <w:overflowPunct/>
        <w:topLinePunct w:val="0"/>
        <w:autoSpaceDE/>
        <w:autoSpaceDN/>
        <w:bidi w:val="0"/>
        <w:adjustRightInd/>
        <w:snapToGrid/>
        <w:spacing w:line="440" w:lineRule="exact"/>
        <w:ind w:firstLine="482"/>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24</w:t>
      </w:r>
      <w:r>
        <w:rPr>
          <w:rFonts w:hint="eastAsia" w:ascii="仿宋" w:hAnsi="仿宋" w:eastAsia="仿宋" w:cs="仿宋"/>
          <w:color w:val="auto"/>
          <w:highlight w:val="none"/>
        </w:rPr>
        <w:t>.1</w:t>
      </w:r>
      <w:r>
        <w:rPr>
          <w:rFonts w:hint="eastAsia" w:ascii="仿宋" w:hAnsi="仿宋" w:eastAsia="仿宋" w:cs="仿宋"/>
          <w:iCs/>
          <w:color w:val="auto"/>
          <w:spacing w:val="-6"/>
          <w:sz w:val="24"/>
          <w:highlight w:val="none"/>
        </w:rPr>
        <w:t>未确定中标供应商的，终止本次政府采购活动，重新开展政府采购活动。</w:t>
      </w:r>
    </w:p>
    <w:p w14:paraId="5C6AE64E">
      <w:pPr>
        <w:pStyle w:val="37"/>
        <w:keepNext w:val="0"/>
        <w:keepLines w:val="0"/>
        <w:pageBreakBefore w:val="0"/>
        <w:widowControl w:val="0"/>
        <w:kinsoku/>
        <w:wordWrap w:val="0"/>
        <w:overflowPunct/>
        <w:topLinePunct w:val="0"/>
        <w:autoSpaceDE/>
        <w:autoSpaceDN/>
        <w:bidi w:val="0"/>
        <w:adjustRightInd/>
        <w:snapToGrid/>
        <w:spacing w:line="440" w:lineRule="exact"/>
        <w:ind w:firstLine="482"/>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24</w:t>
      </w:r>
      <w:r>
        <w:rPr>
          <w:rFonts w:hint="eastAsia" w:ascii="仿宋" w:hAnsi="仿宋" w:eastAsia="仿宋" w:cs="仿宋"/>
          <w:color w:val="auto"/>
          <w:highlight w:val="none"/>
        </w:rPr>
        <w:t>.2已确定中标供应商但尚未签订政府采购合同的，中标结果无效，从合格的中标候选人中另行确定中标供应商；没有合格的中标候选人的，重新开展政府采购活动。</w:t>
      </w:r>
    </w:p>
    <w:p w14:paraId="529F872E">
      <w:pPr>
        <w:pStyle w:val="37"/>
        <w:keepNext w:val="0"/>
        <w:keepLines w:val="0"/>
        <w:pageBreakBefore w:val="0"/>
        <w:widowControl w:val="0"/>
        <w:kinsoku/>
        <w:wordWrap w:val="0"/>
        <w:overflowPunct/>
        <w:topLinePunct w:val="0"/>
        <w:autoSpaceDE/>
        <w:autoSpaceDN/>
        <w:bidi w:val="0"/>
        <w:adjustRightInd/>
        <w:snapToGrid/>
        <w:spacing w:line="440" w:lineRule="exact"/>
        <w:ind w:firstLine="482"/>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24</w:t>
      </w:r>
      <w:r>
        <w:rPr>
          <w:rFonts w:hint="eastAsia" w:ascii="仿宋" w:hAnsi="仿宋" w:eastAsia="仿宋" w:cs="仿宋"/>
          <w:color w:val="auto"/>
          <w:highlight w:val="none"/>
        </w:rPr>
        <w:t>.3政府采购合同已签订但尚未履行的，撤销合同，从合格的中标候选人中另行确定中标供应商；没有合格的中标候选人的，重新开展政府采购活动。</w:t>
      </w:r>
    </w:p>
    <w:p w14:paraId="6B4F93D5">
      <w:pPr>
        <w:pStyle w:val="37"/>
        <w:keepNext w:val="0"/>
        <w:keepLines w:val="0"/>
        <w:pageBreakBefore w:val="0"/>
        <w:widowControl w:val="0"/>
        <w:kinsoku/>
        <w:wordWrap w:val="0"/>
        <w:overflowPunct/>
        <w:topLinePunct w:val="0"/>
        <w:autoSpaceDE/>
        <w:autoSpaceDN/>
        <w:bidi w:val="0"/>
        <w:adjustRightInd/>
        <w:snapToGrid/>
        <w:spacing w:line="440" w:lineRule="exact"/>
        <w:ind w:firstLine="482"/>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24</w:t>
      </w:r>
      <w:r>
        <w:rPr>
          <w:rFonts w:hint="eastAsia" w:ascii="仿宋" w:hAnsi="仿宋" w:eastAsia="仿宋" w:cs="仿宋"/>
          <w:color w:val="auto"/>
          <w:highlight w:val="none"/>
        </w:rPr>
        <w:t>.4政府采购合同已经履行，给采购人、供应商造成损失的，由责任人承担赔偿责任。</w:t>
      </w:r>
    </w:p>
    <w:p w14:paraId="4FABA3AC">
      <w:pPr>
        <w:pStyle w:val="37"/>
        <w:keepNext w:val="0"/>
        <w:keepLines w:val="0"/>
        <w:pageBreakBefore w:val="0"/>
        <w:widowControl w:val="0"/>
        <w:kinsoku/>
        <w:wordWrap w:val="0"/>
        <w:overflowPunct/>
        <w:topLinePunct w:val="0"/>
        <w:autoSpaceDE/>
        <w:autoSpaceDN/>
        <w:bidi w:val="0"/>
        <w:adjustRightInd/>
        <w:snapToGrid/>
        <w:spacing w:line="440" w:lineRule="exact"/>
        <w:ind w:firstLine="482"/>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24</w:t>
      </w:r>
      <w:r>
        <w:rPr>
          <w:rFonts w:hint="eastAsia" w:ascii="仿宋" w:hAnsi="仿宋" w:eastAsia="仿宋" w:cs="仿宋"/>
          <w:color w:val="auto"/>
          <w:highlight w:val="none"/>
        </w:rPr>
        <w:t>.5政府采购当事人有其他违反</w:t>
      </w:r>
      <w:r>
        <w:rPr>
          <w:rFonts w:hint="eastAsia" w:ascii="仿宋" w:hAnsi="仿宋" w:eastAsia="仿宋" w:cs="仿宋"/>
          <w:iCs/>
          <w:color w:val="auto"/>
          <w:spacing w:val="-6"/>
          <w:sz w:val="24"/>
          <w:highlight w:val="none"/>
          <w:lang w:eastAsia="zh-CN"/>
        </w:rPr>
        <w:t>《</w:t>
      </w:r>
      <w:r>
        <w:rPr>
          <w:rFonts w:hint="eastAsia" w:ascii="仿宋" w:hAnsi="仿宋" w:eastAsia="仿宋" w:cs="仿宋"/>
          <w:iCs/>
          <w:color w:val="auto"/>
          <w:spacing w:val="-6"/>
          <w:sz w:val="24"/>
          <w:highlight w:val="none"/>
        </w:rPr>
        <w:t>中华人民共和国政府采购法</w:t>
      </w:r>
      <w:r>
        <w:rPr>
          <w:rFonts w:hint="eastAsia" w:ascii="仿宋" w:hAnsi="仿宋" w:eastAsia="仿宋" w:cs="仿宋"/>
          <w:iCs/>
          <w:color w:val="auto"/>
          <w:spacing w:val="-6"/>
          <w:sz w:val="24"/>
          <w:highlight w:val="none"/>
          <w:lang w:eastAsia="zh-CN"/>
        </w:rPr>
        <w:t>》</w:t>
      </w:r>
      <w:r>
        <w:rPr>
          <w:rFonts w:hint="eastAsia" w:ascii="仿宋" w:hAnsi="仿宋" w:eastAsia="仿宋" w:cs="仿宋"/>
          <w:iCs/>
          <w:color w:val="auto"/>
          <w:spacing w:val="-6"/>
          <w:sz w:val="24"/>
          <w:highlight w:val="none"/>
        </w:rPr>
        <w:t>或者</w:t>
      </w:r>
      <w:r>
        <w:rPr>
          <w:rFonts w:hint="eastAsia" w:ascii="仿宋" w:hAnsi="仿宋" w:eastAsia="仿宋" w:cs="仿宋"/>
          <w:iCs/>
          <w:color w:val="auto"/>
          <w:spacing w:val="-6"/>
          <w:sz w:val="24"/>
          <w:highlight w:val="none"/>
          <w:lang w:eastAsia="zh-CN"/>
        </w:rPr>
        <w:t>《</w:t>
      </w:r>
      <w:r>
        <w:rPr>
          <w:rFonts w:hint="eastAsia" w:ascii="仿宋" w:hAnsi="仿宋" w:eastAsia="仿宋" w:cs="仿宋"/>
          <w:iCs/>
          <w:color w:val="auto"/>
          <w:spacing w:val="-6"/>
          <w:sz w:val="24"/>
          <w:highlight w:val="none"/>
        </w:rPr>
        <w:t>中华人民共和国政府采购法实施条例</w:t>
      </w:r>
      <w:r>
        <w:rPr>
          <w:rFonts w:hint="eastAsia" w:ascii="仿宋" w:hAnsi="仿宋" w:eastAsia="仿宋" w:cs="仿宋"/>
          <w:iCs/>
          <w:color w:val="auto"/>
          <w:spacing w:val="-6"/>
          <w:sz w:val="24"/>
          <w:highlight w:val="none"/>
          <w:lang w:eastAsia="zh-CN"/>
        </w:rPr>
        <w:t>》</w:t>
      </w:r>
      <w:r>
        <w:rPr>
          <w:rFonts w:hint="eastAsia" w:ascii="仿宋" w:hAnsi="仿宋" w:eastAsia="仿宋" w:cs="仿宋"/>
          <w:color w:val="auto"/>
          <w:highlight w:val="none"/>
        </w:rPr>
        <w:t>等法律法规规定的行为，经改正后仍然影响或者可能影响中标结果或者依法被认定为中标无效的，依照</w:t>
      </w:r>
      <w:r>
        <w:rPr>
          <w:rFonts w:hint="eastAsia" w:ascii="仿宋" w:hAnsi="仿宋" w:eastAsia="仿宋" w:cs="仿宋"/>
          <w:color w:val="auto"/>
          <w:highlight w:val="none"/>
          <w:lang w:val="en-US" w:eastAsia="zh-CN"/>
        </w:rPr>
        <w:t>24</w:t>
      </w:r>
      <w:r>
        <w:rPr>
          <w:rFonts w:hint="eastAsia" w:ascii="仿宋" w:hAnsi="仿宋" w:eastAsia="仿宋" w:cs="仿宋"/>
          <w:color w:val="auto"/>
          <w:highlight w:val="none"/>
        </w:rPr>
        <w:t>.1</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24</w:t>
      </w:r>
      <w:r>
        <w:rPr>
          <w:rFonts w:hint="eastAsia" w:ascii="仿宋" w:hAnsi="仿宋" w:eastAsia="仿宋" w:cs="仿宋"/>
          <w:color w:val="auto"/>
          <w:highlight w:val="none"/>
        </w:rPr>
        <w:t>.4规定处理。</w:t>
      </w:r>
    </w:p>
    <w:bookmarkEnd w:id="441"/>
    <w:bookmarkEnd w:id="442"/>
    <w:bookmarkEnd w:id="443"/>
    <w:bookmarkEnd w:id="444"/>
    <w:bookmarkEnd w:id="445"/>
    <w:bookmarkEnd w:id="446"/>
    <w:bookmarkEnd w:id="447"/>
    <w:bookmarkEnd w:id="448"/>
    <w:bookmarkEnd w:id="449"/>
    <w:bookmarkEnd w:id="450"/>
    <w:p w14:paraId="7798ECCE">
      <w:pPr>
        <w:pStyle w:val="4"/>
        <w:keepNext/>
        <w:keepLines/>
        <w:pageBreakBefore w:val="0"/>
        <w:widowControl w:val="0"/>
        <w:numPr>
          <w:ilvl w:val="0"/>
          <w:numId w:val="0"/>
        </w:numPr>
        <w:kinsoku/>
        <w:wordWrap/>
        <w:overflowPunct/>
        <w:topLinePunct w:val="0"/>
        <w:autoSpaceDE/>
        <w:autoSpaceDN/>
        <w:bidi w:val="0"/>
        <w:adjustRightInd/>
        <w:snapToGrid/>
        <w:spacing w:before="60" w:after="60" w:line="440" w:lineRule="exact"/>
        <w:ind w:left="420" w:leftChars="0" w:hanging="420" w:firstLineChars="0"/>
        <w:textAlignment w:val="auto"/>
        <w:rPr>
          <w:rFonts w:hint="eastAsia" w:ascii="仿宋" w:hAnsi="仿宋" w:eastAsia="仿宋" w:cs="仿宋"/>
          <w:b/>
          <w:bCs/>
          <w:color w:val="auto"/>
          <w:kern w:val="2"/>
          <w:sz w:val="24"/>
          <w:szCs w:val="24"/>
          <w:highlight w:val="none"/>
          <w:lang w:val="en-US" w:eastAsia="zh-CN" w:bidi="ar-SA"/>
        </w:rPr>
      </w:pPr>
      <w:bookmarkStart w:id="506" w:name="_Toc27264"/>
      <w:bookmarkStart w:id="507" w:name="_Toc14768"/>
      <w:r>
        <w:rPr>
          <w:rFonts w:hint="eastAsia" w:ascii="仿宋" w:hAnsi="仿宋" w:eastAsia="仿宋" w:cs="仿宋"/>
          <w:b/>
          <w:bCs/>
          <w:color w:val="auto"/>
          <w:kern w:val="2"/>
          <w:sz w:val="24"/>
          <w:szCs w:val="24"/>
          <w:highlight w:val="none"/>
          <w:lang w:val="zh-CN" w:eastAsia="zh-CN" w:bidi="ar-SA"/>
        </w:rPr>
        <w:t>三、评标</w:t>
      </w:r>
      <w:r>
        <w:rPr>
          <w:rFonts w:hint="eastAsia" w:ascii="仿宋" w:hAnsi="仿宋" w:eastAsia="仿宋" w:cs="仿宋"/>
          <w:b/>
          <w:bCs/>
          <w:color w:val="auto"/>
          <w:kern w:val="2"/>
          <w:sz w:val="24"/>
          <w:szCs w:val="24"/>
          <w:highlight w:val="none"/>
          <w:lang w:val="en-US" w:eastAsia="zh-CN" w:bidi="ar-SA"/>
        </w:rPr>
        <w:t>其他要求</w:t>
      </w:r>
      <w:bookmarkEnd w:id="506"/>
      <w:bookmarkEnd w:id="507"/>
    </w:p>
    <w:p w14:paraId="125E35ED">
      <w:pPr>
        <w:pStyle w:val="37"/>
        <w:keepNext w:val="0"/>
        <w:keepLines w:val="0"/>
        <w:pageBreakBefore w:val="0"/>
        <w:widowControl w:val="0"/>
        <w:kinsoku/>
        <w:wordWrap w:val="0"/>
        <w:overflowPunct/>
        <w:topLinePunct w:val="0"/>
        <w:autoSpaceDE/>
        <w:autoSpaceDN/>
        <w:bidi w:val="0"/>
        <w:adjustRightInd/>
        <w:snapToGrid/>
        <w:spacing w:line="440" w:lineRule="exact"/>
        <w:ind w:firstLine="482"/>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w:t>
      </w:r>
    </w:p>
    <w:p w14:paraId="79C0027D">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textAlignment w:val="auto"/>
        <w:rPr>
          <w:rFonts w:hint="eastAsia" w:ascii="仿宋" w:hAnsi="仿宋" w:eastAsia="仿宋" w:cs="仿宋"/>
          <w:color w:val="auto"/>
          <w:sz w:val="28"/>
          <w:szCs w:val="28"/>
          <w:highlight w:val="none"/>
          <w:lang w:val="zh-CN" w:eastAsia="zh-CN"/>
        </w:rPr>
      </w:pPr>
      <w:bookmarkStart w:id="508" w:name="_Toc2099"/>
      <w:bookmarkStart w:id="509" w:name="_Toc22385"/>
      <w:r>
        <w:rPr>
          <w:rFonts w:hint="eastAsia" w:ascii="仿宋" w:hAnsi="仿宋" w:eastAsia="仿宋" w:cs="仿宋"/>
          <w:color w:val="auto"/>
          <w:sz w:val="28"/>
          <w:szCs w:val="28"/>
          <w:highlight w:val="none"/>
          <w:lang w:val="en-US" w:eastAsia="zh-CN"/>
        </w:rPr>
        <w:t>四</w:t>
      </w:r>
      <w:r>
        <w:rPr>
          <w:rFonts w:hint="eastAsia" w:ascii="仿宋" w:hAnsi="仿宋" w:eastAsia="仿宋" w:cs="仿宋"/>
          <w:color w:val="auto"/>
          <w:sz w:val="28"/>
          <w:szCs w:val="28"/>
          <w:highlight w:val="none"/>
          <w:lang w:val="zh-CN" w:eastAsia="zh-CN"/>
        </w:rPr>
        <w:t>、评标标准</w:t>
      </w:r>
      <w:bookmarkEnd w:id="508"/>
      <w:bookmarkEnd w:id="509"/>
    </w:p>
    <w:p w14:paraId="3BCD460A">
      <w:pPr>
        <w:pStyle w:val="4"/>
        <w:keepNext/>
        <w:keepLines/>
        <w:pageBreakBefore w:val="0"/>
        <w:widowControl w:val="0"/>
        <w:numPr>
          <w:ilvl w:val="0"/>
          <w:numId w:val="0"/>
        </w:numPr>
        <w:kinsoku/>
        <w:wordWrap/>
        <w:overflowPunct/>
        <w:topLinePunct w:val="0"/>
        <w:autoSpaceDE/>
        <w:autoSpaceDN/>
        <w:bidi w:val="0"/>
        <w:adjustRightInd/>
        <w:snapToGrid/>
        <w:spacing w:before="60" w:after="60" w:line="360" w:lineRule="auto"/>
        <w:ind w:left="420" w:leftChars="0" w:hanging="420" w:firstLineChars="0"/>
        <w:textAlignment w:val="auto"/>
        <w:rPr>
          <w:rFonts w:hint="eastAsia" w:ascii="仿宋" w:hAnsi="仿宋" w:eastAsia="仿宋" w:cs="仿宋"/>
          <w:b/>
          <w:bCs/>
          <w:color w:val="auto"/>
          <w:kern w:val="2"/>
          <w:sz w:val="24"/>
          <w:szCs w:val="24"/>
          <w:highlight w:val="none"/>
          <w:lang w:val="zh-CN" w:eastAsia="zh-CN" w:bidi="ar-SA"/>
        </w:rPr>
      </w:pPr>
      <w:bookmarkStart w:id="510" w:name="_Toc12396"/>
      <w:bookmarkStart w:id="511" w:name="_Toc163492909"/>
      <w:bookmarkStart w:id="512" w:name="_Toc1508"/>
      <w:bookmarkStart w:id="513" w:name="_Toc29368"/>
      <w:r>
        <w:rPr>
          <w:rFonts w:hint="eastAsia" w:ascii="仿宋" w:hAnsi="仿宋" w:eastAsia="仿宋" w:cs="仿宋"/>
          <w:b/>
          <w:bCs/>
          <w:color w:val="auto"/>
          <w:kern w:val="2"/>
          <w:sz w:val="24"/>
          <w:szCs w:val="24"/>
          <w:highlight w:val="none"/>
          <w:lang w:val="zh-CN" w:eastAsia="zh-CN" w:bidi="ar-SA"/>
        </w:rPr>
        <w:t>（一）符合性审查表</w:t>
      </w:r>
      <w:bookmarkEnd w:id="510"/>
      <w:bookmarkEnd w:id="511"/>
      <w:bookmarkEnd w:id="512"/>
      <w:bookmarkEnd w:id="513"/>
    </w:p>
    <w:tbl>
      <w:tblPr>
        <w:tblStyle w:val="30"/>
        <w:tblW w:w="9269" w:type="dxa"/>
        <w:tblInd w:w="-3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9"/>
        <w:gridCol w:w="1522"/>
        <w:gridCol w:w="5417"/>
        <w:gridCol w:w="904"/>
        <w:gridCol w:w="917"/>
      </w:tblGrid>
      <w:tr w14:paraId="39725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509" w:type="dxa"/>
            <w:vMerge w:val="restart"/>
            <w:shd w:val="clear" w:color="auto" w:fill="D8D8D8" w:themeFill="background1" w:themeFillShade="D9"/>
            <w:vAlign w:val="center"/>
          </w:tcPr>
          <w:p w14:paraId="3EB45F75">
            <w:pPr>
              <w:pStyle w:val="49"/>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color w:val="auto"/>
                <w:sz w:val="21"/>
                <w:szCs w:val="21"/>
                <w:highlight w:val="none"/>
                <w:lang w:val="zh-CN"/>
              </w:rPr>
            </w:pPr>
            <w:bookmarkStart w:id="514" w:name="_Toc155185917"/>
            <w:bookmarkStart w:id="515" w:name="_Toc163492910"/>
            <w:r>
              <w:rPr>
                <w:rFonts w:hint="eastAsia" w:ascii="仿宋" w:hAnsi="仿宋" w:eastAsia="仿宋" w:cs="仿宋"/>
                <w:b/>
                <w:bCs/>
                <w:color w:val="auto"/>
                <w:sz w:val="21"/>
                <w:szCs w:val="21"/>
                <w:highlight w:val="none"/>
                <w:lang w:val="zh-CN"/>
              </w:rPr>
              <w:t>序号</w:t>
            </w:r>
          </w:p>
        </w:tc>
        <w:tc>
          <w:tcPr>
            <w:tcW w:w="1522" w:type="dxa"/>
            <w:vMerge w:val="restart"/>
            <w:shd w:val="clear" w:color="auto" w:fill="D8D8D8" w:themeFill="background1" w:themeFillShade="D9"/>
            <w:vAlign w:val="center"/>
          </w:tcPr>
          <w:p w14:paraId="4BF83A8F">
            <w:pPr>
              <w:pStyle w:val="49"/>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color w:val="auto"/>
                <w:sz w:val="21"/>
                <w:szCs w:val="21"/>
                <w:highlight w:val="none"/>
                <w:lang w:val="zh-CN"/>
              </w:rPr>
            </w:pPr>
            <w:r>
              <w:rPr>
                <w:rFonts w:hint="eastAsia" w:ascii="仿宋" w:hAnsi="仿宋" w:eastAsia="仿宋" w:cs="仿宋"/>
                <w:b/>
                <w:bCs/>
                <w:color w:val="auto"/>
                <w:sz w:val="21"/>
                <w:szCs w:val="21"/>
                <w:highlight w:val="none"/>
                <w:lang w:val="zh-CN"/>
              </w:rPr>
              <w:t>审查项名称</w:t>
            </w:r>
          </w:p>
        </w:tc>
        <w:tc>
          <w:tcPr>
            <w:tcW w:w="5417" w:type="dxa"/>
            <w:vMerge w:val="restart"/>
            <w:shd w:val="clear" w:color="auto" w:fill="D8D8D8" w:themeFill="background1" w:themeFillShade="D9"/>
            <w:vAlign w:val="center"/>
          </w:tcPr>
          <w:p w14:paraId="36A2FE8C">
            <w:pPr>
              <w:pStyle w:val="49"/>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color w:val="auto"/>
                <w:sz w:val="21"/>
                <w:szCs w:val="21"/>
                <w:highlight w:val="none"/>
                <w:lang w:val="zh-CN"/>
              </w:rPr>
            </w:pPr>
            <w:r>
              <w:rPr>
                <w:rFonts w:hint="eastAsia" w:ascii="仿宋" w:hAnsi="仿宋" w:eastAsia="仿宋" w:cs="仿宋"/>
                <w:b/>
                <w:bCs/>
                <w:color w:val="auto"/>
                <w:sz w:val="21"/>
                <w:szCs w:val="21"/>
                <w:highlight w:val="none"/>
                <w:lang w:val="zh-CN"/>
              </w:rPr>
              <w:t>审查内容</w:t>
            </w:r>
          </w:p>
        </w:tc>
        <w:tc>
          <w:tcPr>
            <w:tcW w:w="1821" w:type="dxa"/>
            <w:gridSpan w:val="2"/>
            <w:shd w:val="clear" w:color="auto" w:fill="D8D8D8" w:themeFill="background1" w:themeFillShade="D9"/>
            <w:vAlign w:val="center"/>
          </w:tcPr>
          <w:p w14:paraId="1D6189B8">
            <w:pPr>
              <w:pStyle w:val="49"/>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审查结果</w:t>
            </w:r>
          </w:p>
        </w:tc>
      </w:tr>
      <w:tr w14:paraId="64991F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509" w:type="dxa"/>
            <w:vMerge w:val="continue"/>
            <w:shd w:val="clear" w:color="auto" w:fill="D8D8D8" w:themeFill="background1" w:themeFillShade="D9"/>
            <w:vAlign w:val="center"/>
          </w:tcPr>
          <w:p w14:paraId="76F54278">
            <w:pPr>
              <w:pStyle w:val="49"/>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color w:val="auto"/>
                <w:sz w:val="21"/>
                <w:szCs w:val="21"/>
                <w:highlight w:val="none"/>
                <w:lang w:val="zh-CN"/>
              </w:rPr>
            </w:pPr>
          </w:p>
        </w:tc>
        <w:tc>
          <w:tcPr>
            <w:tcW w:w="1522" w:type="dxa"/>
            <w:vMerge w:val="continue"/>
            <w:shd w:val="clear" w:color="auto" w:fill="D8D8D8" w:themeFill="background1" w:themeFillShade="D9"/>
            <w:vAlign w:val="center"/>
          </w:tcPr>
          <w:p w14:paraId="29F7D1C5">
            <w:pPr>
              <w:pStyle w:val="49"/>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color w:val="auto"/>
                <w:sz w:val="21"/>
                <w:szCs w:val="21"/>
                <w:highlight w:val="none"/>
                <w:lang w:val="zh-CN"/>
              </w:rPr>
            </w:pPr>
          </w:p>
        </w:tc>
        <w:tc>
          <w:tcPr>
            <w:tcW w:w="5417" w:type="dxa"/>
            <w:vMerge w:val="continue"/>
            <w:shd w:val="clear" w:color="auto" w:fill="D8D8D8" w:themeFill="background1" w:themeFillShade="D9"/>
            <w:vAlign w:val="center"/>
          </w:tcPr>
          <w:p w14:paraId="27586FEB">
            <w:pPr>
              <w:pStyle w:val="49"/>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color w:val="auto"/>
                <w:sz w:val="21"/>
                <w:szCs w:val="21"/>
                <w:highlight w:val="none"/>
                <w:lang w:val="zh-CN"/>
              </w:rPr>
            </w:pPr>
          </w:p>
        </w:tc>
        <w:tc>
          <w:tcPr>
            <w:tcW w:w="904" w:type="dxa"/>
            <w:shd w:val="clear" w:color="auto" w:fill="D8D8D8" w:themeFill="background1" w:themeFillShade="D9"/>
            <w:vAlign w:val="center"/>
          </w:tcPr>
          <w:p w14:paraId="759D3275">
            <w:pPr>
              <w:pStyle w:val="49"/>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符合</w:t>
            </w:r>
          </w:p>
        </w:tc>
        <w:tc>
          <w:tcPr>
            <w:tcW w:w="917" w:type="dxa"/>
            <w:shd w:val="clear" w:color="auto" w:fill="D8D8D8" w:themeFill="background1" w:themeFillShade="D9"/>
            <w:vAlign w:val="center"/>
          </w:tcPr>
          <w:p w14:paraId="276DE77E">
            <w:pPr>
              <w:pStyle w:val="49"/>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不符合</w:t>
            </w:r>
          </w:p>
        </w:tc>
      </w:tr>
      <w:tr w14:paraId="5AB76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8" w:hRule="atLeast"/>
        </w:trPr>
        <w:tc>
          <w:tcPr>
            <w:tcW w:w="509" w:type="dxa"/>
            <w:shd w:val="clear" w:color="auto" w:fill="auto"/>
            <w:vAlign w:val="center"/>
          </w:tcPr>
          <w:p w14:paraId="66122DCD">
            <w:pPr>
              <w:pStyle w:val="49"/>
              <w:keepNext w:val="0"/>
              <w:keepLines w:val="0"/>
              <w:pageBreakBefore w:val="0"/>
              <w:widowControl w:val="0"/>
              <w:numPr>
                <w:ilvl w:val="0"/>
                <w:numId w:val="0"/>
              </w:numPr>
              <w:kinsoku/>
              <w:wordWrap/>
              <w:overflowPunct/>
              <w:topLinePunct w:val="0"/>
              <w:autoSpaceDE/>
              <w:autoSpaceDN/>
              <w:bidi w:val="0"/>
              <w:adjustRightInd/>
              <w:snapToGrid/>
              <w:ind w:left="420" w:leftChars="0" w:hanging="420" w:firstLineChars="0"/>
              <w:jc w:val="center"/>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kern w:val="2"/>
                <w:sz w:val="21"/>
                <w:szCs w:val="21"/>
                <w:highlight w:val="none"/>
                <w:lang w:val="zh-CN" w:eastAsia="zh-CN" w:bidi="ar-SA"/>
              </w:rPr>
              <w:t>1</w:t>
            </w:r>
          </w:p>
        </w:tc>
        <w:tc>
          <w:tcPr>
            <w:tcW w:w="1522" w:type="dxa"/>
            <w:vAlign w:val="center"/>
          </w:tcPr>
          <w:p w14:paraId="53D09B9F">
            <w:pPr>
              <w:pStyle w:val="49"/>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投标文件</w:t>
            </w:r>
            <w:r>
              <w:rPr>
                <w:rFonts w:hint="eastAsia" w:ascii="仿宋" w:hAnsi="仿宋" w:eastAsia="仿宋" w:cs="仿宋"/>
                <w:color w:val="auto"/>
                <w:sz w:val="21"/>
                <w:szCs w:val="21"/>
                <w:highlight w:val="none"/>
              </w:rPr>
              <w:t>签署</w:t>
            </w:r>
          </w:p>
        </w:tc>
        <w:tc>
          <w:tcPr>
            <w:tcW w:w="5417" w:type="dxa"/>
            <w:shd w:val="clear" w:color="auto" w:fill="auto"/>
            <w:vAlign w:val="center"/>
          </w:tcPr>
          <w:p w14:paraId="123E40CF">
            <w:pPr>
              <w:pStyle w:val="49"/>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en-US" w:eastAsia="zh-CN"/>
              </w:rPr>
              <w:t>投标文件按招标文件要求签署、盖章的</w:t>
            </w:r>
          </w:p>
        </w:tc>
        <w:tc>
          <w:tcPr>
            <w:tcW w:w="904" w:type="dxa"/>
            <w:shd w:val="clear" w:color="auto" w:fill="auto"/>
            <w:vAlign w:val="center"/>
          </w:tcPr>
          <w:p w14:paraId="14793E74">
            <w:pPr>
              <w:pStyle w:val="49"/>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lang w:val="zh-CN"/>
              </w:rPr>
            </w:pPr>
          </w:p>
        </w:tc>
        <w:tc>
          <w:tcPr>
            <w:tcW w:w="917" w:type="dxa"/>
            <w:shd w:val="clear" w:color="auto" w:fill="auto"/>
            <w:vAlign w:val="center"/>
          </w:tcPr>
          <w:p w14:paraId="40337833">
            <w:pPr>
              <w:pStyle w:val="49"/>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lang w:val="zh-CN"/>
              </w:rPr>
            </w:pPr>
          </w:p>
        </w:tc>
      </w:tr>
      <w:tr w14:paraId="757F9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trPr>
        <w:tc>
          <w:tcPr>
            <w:tcW w:w="509" w:type="dxa"/>
            <w:shd w:val="clear" w:color="auto" w:fill="auto"/>
            <w:vAlign w:val="center"/>
          </w:tcPr>
          <w:p w14:paraId="58CA6307">
            <w:pPr>
              <w:pStyle w:val="49"/>
              <w:keepNext w:val="0"/>
              <w:keepLines w:val="0"/>
              <w:pageBreakBefore w:val="0"/>
              <w:widowControl w:val="0"/>
              <w:numPr>
                <w:ilvl w:val="0"/>
                <w:numId w:val="0"/>
              </w:numPr>
              <w:kinsoku/>
              <w:wordWrap/>
              <w:overflowPunct/>
              <w:topLinePunct w:val="0"/>
              <w:autoSpaceDE/>
              <w:autoSpaceDN/>
              <w:bidi w:val="0"/>
              <w:adjustRightInd/>
              <w:snapToGrid/>
              <w:ind w:left="420" w:leftChars="0" w:hanging="420" w:firstLineChars="0"/>
              <w:jc w:val="center"/>
              <w:textAlignment w:val="auto"/>
              <w:rPr>
                <w:rFonts w:hint="eastAsia" w:ascii="仿宋" w:hAnsi="仿宋" w:eastAsia="仿宋" w:cs="仿宋"/>
                <w:color w:val="auto"/>
                <w:kern w:val="2"/>
                <w:sz w:val="21"/>
                <w:szCs w:val="21"/>
                <w:highlight w:val="none"/>
                <w:lang w:val="zh-CN" w:eastAsia="zh-CN" w:bidi="ar-SA"/>
              </w:rPr>
            </w:pPr>
            <w:r>
              <w:rPr>
                <w:rFonts w:hint="eastAsia" w:ascii="仿宋" w:hAnsi="仿宋" w:eastAsia="仿宋" w:cs="仿宋"/>
                <w:color w:val="auto"/>
                <w:kern w:val="2"/>
                <w:sz w:val="21"/>
                <w:szCs w:val="21"/>
                <w:highlight w:val="none"/>
                <w:lang w:val="zh-CN" w:eastAsia="zh-CN" w:bidi="ar-SA"/>
              </w:rPr>
              <w:t>2</w:t>
            </w:r>
          </w:p>
        </w:tc>
        <w:tc>
          <w:tcPr>
            <w:tcW w:w="1522" w:type="dxa"/>
            <w:shd w:val="clear" w:color="auto" w:fill="auto"/>
            <w:vAlign w:val="center"/>
          </w:tcPr>
          <w:p w14:paraId="4CB78520">
            <w:pPr>
              <w:pStyle w:val="49"/>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kern w:val="2"/>
                <w:sz w:val="21"/>
                <w:szCs w:val="21"/>
                <w:highlight w:val="none"/>
                <w:lang w:val="zh-CN" w:eastAsia="zh-CN" w:bidi="ar-SA"/>
              </w:rPr>
            </w:pPr>
            <w:r>
              <w:rPr>
                <w:rFonts w:hint="eastAsia" w:ascii="仿宋" w:hAnsi="仿宋" w:eastAsia="仿宋" w:cs="仿宋"/>
                <w:color w:val="auto"/>
                <w:sz w:val="21"/>
                <w:szCs w:val="21"/>
                <w:highlight w:val="none"/>
                <w:lang w:val="zh-CN"/>
              </w:rPr>
              <w:t>实质性要求</w:t>
            </w:r>
          </w:p>
        </w:tc>
        <w:tc>
          <w:tcPr>
            <w:tcW w:w="5417" w:type="dxa"/>
            <w:shd w:val="clear" w:color="auto" w:fill="auto"/>
            <w:vAlign w:val="center"/>
          </w:tcPr>
          <w:p w14:paraId="23602DB4">
            <w:pPr>
              <w:pStyle w:val="49"/>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kern w:val="2"/>
                <w:sz w:val="21"/>
                <w:szCs w:val="21"/>
                <w:highlight w:val="none"/>
                <w:lang w:val="zh-CN" w:eastAsia="zh-CN" w:bidi="ar-SA"/>
              </w:rPr>
            </w:pPr>
            <w:r>
              <w:rPr>
                <w:rFonts w:hint="eastAsia" w:ascii="仿宋" w:hAnsi="仿宋" w:eastAsia="仿宋" w:cs="仿宋"/>
                <w:color w:val="auto"/>
                <w:sz w:val="21"/>
                <w:szCs w:val="21"/>
                <w:highlight w:val="none"/>
                <w:lang w:val="en-US" w:eastAsia="zh-CN"/>
              </w:rPr>
              <w:t>投标</w:t>
            </w:r>
            <w:r>
              <w:rPr>
                <w:rFonts w:hint="eastAsia" w:ascii="仿宋" w:hAnsi="仿宋" w:eastAsia="仿宋" w:cs="仿宋"/>
                <w:color w:val="auto"/>
                <w:sz w:val="21"/>
                <w:szCs w:val="21"/>
                <w:highlight w:val="none"/>
                <w:lang w:val="zh-CN" w:eastAsia="zh-CN"/>
              </w:rPr>
              <w:t>文件满足</w:t>
            </w:r>
            <w:r>
              <w:rPr>
                <w:rFonts w:hint="eastAsia" w:ascii="仿宋" w:hAnsi="仿宋" w:eastAsia="仿宋" w:cs="仿宋"/>
                <w:color w:val="auto"/>
                <w:sz w:val="21"/>
                <w:szCs w:val="21"/>
                <w:highlight w:val="none"/>
                <w:lang w:val="en-US" w:eastAsia="zh-CN"/>
              </w:rPr>
              <w:t>招标</w:t>
            </w:r>
            <w:r>
              <w:rPr>
                <w:rFonts w:hint="eastAsia" w:ascii="仿宋" w:hAnsi="仿宋" w:eastAsia="仿宋" w:cs="仿宋"/>
                <w:color w:val="auto"/>
                <w:sz w:val="21"/>
                <w:szCs w:val="21"/>
                <w:highlight w:val="none"/>
                <w:lang w:val="zh-CN" w:eastAsia="zh-CN"/>
              </w:rPr>
              <w:t>文件中标注“★”号的实质性条款（或指标）要求的</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具体详见</w:t>
            </w:r>
            <w:r>
              <w:rPr>
                <w:rFonts w:hint="eastAsia" w:ascii="仿宋" w:hAnsi="仿宋" w:eastAsia="仿宋" w:cs="仿宋"/>
                <w:color w:val="auto"/>
                <w:sz w:val="21"/>
                <w:szCs w:val="21"/>
                <w:highlight w:val="none"/>
                <w:lang w:val="zh-CN"/>
              </w:rPr>
              <w:t>“实质性响应一览表”</w:t>
            </w:r>
          </w:p>
        </w:tc>
        <w:tc>
          <w:tcPr>
            <w:tcW w:w="904" w:type="dxa"/>
            <w:shd w:val="clear" w:color="auto" w:fill="auto"/>
            <w:vAlign w:val="center"/>
          </w:tcPr>
          <w:p w14:paraId="14085985">
            <w:pPr>
              <w:pStyle w:val="49"/>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lang w:val="zh-CN"/>
              </w:rPr>
            </w:pPr>
          </w:p>
        </w:tc>
        <w:tc>
          <w:tcPr>
            <w:tcW w:w="917" w:type="dxa"/>
            <w:shd w:val="clear" w:color="auto" w:fill="auto"/>
            <w:vAlign w:val="center"/>
          </w:tcPr>
          <w:p w14:paraId="1301EF8C">
            <w:pPr>
              <w:pStyle w:val="49"/>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lang w:val="zh-CN"/>
              </w:rPr>
            </w:pPr>
          </w:p>
        </w:tc>
      </w:tr>
      <w:tr w14:paraId="28D9AC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509" w:type="dxa"/>
            <w:shd w:val="clear" w:color="auto" w:fill="auto"/>
            <w:vAlign w:val="center"/>
          </w:tcPr>
          <w:p w14:paraId="4867988B">
            <w:pPr>
              <w:pStyle w:val="49"/>
              <w:keepNext w:val="0"/>
              <w:keepLines w:val="0"/>
              <w:pageBreakBefore w:val="0"/>
              <w:widowControl w:val="0"/>
              <w:numPr>
                <w:ilvl w:val="0"/>
                <w:numId w:val="0"/>
              </w:numPr>
              <w:kinsoku/>
              <w:wordWrap/>
              <w:overflowPunct/>
              <w:topLinePunct w:val="0"/>
              <w:autoSpaceDE/>
              <w:autoSpaceDN/>
              <w:bidi w:val="0"/>
              <w:adjustRightInd/>
              <w:snapToGrid/>
              <w:ind w:left="420" w:leftChars="0" w:hanging="420" w:firstLineChars="0"/>
              <w:jc w:val="center"/>
              <w:textAlignment w:val="auto"/>
              <w:rPr>
                <w:rFonts w:hint="eastAsia" w:ascii="仿宋" w:hAnsi="仿宋" w:eastAsia="仿宋" w:cs="仿宋"/>
                <w:color w:val="auto"/>
                <w:kern w:val="2"/>
                <w:sz w:val="21"/>
                <w:szCs w:val="21"/>
                <w:highlight w:val="none"/>
                <w:lang w:val="zh-CN" w:eastAsia="zh-CN" w:bidi="ar-SA"/>
              </w:rPr>
            </w:pPr>
            <w:r>
              <w:rPr>
                <w:rFonts w:hint="eastAsia" w:ascii="仿宋" w:hAnsi="仿宋" w:eastAsia="仿宋" w:cs="仿宋"/>
                <w:color w:val="auto"/>
                <w:kern w:val="2"/>
                <w:sz w:val="21"/>
                <w:szCs w:val="21"/>
                <w:highlight w:val="none"/>
                <w:lang w:val="zh-CN" w:eastAsia="zh-CN" w:bidi="ar-SA"/>
              </w:rPr>
              <w:t>3</w:t>
            </w:r>
          </w:p>
        </w:tc>
        <w:tc>
          <w:tcPr>
            <w:tcW w:w="1522" w:type="dxa"/>
            <w:vAlign w:val="center"/>
          </w:tcPr>
          <w:p w14:paraId="4008079D">
            <w:pPr>
              <w:pStyle w:val="49"/>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投标报价</w:t>
            </w:r>
          </w:p>
        </w:tc>
        <w:tc>
          <w:tcPr>
            <w:tcW w:w="5417" w:type="dxa"/>
            <w:shd w:val="clear" w:color="auto" w:fill="auto"/>
            <w:vAlign w:val="center"/>
          </w:tcPr>
          <w:p w14:paraId="6CC1FB8B">
            <w:pPr>
              <w:pStyle w:val="49"/>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投标人报价未超过招标文件中规定的</w:t>
            </w:r>
            <w:r>
              <w:rPr>
                <w:rFonts w:hint="eastAsia" w:ascii="仿宋" w:hAnsi="仿宋" w:eastAsia="仿宋" w:cs="仿宋"/>
                <w:color w:val="auto"/>
                <w:sz w:val="21"/>
                <w:szCs w:val="21"/>
                <w:highlight w:val="none"/>
                <w:lang w:val="en-US" w:eastAsia="zh-CN"/>
              </w:rPr>
              <w:t>最高限价或者预算金额</w:t>
            </w:r>
            <w:r>
              <w:rPr>
                <w:rFonts w:hint="eastAsia" w:ascii="仿宋" w:hAnsi="仿宋" w:eastAsia="仿宋" w:cs="仿宋"/>
                <w:color w:val="auto"/>
                <w:kern w:val="2"/>
                <w:sz w:val="21"/>
                <w:szCs w:val="21"/>
                <w:highlight w:val="none"/>
                <w:lang w:val="en-US" w:eastAsia="zh-CN" w:bidi="ar-SA"/>
              </w:rPr>
              <w:t>的</w:t>
            </w:r>
          </w:p>
        </w:tc>
        <w:tc>
          <w:tcPr>
            <w:tcW w:w="904" w:type="dxa"/>
            <w:shd w:val="clear" w:color="auto" w:fill="auto"/>
            <w:vAlign w:val="center"/>
          </w:tcPr>
          <w:p w14:paraId="7DFC3283">
            <w:pPr>
              <w:pStyle w:val="49"/>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lang w:val="zh-CN"/>
              </w:rPr>
            </w:pPr>
          </w:p>
        </w:tc>
        <w:tc>
          <w:tcPr>
            <w:tcW w:w="917" w:type="dxa"/>
            <w:shd w:val="clear" w:color="auto" w:fill="auto"/>
            <w:vAlign w:val="center"/>
          </w:tcPr>
          <w:p w14:paraId="45151C28">
            <w:pPr>
              <w:pStyle w:val="49"/>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lang w:val="zh-CN"/>
              </w:rPr>
            </w:pPr>
          </w:p>
        </w:tc>
      </w:tr>
      <w:tr w14:paraId="119CB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trPr>
        <w:tc>
          <w:tcPr>
            <w:tcW w:w="509" w:type="dxa"/>
            <w:shd w:val="clear" w:color="auto" w:fill="auto"/>
            <w:vAlign w:val="center"/>
          </w:tcPr>
          <w:p w14:paraId="0420FFD1">
            <w:pPr>
              <w:pStyle w:val="49"/>
              <w:keepNext w:val="0"/>
              <w:keepLines w:val="0"/>
              <w:pageBreakBefore w:val="0"/>
              <w:widowControl w:val="0"/>
              <w:numPr>
                <w:ilvl w:val="0"/>
                <w:numId w:val="0"/>
              </w:numPr>
              <w:kinsoku/>
              <w:wordWrap/>
              <w:overflowPunct/>
              <w:topLinePunct w:val="0"/>
              <w:autoSpaceDE/>
              <w:autoSpaceDN/>
              <w:bidi w:val="0"/>
              <w:adjustRightInd/>
              <w:snapToGrid/>
              <w:ind w:left="420" w:leftChars="0" w:hanging="420" w:firstLineChars="0"/>
              <w:jc w:val="center"/>
              <w:textAlignment w:val="auto"/>
              <w:rPr>
                <w:rFonts w:hint="eastAsia" w:ascii="仿宋" w:hAnsi="仿宋" w:eastAsia="仿宋" w:cs="仿宋"/>
                <w:color w:val="auto"/>
                <w:kern w:val="2"/>
                <w:sz w:val="21"/>
                <w:szCs w:val="21"/>
                <w:highlight w:val="none"/>
                <w:lang w:val="zh-CN" w:eastAsia="zh-CN" w:bidi="ar-SA"/>
              </w:rPr>
            </w:pPr>
            <w:r>
              <w:rPr>
                <w:rFonts w:hint="eastAsia" w:ascii="仿宋" w:hAnsi="仿宋" w:eastAsia="仿宋" w:cs="仿宋"/>
                <w:color w:val="auto"/>
                <w:kern w:val="2"/>
                <w:sz w:val="21"/>
                <w:szCs w:val="21"/>
                <w:highlight w:val="none"/>
                <w:lang w:val="zh-CN" w:eastAsia="zh-CN" w:bidi="ar-SA"/>
              </w:rPr>
              <w:t>4</w:t>
            </w:r>
          </w:p>
        </w:tc>
        <w:tc>
          <w:tcPr>
            <w:tcW w:w="1522" w:type="dxa"/>
            <w:vAlign w:val="center"/>
          </w:tcPr>
          <w:p w14:paraId="63F173B3">
            <w:pPr>
              <w:pStyle w:val="49"/>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虚假材料</w:t>
            </w:r>
          </w:p>
        </w:tc>
        <w:tc>
          <w:tcPr>
            <w:tcW w:w="5417" w:type="dxa"/>
            <w:shd w:val="clear" w:color="auto" w:fill="auto"/>
            <w:vAlign w:val="center"/>
          </w:tcPr>
          <w:p w14:paraId="5EC1245B">
            <w:pPr>
              <w:pStyle w:val="49"/>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kern w:val="2"/>
                <w:sz w:val="21"/>
                <w:szCs w:val="21"/>
                <w:highlight w:val="none"/>
                <w:lang w:val="zh-CN" w:eastAsia="zh-CN" w:bidi="ar-SA"/>
              </w:rPr>
            </w:pPr>
            <w:r>
              <w:rPr>
                <w:rFonts w:hint="eastAsia" w:ascii="仿宋" w:hAnsi="仿宋" w:eastAsia="仿宋" w:cs="仿宋"/>
                <w:color w:val="auto"/>
                <w:sz w:val="21"/>
                <w:szCs w:val="21"/>
                <w:highlight w:val="none"/>
                <w:lang w:val="en-US" w:eastAsia="zh-CN"/>
              </w:rPr>
              <w:t>投标</w:t>
            </w:r>
            <w:r>
              <w:rPr>
                <w:rFonts w:hint="eastAsia" w:ascii="仿宋" w:hAnsi="仿宋" w:eastAsia="仿宋" w:cs="仿宋"/>
                <w:color w:val="auto"/>
                <w:sz w:val="21"/>
                <w:szCs w:val="21"/>
                <w:highlight w:val="none"/>
                <w:lang w:val="zh-CN" w:eastAsia="zh-CN"/>
              </w:rPr>
              <w:t>文件</w:t>
            </w:r>
            <w:r>
              <w:rPr>
                <w:rFonts w:hint="eastAsia" w:ascii="仿宋" w:hAnsi="仿宋" w:eastAsia="仿宋" w:cs="仿宋"/>
                <w:color w:val="auto"/>
                <w:sz w:val="21"/>
                <w:szCs w:val="21"/>
                <w:highlight w:val="none"/>
                <w:lang w:val="en-US" w:eastAsia="zh-CN"/>
              </w:rPr>
              <w:t>未</w:t>
            </w:r>
            <w:r>
              <w:rPr>
                <w:rFonts w:hint="eastAsia" w:ascii="仿宋" w:hAnsi="仿宋" w:eastAsia="仿宋" w:cs="仿宋"/>
                <w:color w:val="auto"/>
                <w:sz w:val="21"/>
                <w:szCs w:val="21"/>
                <w:highlight w:val="none"/>
                <w:lang w:val="zh-CN" w:eastAsia="zh-CN"/>
              </w:rPr>
              <w:t>提供虚假材料的</w:t>
            </w:r>
          </w:p>
        </w:tc>
        <w:tc>
          <w:tcPr>
            <w:tcW w:w="904" w:type="dxa"/>
            <w:shd w:val="clear" w:color="auto" w:fill="auto"/>
            <w:vAlign w:val="center"/>
          </w:tcPr>
          <w:p w14:paraId="04BAC2EA">
            <w:pPr>
              <w:pStyle w:val="49"/>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lang w:val="zh-CN"/>
              </w:rPr>
            </w:pPr>
          </w:p>
        </w:tc>
        <w:tc>
          <w:tcPr>
            <w:tcW w:w="917" w:type="dxa"/>
            <w:shd w:val="clear" w:color="auto" w:fill="auto"/>
            <w:vAlign w:val="center"/>
          </w:tcPr>
          <w:p w14:paraId="40045090">
            <w:pPr>
              <w:pStyle w:val="49"/>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lang w:val="zh-CN"/>
              </w:rPr>
            </w:pPr>
          </w:p>
        </w:tc>
      </w:tr>
      <w:tr w14:paraId="063A0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trPr>
        <w:tc>
          <w:tcPr>
            <w:tcW w:w="509" w:type="dxa"/>
            <w:shd w:val="clear" w:color="auto" w:fill="auto"/>
            <w:vAlign w:val="center"/>
          </w:tcPr>
          <w:p w14:paraId="1F32B699">
            <w:pPr>
              <w:pStyle w:val="49"/>
              <w:keepNext w:val="0"/>
              <w:keepLines w:val="0"/>
              <w:pageBreakBefore w:val="0"/>
              <w:widowControl w:val="0"/>
              <w:numPr>
                <w:ilvl w:val="0"/>
                <w:numId w:val="0"/>
              </w:numPr>
              <w:kinsoku/>
              <w:wordWrap/>
              <w:overflowPunct/>
              <w:topLinePunct w:val="0"/>
              <w:autoSpaceDE/>
              <w:autoSpaceDN/>
              <w:bidi w:val="0"/>
              <w:adjustRightInd/>
              <w:snapToGrid/>
              <w:ind w:left="420" w:leftChars="0" w:hanging="420" w:firstLineChars="0"/>
              <w:jc w:val="center"/>
              <w:textAlignment w:val="auto"/>
              <w:rPr>
                <w:rFonts w:hint="eastAsia" w:ascii="仿宋" w:hAnsi="仿宋" w:eastAsia="仿宋" w:cs="仿宋"/>
                <w:color w:val="auto"/>
                <w:kern w:val="2"/>
                <w:sz w:val="21"/>
                <w:szCs w:val="21"/>
                <w:highlight w:val="none"/>
                <w:lang w:val="zh-CN" w:eastAsia="zh-CN" w:bidi="ar-SA"/>
              </w:rPr>
            </w:pPr>
            <w:r>
              <w:rPr>
                <w:rFonts w:hint="eastAsia" w:ascii="仿宋" w:hAnsi="仿宋" w:eastAsia="仿宋" w:cs="仿宋"/>
                <w:color w:val="auto"/>
                <w:kern w:val="2"/>
                <w:sz w:val="21"/>
                <w:szCs w:val="21"/>
                <w:highlight w:val="none"/>
                <w:lang w:val="zh-CN" w:eastAsia="zh-CN" w:bidi="ar-SA"/>
              </w:rPr>
              <w:t>5</w:t>
            </w:r>
          </w:p>
        </w:tc>
        <w:tc>
          <w:tcPr>
            <w:tcW w:w="1522" w:type="dxa"/>
            <w:vAlign w:val="center"/>
          </w:tcPr>
          <w:p w14:paraId="7844B295">
            <w:pPr>
              <w:pStyle w:val="49"/>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联合体</w:t>
            </w:r>
          </w:p>
        </w:tc>
        <w:tc>
          <w:tcPr>
            <w:tcW w:w="5417" w:type="dxa"/>
            <w:shd w:val="clear" w:color="auto" w:fill="auto"/>
            <w:vAlign w:val="center"/>
          </w:tcPr>
          <w:p w14:paraId="06062BDE">
            <w:pPr>
              <w:pStyle w:val="49"/>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zh-CN" w:eastAsia="zh-CN"/>
              </w:rPr>
              <w:t>联合体的供应商提交</w:t>
            </w:r>
            <w:r>
              <w:rPr>
                <w:rFonts w:hint="eastAsia" w:ascii="仿宋" w:hAnsi="仿宋" w:eastAsia="仿宋" w:cs="仿宋"/>
                <w:color w:val="auto"/>
                <w:sz w:val="21"/>
                <w:szCs w:val="21"/>
                <w:highlight w:val="none"/>
                <w:lang w:val="en-US" w:eastAsia="zh-CN"/>
              </w:rPr>
              <w:t>了</w:t>
            </w:r>
            <w:r>
              <w:rPr>
                <w:rFonts w:hint="eastAsia" w:ascii="仿宋" w:hAnsi="仿宋" w:eastAsia="仿宋" w:cs="仿宋"/>
                <w:color w:val="auto"/>
                <w:sz w:val="21"/>
                <w:szCs w:val="21"/>
                <w:highlight w:val="none"/>
                <w:lang w:val="zh-CN" w:eastAsia="zh-CN"/>
              </w:rPr>
              <w:t>各方共同签署的联合体协议的（</w:t>
            </w:r>
            <w:r>
              <w:rPr>
                <w:rFonts w:hint="eastAsia" w:ascii="仿宋" w:hAnsi="仿宋" w:eastAsia="仿宋" w:cs="仿宋"/>
                <w:color w:val="auto"/>
                <w:sz w:val="21"/>
                <w:szCs w:val="21"/>
                <w:highlight w:val="none"/>
                <w:lang w:val="en-US" w:eastAsia="zh-CN"/>
              </w:rPr>
              <w:t>如允许联合体投标的</w:t>
            </w:r>
            <w:r>
              <w:rPr>
                <w:rFonts w:hint="eastAsia" w:ascii="仿宋" w:hAnsi="仿宋" w:eastAsia="仿宋" w:cs="仿宋"/>
                <w:color w:val="auto"/>
                <w:sz w:val="21"/>
                <w:szCs w:val="21"/>
                <w:highlight w:val="none"/>
                <w:lang w:val="zh-CN" w:eastAsia="zh-CN"/>
              </w:rPr>
              <w:t>）</w:t>
            </w:r>
          </w:p>
        </w:tc>
        <w:tc>
          <w:tcPr>
            <w:tcW w:w="904" w:type="dxa"/>
            <w:shd w:val="clear" w:color="auto" w:fill="auto"/>
            <w:vAlign w:val="center"/>
          </w:tcPr>
          <w:p w14:paraId="5E57239C">
            <w:pPr>
              <w:pStyle w:val="49"/>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lang w:val="zh-CN"/>
              </w:rPr>
            </w:pPr>
          </w:p>
        </w:tc>
        <w:tc>
          <w:tcPr>
            <w:tcW w:w="917" w:type="dxa"/>
            <w:shd w:val="clear" w:color="auto" w:fill="auto"/>
            <w:vAlign w:val="center"/>
          </w:tcPr>
          <w:p w14:paraId="3890CED6">
            <w:pPr>
              <w:pStyle w:val="49"/>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lang w:val="zh-CN"/>
              </w:rPr>
            </w:pPr>
          </w:p>
        </w:tc>
      </w:tr>
      <w:tr w14:paraId="16BC19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trPr>
        <w:tc>
          <w:tcPr>
            <w:tcW w:w="509" w:type="dxa"/>
            <w:shd w:val="clear" w:color="auto" w:fill="auto"/>
            <w:vAlign w:val="center"/>
          </w:tcPr>
          <w:p w14:paraId="2CC81CD5">
            <w:pPr>
              <w:pStyle w:val="49"/>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6</w:t>
            </w:r>
          </w:p>
        </w:tc>
        <w:tc>
          <w:tcPr>
            <w:tcW w:w="1522" w:type="dxa"/>
            <w:vAlign w:val="center"/>
          </w:tcPr>
          <w:p w14:paraId="39C24AED">
            <w:pPr>
              <w:pStyle w:val="49"/>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投标人影响评标</w:t>
            </w:r>
          </w:p>
        </w:tc>
        <w:tc>
          <w:tcPr>
            <w:tcW w:w="5417" w:type="dxa"/>
            <w:shd w:val="clear" w:color="auto" w:fill="auto"/>
            <w:vAlign w:val="center"/>
          </w:tcPr>
          <w:p w14:paraId="24E44DEF">
            <w:pPr>
              <w:pStyle w:val="49"/>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kern w:val="2"/>
                <w:sz w:val="21"/>
                <w:szCs w:val="21"/>
                <w:highlight w:val="none"/>
                <w:lang w:val="zh-CN" w:eastAsia="zh-CN" w:bidi="ar-SA"/>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lang w:val="zh-CN" w:eastAsia="zh-CN"/>
              </w:rPr>
              <w:t>对采购人、采购代理机构、评标委员会及其工作人员</w:t>
            </w:r>
            <w:r>
              <w:rPr>
                <w:rFonts w:hint="eastAsia" w:ascii="仿宋" w:hAnsi="仿宋" w:eastAsia="仿宋" w:cs="仿宋"/>
                <w:color w:val="auto"/>
                <w:sz w:val="21"/>
                <w:szCs w:val="21"/>
                <w:highlight w:val="none"/>
                <w:lang w:val="en-US" w:eastAsia="zh-CN"/>
              </w:rPr>
              <w:t>未</w:t>
            </w:r>
            <w:r>
              <w:rPr>
                <w:rFonts w:hint="eastAsia" w:ascii="仿宋" w:hAnsi="仿宋" w:eastAsia="仿宋" w:cs="仿宋"/>
                <w:color w:val="auto"/>
                <w:sz w:val="21"/>
                <w:szCs w:val="21"/>
                <w:highlight w:val="none"/>
                <w:lang w:val="zh-CN" w:eastAsia="zh-CN"/>
              </w:rPr>
              <w:t>施加影响,</w:t>
            </w:r>
            <w:r>
              <w:rPr>
                <w:rFonts w:hint="eastAsia" w:ascii="仿宋" w:hAnsi="仿宋" w:eastAsia="仿宋" w:cs="仿宋"/>
                <w:color w:val="auto"/>
                <w:sz w:val="21"/>
                <w:szCs w:val="21"/>
                <w:highlight w:val="none"/>
                <w:lang w:val="en-US" w:eastAsia="zh-CN"/>
              </w:rPr>
              <w:t>无</w:t>
            </w:r>
            <w:r>
              <w:rPr>
                <w:rFonts w:hint="eastAsia" w:ascii="仿宋" w:hAnsi="仿宋" w:eastAsia="仿宋" w:cs="仿宋"/>
                <w:color w:val="auto"/>
                <w:sz w:val="21"/>
                <w:szCs w:val="21"/>
                <w:highlight w:val="none"/>
                <w:lang w:val="zh-CN" w:eastAsia="zh-CN"/>
              </w:rPr>
              <w:t>有碍公平、公正</w:t>
            </w:r>
            <w:r>
              <w:rPr>
                <w:rFonts w:hint="eastAsia" w:ascii="仿宋" w:hAnsi="仿宋" w:eastAsia="仿宋" w:cs="仿宋"/>
                <w:color w:val="auto"/>
                <w:sz w:val="21"/>
                <w:szCs w:val="21"/>
                <w:highlight w:val="none"/>
                <w:lang w:val="en-US" w:eastAsia="zh-CN"/>
              </w:rPr>
              <w:t>的</w:t>
            </w:r>
          </w:p>
        </w:tc>
        <w:tc>
          <w:tcPr>
            <w:tcW w:w="904" w:type="dxa"/>
            <w:shd w:val="clear" w:color="auto" w:fill="auto"/>
            <w:vAlign w:val="center"/>
          </w:tcPr>
          <w:p w14:paraId="76405397">
            <w:pPr>
              <w:pStyle w:val="49"/>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lang w:val="zh-CN"/>
              </w:rPr>
            </w:pPr>
          </w:p>
        </w:tc>
        <w:tc>
          <w:tcPr>
            <w:tcW w:w="917" w:type="dxa"/>
            <w:shd w:val="clear" w:color="auto" w:fill="auto"/>
            <w:vAlign w:val="center"/>
          </w:tcPr>
          <w:p w14:paraId="6C88C399">
            <w:pPr>
              <w:pStyle w:val="49"/>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lang w:val="zh-CN"/>
              </w:rPr>
            </w:pPr>
          </w:p>
        </w:tc>
      </w:tr>
      <w:tr w14:paraId="1E86D4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509" w:type="dxa"/>
            <w:shd w:val="clear" w:color="auto" w:fill="auto"/>
            <w:vAlign w:val="center"/>
          </w:tcPr>
          <w:p w14:paraId="377E42E7">
            <w:pPr>
              <w:pStyle w:val="49"/>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color w:val="auto"/>
                <w:kern w:val="2"/>
                <w:sz w:val="21"/>
                <w:szCs w:val="21"/>
                <w:highlight w:val="none"/>
                <w:lang w:val="zh-CN" w:eastAsia="zh-CN" w:bidi="ar-SA"/>
              </w:rPr>
            </w:pPr>
            <w:r>
              <w:rPr>
                <w:rFonts w:hint="eastAsia" w:ascii="仿宋" w:hAnsi="仿宋" w:eastAsia="仿宋" w:cs="仿宋"/>
                <w:color w:val="auto"/>
                <w:sz w:val="21"/>
                <w:szCs w:val="21"/>
                <w:highlight w:val="none"/>
                <w:lang w:val="en-US" w:eastAsia="zh-CN"/>
              </w:rPr>
              <w:t>7</w:t>
            </w:r>
          </w:p>
        </w:tc>
        <w:tc>
          <w:tcPr>
            <w:tcW w:w="1522" w:type="dxa"/>
            <w:vAlign w:val="center"/>
          </w:tcPr>
          <w:p w14:paraId="5A06CB93">
            <w:pPr>
              <w:pStyle w:val="49"/>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围标串标情形</w:t>
            </w:r>
          </w:p>
        </w:tc>
        <w:tc>
          <w:tcPr>
            <w:tcW w:w="5417" w:type="dxa"/>
            <w:shd w:val="clear" w:color="auto" w:fill="auto"/>
            <w:vAlign w:val="center"/>
          </w:tcPr>
          <w:p w14:paraId="2C895074">
            <w:pPr>
              <w:pStyle w:val="49"/>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没有</w:t>
            </w:r>
            <w:r>
              <w:rPr>
                <w:rFonts w:hint="eastAsia" w:ascii="仿宋" w:hAnsi="仿宋" w:eastAsia="仿宋" w:cs="仿宋"/>
                <w:color w:val="auto"/>
                <w:sz w:val="21"/>
                <w:szCs w:val="21"/>
                <w:highlight w:val="none"/>
                <w:lang w:val="zh-CN" w:eastAsia="zh-CN"/>
              </w:rPr>
              <w:t>“第五章 评标方法及标准”</w:t>
            </w:r>
            <w:r>
              <w:rPr>
                <w:rFonts w:hint="eastAsia" w:ascii="仿宋" w:hAnsi="仿宋" w:eastAsia="仿宋" w:cs="仿宋"/>
                <w:color w:val="auto"/>
                <w:sz w:val="21"/>
                <w:szCs w:val="21"/>
                <w:highlight w:val="none"/>
                <w:lang w:val="en-US" w:eastAsia="zh-CN"/>
              </w:rPr>
              <w:t>第20条情形之一的</w:t>
            </w:r>
          </w:p>
        </w:tc>
        <w:tc>
          <w:tcPr>
            <w:tcW w:w="904" w:type="dxa"/>
            <w:shd w:val="clear" w:color="auto" w:fill="auto"/>
            <w:vAlign w:val="center"/>
          </w:tcPr>
          <w:p w14:paraId="0FB686FA">
            <w:pPr>
              <w:pStyle w:val="49"/>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lang w:val="zh-CN"/>
              </w:rPr>
            </w:pPr>
          </w:p>
        </w:tc>
        <w:tc>
          <w:tcPr>
            <w:tcW w:w="917" w:type="dxa"/>
            <w:shd w:val="clear" w:color="auto" w:fill="auto"/>
            <w:vAlign w:val="center"/>
          </w:tcPr>
          <w:p w14:paraId="009A4CCF">
            <w:pPr>
              <w:pStyle w:val="49"/>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lang w:val="zh-CN"/>
              </w:rPr>
            </w:pPr>
          </w:p>
        </w:tc>
      </w:tr>
      <w:tr w14:paraId="3BA30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509" w:type="dxa"/>
            <w:shd w:val="clear" w:color="auto" w:fill="auto"/>
            <w:vAlign w:val="center"/>
          </w:tcPr>
          <w:p w14:paraId="651A6BED">
            <w:pPr>
              <w:pStyle w:val="49"/>
              <w:keepNext w:val="0"/>
              <w:keepLines w:val="0"/>
              <w:pageBreakBefore w:val="0"/>
              <w:widowControl w:val="0"/>
              <w:numPr>
                <w:ilvl w:val="0"/>
                <w:numId w:val="0"/>
              </w:numPr>
              <w:kinsoku/>
              <w:wordWrap/>
              <w:overflowPunct/>
              <w:topLinePunct w:val="0"/>
              <w:autoSpaceDE/>
              <w:autoSpaceDN/>
              <w:bidi w:val="0"/>
              <w:adjustRightInd/>
              <w:snapToGrid/>
              <w:ind w:left="420" w:leftChars="0" w:hanging="42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8</w:t>
            </w:r>
          </w:p>
        </w:tc>
        <w:tc>
          <w:tcPr>
            <w:tcW w:w="1522" w:type="dxa"/>
            <w:vAlign w:val="center"/>
          </w:tcPr>
          <w:p w14:paraId="58724650">
            <w:pPr>
              <w:pStyle w:val="49"/>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kern w:val="2"/>
                <w:sz w:val="21"/>
                <w:szCs w:val="21"/>
                <w:highlight w:val="none"/>
                <w:lang w:val="zh-CN" w:eastAsia="zh-CN" w:bidi="ar-SA"/>
              </w:rPr>
            </w:pPr>
            <w:r>
              <w:rPr>
                <w:rFonts w:hint="eastAsia" w:ascii="仿宋" w:hAnsi="仿宋" w:eastAsia="仿宋" w:cs="仿宋"/>
                <w:color w:val="auto"/>
                <w:sz w:val="21"/>
                <w:szCs w:val="21"/>
                <w:highlight w:val="none"/>
                <w:lang w:val="en-US" w:eastAsia="zh-CN"/>
              </w:rPr>
              <w:t>附加条件</w:t>
            </w:r>
          </w:p>
        </w:tc>
        <w:tc>
          <w:tcPr>
            <w:tcW w:w="5417" w:type="dxa"/>
            <w:shd w:val="clear" w:color="auto" w:fill="auto"/>
            <w:vAlign w:val="center"/>
          </w:tcPr>
          <w:p w14:paraId="290573ED">
            <w:pPr>
              <w:pStyle w:val="49"/>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投标文件没有采购人不能接受的附加条件的</w:t>
            </w:r>
          </w:p>
        </w:tc>
        <w:tc>
          <w:tcPr>
            <w:tcW w:w="904" w:type="dxa"/>
            <w:shd w:val="clear" w:color="auto" w:fill="auto"/>
            <w:vAlign w:val="center"/>
          </w:tcPr>
          <w:p w14:paraId="691237A0">
            <w:pPr>
              <w:pStyle w:val="49"/>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lang w:val="zh-CN"/>
              </w:rPr>
            </w:pPr>
          </w:p>
        </w:tc>
        <w:tc>
          <w:tcPr>
            <w:tcW w:w="917" w:type="dxa"/>
            <w:shd w:val="clear" w:color="auto" w:fill="auto"/>
            <w:vAlign w:val="center"/>
          </w:tcPr>
          <w:p w14:paraId="46A9B0A4">
            <w:pPr>
              <w:pStyle w:val="49"/>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lang w:val="zh-CN"/>
              </w:rPr>
            </w:pPr>
          </w:p>
        </w:tc>
      </w:tr>
      <w:tr w14:paraId="6C2A2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509" w:type="dxa"/>
            <w:shd w:val="clear" w:color="auto" w:fill="auto"/>
            <w:vAlign w:val="center"/>
          </w:tcPr>
          <w:p w14:paraId="5584949B">
            <w:pPr>
              <w:pStyle w:val="49"/>
              <w:keepNext w:val="0"/>
              <w:keepLines w:val="0"/>
              <w:pageBreakBefore w:val="0"/>
              <w:widowControl w:val="0"/>
              <w:numPr>
                <w:ilvl w:val="0"/>
                <w:numId w:val="0"/>
              </w:numPr>
              <w:kinsoku/>
              <w:wordWrap/>
              <w:overflowPunct/>
              <w:topLinePunct w:val="0"/>
              <w:autoSpaceDE/>
              <w:autoSpaceDN/>
              <w:bidi w:val="0"/>
              <w:adjustRightInd/>
              <w:snapToGrid/>
              <w:ind w:left="420" w:leftChars="0" w:hanging="42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9</w:t>
            </w:r>
          </w:p>
        </w:tc>
        <w:tc>
          <w:tcPr>
            <w:tcW w:w="1522" w:type="dxa"/>
            <w:vAlign w:val="center"/>
          </w:tcPr>
          <w:p w14:paraId="283B1811">
            <w:pPr>
              <w:pStyle w:val="49"/>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zh-CN"/>
              </w:rPr>
              <w:t>其他无效情形</w:t>
            </w:r>
          </w:p>
        </w:tc>
        <w:tc>
          <w:tcPr>
            <w:tcW w:w="5417" w:type="dxa"/>
            <w:shd w:val="clear" w:color="auto" w:fill="auto"/>
            <w:vAlign w:val="center"/>
          </w:tcPr>
          <w:p w14:paraId="114B5CFB">
            <w:pPr>
              <w:pStyle w:val="49"/>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没有</w:t>
            </w:r>
            <w:r>
              <w:rPr>
                <w:rFonts w:hint="eastAsia" w:ascii="仿宋" w:hAnsi="仿宋" w:eastAsia="仿宋" w:cs="仿宋"/>
                <w:color w:val="auto"/>
                <w:sz w:val="21"/>
                <w:szCs w:val="21"/>
                <w:highlight w:val="none"/>
                <w:lang w:val="zh-CN" w:eastAsia="zh-CN"/>
              </w:rPr>
              <w:t>法律、法规、规章规定属于</w:t>
            </w:r>
            <w:r>
              <w:rPr>
                <w:rFonts w:hint="eastAsia" w:ascii="仿宋" w:hAnsi="仿宋" w:eastAsia="仿宋" w:cs="仿宋"/>
                <w:color w:val="auto"/>
                <w:sz w:val="21"/>
                <w:szCs w:val="21"/>
                <w:highlight w:val="none"/>
                <w:lang w:val="en-US" w:eastAsia="zh-CN"/>
              </w:rPr>
              <w:t>投标</w:t>
            </w:r>
            <w:r>
              <w:rPr>
                <w:rFonts w:hint="eastAsia" w:ascii="仿宋" w:hAnsi="仿宋" w:eastAsia="仿宋" w:cs="仿宋"/>
                <w:color w:val="auto"/>
                <w:sz w:val="21"/>
                <w:szCs w:val="21"/>
                <w:highlight w:val="none"/>
                <w:lang w:val="zh-CN" w:eastAsia="zh-CN"/>
              </w:rPr>
              <w:t>无效的其他情形。</w:t>
            </w:r>
          </w:p>
        </w:tc>
        <w:tc>
          <w:tcPr>
            <w:tcW w:w="904" w:type="dxa"/>
            <w:shd w:val="clear" w:color="auto" w:fill="auto"/>
            <w:vAlign w:val="center"/>
          </w:tcPr>
          <w:p w14:paraId="24643529">
            <w:pPr>
              <w:pStyle w:val="49"/>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lang w:val="zh-CN"/>
              </w:rPr>
            </w:pPr>
          </w:p>
        </w:tc>
        <w:tc>
          <w:tcPr>
            <w:tcW w:w="917" w:type="dxa"/>
            <w:shd w:val="clear" w:color="auto" w:fill="auto"/>
            <w:vAlign w:val="center"/>
          </w:tcPr>
          <w:p w14:paraId="79BC70BC">
            <w:pPr>
              <w:pStyle w:val="49"/>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lang w:val="zh-CN"/>
              </w:rPr>
            </w:pPr>
          </w:p>
        </w:tc>
      </w:tr>
    </w:tbl>
    <w:p w14:paraId="2AA1C61D">
      <w:pPr>
        <w:rPr>
          <w:rFonts w:hint="eastAsia" w:ascii="仿宋" w:hAnsi="仿宋" w:eastAsia="仿宋" w:cs="仿宋"/>
          <w:b/>
          <w:bCs/>
          <w:color w:val="auto"/>
          <w:kern w:val="2"/>
          <w:sz w:val="30"/>
          <w:szCs w:val="32"/>
          <w:highlight w:val="none"/>
          <w:lang w:val="zh-CN" w:eastAsia="zh-CN" w:bidi="ar-SA"/>
        </w:rPr>
      </w:pPr>
      <w:r>
        <w:rPr>
          <w:rFonts w:hint="eastAsia" w:ascii="仿宋" w:hAnsi="仿宋" w:eastAsia="仿宋" w:cs="仿宋"/>
          <w:b/>
          <w:bCs/>
          <w:color w:val="auto"/>
          <w:kern w:val="2"/>
          <w:sz w:val="30"/>
          <w:szCs w:val="32"/>
          <w:highlight w:val="none"/>
          <w:lang w:val="zh-CN" w:eastAsia="zh-CN" w:bidi="ar-SA"/>
        </w:rPr>
        <w:br w:type="page"/>
      </w:r>
    </w:p>
    <w:p w14:paraId="054BE5C3">
      <w:pPr>
        <w:pStyle w:val="4"/>
        <w:keepNext/>
        <w:keepLines/>
        <w:pageBreakBefore w:val="0"/>
        <w:widowControl w:val="0"/>
        <w:numPr>
          <w:ilvl w:val="0"/>
          <w:numId w:val="0"/>
        </w:numPr>
        <w:kinsoku/>
        <w:wordWrap/>
        <w:overflowPunct/>
        <w:topLinePunct w:val="0"/>
        <w:autoSpaceDE/>
        <w:autoSpaceDN/>
        <w:bidi w:val="0"/>
        <w:adjustRightInd/>
        <w:snapToGrid/>
        <w:spacing w:before="60" w:after="60" w:line="360" w:lineRule="auto"/>
        <w:ind w:left="420" w:leftChars="0" w:hanging="420" w:firstLineChars="0"/>
        <w:textAlignment w:val="auto"/>
        <w:rPr>
          <w:rFonts w:hint="eastAsia" w:ascii="仿宋" w:hAnsi="仿宋" w:eastAsia="仿宋" w:cs="仿宋"/>
          <w:b/>
          <w:bCs/>
          <w:color w:val="auto"/>
          <w:kern w:val="2"/>
          <w:sz w:val="24"/>
          <w:szCs w:val="24"/>
          <w:highlight w:val="none"/>
          <w:lang w:val="zh-CN" w:eastAsia="zh-CN" w:bidi="ar-SA"/>
        </w:rPr>
      </w:pPr>
      <w:r>
        <w:rPr>
          <w:rFonts w:hint="eastAsia" w:ascii="仿宋" w:hAnsi="仿宋" w:eastAsia="仿宋" w:cs="仿宋"/>
          <w:b/>
          <w:bCs/>
          <w:color w:val="auto"/>
          <w:kern w:val="2"/>
          <w:sz w:val="24"/>
          <w:szCs w:val="24"/>
          <w:highlight w:val="none"/>
          <w:lang w:val="zh-CN" w:eastAsia="zh-CN" w:bidi="ar-SA"/>
        </w:rPr>
        <w:t>符合性</w:t>
      </w:r>
      <w:r>
        <w:rPr>
          <w:rFonts w:hint="eastAsia" w:ascii="仿宋" w:hAnsi="仿宋" w:eastAsia="仿宋" w:cs="仿宋"/>
          <w:b/>
          <w:bCs/>
          <w:color w:val="auto"/>
          <w:kern w:val="2"/>
          <w:sz w:val="24"/>
          <w:szCs w:val="24"/>
          <w:highlight w:val="none"/>
          <w:lang w:val="en-US" w:eastAsia="zh-CN" w:bidi="ar-SA"/>
        </w:rPr>
        <w:t>审查表-</w:t>
      </w:r>
      <w:r>
        <w:rPr>
          <w:rFonts w:hint="eastAsia" w:ascii="仿宋" w:hAnsi="仿宋" w:eastAsia="仿宋" w:cs="仿宋"/>
          <w:b/>
          <w:bCs/>
          <w:color w:val="auto"/>
          <w:kern w:val="2"/>
          <w:sz w:val="24"/>
          <w:szCs w:val="24"/>
          <w:highlight w:val="none"/>
          <w:lang w:val="zh-CN" w:eastAsia="zh-CN" w:bidi="ar-SA"/>
        </w:rPr>
        <w:t>附表</w:t>
      </w:r>
    </w:p>
    <w:p w14:paraId="067ADA2B">
      <w:pPr>
        <w:pStyle w:val="4"/>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jc w:val="center"/>
        <w:textAlignment w:val="auto"/>
        <w:rPr>
          <w:rFonts w:hint="eastAsia" w:ascii="仿宋" w:hAnsi="仿宋" w:eastAsia="仿宋" w:cs="仿宋"/>
          <w:b/>
          <w:bCs/>
          <w:color w:val="auto"/>
          <w:kern w:val="2"/>
          <w:sz w:val="28"/>
          <w:szCs w:val="28"/>
          <w:highlight w:val="none"/>
          <w:lang w:val="zh-CN" w:eastAsia="zh-CN" w:bidi="ar-SA"/>
        </w:rPr>
      </w:pPr>
      <w:bookmarkStart w:id="516" w:name="_Toc15958"/>
      <w:bookmarkStart w:id="517" w:name="_Toc32259"/>
      <w:bookmarkStart w:id="518" w:name="_Toc26981"/>
      <w:r>
        <w:rPr>
          <w:rFonts w:hint="eastAsia" w:ascii="仿宋" w:hAnsi="仿宋" w:eastAsia="仿宋" w:cs="仿宋"/>
          <w:b/>
          <w:bCs/>
          <w:color w:val="auto"/>
          <w:kern w:val="2"/>
          <w:sz w:val="28"/>
          <w:szCs w:val="28"/>
          <w:highlight w:val="none"/>
          <w:lang w:val="zh-CN" w:eastAsia="zh-CN" w:bidi="ar-SA"/>
        </w:rPr>
        <w:t>实质性响应一览表</w:t>
      </w:r>
      <w:bookmarkEnd w:id="516"/>
      <w:bookmarkEnd w:id="517"/>
      <w:bookmarkEnd w:id="518"/>
    </w:p>
    <w:p w14:paraId="784D65A5">
      <w:pPr>
        <w:shd w:val="clear" w:color="auto" w:fill="FFFFFF"/>
        <w:tabs>
          <w:tab w:val="left" w:pos="3045"/>
        </w:tabs>
        <w:autoSpaceDE w:val="0"/>
        <w:autoSpaceDN w:val="0"/>
        <w:adjustRightInd w:val="0"/>
        <w:snapToGrid w:val="0"/>
        <w:spacing w:line="360" w:lineRule="exact"/>
        <w:jc w:val="center"/>
        <w:rPr>
          <w:rFonts w:hint="eastAsia" w:ascii="仿宋" w:hAnsi="仿宋" w:eastAsia="仿宋" w:cs="仿宋"/>
          <w:color w:val="auto"/>
          <w:highlight w:val="none"/>
        </w:rPr>
      </w:pPr>
      <w:r>
        <w:rPr>
          <w:rFonts w:hint="eastAsia" w:ascii="仿宋" w:hAnsi="仿宋" w:eastAsia="仿宋" w:cs="仿宋"/>
          <w:b w:val="0"/>
          <w:bCs/>
          <w:color w:val="auto"/>
          <w:sz w:val="24"/>
          <w:highlight w:val="none"/>
        </w:rPr>
        <w:t>（</w:t>
      </w:r>
      <w:r>
        <w:rPr>
          <w:rFonts w:hint="eastAsia" w:ascii="仿宋" w:hAnsi="仿宋" w:eastAsia="仿宋" w:cs="仿宋"/>
          <w:b w:val="0"/>
          <w:bCs/>
          <w:color w:val="auto"/>
          <w:sz w:val="24"/>
          <w:highlight w:val="none"/>
          <w:lang w:val="en-US" w:eastAsia="zh-CN"/>
        </w:rPr>
        <w:t>投标人</w:t>
      </w:r>
      <w:r>
        <w:rPr>
          <w:rFonts w:hint="eastAsia" w:ascii="仿宋" w:hAnsi="仿宋" w:eastAsia="仿宋" w:cs="仿宋"/>
          <w:b w:val="0"/>
          <w:bCs/>
          <w:color w:val="auto"/>
          <w:sz w:val="24"/>
          <w:highlight w:val="none"/>
        </w:rPr>
        <w:t>须对本附表所有内容逐条响应且无负偏离，否则</w:t>
      </w:r>
      <w:r>
        <w:rPr>
          <w:rFonts w:hint="eastAsia" w:ascii="仿宋" w:hAnsi="仿宋" w:eastAsia="仿宋" w:cs="仿宋"/>
          <w:b w:val="0"/>
          <w:bCs/>
          <w:color w:val="auto"/>
          <w:sz w:val="24"/>
          <w:highlight w:val="none"/>
          <w:lang w:val="en-US" w:eastAsia="zh-CN"/>
        </w:rPr>
        <w:t>其</w:t>
      </w:r>
      <w:r>
        <w:rPr>
          <w:rFonts w:hint="eastAsia" w:ascii="仿宋" w:hAnsi="仿宋" w:eastAsia="仿宋" w:cs="仿宋"/>
          <w:b/>
          <w:bCs w:val="0"/>
          <w:color w:val="auto"/>
          <w:sz w:val="24"/>
          <w:highlight w:val="none"/>
        </w:rPr>
        <w:t>投标无效</w:t>
      </w:r>
      <w:r>
        <w:rPr>
          <w:rFonts w:hint="eastAsia" w:ascii="仿宋" w:hAnsi="仿宋" w:eastAsia="仿宋" w:cs="仿宋"/>
          <w:b w:val="0"/>
          <w:bCs/>
          <w:color w:val="auto"/>
          <w:sz w:val="24"/>
          <w:highlight w:val="none"/>
        </w:rPr>
        <w:t>）</w:t>
      </w:r>
    </w:p>
    <w:tbl>
      <w:tblPr>
        <w:tblStyle w:val="30"/>
        <w:tblW w:w="9500" w:type="dxa"/>
        <w:tblInd w:w="-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713"/>
        <w:gridCol w:w="4516"/>
        <w:gridCol w:w="1969"/>
        <w:gridCol w:w="765"/>
      </w:tblGrid>
      <w:tr w14:paraId="6B5D0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537" w:type="dxa"/>
            <w:vMerge w:val="restart"/>
            <w:noWrap w:val="0"/>
            <w:vAlign w:val="center"/>
          </w:tcPr>
          <w:p w14:paraId="62F0AD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6229" w:type="dxa"/>
            <w:gridSpan w:val="2"/>
            <w:noWrap w:val="0"/>
            <w:vAlign w:val="center"/>
          </w:tcPr>
          <w:p w14:paraId="608AA37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招标</w:t>
            </w:r>
            <w:r>
              <w:rPr>
                <w:rFonts w:hint="eastAsia" w:ascii="仿宋" w:hAnsi="仿宋" w:eastAsia="仿宋" w:cs="仿宋"/>
                <w:color w:val="auto"/>
                <w:sz w:val="21"/>
                <w:szCs w:val="21"/>
                <w:highlight w:val="none"/>
              </w:rPr>
              <w:t>文件要求的实质性响应内容</w:t>
            </w:r>
          </w:p>
        </w:tc>
        <w:tc>
          <w:tcPr>
            <w:tcW w:w="1969" w:type="dxa"/>
            <w:vMerge w:val="restart"/>
            <w:noWrap w:val="0"/>
            <w:vAlign w:val="center"/>
          </w:tcPr>
          <w:p w14:paraId="46955AB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投标文件响应</w:t>
            </w:r>
            <w:r>
              <w:rPr>
                <w:rFonts w:hint="eastAsia" w:ascii="仿宋" w:hAnsi="仿宋" w:eastAsia="仿宋" w:cs="仿宋"/>
                <w:color w:val="auto"/>
                <w:sz w:val="21"/>
                <w:szCs w:val="21"/>
                <w:highlight w:val="none"/>
                <w:lang w:val="en-US" w:eastAsia="zh-CN"/>
              </w:rPr>
              <w:t>的</w:t>
            </w:r>
            <w:r>
              <w:rPr>
                <w:rFonts w:hint="eastAsia" w:ascii="仿宋" w:hAnsi="仿宋" w:eastAsia="仿宋" w:cs="仿宋"/>
                <w:color w:val="auto"/>
                <w:sz w:val="21"/>
                <w:szCs w:val="21"/>
                <w:highlight w:val="none"/>
              </w:rPr>
              <w:t>具体内容</w:t>
            </w:r>
          </w:p>
        </w:tc>
        <w:tc>
          <w:tcPr>
            <w:tcW w:w="765" w:type="dxa"/>
            <w:vMerge w:val="restart"/>
            <w:noWrap w:val="0"/>
            <w:vAlign w:val="center"/>
          </w:tcPr>
          <w:p w14:paraId="4FFA01E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tc>
      </w:tr>
      <w:tr w14:paraId="6153D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537" w:type="dxa"/>
            <w:vMerge w:val="continue"/>
            <w:noWrap w:val="0"/>
            <w:vAlign w:val="center"/>
          </w:tcPr>
          <w:p w14:paraId="2406038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p>
        </w:tc>
        <w:tc>
          <w:tcPr>
            <w:tcW w:w="1713" w:type="dxa"/>
            <w:noWrap w:val="0"/>
            <w:vAlign w:val="center"/>
          </w:tcPr>
          <w:p w14:paraId="5C0B78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实质性要求</w:t>
            </w:r>
          </w:p>
        </w:tc>
        <w:tc>
          <w:tcPr>
            <w:tcW w:w="4516" w:type="dxa"/>
            <w:noWrap w:val="0"/>
            <w:vAlign w:val="center"/>
          </w:tcPr>
          <w:p w14:paraId="5F6C071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招标文件中的规定</w:t>
            </w:r>
          </w:p>
        </w:tc>
        <w:tc>
          <w:tcPr>
            <w:tcW w:w="1969" w:type="dxa"/>
            <w:vMerge w:val="continue"/>
            <w:noWrap w:val="0"/>
            <w:vAlign w:val="center"/>
          </w:tcPr>
          <w:p w14:paraId="76245F9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p>
        </w:tc>
        <w:tc>
          <w:tcPr>
            <w:tcW w:w="765" w:type="dxa"/>
            <w:vMerge w:val="continue"/>
            <w:noWrap w:val="0"/>
            <w:vAlign w:val="center"/>
          </w:tcPr>
          <w:p w14:paraId="68445C3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p>
        </w:tc>
      </w:tr>
      <w:tr w14:paraId="5CC4B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537" w:type="dxa"/>
            <w:noWrap w:val="0"/>
            <w:vAlign w:val="center"/>
          </w:tcPr>
          <w:p w14:paraId="3CC051F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713" w:type="dxa"/>
            <w:shd w:val="clear" w:color="auto" w:fill="auto"/>
            <w:noWrap w:val="0"/>
            <w:vAlign w:val="center"/>
          </w:tcPr>
          <w:p w14:paraId="43F4CCE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投标有效期</w:t>
            </w:r>
          </w:p>
        </w:tc>
        <w:tc>
          <w:tcPr>
            <w:tcW w:w="4516" w:type="dxa"/>
            <w:shd w:val="clear" w:color="auto" w:fill="auto"/>
            <w:noWrap w:val="0"/>
            <w:vAlign w:val="center"/>
          </w:tcPr>
          <w:p w14:paraId="0DAEC7C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1"/>
                <w:szCs w:val="21"/>
                <w:highlight w:val="none"/>
                <w:lang w:val="en-US" w:eastAsia="zh-CN"/>
              </w:rPr>
            </w:pPr>
            <w:r>
              <w:rPr>
                <w:rFonts w:hint="default" w:ascii="仿宋" w:hAnsi="仿宋" w:eastAsia="仿宋" w:cs="仿宋"/>
                <w:color w:val="auto"/>
                <w:sz w:val="21"/>
                <w:szCs w:val="21"/>
                <w:highlight w:val="none"/>
                <w:lang w:val="en-US" w:eastAsia="zh-CN"/>
              </w:rPr>
              <w:t>90日历日</w:t>
            </w:r>
          </w:p>
        </w:tc>
        <w:tc>
          <w:tcPr>
            <w:tcW w:w="1969" w:type="dxa"/>
            <w:noWrap w:val="0"/>
            <w:vAlign w:val="center"/>
          </w:tcPr>
          <w:p w14:paraId="6BACF80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投标人在此处填写投标文件的相关内容或投标文件中对应的页码</w:t>
            </w:r>
          </w:p>
        </w:tc>
        <w:tc>
          <w:tcPr>
            <w:tcW w:w="765" w:type="dxa"/>
            <w:noWrap w:val="0"/>
            <w:vAlign w:val="center"/>
          </w:tcPr>
          <w:p w14:paraId="0757E02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p>
        </w:tc>
      </w:tr>
      <w:tr w14:paraId="5EA61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537" w:type="dxa"/>
            <w:noWrap w:val="0"/>
            <w:vAlign w:val="center"/>
          </w:tcPr>
          <w:p w14:paraId="64B6F8B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713" w:type="dxa"/>
            <w:shd w:val="clear" w:color="auto" w:fill="auto"/>
            <w:noWrap w:val="0"/>
            <w:vAlign w:val="center"/>
          </w:tcPr>
          <w:p w14:paraId="6DDD2BD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i w:val="0"/>
                <w:iCs w:val="0"/>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服务期限</w:t>
            </w:r>
          </w:p>
        </w:tc>
        <w:tc>
          <w:tcPr>
            <w:tcW w:w="4516" w:type="dxa"/>
            <w:shd w:val="clear" w:color="auto" w:fill="auto"/>
            <w:noWrap w:val="0"/>
            <w:vAlign w:val="center"/>
          </w:tcPr>
          <w:p w14:paraId="224750F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1"/>
                <w:szCs w:val="21"/>
                <w:highlight w:val="none"/>
                <w:lang w:val="en-US" w:eastAsia="zh-CN"/>
              </w:rPr>
            </w:pPr>
            <w:r>
              <w:rPr>
                <w:rFonts w:hint="default" w:ascii="仿宋" w:hAnsi="仿宋" w:eastAsia="仿宋" w:cs="仿宋"/>
                <w:color w:val="auto"/>
                <w:sz w:val="21"/>
                <w:szCs w:val="21"/>
                <w:highlight w:val="none"/>
                <w:lang w:val="en-US" w:eastAsia="zh-CN"/>
              </w:rPr>
              <w:t>合同签订后至2026年9月（至审查通过自治区人民政府批复）</w:t>
            </w:r>
          </w:p>
        </w:tc>
        <w:tc>
          <w:tcPr>
            <w:tcW w:w="1969" w:type="dxa"/>
            <w:noWrap w:val="0"/>
            <w:vAlign w:val="center"/>
          </w:tcPr>
          <w:p w14:paraId="499902E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p>
        </w:tc>
        <w:tc>
          <w:tcPr>
            <w:tcW w:w="765" w:type="dxa"/>
            <w:noWrap w:val="0"/>
            <w:vAlign w:val="center"/>
          </w:tcPr>
          <w:p w14:paraId="4D5DAA8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p>
        </w:tc>
      </w:tr>
      <w:tr w14:paraId="0EF78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537" w:type="dxa"/>
            <w:shd w:val="clear" w:color="auto" w:fill="auto"/>
            <w:noWrap w:val="0"/>
            <w:vAlign w:val="center"/>
          </w:tcPr>
          <w:p w14:paraId="061D92F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3</w:t>
            </w:r>
          </w:p>
        </w:tc>
        <w:tc>
          <w:tcPr>
            <w:tcW w:w="1713" w:type="dxa"/>
            <w:shd w:val="clear" w:color="auto" w:fill="auto"/>
            <w:noWrap w:val="0"/>
            <w:vAlign w:val="center"/>
          </w:tcPr>
          <w:p w14:paraId="37778FE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auto"/>
                <w:kern w:val="2"/>
                <w:sz w:val="21"/>
                <w:szCs w:val="21"/>
                <w:highlight w:val="none"/>
                <w:lang w:val="en-US" w:eastAsia="zh-CN" w:bidi="ar-SA"/>
              </w:rPr>
              <w:t>服务地点</w:t>
            </w:r>
          </w:p>
        </w:tc>
        <w:tc>
          <w:tcPr>
            <w:tcW w:w="4516" w:type="dxa"/>
            <w:shd w:val="clear" w:color="auto" w:fill="auto"/>
            <w:noWrap w:val="0"/>
            <w:vAlign w:val="center"/>
          </w:tcPr>
          <w:p w14:paraId="7FC3B5C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乌鲁木齐市</w:t>
            </w:r>
          </w:p>
        </w:tc>
        <w:tc>
          <w:tcPr>
            <w:tcW w:w="1969" w:type="dxa"/>
            <w:noWrap w:val="0"/>
            <w:vAlign w:val="center"/>
          </w:tcPr>
          <w:p w14:paraId="1A0D0BD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p>
        </w:tc>
        <w:tc>
          <w:tcPr>
            <w:tcW w:w="765" w:type="dxa"/>
            <w:noWrap w:val="0"/>
            <w:vAlign w:val="center"/>
          </w:tcPr>
          <w:p w14:paraId="3A3A8D4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p>
        </w:tc>
      </w:tr>
      <w:tr w14:paraId="48A82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537" w:type="dxa"/>
            <w:shd w:val="clear" w:color="auto" w:fill="auto"/>
            <w:noWrap w:val="0"/>
            <w:vAlign w:val="center"/>
          </w:tcPr>
          <w:p w14:paraId="688B58A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1713" w:type="dxa"/>
            <w:shd w:val="clear" w:color="auto" w:fill="auto"/>
            <w:noWrap w:val="0"/>
            <w:vAlign w:val="center"/>
          </w:tcPr>
          <w:p w14:paraId="24B5B3C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i w:val="0"/>
                <w:iCs w:val="0"/>
                <w:color w:val="auto"/>
                <w:kern w:val="2"/>
                <w:sz w:val="21"/>
                <w:szCs w:val="21"/>
                <w:highlight w:val="none"/>
                <w:lang w:val="en-US" w:eastAsia="zh-CN" w:bidi="ar-SA"/>
              </w:rPr>
            </w:pPr>
            <w:r>
              <w:rPr>
                <w:rFonts w:hint="eastAsia" w:ascii="仿宋" w:hAnsi="仿宋" w:eastAsia="仿宋" w:cs="仿宋"/>
                <w:i w:val="0"/>
                <w:iCs w:val="0"/>
                <w:color w:val="auto"/>
                <w:kern w:val="2"/>
                <w:sz w:val="21"/>
                <w:szCs w:val="21"/>
                <w:highlight w:val="none"/>
                <w:lang w:val="en-US" w:eastAsia="zh-CN" w:bidi="ar-SA"/>
              </w:rPr>
              <w:t>付款方式</w:t>
            </w:r>
          </w:p>
        </w:tc>
        <w:tc>
          <w:tcPr>
            <w:tcW w:w="4516" w:type="dxa"/>
            <w:shd w:val="clear" w:color="auto" w:fill="auto"/>
            <w:noWrap w:val="0"/>
            <w:vAlign w:val="center"/>
          </w:tcPr>
          <w:p w14:paraId="6285186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i w:val="0"/>
                <w:iCs w:val="0"/>
                <w:color w:val="auto"/>
                <w:kern w:val="2"/>
                <w:sz w:val="21"/>
                <w:szCs w:val="21"/>
                <w:highlight w:val="none"/>
                <w:lang w:val="en-US" w:eastAsia="zh-CN" w:bidi="ar-SA"/>
              </w:rPr>
            </w:pPr>
            <w:r>
              <w:rPr>
                <w:rFonts w:hint="eastAsia" w:ascii="仿宋" w:hAnsi="仿宋" w:eastAsia="仿宋" w:cs="仿宋"/>
                <w:i w:val="0"/>
                <w:iCs w:val="0"/>
                <w:color w:val="auto"/>
                <w:kern w:val="2"/>
                <w:sz w:val="21"/>
                <w:szCs w:val="21"/>
                <w:highlight w:val="none"/>
                <w:lang w:val="en-US" w:eastAsia="zh-CN" w:bidi="ar-SA"/>
              </w:rPr>
              <w:t>合同签订后7个工作日付至合同价款的40%，完成初审付至合同价款的60%，审查通过付至合同价款80%，自治区人民政府批复后付至合同价款的100%。</w:t>
            </w:r>
          </w:p>
        </w:tc>
        <w:tc>
          <w:tcPr>
            <w:tcW w:w="1969" w:type="dxa"/>
            <w:noWrap w:val="0"/>
            <w:vAlign w:val="center"/>
          </w:tcPr>
          <w:p w14:paraId="1B232C0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p>
        </w:tc>
        <w:tc>
          <w:tcPr>
            <w:tcW w:w="765" w:type="dxa"/>
            <w:noWrap w:val="0"/>
            <w:vAlign w:val="center"/>
          </w:tcPr>
          <w:p w14:paraId="6882794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p>
        </w:tc>
      </w:tr>
      <w:tr w14:paraId="7A1AF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537" w:type="dxa"/>
            <w:shd w:val="clear" w:color="auto" w:fill="auto"/>
            <w:noWrap w:val="0"/>
            <w:vAlign w:val="center"/>
          </w:tcPr>
          <w:p w14:paraId="71EE04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1713" w:type="dxa"/>
            <w:shd w:val="clear" w:color="auto" w:fill="auto"/>
            <w:noWrap w:val="0"/>
            <w:vAlign w:val="center"/>
          </w:tcPr>
          <w:p w14:paraId="251B351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i w:val="0"/>
                <w:iCs w:val="0"/>
                <w:color w:val="auto"/>
                <w:kern w:val="2"/>
                <w:sz w:val="21"/>
                <w:szCs w:val="21"/>
                <w:highlight w:val="none"/>
                <w:lang w:val="en-US" w:eastAsia="zh-CN" w:bidi="ar-SA"/>
              </w:rPr>
            </w:pPr>
            <w:r>
              <w:rPr>
                <w:rFonts w:hint="eastAsia" w:ascii="仿宋" w:hAnsi="仿宋" w:eastAsia="仿宋" w:cs="仿宋"/>
                <w:i w:val="0"/>
                <w:iCs w:val="0"/>
                <w:color w:val="auto"/>
                <w:kern w:val="2"/>
                <w:sz w:val="21"/>
                <w:szCs w:val="21"/>
                <w:highlight w:val="none"/>
                <w:lang w:val="en-US" w:eastAsia="zh-CN" w:bidi="ar-SA"/>
              </w:rPr>
              <w:t>采购需求三、技术要求1.基本要求</w:t>
            </w:r>
          </w:p>
          <w:p w14:paraId="3594F4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i w:val="0"/>
                <w:iCs w:val="0"/>
                <w:color w:val="auto"/>
                <w:kern w:val="2"/>
                <w:sz w:val="21"/>
                <w:szCs w:val="21"/>
                <w:highlight w:val="none"/>
                <w:lang w:val="en-US" w:eastAsia="zh-CN" w:bidi="ar-SA"/>
              </w:rPr>
            </w:pPr>
          </w:p>
        </w:tc>
        <w:tc>
          <w:tcPr>
            <w:tcW w:w="4516" w:type="dxa"/>
            <w:shd w:val="clear" w:color="auto" w:fill="auto"/>
            <w:noWrap w:val="0"/>
            <w:vAlign w:val="center"/>
          </w:tcPr>
          <w:p w14:paraId="7BCE163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i w:val="0"/>
                <w:iCs w:val="0"/>
                <w:color w:val="auto"/>
                <w:kern w:val="2"/>
                <w:sz w:val="21"/>
                <w:szCs w:val="21"/>
                <w:highlight w:val="none"/>
                <w:lang w:val="en-US" w:eastAsia="zh-CN" w:bidi="ar-SA"/>
              </w:rPr>
            </w:pPr>
            <w:r>
              <w:rPr>
                <w:rFonts w:hint="eastAsia" w:ascii="仿宋" w:hAnsi="仿宋" w:eastAsia="仿宋" w:cs="仿宋"/>
                <w:i w:val="0"/>
                <w:iCs w:val="0"/>
                <w:color w:val="auto"/>
                <w:kern w:val="2"/>
                <w:sz w:val="21"/>
                <w:szCs w:val="21"/>
                <w:highlight w:val="none"/>
                <w:lang w:val="en-US" w:eastAsia="zh-CN" w:bidi="ar-SA"/>
              </w:rPr>
              <w:t xml:space="preserve">（1）编制内容 </w:t>
            </w:r>
          </w:p>
          <w:p w14:paraId="76F41F4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i w:val="0"/>
                <w:iCs w:val="0"/>
                <w:color w:val="auto"/>
                <w:kern w:val="2"/>
                <w:sz w:val="21"/>
                <w:szCs w:val="21"/>
                <w:highlight w:val="none"/>
                <w:lang w:val="en-US" w:eastAsia="zh-CN" w:bidi="ar-SA"/>
              </w:rPr>
            </w:pPr>
            <w:r>
              <w:rPr>
                <w:rFonts w:hint="eastAsia" w:ascii="仿宋" w:hAnsi="仿宋" w:eastAsia="仿宋" w:cs="仿宋"/>
                <w:i w:val="0"/>
                <w:iCs w:val="0"/>
                <w:color w:val="auto"/>
                <w:kern w:val="2"/>
                <w:sz w:val="21"/>
                <w:szCs w:val="21"/>
                <w:highlight w:val="none"/>
                <w:lang w:val="en-US" w:eastAsia="zh-CN" w:bidi="ar-SA"/>
              </w:rPr>
              <w:t>本次防洪规划工作，依据《防洪规划编制规程》（SL669-2014）等相关技术标准，在原防洪规划成果的基础上，按照自治区党委、乌鲁木齐市委、自治区水利厅关于乌鲁木齐高质量发展的总体要求，结合乌鲁木齐市经济社会发展规划布局要求、防洪现状及形势分析，对乌鲁木齐市各县区主要河流及山洪沟的防洪保护对象和防洪标准进行复核，防洪总体布局进行梳理分析，提出相应的防洪工程和非工程措施方案，编制并提交《乌鲁木齐市防洪规划报告》及《乌鲁木齐市防洪规划报告附图集》。</w:t>
            </w:r>
          </w:p>
          <w:p w14:paraId="6487383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i w:val="0"/>
                <w:iCs w:val="0"/>
                <w:color w:val="auto"/>
                <w:kern w:val="2"/>
                <w:sz w:val="21"/>
                <w:szCs w:val="21"/>
                <w:highlight w:val="none"/>
                <w:lang w:val="en-US" w:eastAsia="zh-CN" w:bidi="ar-SA"/>
              </w:rPr>
            </w:pPr>
            <w:r>
              <w:rPr>
                <w:rFonts w:hint="eastAsia" w:ascii="仿宋" w:hAnsi="仿宋" w:eastAsia="仿宋" w:cs="仿宋"/>
                <w:i w:val="0"/>
                <w:iCs w:val="0"/>
                <w:color w:val="auto"/>
                <w:kern w:val="2"/>
                <w:sz w:val="21"/>
                <w:szCs w:val="21"/>
                <w:highlight w:val="none"/>
                <w:lang w:val="en-US" w:eastAsia="zh-CN" w:bidi="ar-SA"/>
              </w:rPr>
              <w:t xml:space="preserve">（2）规划范围 </w:t>
            </w:r>
          </w:p>
          <w:p w14:paraId="1DC53A0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i w:val="0"/>
                <w:iCs w:val="0"/>
                <w:color w:val="auto"/>
                <w:kern w:val="2"/>
                <w:sz w:val="21"/>
                <w:szCs w:val="21"/>
                <w:highlight w:val="none"/>
                <w:lang w:val="en-US" w:eastAsia="zh-CN" w:bidi="ar-SA"/>
              </w:rPr>
            </w:pPr>
            <w:r>
              <w:rPr>
                <w:rFonts w:hint="eastAsia" w:ascii="仿宋" w:hAnsi="仿宋" w:eastAsia="仿宋" w:cs="仿宋"/>
                <w:i w:val="0"/>
                <w:iCs w:val="0"/>
                <w:color w:val="auto"/>
                <w:kern w:val="2"/>
                <w:sz w:val="21"/>
                <w:szCs w:val="21"/>
                <w:highlight w:val="none"/>
                <w:lang w:val="en-US" w:eastAsia="zh-CN" w:bidi="ar-SA"/>
              </w:rPr>
              <w:t>规划范围涉及乌鲁木齐市天山区、高新技术产业开发区（新市区）、水磨沟区、经济技术开发区（头屯河区）、沙依巴克区、米东区、达坂城区、乌鲁木齐县以及甘泉堡工业园区，主要包括各区县所有危害城市、村镇、农田以及其他附属设施、建筑物的主要河流、山洪沟及城市内涝，规划面积约1.38万平方公里，占乌鲁木齐市国土面积的100%。</w:t>
            </w:r>
          </w:p>
          <w:p w14:paraId="2128B54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i w:val="0"/>
                <w:iCs w:val="0"/>
                <w:color w:val="auto"/>
                <w:kern w:val="2"/>
                <w:sz w:val="21"/>
                <w:szCs w:val="21"/>
                <w:highlight w:val="none"/>
                <w:lang w:val="en-US" w:eastAsia="zh-CN" w:bidi="ar-SA"/>
              </w:rPr>
            </w:pPr>
            <w:r>
              <w:rPr>
                <w:rFonts w:hint="eastAsia" w:ascii="仿宋" w:hAnsi="仿宋" w:eastAsia="仿宋" w:cs="仿宋"/>
                <w:i w:val="0"/>
                <w:iCs w:val="0"/>
                <w:color w:val="auto"/>
                <w:kern w:val="2"/>
                <w:sz w:val="21"/>
                <w:szCs w:val="21"/>
                <w:highlight w:val="none"/>
                <w:lang w:val="en-US" w:eastAsia="zh-CN" w:bidi="ar-SA"/>
              </w:rPr>
              <w:t>（3）时间要求</w:t>
            </w:r>
          </w:p>
          <w:p w14:paraId="0F2553F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i w:val="0"/>
                <w:iCs w:val="0"/>
                <w:color w:val="auto"/>
                <w:kern w:val="2"/>
                <w:sz w:val="21"/>
                <w:szCs w:val="21"/>
                <w:highlight w:val="none"/>
                <w:lang w:val="en-US" w:eastAsia="zh-CN" w:bidi="ar-SA"/>
              </w:rPr>
            </w:pPr>
            <w:r>
              <w:rPr>
                <w:rFonts w:hint="eastAsia" w:ascii="仿宋" w:hAnsi="仿宋" w:eastAsia="仿宋" w:cs="仿宋"/>
                <w:i w:val="0"/>
                <w:iCs w:val="0"/>
                <w:color w:val="auto"/>
                <w:kern w:val="2"/>
                <w:sz w:val="21"/>
                <w:szCs w:val="21"/>
                <w:highlight w:val="none"/>
                <w:lang w:val="en-US" w:eastAsia="zh-CN" w:bidi="ar-SA"/>
              </w:rPr>
              <w:t>2025年12月编制完成初稿，2026年6月完成审查后修改，报人民政府批复。</w:t>
            </w:r>
          </w:p>
          <w:p w14:paraId="2E23F10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i w:val="0"/>
                <w:iCs w:val="0"/>
                <w:color w:val="auto"/>
                <w:kern w:val="2"/>
                <w:sz w:val="21"/>
                <w:szCs w:val="21"/>
                <w:highlight w:val="none"/>
                <w:lang w:val="en-US" w:eastAsia="zh-CN" w:bidi="ar-SA"/>
              </w:rPr>
            </w:pPr>
            <w:r>
              <w:rPr>
                <w:rFonts w:hint="eastAsia" w:ascii="仿宋" w:hAnsi="仿宋" w:eastAsia="仿宋" w:cs="仿宋"/>
                <w:i w:val="0"/>
                <w:iCs w:val="0"/>
                <w:color w:val="auto"/>
                <w:kern w:val="2"/>
                <w:sz w:val="21"/>
                <w:szCs w:val="21"/>
                <w:highlight w:val="none"/>
                <w:lang w:val="en-US" w:eastAsia="zh-CN" w:bidi="ar-SA"/>
              </w:rPr>
              <w:t xml:space="preserve">（4）规划成果 </w:t>
            </w:r>
          </w:p>
          <w:p w14:paraId="6791F0C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i w:val="0"/>
                <w:iCs w:val="0"/>
                <w:color w:val="auto"/>
                <w:kern w:val="2"/>
                <w:sz w:val="21"/>
                <w:szCs w:val="21"/>
                <w:highlight w:val="none"/>
                <w:lang w:val="en-US" w:eastAsia="zh-CN" w:bidi="ar-SA"/>
              </w:rPr>
            </w:pPr>
            <w:r>
              <w:rPr>
                <w:rFonts w:hint="eastAsia" w:ascii="仿宋" w:hAnsi="仿宋" w:eastAsia="仿宋" w:cs="仿宋"/>
                <w:i w:val="0"/>
                <w:iCs w:val="0"/>
                <w:color w:val="auto"/>
                <w:kern w:val="2"/>
                <w:sz w:val="21"/>
                <w:szCs w:val="21"/>
                <w:highlight w:val="none"/>
                <w:lang w:val="en-US" w:eastAsia="zh-CN" w:bidi="ar-SA"/>
              </w:rPr>
              <w:t>《乌鲁木齐市防洪规划报告》及《乌鲁木齐市防洪规划报告附图集》。</w:t>
            </w:r>
          </w:p>
          <w:p w14:paraId="48FA153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i w:val="0"/>
                <w:iCs w:val="0"/>
                <w:color w:val="auto"/>
                <w:kern w:val="2"/>
                <w:sz w:val="21"/>
                <w:szCs w:val="21"/>
                <w:highlight w:val="none"/>
                <w:lang w:val="en-US" w:eastAsia="zh-CN" w:bidi="ar-SA"/>
              </w:rPr>
            </w:pPr>
            <w:r>
              <w:rPr>
                <w:rFonts w:hint="eastAsia" w:ascii="仿宋" w:hAnsi="仿宋" w:eastAsia="仿宋" w:cs="仿宋"/>
                <w:i w:val="0"/>
                <w:iCs w:val="0"/>
                <w:color w:val="auto"/>
                <w:kern w:val="2"/>
                <w:sz w:val="21"/>
                <w:szCs w:val="21"/>
                <w:highlight w:val="none"/>
                <w:lang w:val="en-US" w:eastAsia="zh-CN" w:bidi="ar-SA"/>
              </w:rPr>
              <w:t xml:space="preserve">（5）其他特殊要求 </w:t>
            </w:r>
          </w:p>
          <w:p w14:paraId="53F464F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i w:val="0"/>
                <w:iCs w:val="0"/>
                <w:color w:val="auto"/>
                <w:kern w:val="2"/>
                <w:sz w:val="21"/>
                <w:szCs w:val="21"/>
                <w:highlight w:val="none"/>
                <w:lang w:val="en-US" w:eastAsia="zh-CN" w:bidi="ar-SA"/>
              </w:rPr>
            </w:pPr>
            <w:r>
              <w:rPr>
                <w:rFonts w:hint="eastAsia" w:ascii="仿宋" w:hAnsi="仿宋" w:eastAsia="仿宋" w:cs="仿宋"/>
                <w:i w:val="0"/>
                <w:iCs w:val="0"/>
                <w:color w:val="auto"/>
                <w:kern w:val="2"/>
                <w:sz w:val="21"/>
                <w:szCs w:val="21"/>
                <w:highlight w:val="none"/>
                <w:lang w:val="en-US" w:eastAsia="zh-CN" w:bidi="ar-SA"/>
              </w:rPr>
              <w:t>规划中要体现关于城市内涝部分（冒溢点）的相关规划内容。</w:t>
            </w:r>
          </w:p>
        </w:tc>
        <w:tc>
          <w:tcPr>
            <w:tcW w:w="1969" w:type="dxa"/>
            <w:noWrap w:val="0"/>
            <w:vAlign w:val="center"/>
          </w:tcPr>
          <w:p w14:paraId="3E320B5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p>
        </w:tc>
        <w:tc>
          <w:tcPr>
            <w:tcW w:w="765" w:type="dxa"/>
            <w:noWrap w:val="0"/>
            <w:vAlign w:val="center"/>
          </w:tcPr>
          <w:p w14:paraId="0DB8295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p>
        </w:tc>
      </w:tr>
    </w:tbl>
    <w:p w14:paraId="3FC97382">
      <w:pPr>
        <w:rPr>
          <w:rFonts w:hint="eastAsia" w:ascii="仿宋" w:hAnsi="仿宋" w:eastAsia="仿宋" w:cs="仿宋"/>
          <w:b/>
          <w:bCs/>
          <w:color w:val="auto"/>
          <w:kern w:val="2"/>
          <w:sz w:val="30"/>
          <w:szCs w:val="32"/>
          <w:highlight w:val="none"/>
          <w:lang w:val="zh-CN" w:eastAsia="zh-CN" w:bidi="ar-SA"/>
        </w:rPr>
      </w:pPr>
      <w:r>
        <w:rPr>
          <w:rFonts w:hint="eastAsia" w:ascii="仿宋" w:hAnsi="仿宋" w:eastAsia="仿宋" w:cs="仿宋"/>
          <w:b/>
          <w:bCs/>
          <w:color w:val="auto"/>
          <w:kern w:val="2"/>
          <w:sz w:val="30"/>
          <w:szCs w:val="32"/>
          <w:highlight w:val="none"/>
          <w:lang w:val="zh-CN" w:eastAsia="zh-CN" w:bidi="ar-SA"/>
        </w:rPr>
        <w:br w:type="page"/>
      </w:r>
    </w:p>
    <w:p w14:paraId="426C8B99">
      <w:pPr>
        <w:pStyle w:val="4"/>
        <w:keepNext/>
        <w:keepLines/>
        <w:pageBreakBefore w:val="0"/>
        <w:widowControl w:val="0"/>
        <w:numPr>
          <w:ilvl w:val="0"/>
          <w:numId w:val="0"/>
        </w:numPr>
        <w:kinsoku/>
        <w:wordWrap/>
        <w:overflowPunct/>
        <w:topLinePunct w:val="0"/>
        <w:autoSpaceDE/>
        <w:autoSpaceDN/>
        <w:bidi w:val="0"/>
        <w:adjustRightInd/>
        <w:snapToGrid/>
        <w:spacing w:before="60" w:after="60" w:line="360" w:lineRule="auto"/>
        <w:ind w:left="420" w:leftChars="0" w:hanging="420" w:firstLineChars="0"/>
        <w:textAlignment w:val="auto"/>
        <w:rPr>
          <w:rFonts w:hint="eastAsia" w:ascii="仿宋" w:hAnsi="仿宋" w:eastAsia="仿宋" w:cs="仿宋"/>
          <w:b/>
          <w:bCs/>
          <w:color w:val="auto"/>
          <w:kern w:val="2"/>
          <w:sz w:val="24"/>
          <w:szCs w:val="24"/>
          <w:highlight w:val="none"/>
          <w:lang w:val="zh-CN" w:eastAsia="zh-CN" w:bidi="ar-SA"/>
        </w:rPr>
      </w:pPr>
      <w:bookmarkStart w:id="519" w:name="_Toc30949"/>
      <w:bookmarkStart w:id="520" w:name="_Toc27284"/>
      <w:bookmarkStart w:id="521" w:name="_Toc9173"/>
      <w:r>
        <w:rPr>
          <w:rFonts w:hint="eastAsia" w:ascii="仿宋" w:hAnsi="仿宋" w:eastAsia="仿宋" w:cs="仿宋"/>
          <w:b/>
          <w:bCs/>
          <w:color w:val="auto"/>
          <w:kern w:val="2"/>
          <w:sz w:val="24"/>
          <w:szCs w:val="24"/>
          <w:highlight w:val="none"/>
          <w:lang w:val="zh-CN" w:eastAsia="zh-CN" w:bidi="ar-SA"/>
        </w:rPr>
        <w:t>（二）评分标准</w:t>
      </w:r>
      <w:bookmarkEnd w:id="514"/>
      <w:bookmarkEnd w:id="515"/>
      <w:bookmarkEnd w:id="519"/>
      <w:bookmarkEnd w:id="520"/>
      <w:bookmarkEnd w:id="521"/>
    </w:p>
    <w:tbl>
      <w:tblPr>
        <w:tblStyle w:val="30"/>
        <w:tblW w:w="9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03"/>
        <w:gridCol w:w="1006"/>
        <w:gridCol w:w="6110"/>
      </w:tblGrid>
      <w:tr w14:paraId="18806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1188" w:type="dxa"/>
            <w:shd w:val="clear" w:color="auto" w:fill="D8D8D8" w:themeFill="background1" w:themeFillShade="D9"/>
            <w:vAlign w:val="center"/>
          </w:tcPr>
          <w:p w14:paraId="5E74DBB8">
            <w:pPr>
              <w:pStyle w:val="4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评标项目</w:t>
            </w:r>
          </w:p>
        </w:tc>
        <w:tc>
          <w:tcPr>
            <w:tcW w:w="1203" w:type="dxa"/>
            <w:shd w:val="clear" w:color="auto" w:fill="D8D8D8" w:themeFill="background1" w:themeFillShade="D9"/>
            <w:vAlign w:val="center"/>
          </w:tcPr>
          <w:p w14:paraId="21A8193E">
            <w:pPr>
              <w:pStyle w:val="4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评标分项</w:t>
            </w:r>
          </w:p>
        </w:tc>
        <w:tc>
          <w:tcPr>
            <w:tcW w:w="1006" w:type="dxa"/>
            <w:shd w:val="clear" w:color="auto" w:fill="D8D8D8" w:themeFill="background1" w:themeFillShade="D9"/>
            <w:vAlign w:val="center"/>
          </w:tcPr>
          <w:p w14:paraId="00D32736">
            <w:pPr>
              <w:pStyle w:val="4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分值</w:t>
            </w:r>
          </w:p>
        </w:tc>
        <w:tc>
          <w:tcPr>
            <w:tcW w:w="6110" w:type="dxa"/>
            <w:shd w:val="clear" w:color="auto" w:fill="D8D8D8" w:themeFill="background1" w:themeFillShade="D9"/>
            <w:vAlign w:val="center"/>
          </w:tcPr>
          <w:p w14:paraId="37DE2E1D">
            <w:pPr>
              <w:pStyle w:val="4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子项目及分值</w:t>
            </w:r>
          </w:p>
        </w:tc>
      </w:tr>
      <w:tr w14:paraId="5666C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88" w:type="dxa"/>
            <w:vAlign w:val="center"/>
          </w:tcPr>
          <w:p w14:paraId="28F90BDA">
            <w:pPr>
              <w:pStyle w:val="4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价格部分</w:t>
            </w:r>
          </w:p>
          <w:p w14:paraId="6DC6BEEC">
            <w:pPr>
              <w:pStyle w:val="4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sz w:val="21"/>
                <w:szCs w:val="21"/>
                <w:highlight w:val="none"/>
              </w:rPr>
              <w:t>分）</w:t>
            </w:r>
          </w:p>
        </w:tc>
        <w:tc>
          <w:tcPr>
            <w:tcW w:w="1203" w:type="dxa"/>
            <w:tcBorders>
              <w:bottom w:val="single" w:color="auto" w:sz="4" w:space="0"/>
            </w:tcBorders>
            <w:vAlign w:val="center"/>
          </w:tcPr>
          <w:p w14:paraId="6379C8C9">
            <w:pPr>
              <w:pStyle w:val="4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投标报价</w:t>
            </w:r>
          </w:p>
        </w:tc>
        <w:tc>
          <w:tcPr>
            <w:tcW w:w="1006" w:type="dxa"/>
            <w:vAlign w:val="center"/>
          </w:tcPr>
          <w:p w14:paraId="6037F413">
            <w:pPr>
              <w:pStyle w:val="4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10分</w:t>
            </w:r>
          </w:p>
        </w:tc>
        <w:tc>
          <w:tcPr>
            <w:tcW w:w="6110" w:type="dxa"/>
            <w:vAlign w:val="center"/>
          </w:tcPr>
          <w:p w14:paraId="6267DC3F">
            <w:pPr>
              <w:pStyle w:val="4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满足招标文件要求且投标价格最低的投标报价为评标基准价，其价格分为满分。其他投标人的价格分统一按照下列公式计算：</w:t>
            </w:r>
          </w:p>
          <w:p w14:paraId="47973C17">
            <w:pPr>
              <w:pStyle w:val="4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投标报价得分=（评标基准价／投标报价)×价格</w:t>
            </w:r>
            <w:r>
              <w:rPr>
                <w:rFonts w:hint="eastAsia" w:ascii="仿宋" w:hAnsi="仿宋" w:eastAsia="仿宋" w:cs="仿宋"/>
                <w:b w:val="0"/>
                <w:bCs w:val="0"/>
                <w:color w:val="auto"/>
                <w:sz w:val="21"/>
                <w:szCs w:val="21"/>
                <w:highlight w:val="none"/>
                <w:lang w:eastAsia="zh-CN"/>
              </w:rPr>
              <w:t>分值</w:t>
            </w:r>
          </w:p>
          <w:p w14:paraId="096A2721">
            <w:pPr>
              <w:pStyle w:val="4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b w:val="0"/>
                <w:bCs w:val="0"/>
                <w:color w:val="auto"/>
                <w:sz w:val="21"/>
                <w:szCs w:val="21"/>
                <w:highlight w:val="none"/>
              </w:rPr>
              <w:t>备注：符合</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rPr>
              <w:t>投标人须知</w:t>
            </w:r>
            <w:r>
              <w:rPr>
                <w:rFonts w:hint="eastAsia" w:ascii="仿宋" w:hAnsi="仿宋" w:eastAsia="仿宋" w:cs="仿宋"/>
                <w:b w:val="0"/>
                <w:bCs w:val="0"/>
                <w:color w:val="auto"/>
                <w:sz w:val="21"/>
                <w:szCs w:val="21"/>
                <w:highlight w:val="none"/>
                <w:lang w:val="en-US" w:eastAsia="zh-CN"/>
              </w:rPr>
              <w:t>前附表”</w:t>
            </w:r>
            <w:r>
              <w:rPr>
                <w:rFonts w:hint="eastAsia" w:ascii="仿宋" w:hAnsi="仿宋" w:eastAsia="仿宋" w:cs="仿宋"/>
                <w:b w:val="0"/>
                <w:bCs w:val="0"/>
                <w:color w:val="auto"/>
                <w:sz w:val="21"/>
                <w:szCs w:val="21"/>
                <w:highlight w:val="none"/>
              </w:rPr>
              <w:t>中价格扣除规定的，在评审时予以价格扣除，用扣除后的价格参与评审。</w:t>
            </w:r>
          </w:p>
        </w:tc>
      </w:tr>
      <w:tr w14:paraId="06EEB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88" w:type="dxa"/>
            <w:vMerge w:val="restart"/>
            <w:vAlign w:val="center"/>
          </w:tcPr>
          <w:p w14:paraId="489C302A">
            <w:pPr>
              <w:pStyle w:val="4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商务部分</w:t>
            </w:r>
          </w:p>
          <w:p w14:paraId="2752217F">
            <w:pPr>
              <w:pStyle w:val="4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30</w:t>
            </w:r>
            <w:r>
              <w:rPr>
                <w:rFonts w:hint="eastAsia" w:ascii="仿宋" w:hAnsi="仿宋" w:eastAsia="仿宋" w:cs="仿宋"/>
                <w:color w:val="auto"/>
                <w:sz w:val="21"/>
                <w:szCs w:val="21"/>
                <w:highlight w:val="none"/>
              </w:rPr>
              <w:t>分）</w:t>
            </w:r>
          </w:p>
        </w:tc>
        <w:tc>
          <w:tcPr>
            <w:tcW w:w="1203" w:type="dxa"/>
            <w:tcBorders>
              <w:top w:val="single" w:color="auto" w:sz="4" w:space="0"/>
            </w:tcBorders>
            <w:vAlign w:val="center"/>
          </w:tcPr>
          <w:p w14:paraId="430314AC">
            <w:pPr>
              <w:pStyle w:val="4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lang w:val="en-US"/>
              </w:rPr>
              <w:t>投标人的</w:t>
            </w:r>
            <w:r>
              <w:rPr>
                <w:rFonts w:hint="eastAsia" w:ascii="仿宋" w:hAnsi="仿宋" w:eastAsia="仿宋" w:cs="仿宋"/>
                <w:color w:val="auto"/>
                <w:sz w:val="21"/>
                <w:szCs w:val="21"/>
                <w:lang w:eastAsia="en-US"/>
              </w:rPr>
              <w:t>业绩</w:t>
            </w:r>
          </w:p>
        </w:tc>
        <w:tc>
          <w:tcPr>
            <w:tcW w:w="1006" w:type="dxa"/>
            <w:vAlign w:val="center"/>
          </w:tcPr>
          <w:p w14:paraId="2A6757D1">
            <w:pPr>
              <w:pStyle w:val="4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10分</w:t>
            </w:r>
          </w:p>
        </w:tc>
        <w:tc>
          <w:tcPr>
            <w:tcW w:w="6110" w:type="dxa"/>
            <w:vAlign w:val="center"/>
          </w:tcPr>
          <w:p w14:paraId="6A5CA180">
            <w:pPr>
              <w:pStyle w:val="49"/>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lang w:val="en-US" w:eastAsia="zh-CN"/>
              </w:rPr>
            </w:pPr>
            <w:bookmarkStart w:id="522" w:name="OLE_LINK16"/>
            <w:r>
              <w:rPr>
                <w:rFonts w:hint="eastAsia" w:ascii="仿宋" w:hAnsi="仿宋" w:eastAsia="仿宋" w:cs="仿宋"/>
                <w:color w:val="auto"/>
                <w:sz w:val="21"/>
                <w:szCs w:val="21"/>
                <w:highlight w:val="none"/>
                <w:lang w:val="en-US" w:eastAsia="zh-CN"/>
              </w:rPr>
              <w:t>投标人2020年01月01日至投标截止时间</w:t>
            </w:r>
            <w:r>
              <w:rPr>
                <w:rFonts w:hint="eastAsia" w:ascii="仿宋" w:hAnsi="仿宋" w:eastAsia="仿宋" w:cs="仿宋"/>
                <w:color w:val="auto"/>
                <w:sz w:val="21"/>
                <w:szCs w:val="21"/>
                <w:highlight w:val="none"/>
                <w:lang w:val="en-US" w:eastAsia="zh-CN"/>
              </w:rPr>
              <w:t>类似项目业绩，每提供一项得2分，满分10分。</w:t>
            </w:r>
          </w:p>
          <w:p w14:paraId="7FA6D23A">
            <w:pPr>
              <w:pStyle w:val="49"/>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注：以上有效业绩需提供合同复印件，包括合同首页、显示上述内容的相关页和签字页，未提供及提供材料不全的业绩本项不得分。</w:t>
            </w:r>
            <w:bookmarkEnd w:id="522"/>
          </w:p>
        </w:tc>
      </w:tr>
      <w:tr w14:paraId="09F86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3" w:hRule="atLeast"/>
          <w:jc w:val="center"/>
        </w:trPr>
        <w:tc>
          <w:tcPr>
            <w:tcW w:w="1188" w:type="dxa"/>
            <w:vMerge w:val="continue"/>
            <w:vAlign w:val="center"/>
          </w:tcPr>
          <w:p w14:paraId="03A025EF">
            <w:pPr>
              <w:pStyle w:val="4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p>
        </w:tc>
        <w:tc>
          <w:tcPr>
            <w:tcW w:w="1203" w:type="dxa"/>
            <w:tcBorders>
              <w:top w:val="single" w:color="auto" w:sz="4" w:space="0"/>
            </w:tcBorders>
            <w:vAlign w:val="center"/>
          </w:tcPr>
          <w:p w14:paraId="5CA4E59E">
            <w:pPr>
              <w:pStyle w:val="4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lang w:val="en-US" w:eastAsia="zh-CN"/>
              </w:rPr>
              <w:t>项目人员配备</w:t>
            </w:r>
          </w:p>
        </w:tc>
        <w:tc>
          <w:tcPr>
            <w:tcW w:w="1006" w:type="dxa"/>
            <w:vAlign w:val="center"/>
          </w:tcPr>
          <w:p w14:paraId="67A0BB34">
            <w:pPr>
              <w:pStyle w:val="4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20分</w:t>
            </w:r>
          </w:p>
        </w:tc>
        <w:tc>
          <w:tcPr>
            <w:tcW w:w="6110" w:type="dxa"/>
            <w:vAlign w:val="center"/>
          </w:tcPr>
          <w:p w14:paraId="117322B4">
            <w:pPr>
              <w:pStyle w:val="4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投标人</w:t>
            </w:r>
            <w:r>
              <w:rPr>
                <w:rFonts w:hint="default" w:ascii="仿宋" w:hAnsi="仿宋" w:eastAsia="仿宋" w:cs="仿宋"/>
                <w:color w:val="auto"/>
                <w:sz w:val="21"/>
                <w:szCs w:val="21"/>
                <w:highlight w:val="none"/>
                <w:lang w:val="en-US" w:eastAsia="zh-CN"/>
              </w:rPr>
              <w:t>提供详细的项目团队人员名单</w:t>
            </w:r>
            <w:r>
              <w:rPr>
                <w:rFonts w:hint="eastAsia" w:ascii="仿宋" w:hAnsi="仿宋" w:eastAsia="仿宋" w:cs="仿宋"/>
                <w:color w:val="auto"/>
                <w:sz w:val="21"/>
                <w:szCs w:val="21"/>
                <w:highlight w:val="none"/>
                <w:lang w:val="en-US" w:eastAsia="zh-CN"/>
              </w:rPr>
              <w:t>：</w:t>
            </w:r>
          </w:p>
          <w:p w14:paraId="3322D14F">
            <w:pPr>
              <w:pStyle w:val="49"/>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r>
              <w:rPr>
                <w:rFonts w:hint="default" w:ascii="仿宋" w:hAnsi="仿宋" w:eastAsia="仿宋" w:cs="仿宋"/>
                <w:color w:val="auto"/>
                <w:sz w:val="21"/>
                <w:szCs w:val="21"/>
                <w:highlight w:val="none"/>
                <w:lang w:val="en-US" w:eastAsia="zh-CN"/>
              </w:rPr>
              <w:t>项目负责人：项目负责人具备</w:t>
            </w:r>
            <w:r>
              <w:rPr>
                <w:rFonts w:hint="eastAsia" w:ascii="仿宋" w:hAnsi="仿宋" w:eastAsia="仿宋" w:cs="仿宋"/>
                <w:color w:val="auto"/>
                <w:sz w:val="21"/>
                <w:szCs w:val="21"/>
                <w:highlight w:val="none"/>
                <w:lang w:val="en-US" w:eastAsia="zh-CN"/>
              </w:rPr>
              <w:t>水利</w:t>
            </w:r>
            <w:r>
              <w:rPr>
                <w:rFonts w:hint="default" w:ascii="仿宋" w:hAnsi="仿宋" w:eastAsia="仿宋" w:cs="仿宋"/>
                <w:color w:val="auto"/>
                <w:sz w:val="21"/>
                <w:szCs w:val="21"/>
                <w:highlight w:val="none"/>
                <w:lang w:val="en-US" w:eastAsia="zh-CN"/>
              </w:rPr>
              <w:t>相关专业</w:t>
            </w:r>
            <w:r>
              <w:rPr>
                <w:rFonts w:hint="eastAsia" w:ascii="仿宋" w:hAnsi="仿宋" w:eastAsia="仿宋" w:cs="仿宋"/>
                <w:color w:val="auto"/>
                <w:sz w:val="21"/>
                <w:szCs w:val="21"/>
                <w:highlight w:val="none"/>
                <w:lang w:val="en-US" w:eastAsia="zh-CN"/>
              </w:rPr>
              <w:t>高级（副高）</w:t>
            </w:r>
            <w:r>
              <w:rPr>
                <w:rFonts w:hint="default" w:ascii="仿宋" w:hAnsi="仿宋" w:eastAsia="仿宋" w:cs="仿宋"/>
                <w:color w:val="auto"/>
                <w:sz w:val="21"/>
                <w:szCs w:val="21"/>
                <w:highlight w:val="none"/>
                <w:lang w:val="en-US" w:eastAsia="zh-CN"/>
              </w:rPr>
              <w:t>及以上职称的，得</w:t>
            </w:r>
            <w:r>
              <w:rPr>
                <w:rFonts w:hint="eastAsia" w:ascii="仿宋" w:hAnsi="仿宋" w:eastAsia="仿宋" w:cs="仿宋"/>
                <w:color w:val="auto"/>
                <w:sz w:val="21"/>
                <w:szCs w:val="21"/>
                <w:highlight w:val="none"/>
                <w:lang w:val="en-US" w:eastAsia="zh-CN"/>
              </w:rPr>
              <w:t>5</w:t>
            </w:r>
            <w:r>
              <w:rPr>
                <w:rFonts w:hint="default" w:ascii="仿宋" w:hAnsi="仿宋" w:eastAsia="仿宋" w:cs="仿宋"/>
                <w:color w:val="auto"/>
                <w:sz w:val="21"/>
                <w:szCs w:val="21"/>
                <w:highlight w:val="none"/>
                <w:lang w:val="en-US" w:eastAsia="zh-CN"/>
              </w:rPr>
              <w:t>分</w:t>
            </w:r>
            <w:r>
              <w:rPr>
                <w:rFonts w:hint="eastAsia" w:ascii="仿宋" w:hAnsi="仿宋" w:eastAsia="仿宋" w:cs="仿宋"/>
                <w:color w:val="auto"/>
                <w:sz w:val="21"/>
                <w:szCs w:val="21"/>
                <w:highlight w:val="none"/>
                <w:lang w:val="en-US" w:eastAsia="zh-CN"/>
              </w:rPr>
              <w:t>，</w:t>
            </w:r>
            <w:r>
              <w:rPr>
                <w:rFonts w:hint="default" w:ascii="仿宋" w:hAnsi="仿宋" w:eastAsia="仿宋" w:cs="仿宋"/>
                <w:color w:val="auto"/>
                <w:sz w:val="21"/>
                <w:szCs w:val="21"/>
                <w:highlight w:val="none"/>
                <w:lang w:val="en-US" w:eastAsia="zh-CN"/>
              </w:rPr>
              <w:t>具备</w:t>
            </w:r>
            <w:r>
              <w:rPr>
                <w:rFonts w:hint="eastAsia" w:ascii="仿宋" w:hAnsi="仿宋" w:eastAsia="仿宋" w:cs="仿宋"/>
                <w:color w:val="auto"/>
                <w:sz w:val="21"/>
                <w:szCs w:val="21"/>
                <w:highlight w:val="none"/>
                <w:lang w:val="en-US" w:eastAsia="zh-CN"/>
              </w:rPr>
              <w:t>水利</w:t>
            </w:r>
            <w:r>
              <w:rPr>
                <w:rFonts w:hint="default" w:ascii="仿宋" w:hAnsi="仿宋" w:eastAsia="仿宋" w:cs="仿宋"/>
                <w:color w:val="auto"/>
                <w:sz w:val="21"/>
                <w:szCs w:val="21"/>
                <w:highlight w:val="none"/>
                <w:lang w:val="en-US" w:eastAsia="zh-CN"/>
              </w:rPr>
              <w:t>相关专业中级职称的，得2分。</w:t>
            </w:r>
          </w:p>
          <w:p w14:paraId="4E354C9E">
            <w:pPr>
              <w:pStyle w:val="49"/>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2.项目</w:t>
            </w:r>
            <w:r>
              <w:rPr>
                <w:rFonts w:hint="default" w:ascii="仿宋" w:hAnsi="仿宋" w:eastAsia="仿宋" w:cs="仿宋"/>
                <w:color w:val="auto"/>
                <w:sz w:val="21"/>
                <w:szCs w:val="21"/>
                <w:highlight w:val="none"/>
                <w:lang w:val="en-US" w:eastAsia="zh-CN"/>
              </w:rPr>
              <w:t>团队</w:t>
            </w:r>
            <w:r>
              <w:rPr>
                <w:rFonts w:hint="eastAsia" w:ascii="仿宋" w:hAnsi="仿宋" w:eastAsia="仿宋" w:cs="仿宋"/>
                <w:color w:val="auto"/>
                <w:sz w:val="21"/>
                <w:szCs w:val="21"/>
                <w:highlight w:val="none"/>
                <w:lang w:val="en-US" w:eastAsia="zh-CN"/>
              </w:rPr>
              <w:t>其他人员</w:t>
            </w:r>
            <w:r>
              <w:rPr>
                <w:rFonts w:hint="default" w:ascii="仿宋" w:hAnsi="仿宋" w:eastAsia="仿宋" w:cs="仿宋"/>
                <w:color w:val="auto"/>
                <w:sz w:val="21"/>
                <w:szCs w:val="21"/>
                <w:highlight w:val="none"/>
                <w:lang w:val="en-US" w:eastAsia="zh-CN"/>
              </w:rPr>
              <w:t>（不含项目负责人）中具备</w:t>
            </w:r>
            <w:r>
              <w:rPr>
                <w:rFonts w:hint="eastAsia" w:ascii="仿宋" w:hAnsi="仿宋" w:eastAsia="仿宋" w:cs="仿宋"/>
                <w:color w:val="auto"/>
                <w:sz w:val="21"/>
                <w:szCs w:val="21"/>
                <w:highlight w:val="none"/>
                <w:lang w:val="en-US" w:eastAsia="zh-CN"/>
              </w:rPr>
              <w:t>水利</w:t>
            </w:r>
            <w:r>
              <w:rPr>
                <w:rFonts w:hint="default" w:ascii="仿宋" w:hAnsi="仿宋" w:eastAsia="仿宋" w:cs="仿宋"/>
                <w:color w:val="auto"/>
                <w:sz w:val="21"/>
                <w:szCs w:val="21"/>
                <w:highlight w:val="none"/>
                <w:lang w:val="en-US" w:eastAsia="zh-CN"/>
              </w:rPr>
              <w:t>相关专业</w:t>
            </w:r>
            <w:r>
              <w:rPr>
                <w:rFonts w:hint="eastAsia" w:ascii="仿宋" w:hAnsi="仿宋" w:eastAsia="仿宋" w:cs="仿宋"/>
                <w:color w:val="auto"/>
                <w:sz w:val="21"/>
                <w:szCs w:val="21"/>
                <w:highlight w:val="none"/>
                <w:lang w:val="en-US" w:eastAsia="zh-CN"/>
              </w:rPr>
              <w:t>高级（副高）及以上</w:t>
            </w:r>
            <w:r>
              <w:rPr>
                <w:rFonts w:hint="default" w:ascii="仿宋" w:hAnsi="仿宋" w:eastAsia="仿宋" w:cs="仿宋"/>
                <w:color w:val="auto"/>
                <w:sz w:val="21"/>
                <w:szCs w:val="21"/>
                <w:highlight w:val="none"/>
                <w:lang w:val="en-US" w:eastAsia="zh-CN"/>
              </w:rPr>
              <w:t>职称</w:t>
            </w:r>
            <w:r>
              <w:rPr>
                <w:rFonts w:hint="eastAsia" w:ascii="仿宋" w:hAnsi="仿宋" w:eastAsia="仿宋" w:cs="仿宋"/>
                <w:color w:val="auto"/>
                <w:sz w:val="21"/>
                <w:szCs w:val="21"/>
                <w:highlight w:val="none"/>
                <w:lang w:val="en-US" w:eastAsia="zh-CN"/>
              </w:rPr>
              <w:t>的</w:t>
            </w:r>
            <w:r>
              <w:rPr>
                <w:rFonts w:hint="default" w:ascii="仿宋" w:hAnsi="仿宋" w:eastAsia="仿宋" w:cs="仿宋"/>
                <w:color w:val="auto"/>
                <w:sz w:val="21"/>
                <w:szCs w:val="21"/>
                <w:highlight w:val="none"/>
                <w:lang w:val="en-US" w:eastAsia="zh-CN"/>
              </w:rPr>
              <w:t>每1人得</w:t>
            </w:r>
            <w:r>
              <w:rPr>
                <w:rFonts w:hint="eastAsia" w:ascii="仿宋" w:hAnsi="仿宋" w:eastAsia="仿宋" w:cs="仿宋"/>
                <w:color w:val="auto"/>
                <w:sz w:val="21"/>
                <w:szCs w:val="21"/>
                <w:highlight w:val="none"/>
                <w:lang w:val="en-US" w:eastAsia="zh-CN"/>
              </w:rPr>
              <w:t>3</w:t>
            </w:r>
            <w:r>
              <w:rPr>
                <w:rFonts w:hint="default" w:ascii="仿宋" w:hAnsi="仿宋" w:eastAsia="仿宋" w:cs="仿宋"/>
                <w:color w:val="auto"/>
                <w:sz w:val="21"/>
                <w:szCs w:val="21"/>
                <w:highlight w:val="none"/>
                <w:lang w:val="en-US" w:eastAsia="zh-CN"/>
              </w:rPr>
              <w:t>分</w:t>
            </w:r>
            <w:r>
              <w:rPr>
                <w:rFonts w:hint="eastAsia" w:ascii="仿宋" w:hAnsi="仿宋" w:eastAsia="仿宋" w:cs="仿宋"/>
                <w:color w:val="auto"/>
                <w:sz w:val="21"/>
                <w:szCs w:val="21"/>
                <w:highlight w:val="none"/>
                <w:lang w:val="en-US" w:eastAsia="zh-CN"/>
              </w:rPr>
              <w:t>，</w:t>
            </w:r>
            <w:r>
              <w:rPr>
                <w:rFonts w:hint="default" w:ascii="仿宋" w:hAnsi="仿宋" w:eastAsia="仿宋" w:cs="仿宋"/>
                <w:color w:val="auto"/>
                <w:sz w:val="21"/>
                <w:szCs w:val="21"/>
                <w:highlight w:val="none"/>
                <w:lang w:val="en-US" w:eastAsia="zh-CN"/>
              </w:rPr>
              <w:t>满分</w:t>
            </w:r>
            <w:r>
              <w:rPr>
                <w:rFonts w:hint="eastAsia" w:ascii="仿宋" w:hAnsi="仿宋" w:eastAsia="仿宋" w:cs="仿宋"/>
                <w:color w:val="auto"/>
                <w:sz w:val="21"/>
                <w:szCs w:val="21"/>
                <w:highlight w:val="none"/>
                <w:lang w:val="en-US" w:eastAsia="zh-CN"/>
              </w:rPr>
              <w:t>15</w:t>
            </w:r>
            <w:r>
              <w:rPr>
                <w:rFonts w:hint="default" w:ascii="仿宋" w:hAnsi="仿宋" w:eastAsia="仿宋" w:cs="仿宋"/>
                <w:color w:val="auto"/>
                <w:sz w:val="21"/>
                <w:szCs w:val="21"/>
                <w:highlight w:val="none"/>
                <w:lang w:val="en-US" w:eastAsia="zh-CN"/>
              </w:rPr>
              <w:t>分</w:t>
            </w:r>
            <w:r>
              <w:rPr>
                <w:rFonts w:hint="eastAsia" w:ascii="仿宋" w:hAnsi="仿宋" w:eastAsia="仿宋" w:cs="仿宋"/>
                <w:color w:val="auto"/>
                <w:sz w:val="21"/>
                <w:szCs w:val="21"/>
                <w:highlight w:val="none"/>
                <w:lang w:val="en-US" w:eastAsia="zh-CN"/>
              </w:rPr>
              <w:t>；</w:t>
            </w:r>
            <w:r>
              <w:rPr>
                <w:rFonts w:hint="default" w:ascii="仿宋" w:hAnsi="仿宋" w:eastAsia="仿宋" w:cs="仿宋"/>
                <w:color w:val="auto"/>
                <w:sz w:val="21"/>
                <w:szCs w:val="21"/>
                <w:highlight w:val="none"/>
                <w:lang w:val="en-US" w:eastAsia="zh-CN"/>
              </w:rPr>
              <w:t>具备</w:t>
            </w:r>
            <w:r>
              <w:rPr>
                <w:rFonts w:hint="eastAsia" w:ascii="仿宋" w:hAnsi="仿宋" w:eastAsia="仿宋" w:cs="仿宋"/>
                <w:color w:val="auto"/>
                <w:sz w:val="21"/>
                <w:szCs w:val="21"/>
                <w:highlight w:val="none"/>
                <w:lang w:val="en-US" w:eastAsia="zh-CN"/>
              </w:rPr>
              <w:t>水利</w:t>
            </w:r>
            <w:r>
              <w:rPr>
                <w:rFonts w:hint="default" w:ascii="仿宋" w:hAnsi="仿宋" w:eastAsia="仿宋" w:cs="仿宋"/>
                <w:color w:val="auto"/>
                <w:sz w:val="21"/>
                <w:szCs w:val="21"/>
                <w:highlight w:val="none"/>
                <w:lang w:val="en-US" w:eastAsia="zh-CN"/>
              </w:rPr>
              <w:t>相关专业中级及以上职称的每1人得</w:t>
            </w:r>
            <w:r>
              <w:rPr>
                <w:rFonts w:hint="eastAsia" w:ascii="仿宋" w:hAnsi="仿宋" w:eastAsia="仿宋" w:cs="仿宋"/>
                <w:color w:val="auto"/>
                <w:sz w:val="21"/>
                <w:szCs w:val="21"/>
                <w:highlight w:val="none"/>
                <w:lang w:val="en-US" w:eastAsia="zh-CN"/>
              </w:rPr>
              <w:t>2</w:t>
            </w:r>
            <w:r>
              <w:rPr>
                <w:rFonts w:hint="default" w:ascii="仿宋" w:hAnsi="仿宋" w:eastAsia="仿宋" w:cs="仿宋"/>
                <w:color w:val="auto"/>
                <w:sz w:val="21"/>
                <w:szCs w:val="21"/>
                <w:highlight w:val="none"/>
                <w:lang w:val="en-US" w:eastAsia="zh-CN"/>
              </w:rPr>
              <w:t>分，满分</w:t>
            </w:r>
            <w:r>
              <w:rPr>
                <w:rFonts w:hint="eastAsia" w:ascii="仿宋" w:hAnsi="仿宋" w:eastAsia="仿宋" w:cs="仿宋"/>
                <w:color w:val="auto"/>
                <w:sz w:val="21"/>
                <w:szCs w:val="21"/>
                <w:highlight w:val="none"/>
                <w:lang w:val="en-US" w:eastAsia="zh-CN"/>
              </w:rPr>
              <w:t>10</w:t>
            </w:r>
            <w:r>
              <w:rPr>
                <w:rFonts w:hint="default" w:ascii="仿宋" w:hAnsi="仿宋" w:eastAsia="仿宋" w:cs="仿宋"/>
                <w:color w:val="auto"/>
                <w:sz w:val="21"/>
                <w:szCs w:val="21"/>
                <w:highlight w:val="none"/>
                <w:lang w:val="en-US" w:eastAsia="zh-CN"/>
              </w:rPr>
              <w:t>分。</w:t>
            </w:r>
            <w:r>
              <w:rPr>
                <w:rFonts w:hint="eastAsia" w:ascii="仿宋" w:hAnsi="仿宋" w:eastAsia="仿宋" w:cs="仿宋"/>
                <w:color w:val="auto"/>
                <w:sz w:val="21"/>
                <w:szCs w:val="21"/>
                <w:highlight w:val="none"/>
                <w:lang w:val="en-US" w:eastAsia="zh-CN"/>
              </w:rPr>
              <w:t>本项最多得15分。</w:t>
            </w:r>
          </w:p>
          <w:p w14:paraId="1A48CBD5">
            <w:pPr>
              <w:pStyle w:val="49"/>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 w:hAnsi="仿宋" w:eastAsia="仿宋" w:cs="仿宋"/>
                <w:color w:val="auto"/>
                <w:sz w:val="21"/>
                <w:szCs w:val="21"/>
                <w:highlight w:val="none"/>
                <w:lang w:val="en-US" w:eastAsia="zh-CN"/>
              </w:rPr>
            </w:pPr>
            <w:r>
              <w:rPr>
                <w:rFonts w:hint="default" w:ascii="仿宋" w:hAnsi="仿宋" w:eastAsia="仿宋" w:cs="仿宋"/>
                <w:color w:val="auto"/>
                <w:sz w:val="21"/>
                <w:szCs w:val="21"/>
                <w:highlight w:val="none"/>
                <w:lang w:val="en-US" w:eastAsia="zh-CN"/>
              </w:rPr>
              <w:t>注：须提供上述人员身份证复印件、相关证书复印件等证明材料，未提供或提供不全不得分。</w:t>
            </w:r>
          </w:p>
        </w:tc>
      </w:tr>
      <w:tr w14:paraId="2F428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188" w:type="dxa"/>
            <w:vMerge w:val="restart"/>
            <w:vAlign w:val="center"/>
          </w:tcPr>
          <w:p w14:paraId="5ACB7B96">
            <w:pPr>
              <w:pStyle w:val="4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技术部分</w:t>
            </w:r>
          </w:p>
          <w:p w14:paraId="7FD45899">
            <w:pPr>
              <w:pStyle w:val="4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60</w:t>
            </w:r>
            <w:r>
              <w:rPr>
                <w:rFonts w:hint="eastAsia" w:ascii="仿宋" w:hAnsi="仿宋" w:eastAsia="仿宋" w:cs="仿宋"/>
                <w:color w:val="auto"/>
                <w:sz w:val="21"/>
                <w:szCs w:val="21"/>
                <w:highlight w:val="none"/>
              </w:rPr>
              <w:t>分）</w:t>
            </w:r>
          </w:p>
        </w:tc>
        <w:tc>
          <w:tcPr>
            <w:tcW w:w="1203" w:type="dxa"/>
            <w:tcBorders>
              <w:top w:val="single" w:color="auto" w:sz="4" w:space="0"/>
            </w:tcBorders>
            <w:vAlign w:val="center"/>
          </w:tcPr>
          <w:p w14:paraId="4DB98D89">
            <w:pPr>
              <w:pStyle w:val="89"/>
              <w:keepNext w:val="0"/>
              <w:keepLines w:val="0"/>
              <w:pageBreakBefore w:val="0"/>
              <w:kinsoku/>
              <w:wordWrap/>
              <w:overflowPunct/>
              <w:topLinePunct w:val="0"/>
              <w:bidi w:val="0"/>
              <w:snapToGrid/>
              <w:spacing w:line="26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技术实施服务方案</w:t>
            </w:r>
          </w:p>
        </w:tc>
        <w:tc>
          <w:tcPr>
            <w:tcW w:w="1006" w:type="dxa"/>
            <w:vAlign w:val="center"/>
          </w:tcPr>
          <w:p w14:paraId="4CB020B4">
            <w:pPr>
              <w:pStyle w:val="4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30分</w:t>
            </w:r>
          </w:p>
        </w:tc>
        <w:tc>
          <w:tcPr>
            <w:tcW w:w="6110" w:type="dxa"/>
            <w:vAlign w:val="center"/>
          </w:tcPr>
          <w:p w14:paraId="4192D0E5">
            <w:pPr>
              <w:pStyle w:val="4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投标人须根据本项目实际情况提供详细的技术实施服务方案，包含但不限于：1.规划工作范围、2.规划工作内容、3.规划工作目标、4.规划工作依据、5.规划工程程序、6.成果文件配合审查修改完善等。</w:t>
            </w:r>
          </w:p>
          <w:p w14:paraId="5F0D6F19">
            <w:pPr>
              <w:pStyle w:val="49"/>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经评审委员会评审：</w:t>
            </w:r>
          </w:p>
          <w:p w14:paraId="75C61057">
            <w:pPr>
              <w:pStyle w:val="4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①方案包含上述6项内容完整，各项方案内容分析准确、工作内容程序充分符合现行规范，可执行性强，得 30分；</w:t>
            </w:r>
          </w:p>
          <w:p w14:paraId="0DC1922F">
            <w:pPr>
              <w:pStyle w:val="4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②每缺少上述任何一项方案内容，扣5 分；</w:t>
            </w:r>
          </w:p>
          <w:p w14:paraId="02AE504A">
            <w:pPr>
              <w:pStyle w:val="4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③上述6项中任一项方案内容具有不足或瑕疵的，一处扣1分，每一项最多扣5分；</w:t>
            </w:r>
            <w:bookmarkStart w:id="800" w:name="_GoBack"/>
            <w:bookmarkEnd w:id="800"/>
          </w:p>
          <w:p w14:paraId="31A881FA">
            <w:pPr>
              <w:pStyle w:val="4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④未提供方案或方案内容明显与本项目实际需求不符，得0分。 </w:t>
            </w:r>
          </w:p>
          <w:p w14:paraId="0BCAEACB">
            <w:pPr>
              <w:pStyle w:val="4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注：本项所称“不足或瑕疵”指内容不完整或缺少关键点；非专门针对本项目或不适用本项目特性、套用其他项目内容；对同一问题前后表述矛盾；存在逻辑漏洞、专业或常识错误；不利于本项目目标的实现、现有技术条件下不可能实现的情形等以上任意一种情形。</w:t>
            </w:r>
          </w:p>
        </w:tc>
      </w:tr>
      <w:tr w14:paraId="52597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88" w:type="dxa"/>
            <w:vMerge w:val="continue"/>
            <w:vAlign w:val="center"/>
          </w:tcPr>
          <w:p w14:paraId="0A20288E">
            <w:pPr>
              <w:pStyle w:val="4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p>
        </w:tc>
        <w:tc>
          <w:tcPr>
            <w:tcW w:w="1203" w:type="dxa"/>
            <w:vAlign w:val="center"/>
          </w:tcPr>
          <w:p w14:paraId="59FE8CFF">
            <w:pPr>
              <w:pStyle w:val="78"/>
              <w:keepNext w:val="0"/>
              <w:keepLines w:val="0"/>
              <w:pageBreakBefore w:val="0"/>
              <w:kinsoku/>
              <w:wordWrap/>
              <w:overflowPunct/>
              <w:topLinePunct w:val="0"/>
              <w:bidi w:val="0"/>
              <w:snapToGrid/>
              <w:spacing w:line="26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项目进度控制措施 </w:t>
            </w:r>
          </w:p>
        </w:tc>
        <w:tc>
          <w:tcPr>
            <w:tcW w:w="1006" w:type="dxa"/>
            <w:vAlign w:val="center"/>
          </w:tcPr>
          <w:p w14:paraId="36242876">
            <w:pPr>
              <w:pStyle w:val="78"/>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lang w:val="en-US" w:eastAsia="zh-CN" w:bidi="zh-CN"/>
              </w:rPr>
              <w:t>15分</w:t>
            </w:r>
          </w:p>
        </w:tc>
        <w:tc>
          <w:tcPr>
            <w:tcW w:w="6110" w:type="dxa"/>
            <w:vAlign w:val="center"/>
          </w:tcPr>
          <w:p w14:paraId="7BC06B72">
            <w:pPr>
              <w:pStyle w:val="49"/>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投标人须根据本项目实际情况提供详细的项目进度控制方案包含但不限于:1.项目实施阶段分解、2.工作各阶段进度安排(完成时限)、3.关键节点进度控制措施、4.项目工作内容临时细微调整的应急措施、5.拟派项目团队人员突发状况的调整措施等。</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经评审委员会评审：</w:t>
            </w:r>
          </w:p>
          <w:p w14:paraId="7B01620F">
            <w:pPr>
              <w:pStyle w:val="4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①方案包含上述5项内容完整，各项方案内容分析准确、有针对性，可执行性强，符合项目实际需要，得15分；</w:t>
            </w:r>
          </w:p>
          <w:p w14:paraId="2581AD09">
            <w:pPr>
              <w:pStyle w:val="4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②每缺少上述任何一项方案内容，扣3 分；</w:t>
            </w:r>
          </w:p>
          <w:p w14:paraId="2F0F9CB1">
            <w:pPr>
              <w:pStyle w:val="4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③上述5项中任一项方案内容具有不足或瑕疵的，一处扣1分，每一项最多扣3分；</w:t>
            </w:r>
          </w:p>
          <w:p w14:paraId="4F720A8F">
            <w:pPr>
              <w:pStyle w:val="4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④未提供方案或方案内容明显与本项目实际需求不符，得0分。 </w:t>
            </w:r>
          </w:p>
          <w:p w14:paraId="06105464">
            <w:pPr>
              <w:pStyle w:val="4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注：本项所称“不足或瑕疵”指内容不完整或缺少关键点；非专门针对本项目或不适用本项目特性、套用其他项目内容；对同一问题前后表述矛盾；存在逻辑漏洞、专业或常识错误；不利于本项目目标的实现、现有技术条件下不可能实现的情形等以上任意一种情形。</w:t>
            </w:r>
          </w:p>
        </w:tc>
      </w:tr>
      <w:tr w14:paraId="428BA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88" w:type="dxa"/>
            <w:vMerge w:val="continue"/>
            <w:vAlign w:val="center"/>
          </w:tcPr>
          <w:p w14:paraId="649C7153">
            <w:pPr>
              <w:pStyle w:val="4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p>
        </w:tc>
        <w:tc>
          <w:tcPr>
            <w:tcW w:w="1203" w:type="dxa"/>
            <w:vAlign w:val="center"/>
          </w:tcPr>
          <w:p w14:paraId="57822B7A">
            <w:pPr>
              <w:pStyle w:val="89"/>
              <w:keepNext w:val="0"/>
              <w:keepLines w:val="0"/>
              <w:pageBreakBefore w:val="0"/>
              <w:kinsoku/>
              <w:wordWrap/>
              <w:overflowPunct/>
              <w:topLinePunct w:val="0"/>
              <w:bidi w:val="0"/>
              <w:snapToGrid/>
              <w:spacing w:before="151" w:line="26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项目</w:t>
            </w:r>
            <w:r>
              <w:rPr>
                <w:rFonts w:hint="eastAsia" w:ascii="仿宋" w:hAnsi="仿宋" w:eastAsia="仿宋" w:cs="仿宋"/>
                <w:color w:val="auto"/>
                <w:sz w:val="21"/>
                <w:szCs w:val="21"/>
                <w:highlight w:val="none"/>
                <w:lang w:val="en-US"/>
              </w:rPr>
              <w:t>质量保证措施</w:t>
            </w:r>
            <w:r>
              <w:rPr>
                <w:rFonts w:hint="eastAsia" w:ascii="仿宋" w:hAnsi="仿宋" w:eastAsia="仿宋" w:cs="仿宋"/>
                <w:color w:val="auto"/>
                <w:sz w:val="21"/>
                <w:szCs w:val="21"/>
                <w:highlight w:val="none"/>
                <w:lang w:val="en-US" w:eastAsia="zh-CN"/>
              </w:rPr>
              <w:t xml:space="preserve"> </w:t>
            </w:r>
          </w:p>
        </w:tc>
        <w:tc>
          <w:tcPr>
            <w:tcW w:w="1006" w:type="dxa"/>
            <w:vAlign w:val="center"/>
          </w:tcPr>
          <w:p w14:paraId="0038C5A0">
            <w:pPr>
              <w:pStyle w:val="89"/>
              <w:spacing w:before="151"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lang w:val="en-US" w:eastAsia="zh-CN"/>
              </w:rPr>
              <w:t>15</w:t>
            </w:r>
            <w:r>
              <w:rPr>
                <w:rFonts w:hint="eastAsia" w:ascii="仿宋" w:hAnsi="仿宋" w:eastAsia="仿宋" w:cs="仿宋"/>
                <w:color w:val="auto"/>
                <w:sz w:val="21"/>
                <w:szCs w:val="21"/>
                <w:lang w:val="en-US"/>
              </w:rPr>
              <w:t>分</w:t>
            </w:r>
          </w:p>
        </w:tc>
        <w:tc>
          <w:tcPr>
            <w:tcW w:w="6110" w:type="dxa"/>
            <w:vAlign w:val="center"/>
          </w:tcPr>
          <w:p w14:paraId="4FBA8A1C">
            <w:pPr>
              <w:pStyle w:val="4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投标人须根据本项目实际情况提供详细的项目质量保证方案包含但不限于:1.项目质量目标与标准、2.项目质量控制措施、3.项目质量监管人员安排、4.项目质量关键风险防控、5.产生质量问题后的处理措施。</w:t>
            </w:r>
          </w:p>
          <w:p w14:paraId="52F93A54">
            <w:pPr>
              <w:pStyle w:val="49"/>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经评审委员会评审：</w:t>
            </w:r>
          </w:p>
          <w:p w14:paraId="4DF1AB4C">
            <w:pPr>
              <w:pStyle w:val="4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①方案包含上述5项内容完整，各项方案内容分析准确、有针对性，可执行性强，符合项目实际需要，得15分；</w:t>
            </w:r>
          </w:p>
          <w:p w14:paraId="66A01777">
            <w:pPr>
              <w:pStyle w:val="4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②每缺少上述任何一项方案内容，扣3 分；</w:t>
            </w:r>
          </w:p>
          <w:p w14:paraId="05734924">
            <w:pPr>
              <w:pStyle w:val="4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③上述5项中任一项方案内容具有不足或瑕疵的，一处扣1分，每一项最多扣3分；</w:t>
            </w:r>
          </w:p>
          <w:p w14:paraId="19939A69">
            <w:pPr>
              <w:pStyle w:val="4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④未提供方案或方案内容明显与本项目实际需求不符，得0分。 </w:t>
            </w:r>
          </w:p>
          <w:p w14:paraId="3F6791E6">
            <w:pPr>
              <w:pStyle w:val="4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注：本项所称“不足或瑕疵”指内容不完整或缺少关键点；非专门针对本项目或不适用本项目特性、套用其他项目内容；对同一问题前后表述矛盾；存在逻辑漏洞、专业或常识错误；不利于本项目目标的实现、现有技术条件下不可能实现的情形等以上任意一种情形。</w:t>
            </w:r>
          </w:p>
        </w:tc>
      </w:tr>
      <w:tr w14:paraId="2E150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91" w:type="dxa"/>
            <w:gridSpan w:val="2"/>
            <w:vAlign w:val="center"/>
          </w:tcPr>
          <w:p w14:paraId="486F7ED2">
            <w:pPr>
              <w:pStyle w:val="4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合计</w:t>
            </w:r>
          </w:p>
        </w:tc>
        <w:tc>
          <w:tcPr>
            <w:tcW w:w="1006" w:type="dxa"/>
            <w:tcBorders>
              <w:bottom w:val="single" w:color="auto" w:sz="4" w:space="0"/>
            </w:tcBorders>
            <w:vAlign w:val="center"/>
          </w:tcPr>
          <w:p w14:paraId="13B24B10">
            <w:pPr>
              <w:pStyle w:val="4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=SUM(ABOVE)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100</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lang w:val="en-US" w:eastAsia="zh-CN"/>
              </w:rPr>
              <w:t>分</w:t>
            </w:r>
          </w:p>
        </w:tc>
        <w:tc>
          <w:tcPr>
            <w:tcW w:w="6110" w:type="dxa"/>
            <w:tcBorders>
              <w:bottom w:val="single" w:color="auto" w:sz="4" w:space="0"/>
            </w:tcBorders>
            <w:vAlign w:val="center"/>
          </w:tcPr>
          <w:p w14:paraId="5D1799DF">
            <w:pPr>
              <w:pStyle w:val="4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1"/>
                <w:szCs w:val="21"/>
                <w:highlight w:val="none"/>
                <w:lang w:val="en-US" w:eastAsia="zh-CN"/>
              </w:rPr>
            </w:pPr>
          </w:p>
        </w:tc>
      </w:tr>
    </w:tbl>
    <w:p w14:paraId="43310C37">
      <w:pPr>
        <w:rPr>
          <w:rFonts w:hint="eastAsia" w:ascii="仿宋" w:hAnsi="仿宋" w:eastAsia="仿宋" w:cs="仿宋"/>
          <w:b/>
          <w:bCs/>
          <w:color w:val="auto"/>
          <w:kern w:val="44"/>
          <w:sz w:val="36"/>
          <w:szCs w:val="36"/>
          <w:highlight w:val="none"/>
          <w:lang w:val="zh-CN" w:eastAsia="zh-CN" w:bidi="ar-SA"/>
        </w:rPr>
      </w:pPr>
      <w:bookmarkStart w:id="523" w:name="_Toc155185918"/>
      <w:bookmarkStart w:id="524" w:name="_Toc17112"/>
      <w:r>
        <w:rPr>
          <w:rFonts w:hint="eastAsia" w:ascii="仿宋" w:hAnsi="仿宋" w:eastAsia="仿宋" w:cs="仿宋"/>
          <w:b/>
          <w:bCs/>
          <w:color w:val="auto"/>
          <w:kern w:val="44"/>
          <w:sz w:val="36"/>
          <w:szCs w:val="36"/>
          <w:highlight w:val="none"/>
          <w:lang w:val="zh-CN" w:eastAsia="zh-CN" w:bidi="ar-SA"/>
        </w:rPr>
        <w:br w:type="page"/>
      </w:r>
    </w:p>
    <w:p w14:paraId="239B0FE2">
      <w:pPr>
        <w:pStyle w:val="13"/>
        <w:widowControl/>
        <w:shd w:val="clear"/>
        <w:kinsoku w:val="0"/>
        <w:autoSpaceDE w:val="0"/>
        <w:autoSpaceDN w:val="0"/>
        <w:adjustRightInd w:val="0"/>
        <w:snapToGrid w:val="0"/>
        <w:spacing w:before="114" w:after="0" w:line="225" w:lineRule="auto"/>
        <w:ind w:left="3198"/>
        <w:jc w:val="both"/>
        <w:textAlignment w:val="baseline"/>
        <w:outlineLvl w:val="0"/>
        <w:rPr>
          <w:rFonts w:hint="eastAsia" w:ascii="仿宋" w:hAnsi="仿宋" w:eastAsia="仿宋" w:cs="仿宋"/>
          <w:b/>
          <w:bCs/>
          <w:snapToGrid w:val="0"/>
          <w:color w:val="auto"/>
          <w:spacing w:val="5"/>
          <w:kern w:val="0"/>
          <w:sz w:val="35"/>
          <w:szCs w:val="35"/>
          <w:highlight w:val="none"/>
          <w:lang w:val="zh-CN" w:eastAsia="zh-CN" w:bidi="ar-SA"/>
        </w:rPr>
      </w:pPr>
      <w:r>
        <w:rPr>
          <w:rFonts w:hint="eastAsia" w:ascii="仿宋" w:hAnsi="仿宋" w:eastAsia="仿宋" w:cs="仿宋"/>
          <w:b/>
          <w:bCs/>
          <w:snapToGrid w:val="0"/>
          <w:color w:val="auto"/>
          <w:spacing w:val="5"/>
          <w:kern w:val="0"/>
          <w:sz w:val="35"/>
          <w:szCs w:val="35"/>
          <w:highlight w:val="none"/>
          <w:lang w:val="zh-CN" w:eastAsia="zh-CN" w:bidi="ar-SA"/>
        </w:rPr>
        <w:t>第六章 合同</w:t>
      </w:r>
      <w:bookmarkEnd w:id="523"/>
      <w:r>
        <w:rPr>
          <w:rFonts w:hint="eastAsia" w:ascii="仿宋" w:hAnsi="仿宋" w:eastAsia="仿宋" w:cs="仿宋"/>
          <w:b/>
          <w:bCs/>
          <w:snapToGrid w:val="0"/>
          <w:color w:val="auto"/>
          <w:spacing w:val="5"/>
          <w:kern w:val="0"/>
          <w:sz w:val="35"/>
          <w:szCs w:val="35"/>
          <w:highlight w:val="none"/>
          <w:lang w:val="zh-CN" w:eastAsia="zh-CN" w:bidi="ar-SA"/>
        </w:rPr>
        <w:t>草案</w:t>
      </w:r>
      <w:bookmarkEnd w:id="524"/>
    </w:p>
    <w:p w14:paraId="1D6A5117">
      <w:pPr>
        <w:wordWrap w:val="0"/>
        <w:jc w:val="center"/>
        <w:rPr>
          <w:rFonts w:hint="eastAsia" w:ascii="仿宋" w:hAnsi="仿宋" w:eastAsia="仿宋" w:cs="仿宋"/>
          <w:color w:val="auto"/>
          <w:highlight w:val="none"/>
        </w:rPr>
      </w:pPr>
    </w:p>
    <w:p w14:paraId="7F591892">
      <w:pPr>
        <w:wordWrap w:val="0"/>
        <w:jc w:val="center"/>
        <w:rPr>
          <w:rFonts w:hint="eastAsia" w:ascii="仿宋" w:hAnsi="仿宋" w:eastAsia="仿宋" w:cs="仿宋"/>
          <w:bCs/>
          <w:color w:val="auto"/>
          <w:sz w:val="36"/>
          <w:szCs w:val="36"/>
          <w:highlight w:val="none"/>
        </w:rPr>
      </w:pPr>
      <w:r>
        <w:rPr>
          <w:rFonts w:hint="eastAsia" w:ascii="仿宋" w:hAnsi="仿宋" w:eastAsia="仿宋" w:cs="仿宋"/>
          <w:color w:val="auto"/>
          <w:highlight w:val="none"/>
        </w:rPr>
        <w:t>（</w:t>
      </w:r>
      <w:r>
        <w:rPr>
          <w:rFonts w:hint="eastAsia" w:ascii="仿宋" w:hAnsi="仿宋" w:eastAsia="仿宋" w:cs="仿宋"/>
          <w:color w:val="auto"/>
          <w:szCs w:val="24"/>
          <w:highlight w:val="none"/>
        </w:rPr>
        <w:t>此合同书仅作为签订正式合同时的参考，正式合同书应包括本参考格式的内容）</w:t>
      </w:r>
    </w:p>
    <w:p w14:paraId="18B904B5">
      <w:pPr>
        <w:wordWrap w:val="0"/>
        <w:rPr>
          <w:rFonts w:hint="eastAsia" w:ascii="仿宋" w:hAnsi="仿宋" w:eastAsia="仿宋" w:cs="仿宋"/>
          <w:bCs/>
          <w:color w:val="auto"/>
          <w:sz w:val="28"/>
          <w:szCs w:val="28"/>
          <w:highlight w:val="none"/>
        </w:rPr>
      </w:pPr>
      <w:r>
        <w:rPr>
          <w:rFonts w:hint="eastAsia" w:ascii="仿宋" w:hAnsi="仿宋" w:eastAsia="仿宋" w:cs="仿宋"/>
          <w:bCs/>
          <w:color w:val="auto"/>
          <w:szCs w:val="24"/>
          <w:highlight w:val="none"/>
          <w:lang w:val="zh-CN"/>
        </w:rPr>
        <w:t>合同编号：</w:t>
      </w:r>
      <w:r>
        <w:rPr>
          <w:rFonts w:hint="eastAsia" w:ascii="仿宋" w:hAnsi="仿宋" w:eastAsia="仿宋" w:cs="仿宋"/>
          <w:bCs/>
          <w:color w:val="auto"/>
          <w:szCs w:val="24"/>
          <w:highlight w:val="none"/>
          <w:u w:val="single"/>
        </w:rPr>
        <w:t xml:space="preserve">              </w:t>
      </w:r>
    </w:p>
    <w:p w14:paraId="0F2349E3">
      <w:pPr>
        <w:pStyle w:val="13"/>
        <w:spacing w:after="0"/>
        <w:jc w:val="center"/>
        <w:rPr>
          <w:rFonts w:hint="eastAsia" w:ascii="仿宋" w:hAnsi="仿宋" w:eastAsia="仿宋" w:cs="仿宋"/>
          <w:b/>
          <w:bCs/>
          <w:color w:val="auto"/>
          <w:spacing w:val="-20"/>
          <w:kern w:val="44"/>
          <w:sz w:val="48"/>
          <w:szCs w:val="48"/>
          <w:highlight w:val="none"/>
        </w:rPr>
      </w:pPr>
      <w:bookmarkStart w:id="525" w:name="_Toc3995"/>
    </w:p>
    <w:p w14:paraId="25310B34">
      <w:pPr>
        <w:pStyle w:val="13"/>
        <w:rPr>
          <w:rFonts w:hint="eastAsia" w:ascii="仿宋" w:hAnsi="仿宋" w:eastAsia="仿宋" w:cs="仿宋"/>
          <w:color w:val="auto"/>
          <w:highlight w:val="none"/>
        </w:rPr>
      </w:pPr>
    </w:p>
    <w:p w14:paraId="6B4F19A2">
      <w:pPr>
        <w:spacing w:line="240" w:lineRule="auto"/>
        <w:jc w:val="center"/>
        <w:outlineLvl w:val="1"/>
        <w:rPr>
          <w:rFonts w:hint="eastAsia" w:ascii="仿宋" w:hAnsi="仿宋" w:eastAsia="仿宋" w:cs="仿宋"/>
          <w:b/>
          <w:bCs/>
          <w:color w:val="auto"/>
          <w:spacing w:val="-20"/>
          <w:kern w:val="44"/>
          <w:sz w:val="44"/>
          <w:szCs w:val="44"/>
          <w:highlight w:val="none"/>
          <w:lang w:val="en-US" w:eastAsia="zh-CN" w:bidi="ar-SA"/>
        </w:rPr>
      </w:pPr>
      <w:bookmarkStart w:id="526" w:name="_Toc3714"/>
      <w:bookmarkStart w:id="527" w:name="_Toc9350"/>
      <w:r>
        <w:rPr>
          <w:rFonts w:hint="eastAsia" w:ascii="仿宋" w:hAnsi="仿宋" w:eastAsia="仿宋" w:cs="仿宋"/>
          <w:b/>
          <w:bCs/>
          <w:color w:val="auto"/>
          <w:spacing w:val="-20"/>
          <w:kern w:val="44"/>
          <w:sz w:val="44"/>
          <w:szCs w:val="44"/>
          <w:highlight w:val="none"/>
          <w:lang w:val="en-US" w:eastAsia="zh-CN" w:bidi="ar-SA"/>
        </w:rPr>
        <w:t>政府采购合同参考范本</w:t>
      </w:r>
      <w:bookmarkEnd w:id="526"/>
      <w:bookmarkEnd w:id="527"/>
    </w:p>
    <w:p w14:paraId="111DAC9A">
      <w:pPr>
        <w:spacing w:line="480" w:lineRule="auto"/>
        <w:jc w:val="center"/>
        <w:outlineLvl w:val="1"/>
        <w:rPr>
          <w:rFonts w:hint="eastAsia" w:ascii="仿宋" w:hAnsi="仿宋" w:eastAsia="仿宋" w:cs="仿宋"/>
          <w:b/>
          <w:bCs/>
          <w:color w:val="auto"/>
          <w:spacing w:val="-20"/>
          <w:kern w:val="44"/>
          <w:sz w:val="44"/>
          <w:szCs w:val="44"/>
          <w:highlight w:val="none"/>
          <w:lang w:val="en-US" w:eastAsia="zh-CN" w:bidi="ar-SA"/>
        </w:rPr>
      </w:pPr>
      <w:bookmarkStart w:id="528" w:name="_Toc8560"/>
      <w:bookmarkStart w:id="529" w:name="_Toc22704"/>
      <w:r>
        <w:rPr>
          <w:rFonts w:hint="eastAsia" w:ascii="仿宋" w:hAnsi="仿宋" w:eastAsia="仿宋" w:cs="仿宋"/>
          <w:b/>
          <w:bCs/>
          <w:color w:val="auto"/>
          <w:spacing w:val="-20"/>
          <w:kern w:val="44"/>
          <w:sz w:val="44"/>
          <w:szCs w:val="44"/>
          <w:highlight w:val="none"/>
          <w:lang w:val="en-US" w:eastAsia="zh-CN" w:bidi="ar-SA"/>
        </w:rPr>
        <w:t>（服务类）</w:t>
      </w:r>
      <w:bookmarkEnd w:id="528"/>
      <w:bookmarkEnd w:id="529"/>
    </w:p>
    <w:p w14:paraId="2BB26EEC">
      <w:pPr>
        <w:spacing w:line="480" w:lineRule="auto"/>
        <w:jc w:val="center"/>
        <w:rPr>
          <w:rFonts w:hint="eastAsia" w:ascii="仿宋" w:hAnsi="仿宋" w:eastAsia="仿宋" w:cs="仿宋"/>
          <w:b/>
          <w:color w:val="auto"/>
          <w:sz w:val="24"/>
          <w:szCs w:val="24"/>
          <w:highlight w:val="none"/>
        </w:rPr>
      </w:pPr>
    </w:p>
    <w:p w14:paraId="1E7AD78F">
      <w:pPr>
        <w:spacing w:line="480" w:lineRule="auto"/>
        <w:jc w:val="center"/>
        <w:rPr>
          <w:rFonts w:hint="eastAsia" w:ascii="仿宋" w:hAnsi="仿宋" w:eastAsia="仿宋" w:cs="仿宋"/>
          <w:b/>
          <w:color w:val="auto"/>
          <w:sz w:val="24"/>
          <w:szCs w:val="24"/>
          <w:highlight w:val="none"/>
        </w:rPr>
      </w:pPr>
    </w:p>
    <w:p w14:paraId="614635B1">
      <w:pPr>
        <w:spacing w:line="360" w:lineRule="auto"/>
        <w:jc w:val="center"/>
        <w:outlineLvl w:val="1"/>
        <w:rPr>
          <w:rFonts w:hint="eastAsia" w:ascii="仿宋" w:hAnsi="仿宋" w:eastAsia="仿宋" w:cs="仿宋"/>
          <w:b/>
          <w:color w:val="auto"/>
          <w:sz w:val="36"/>
          <w:szCs w:val="36"/>
          <w:highlight w:val="none"/>
        </w:rPr>
      </w:pPr>
      <w:bookmarkStart w:id="530" w:name="_Toc24900"/>
      <w:bookmarkStart w:id="531" w:name="_Toc2449"/>
      <w:bookmarkStart w:id="532" w:name="_Toc16803"/>
      <w:r>
        <w:rPr>
          <w:rFonts w:hint="eastAsia" w:ascii="仿宋" w:hAnsi="仿宋" w:eastAsia="仿宋" w:cs="仿宋"/>
          <w:b/>
          <w:color w:val="auto"/>
          <w:sz w:val="36"/>
          <w:szCs w:val="36"/>
          <w:highlight w:val="none"/>
        </w:rPr>
        <w:t>第一部分 合同书</w:t>
      </w:r>
      <w:bookmarkEnd w:id="530"/>
      <w:bookmarkEnd w:id="531"/>
      <w:bookmarkEnd w:id="532"/>
    </w:p>
    <w:p w14:paraId="69EFD57D">
      <w:pPr>
        <w:spacing w:line="480" w:lineRule="auto"/>
        <w:jc w:val="center"/>
        <w:rPr>
          <w:rFonts w:hint="eastAsia" w:ascii="仿宋" w:hAnsi="仿宋" w:eastAsia="仿宋" w:cs="仿宋"/>
          <w:b/>
          <w:color w:val="auto"/>
          <w:sz w:val="24"/>
          <w:szCs w:val="24"/>
          <w:highlight w:val="none"/>
        </w:rPr>
      </w:pPr>
    </w:p>
    <w:p w14:paraId="696027CE">
      <w:pPr>
        <w:pStyle w:val="13"/>
        <w:rPr>
          <w:rFonts w:hint="eastAsia" w:ascii="仿宋" w:hAnsi="仿宋" w:eastAsia="仿宋" w:cs="仿宋"/>
          <w:color w:val="auto"/>
          <w:highlight w:val="none"/>
        </w:rPr>
      </w:pPr>
    </w:p>
    <w:p w14:paraId="10C5C01F">
      <w:pPr>
        <w:pStyle w:val="13"/>
        <w:rPr>
          <w:rFonts w:hint="eastAsia" w:ascii="仿宋" w:hAnsi="仿宋" w:eastAsia="仿宋" w:cs="仿宋"/>
          <w:color w:val="auto"/>
          <w:highlight w:val="none"/>
        </w:rPr>
      </w:pPr>
    </w:p>
    <w:p w14:paraId="3E36C2FB">
      <w:pPr>
        <w:spacing w:before="120" w:line="480" w:lineRule="auto"/>
        <w:ind w:left="960"/>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color w:val="auto"/>
          <w:sz w:val="24"/>
          <w:szCs w:val="24"/>
          <w:highlight w:val="none"/>
        </w:rPr>
        <w:t>项目名称：</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u w:val="single"/>
          <w:lang w:val="en-US" w:eastAsia="zh-CN"/>
        </w:rPr>
        <w:t xml:space="preserve">                         </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u w:val="single"/>
          <w:lang w:val="en-US" w:eastAsia="zh-CN"/>
        </w:rPr>
        <w:t xml:space="preserve">  </w:t>
      </w:r>
      <w:r>
        <w:rPr>
          <w:rFonts w:hint="eastAsia" w:ascii="仿宋" w:hAnsi="仿宋" w:eastAsia="仿宋" w:cs="仿宋"/>
          <w:i w:val="0"/>
          <w:iCs w:val="0"/>
          <w:color w:val="auto"/>
          <w:sz w:val="24"/>
          <w:szCs w:val="24"/>
          <w:highlight w:val="none"/>
          <w:u w:val="single"/>
        </w:rPr>
        <w:t xml:space="preserve">  </w:t>
      </w:r>
    </w:p>
    <w:p w14:paraId="3E25FCE4">
      <w:pPr>
        <w:spacing w:before="120" w:line="480" w:lineRule="auto"/>
        <w:ind w:left="96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项目编号：</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u w:val="single"/>
          <w:lang w:val="en-US" w:eastAsia="zh-CN"/>
        </w:rPr>
        <w:t xml:space="preserve">                           </w:t>
      </w:r>
      <w:r>
        <w:rPr>
          <w:rFonts w:hint="eastAsia" w:ascii="仿宋" w:hAnsi="仿宋" w:eastAsia="仿宋" w:cs="仿宋"/>
          <w:i w:val="0"/>
          <w:iCs w:val="0"/>
          <w:color w:val="auto"/>
          <w:sz w:val="24"/>
          <w:szCs w:val="24"/>
          <w:highlight w:val="none"/>
          <w:u w:val="single"/>
        </w:rPr>
        <w:t xml:space="preserve">    </w:t>
      </w:r>
    </w:p>
    <w:p w14:paraId="344D1727">
      <w:pPr>
        <w:spacing w:before="120" w:line="480" w:lineRule="auto"/>
        <w:ind w:left="960"/>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color w:val="auto"/>
          <w:sz w:val="24"/>
          <w:szCs w:val="24"/>
          <w:highlight w:val="none"/>
        </w:rPr>
        <w:t>甲方（采购人）：</w:t>
      </w:r>
      <w:r>
        <w:rPr>
          <w:rFonts w:hint="eastAsia" w:ascii="仿宋" w:hAnsi="仿宋" w:eastAsia="仿宋" w:cs="仿宋"/>
          <w:i w:val="0"/>
          <w:iCs w:val="0"/>
          <w:color w:val="auto"/>
          <w:sz w:val="24"/>
          <w:szCs w:val="24"/>
          <w:highlight w:val="none"/>
          <w:u w:val="single"/>
        </w:rPr>
        <w:t xml:space="preserve">                              </w:t>
      </w:r>
    </w:p>
    <w:p w14:paraId="02192C73">
      <w:pPr>
        <w:spacing w:before="120" w:line="480" w:lineRule="auto"/>
        <w:ind w:left="960"/>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color w:val="auto"/>
          <w:sz w:val="24"/>
          <w:szCs w:val="24"/>
          <w:highlight w:val="none"/>
        </w:rPr>
        <w:t>乙方（中标人）：</w:t>
      </w:r>
      <w:r>
        <w:rPr>
          <w:rFonts w:hint="eastAsia" w:ascii="仿宋" w:hAnsi="仿宋" w:eastAsia="仿宋" w:cs="仿宋"/>
          <w:i w:val="0"/>
          <w:iCs w:val="0"/>
          <w:color w:val="auto"/>
          <w:sz w:val="24"/>
          <w:szCs w:val="24"/>
          <w:highlight w:val="none"/>
          <w:u w:val="single"/>
        </w:rPr>
        <w:t xml:space="preserve">                              </w:t>
      </w:r>
    </w:p>
    <w:p w14:paraId="078A85B8">
      <w:pPr>
        <w:spacing w:before="120" w:line="480" w:lineRule="auto"/>
        <w:ind w:firstLine="960" w:firstLineChars="400"/>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color w:val="auto"/>
          <w:sz w:val="24"/>
          <w:szCs w:val="24"/>
          <w:highlight w:val="none"/>
        </w:rPr>
        <w:t>签订地：</w:t>
      </w:r>
      <w:r>
        <w:rPr>
          <w:rFonts w:hint="eastAsia" w:ascii="仿宋" w:hAnsi="仿宋" w:eastAsia="仿宋" w:cs="仿宋"/>
          <w:i w:val="0"/>
          <w:iCs w:val="0"/>
          <w:color w:val="auto"/>
          <w:sz w:val="24"/>
          <w:szCs w:val="24"/>
          <w:highlight w:val="none"/>
          <w:u w:val="single"/>
        </w:rPr>
        <w:t xml:space="preserve">                                     </w:t>
      </w:r>
    </w:p>
    <w:p w14:paraId="7C237104">
      <w:pPr>
        <w:spacing w:before="120" w:line="480" w:lineRule="auto"/>
        <w:ind w:firstLine="960" w:firstLineChars="4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签订日期：</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年</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月</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日</w:t>
      </w:r>
    </w:p>
    <w:p w14:paraId="31A35FBC">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6B11482C">
      <w:pPr>
        <w:spacing w:line="360" w:lineRule="auto"/>
        <w:ind w:firstLine="435"/>
        <w:rPr>
          <w:rFonts w:hint="eastAsia" w:ascii="仿宋" w:hAnsi="仿宋" w:eastAsia="仿宋" w:cs="仿宋"/>
          <w:color w:val="auto"/>
          <w:sz w:val="24"/>
          <w:szCs w:val="24"/>
          <w:highlight w:val="none"/>
          <w:u w:val="single"/>
          <w:lang w:val="en-US" w:eastAsia="zh-CN"/>
        </w:rPr>
      </w:pPr>
    </w:p>
    <w:p w14:paraId="57256C1F">
      <w:pPr>
        <w:spacing w:line="360" w:lineRule="auto"/>
        <w:ind w:firstLine="4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以下简称：甲方</w:t>
      </w:r>
      <w:r>
        <w:rPr>
          <w:rFonts w:hint="eastAsia" w:ascii="仿宋" w:hAnsi="仿宋" w:eastAsia="仿宋" w:cs="仿宋"/>
          <w:color w:val="auto"/>
          <w:sz w:val="24"/>
          <w:szCs w:val="24"/>
          <w:highlight w:val="none"/>
        </w:rPr>
        <w:t>）通过</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组织的</w:t>
      </w:r>
      <w:r>
        <w:rPr>
          <w:rFonts w:hint="eastAsia" w:ascii="仿宋" w:hAnsi="仿宋" w:eastAsia="仿宋" w:cs="仿宋"/>
          <w:color w:val="auto"/>
          <w:sz w:val="24"/>
          <w:szCs w:val="24"/>
          <w:highlight w:val="none"/>
          <w:u w:val="single"/>
        </w:rPr>
        <w:t>公开招标</w:t>
      </w:r>
      <w:r>
        <w:rPr>
          <w:rFonts w:hint="eastAsia" w:ascii="仿宋" w:hAnsi="仿宋" w:eastAsia="仿宋" w:cs="仿宋"/>
          <w:color w:val="auto"/>
          <w:sz w:val="24"/>
          <w:szCs w:val="24"/>
          <w:highlight w:val="none"/>
        </w:rPr>
        <w:t>方式采购活动，经</w:t>
      </w:r>
      <w:r>
        <w:rPr>
          <w:rFonts w:hint="eastAsia" w:ascii="仿宋" w:hAnsi="仿宋" w:eastAsia="仿宋" w:cs="仿宋"/>
          <w:color w:val="auto"/>
          <w:sz w:val="24"/>
          <w:szCs w:val="24"/>
          <w:highlight w:val="none"/>
          <w:u w:val="single"/>
        </w:rPr>
        <w:t>评标委员会</w:t>
      </w:r>
      <w:r>
        <w:rPr>
          <w:rFonts w:hint="eastAsia" w:ascii="仿宋" w:hAnsi="仿宋" w:eastAsia="仿宋" w:cs="仿宋"/>
          <w:color w:val="auto"/>
          <w:sz w:val="24"/>
          <w:szCs w:val="24"/>
          <w:highlight w:val="none"/>
        </w:rPr>
        <w:t>评定，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以下简称：乙方</w:t>
      </w:r>
      <w:r>
        <w:rPr>
          <w:rFonts w:hint="eastAsia" w:ascii="仿宋" w:hAnsi="仿宋" w:eastAsia="仿宋" w:cs="仿宋"/>
          <w:color w:val="auto"/>
          <w:sz w:val="24"/>
          <w:szCs w:val="24"/>
          <w:highlight w:val="none"/>
        </w:rPr>
        <w:t>）为本项目中标人，现按照采购文件确定的事项签订本合同。</w:t>
      </w:r>
    </w:p>
    <w:p w14:paraId="4B065F5A">
      <w:pPr>
        <w:spacing w:line="360" w:lineRule="auto"/>
        <w:ind w:firstLine="435"/>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根据《中华人民共和国民法典》、《中华人民共和国政府采购法》等相关法律法规之规定，按照平等、自愿、公平和诚实信用的原则，经甲方和乙方协商一致，约定以下合同条款，以兹共同遵守、全面履行。</w:t>
      </w:r>
    </w:p>
    <w:p w14:paraId="2EC99F3C">
      <w:pPr>
        <w:spacing w:line="360" w:lineRule="auto"/>
        <w:ind w:firstLine="437"/>
        <w:outlineLvl w:val="2"/>
        <w:rPr>
          <w:rFonts w:hint="eastAsia" w:ascii="仿宋" w:hAnsi="仿宋" w:eastAsia="仿宋" w:cs="仿宋"/>
          <w:b/>
          <w:bCs/>
          <w:color w:val="auto"/>
          <w:sz w:val="24"/>
          <w:szCs w:val="24"/>
          <w:highlight w:val="none"/>
          <w:lang w:val="zh-CN"/>
        </w:rPr>
      </w:pPr>
      <w:bookmarkStart w:id="533" w:name="_Toc2232"/>
      <w:bookmarkStart w:id="534" w:name="_Toc32343"/>
      <w:bookmarkStart w:id="535" w:name="_Toc1600"/>
      <w:bookmarkStart w:id="536" w:name="_Toc3029"/>
      <w:bookmarkStart w:id="537" w:name="_Toc24059"/>
      <w:r>
        <w:rPr>
          <w:rFonts w:hint="eastAsia" w:ascii="仿宋" w:hAnsi="仿宋" w:eastAsia="仿宋" w:cs="仿宋"/>
          <w:b/>
          <w:bCs/>
          <w:color w:val="auto"/>
          <w:sz w:val="24"/>
          <w:szCs w:val="24"/>
          <w:highlight w:val="none"/>
          <w:lang w:val="zh-CN"/>
        </w:rPr>
        <w:t>1.1 合同组成部分</w:t>
      </w:r>
      <w:bookmarkEnd w:id="533"/>
      <w:bookmarkEnd w:id="534"/>
      <w:bookmarkEnd w:id="535"/>
      <w:bookmarkEnd w:id="536"/>
      <w:bookmarkEnd w:id="537"/>
    </w:p>
    <w:p w14:paraId="20D9485C">
      <w:pPr>
        <w:spacing w:line="360" w:lineRule="auto"/>
        <w:ind w:firstLine="435"/>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5E5B4BC3">
      <w:pPr>
        <w:spacing w:line="360" w:lineRule="auto"/>
        <w:ind w:firstLine="435"/>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1.1.1本合同及其补充合同、变更协议；</w:t>
      </w:r>
    </w:p>
    <w:p w14:paraId="19287FC1">
      <w:pPr>
        <w:spacing w:line="360" w:lineRule="auto"/>
        <w:ind w:firstLine="435"/>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1.1.2中标通知书；</w:t>
      </w:r>
    </w:p>
    <w:p w14:paraId="049BC925">
      <w:pPr>
        <w:spacing w:line="360" w:lineRule="auto"/>
        <w:ind w:firstLine="435"/>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1.1.3投标文件（含澄清或者说明文件）；</w:t>
      </w:r>
    </w:p>
    <w:p w14:paraId="2F1601E5">
      <w:pPr>
        <w:spacing w:line="360" w:lineRule="auto"/>
        <w:ind w:firstLine="435"/>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1.1.4招标文件（含澄清或者修改文件）；</w:t>
      </w:r>
    </w:p>
    <w:p w14:paraId="59FDC6E0">
      <w:pPr>
        <w:spacing w:line="360" w:lineRule="auto"/>
        <w:ind w:firstLine="435"/>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1.1.5其他相关采购文件。</w:t>
      </w:r>
    </w:p>
    <w:p w14:paraId="02F7E584">
      <w:pPr>
        <w:spacing w:line="360" w:lineRule="auto"/>
        <w:ind w:firstLine="437"/>
        <w:outlineLvl w:val="2"/>
        <w:rPr>
          <w:rFonts w:hint="eastAsia" w:ascii="仿宋" w:hAnsi="仿宋" w:eastAsia="仿宋" w:cs="仿宋"/>
          <w:b/>
          <w:bCs/>
          <w:color w:val="auto"/>
          <w:sz w:val="24"/>
          <w:szCs w:val="24"/>
          <w:highlight w:val="none"/>
          <w:lang w:val="zh-CN"/>
        </w:rPr>
      </w:pPr>
      <w:bookmarkStart w:id="538" w:name="_Toc18585"/>
      <w:bookmarkStart w:id="539" w:name="_Toc6311"/>
      <w:bookmarkStart w:id="540" w:name="_Toc22185"/>
      <w:bookmarkStart w:id="541" w:name="_Toc6773"/>
      <w:bookmarkStart w:id="542" w:name="_Toc2918"/>
      <w:bookmarkStart w:id="543" w:name="_Toc8950"/>
      <w:bookmarkStart w:id="544" w:name="_Toc4436"/>
      <w:r>
        <w:rPr>
          <w:rFonts w:hint="eastAsia" w:ascii="仿宋" w:hAnsi="仿宋" w:eastAsia="仿宋" w:cs="仿宋"/>
          <w:b/>
          <w:bCs/>
          <w:color w:val="auto"/>
          <w:sz w:val="24"/>
          <w:szCs w:val="24"/>
          <w:highlight w:val="none"/>
          <w:lang w:val="zh-CN"/>
        </w:rPr>
        <w:t xml:space="preserve">1.2 </w:t>
      </w:r>
      <w:bookmarkEnd w:id="538"/>
      <w:bookmarkEnd w:id="539"/>
      <w:bookmarkEnd w:id="540"/>
      <w:bookmarkEnd w:id="541"/>
      <w:bookmarkEnd w:id="542"/>
      <w:r>
        <w:rPr>
          <w:rFonts w:hint="eastAsia" w:ascii="仿宋" w:hAnsi="仿宋" w:eastAsia="仿宋" w:cs="仿宋"/>
          <w:b/>
          <w:bCs/>
          <w:color w:val="auto"/>
          <w:sz w:val="24"/>
          <w:szCs w:val="24"/>
          <w:highlight w:val="none"/>
          <w:lang w:val="zh-CN"/>
        </w:rPr>
        <w:t>服务</w:t>
      </w:r>
      <w:bookmarkEnd w:id="543"/>
      <w:bookmarkEnd w:id="544"/>
    </w:p>
    <w:p w14:paraId="29648294">
      <w:pPr>
        <w:spacing w:line="360" w:lineRule="auto"/>
        <w:ind w:firstLine="435"/>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1.2.1服务名称：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69CE0DFF">
      <w:pPr>
        <w:spacing w:line="360" w:lineRule="auto"/>
        <w:ind w:firstLine="435"/>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1.2.2服务内容：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0FFB0056">
      <w:pPr>
        <w:spacing w:line="360" w:lineRule="auto"/>
        <w:ind w:firstLine="4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1.2.3服务质量：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1573E72A">
      <w:pPr>
        <w:spacing w:line="360" w:lineRule="auto"/>
        <w:ind w:firstLine="437"/>
        <w:outlineLvl w:val="2"/>
        <w:rPr>
          <w:rFonts w:hint="eastAsia" w:ascii="仿宋" w:hAnsi="仿宋" w:eastAsia="仿宋" w:cs="仿宋"/>
          <w:b/>
          <w:bCs/>
          <w:color w:val="auto"/>
          <w:sz w:val="24"/>
          <w:szCs w:val="24"/>
          <w:highlight w:val="none"/>
          <w:lang w:val="zh-CN"/>
        </w:rPr>
      </w:pPr>
      <w:bookmarkStart w:id="545" w:name="_Toc21551"/>
      <w:bookmarkStart w:id="546" w:name="_Toc11350"/>
      <w:bookmarkStart w:id="547" w:name="_Toc23292"/>
      <w:bookmarkStart w:id="548" w:name="_Toc21631"/>
      <w:bookmarkStart w:id="549" w:name="_Toc8047"/>
      <w:r>
        <w:rPr>
          <w:rFonts w:hint="eastAsia" w:ascii="仿宋" w:hAnsi="仿宋" w:eastAsia="仿宋" w:cs="仿宋"/>
          <w:b/>
          <w:bCs/>
          <w:color w:val="auto"/>
          <w:sz w:val="24"/>
          <w:szCs w:val="24"/>
          <w:highlight w:val="none"/>
          <w:lang w:val="zh-CN"/>
        </w:rPr>
        <w:t>1.3 价款</w:t>
      </w:r>
      <w:bookmarkEnd w:id="545"/>
      <w:bookmarkEnd w:id="546"/>
      <w:bookmarkEnd w:id="547"/>
      <w:bookmarkEnd w:id="548"/>
      <w:bookmarkEnd w:id="549"/>
    </w:p>
    <w:p w14:paraId="3F262079">
      <w:pPr>
        <w:spacing w:line="360" w:lineRule="auto"/>
        <w:ind w:firstLine="4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本合同总价为：￥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元（大写：人民币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p>
    <w:p w14:paraId="2DF374EE">
      <w:pPr>
        <w:spacing w:line="360" w:lineRule="auto"/>
        <w:ind w:firstLine="435"/>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分项价格：</w:t>
      </w:r>
    </w:p>
    <w:tbl>
      <w:tblPr>
        <w:tblStyle w:val="3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4316"/>
        <w:gridCol w:w="12"/>
        <w:gridCol w:w="3225"/>
        <w:gridCol w:w="12"/>
      </w:tblGrid>
      <w:tr w14:paraId="0DB52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vAlign w:val="center"/>
          </w:tcPr>
          <w:p w14:paraId="52481653">
            <w:pPr>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序号</w:t>
            </w:r>
          </w:p>
        </w:tc>
        <w:tc>
          <w:tcPr>
            <w:tcW w:w="4316" w:type="dxa"/>
            <w:vAlign w:val="center"/>
          </w:tcPr>
          <w:p w14:paraId="7CE4A2F8">
            <w:pPr>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3237" w:type="dxa"/>
            <w:gridSpan w:val="2"/>
            <w:vAlign w:val="center"/>
          </w:tcPr>
          <w:p w14:paraId="2EE0CB8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23658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10737928">
            <w:pPr>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w:t>
            </w:r>
          </w:p>
        </w:tc>
        <w:tc>
          <w:tcPr>
            <w:tcW w:w="4316" w:type="dxa"/>
            <w:vAlign w:val="center"/>
          </w:tcPr>
          <w:p w14:paraId="6B57980F">
            <w:pPr>
              <w:ind w:firstLine="200"/>
              <w:jc w:val="center"/>
              <w:rPr>
                <w:rFonts w:hint="eastAsia" w:ascii="仿宋" w:hAnsi="仿宋" w:eastAsia="仿宋" w:cs="仿宋"/>
                <w:color w:val="auto"/>
                <w:sz w:val="24"/>
                <w:szCs w:val="24"/>
                <w:highlight w:val="none"/>
              </w:rPr>
            </w:pPr>
          </w:p>
        </w:tc>
        <w:tc>
          <w:tcPr>
            <w:tcW w:w="3237" w:type="dxa"/>
            <w:gridSpan w:val="2"/>
            <w:vAlign w:val="center"/>
          </w:tcPr>
          <w:p w14:paraId="12FED18D">
            <w:pPr>
              <w:ind w:firstLine="200"/>
              <w:jc w:val="center"/>
              <w:rPr>
                <w:rFonts w:hint="eastAsia" w:ascii="仿宋" w:hAnsi="仿宋" w:eastAsia="仿宋" w:cs="仿宋"/>
                <w:color w:val="auto"/>
                <w:sz w:val="24"/>
                <w:szCs w:val="24"/>
                <w:highlight w:val="none"/>
              </w:rPr>
            </w:pPr>
          </w:p>
        </w:tc>
      </w:tr>
      <w:tr w14:paraId="536A7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5A67F0CA">
            <w:pPr>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w:t>
            </w:r>
          </w:p>
        </w:tc>
        <w:tc>
          <w:tcPr>
            <w:tcW w:w="4316" w:type="dxa"/>
            <w:vAlign w:val="center"/>
          </w:tcPr>
          <w:p w14:paraId="595EB0DC">
            <w:pPr>
              <w:ind w:firstLine="200"/>
              <w:jc w:val="center"/>
              <w:rPr>
                <w:rFonts w:hint="eastAsia" w:ascii="仿宋" w:hAnsi="仿宋" w:eastAsia="仿宋" w:cs="仿宋"/>
                <w:color w:val="auto"/>
                <w:sz w:val="24"/>
                <w:szCs w:val="24"/>
                <w:highlight w:val="none"/>
              </w:rPr>
            </w:pPr>
          </w:p>
        </w:tc>
        <w:tc>
          <w:tcPr>
            <w:tcW w:w="3237" w:type="dxa"/>
            <w:gridSpan w:val="2"/>
            <w:vAlign w:val="center"/>
          </w:tcPr>
          <w:p w14:paraId="0D1C040C">
            <w:pPr>
              <w:ind w:firstLine="200"/>
              <w:jc w:val="center"/>
              <w:rPr>
                <w:rFonts w:hint="eastAsia" w:ascii="仿宋" w:hAnsi="仿宋" w:eastAsia="仿宋" w:cs="仿宋"/>
                <w:color w:val="auto"/>
                <w:sz w:val="24"/>
                <w:szCs w:val="24"/>
                <w:highlight w:val="none"/>
              </w:rPr>
            </w:pPr>
          </w:p>
        </w:tc>
      </w:tr>
      <w:tr w14:paraId="1EC8D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57202C31">
            <w:pPr>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w:t>
            </w:r>
          </w:p>
        </w:tc>
        <w:tc>
          <w:tcPr>
            <w:tcW w:w="4316" w:type="dxa"/>
            <w:vAlign w:val="center"/>
          </w:tcPr>
          <w:p w14:paraId="766450CD">
            <w:pPr>
              <w:ind w:firstLine="200"/>
              <w:jc w:val="center"/>
              <w:rPr>
                <w:rFonts w:hint="eastAsia" w:ascii="仿宋" w:hAnsi="仿宋" w:eastAsia="仿宋" w:cs="仿宋"/>
                <w:color w:val="auto"/>
                <w:sz w:val="24"/>
                <w:szCs w:val="24"/>
                <w:highlight w:val="none"/>
              </w:rPr>
            </w:pPr>
          </w:p>
        </w:tc>
        <w:tc>
          <w:tcPr>
            <w:tcW w:w="3237" w:type="dxa"/>
            <w:gridSpan w:val="2"/>
            <w:vAlign w:val="center"/>
          </w:tcPr>
          <w:p w14:paraId="62EB4C17">
            <w:pPr>
              <w:ind w:firstLine="200"/>
              <w:jc w:val="center"/>
              <w:rPr>
                <w:rFonts w:hint="eastAsia" w:ascii="仿宋" w:hAnsi="仿宋" w:eastAsia="仿宋" w:cs="仿宋"/>
                <w:color w:val="auto"/>
                <w:sz w:val="24"/>
                <w:szCs w:val="24"/>
                <w:highlight w:val="none"/>
              </w:rPr>
            </w:pPr>
          </w:p>
        </w:tc>
      </w:tr>
      <w:tr w14:paraId="59E80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4EE399C4">
            <w:pPr>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w:t>
            </w:r>
          </w:p>
        </w:tc>
        <w:tc>
          <w:tcPr>
            <w:tcW w:w="4316" w:type="dxa"/>
            <w:vAlign w:val="center"/>
          </w:tcPr>
          <w:p w14:paraId="3B926935">
            <w:pPr>
              <w:ind w:firstLine="200"/>
              <w:jc w:val="center"/>
              <w:rPr>
                <w:rFonts w:hint="eastAsia" w:ascii="仿宋" w:hAnsi="仿宋" w:eastAsia="仿宋" w:cs="仿宋"/>
                <w:color w:val="auto"/>
                <w:sz w:val="24"/>
                <w:szCs w:val="24"/>
                <w:highlight w:val="none"/>
              </w:rPr>
            </w:pPr>
          </w:p>
        </w:tc>
        <w:tc>
          <w:tcPr>
            <w:tcW w:w="3237" w:type="dxa"/>
            <w:gridSpan w:val="2"/>
            <w:vAlign w:val="center"/>
          </w:tcPr>
          <w:p w14:paraId="0B3EAFF1">
            <w:pPr>
              <w:ind w:firstLine="200"/>
              <w:jc w:val="center"/>
              <w:rPr>
                <w:rFonts w:hint="eastAsia" w:ascii="仿宋" w:hAnsi="仿宋" w:eastAsia="仿宋" w:cs="仿宋"/>
                <w:color w:val="auto"/>
                <w:sz w:val="24"/>
                <w:szCs w:val="24"/>
                <w:highlight w:val="none"/>
              </w:rPr>
            </w:pPr>
          </w:p>
        </w:tc>
      </w:tr>
      <w:tr w14:paraId="30F8F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85" w:type="dxa"/>
            <w:gridSpan w:val="3"/>
            <w:vAlign w:val="center"/>
          </w:tcPr>
          <w:p w14:paraId="6F200666">
            <w:pPr>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3237" w:type="dxa"/>
            <w:gridSpan w:val="2"/>
            <w:vAlign w:val="center"/>
          </w:tcPr>
          <w:p w14:paraId="73B52951">
            <w:pPr>
              <w:ind w:firstLine="200"/>
              <w:jc w:val="center"/>
              <w:rPr>
                <w:rFonts w:hint="eastAsia" w:ascii="仿宋" w:hAnsi="仿宋" w:eastAsia="仿宋" w:cs="仿宋"/>
                <w:color w:val="auto"/>
                <w:sz w:val="24"/>
                <w:szCs w:val="24"/>
                <w:highlight w:val="none"/>
              </w:rPr>
            </w:pPr>
          </w:p>
        </w:tc>
      </w:tr>
    </w:tbl>
    <w:p w14:paraId="13FD7815">
      <w:pPr>
        <w:spacing w:line="360" w:lineRule="auto"/>
        <w:ind w:firstLine="437"/>
        <w:outlineLvl w:val="2"/>
        <w:rPr>
          <w:rFonts w:hint="eastAsia" w:ascii="仿宋" w:hAnsi="仿宋" w:eastAsia="仿宋" w:cs="仿宋"/>
          <w:b/>
          <w:bCs/>
          <w:color w:val="auto"/>
          <w:sz w:val="24"/>
          <w:szCs w:val="24"/>
          <w:highlight w:val="none"/>
          <w:lang w:val="zh-CN"/>
        </w:rPr>
      </w:pPr>
      <w:bookmarkStart w:id="550" w:name="_Toc21546"/>
      <w:bookmarkStart w:id="551" w:name="_Toc10340"/>
      <w:bookmarkStart w:id="552" w:name="_Toc1814"/>
      <w:bookmarkStart w:id="553" w:name="_Toc20171"/>
      <w:bookmarkStart w:id="554" w:name="_Toc22618"/>
      <w:r>
        <w:rPr>
          <w:rFonts w:hint="eastAsia" w:ascii="仿宋" w:hAnsi="仿宋" w:eastAsia="仿宋" w:cs="仿宋"/>
          <w:b/>
          <w:bCs/>
          <w:color w:val="auto"/>
          <w:sz w:val="24"/>
          <w:szCs w:val="24"/>
          <w:highlight w:val="none"/>
          <w:lang w:val="zh-CN"/>
        </w:rPr>
        <w:t>1.4 付款方式和发票开具方式</w:t>
      </w:r>
      <w:bookmarkEnd w:id="550"/>
      <w:bookmarkEnd w:id="551"/>
      <w:bookmarkEnd w:id="552"/>
      <w:bookmarkEnd w:id="553"/>
      <w:bookmarkEnd w:id="554"/>
    </w:p>
    <w:p w14:paraId="04AFC0D3">
      <w:pPr>
        <w:spacing w:line="360" w:lineRule="auto"/>
        <w:ind w:firstLine="4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1.4.1付款方式：</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w:t>
      </w:r>
    </w:p>
    <w:p w14:paraId="24605C63">
      <w:pPr>
        <w:spacing w:line="360" w:lineRule="auto"/>
        <w:ind w:firstLine="4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1.4.2发票开具方式：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6DD6CD59">
      <w:pPr>
        <w:spacing w:line="360" w:lineRule="auto"/>
        <w:ind w:firstLine="437"/>
        <w:outlineLvl w:val="2"/>
        <w:rPr>
          <w:rFonts w:hint="eastAsia" w:ascii="仿宋" w:hAnsi="仿宋" w:eastAsia="仿宋" w:cs="仿宋"/>
          <w:b/>
          <w:bCs/>
          <w:color w:val="auto"/>
          <w:sz w:val="24"/>
          <w:szCs w:val="24"/>
          <w:highlight w:val="none"/>
          <w:lang w:val="zh-CN"/>
        </w:rPr>
      </w:pPr>
      <w:bookmarkStart w:id="555" w:name="_Toc2846"/>
      <w:bookmarkStart w:id="556" w:name="_Toc21443"/>
      <w:bookmarkStart w:id="557" w:name="_Toc19304"/>
      <w:bookmarkStart w:id="558" w:name="_Toc15519"/>
      <w:bookmarkStart w:id="559" w:name="_Toc32071"/>
      <w:r>
        <w:rPr>
          <w:rFonts w:hint="eastAsia" w:ascii="仿宋" w:hAnsi="仿宋" w:eastAsia="仿宋" w:cs="仿宋"/>
          <w:b/>
          <w:bCs/>
          <w:color w:val="auto"/>
          <w:sz w:val="24"/>
          <w:szCs w:val="24"/>
          <w:highlight w:val="none"/>
          <w:lang w:val="zh-CN"/>
        </w:rPr>
        <w:t>1.5 服务期限、地点和方式</w:t>
      </w:r>
      <w:bookmarkEnd w:id="555"/>
      <w:bookmarkEnd w:id="556"/>
      <w:bookmarkEnd w:id="557"/>
      <w:bookmarkEnd w:id="558"/>
      <w:bookmarkEnd w:id="559"/>
    </w:p>
    <w:p w14:paraId="1D283D36">
      <w:pPr>
        <w:spacing w:line="360" w:lineRule="auto"/>
        <w:ind w:firstLine="435"/>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1.5.1服务期限：</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w:t>
      </w:r>
    </w:p>
    <w:p w14:paraId="53D0BC33">
      <w:pPr>
        <w:spacing w:line="360" w:lineRule="auto"/>
        <w:ind w:firstLine="4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1.5.2服务地点：</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w:t>
      </w:r>
    </w:p>
    <w:p w14:paraId="2FB035D4">
      <w:pPr>
        <w:spacing w:line="360" w:lineRule="auto"/>
        <w:ind w:firstLine="4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1.5.3服务方式：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6A5BD4D7">
      <w:pPr>
        <w:spacing w:line="360" w:lineRule="auto"/>
        <w:ind w:firstLine="437"/>
        <w:outlineLvl w:val="2"/>
        <w:rPr>
          <w:rFonts w:hint="eastAsia" w:ascii="仿宋" w:hAnsi="仿宋" w:eastAsia="仿宋" w:cs="仿宋"/>
          <w:b/>
          <w:bCs/>
          <w:color w:val="auto"/>
          <w:sz w:val="24"/>
          <w:szCs w:val="24"/>
          <w:highlight w:val="none"/>
          <w:lang w:val="zh-CN"/>
        </w:rPr>
      </w:pPr>
      <w:bookmarkStart w:id="560" w:name="_Toc26348"/>
      <w:bookmarkStart w:id="561" w:name="_Toc9372"/>
      <w:bookmarkStart w:id="562" w:name="_Toc21423"/>
      <w:bookmarkStart w:id="563" w:name="_Toc27250"/>
      <w:bookmarkStart w:id="564" w:name="_Toc19554"/>
      <w:r>
        <w:rPr>
          <w:rFonts w:hint="eastAsia" w:ascii="仿宋" w:hAnsi="仿宋" w:eastAsia="仿宋" w:cs="仿宋"/>
          <w:b/>
          <w:bCs/>
          <w:color w:val="auto"/>
          <w:sz w:val="24"/>
          <w:szCs w:val="24"/>
          <w:highlight w:val="none"/>
          <w:lang w:val="zh-CN"/>
        </w:rPr>
        <w:t>1.6 违约责任</w:t>
      </w:r>
      <w:bookmarkEnd w:id="560"/>
      <w:bookmarkEnd w:id="561"/>
      <w:bookmarkEnd w:id="562"/>
      <w:bookmarkEnd w:id="563"/>
      <w:bookmarkEnd w:id="564"/>
    </w:p>
    <w:p w14:paraId="30F6FF9B">
      <w:pPr>
        <w:spacing w:line="360" w:lineRule="auto"/>
        <w:ind w:firstLine="4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%计算，最高限额为本合同总价的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%；迟延履行的违约金计算数额达到前述最高限额之日起，甲方有权在要求乙方支付违约金的同时，书面通知乙方解除本合同；</w:t>
      </w:r>
    </w:p>
    <w:p w14:paraId="4F160E6B">
      <w:pPr>
        <w:spacing w:line="360" w:lineRule="auto"/>
        <w:ind w:firstLine="4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%计算，最高限额为本合同总价的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%；迟延付款的违约金计算数额达到前述最高限额之日起，乙方有权在要求甲方支付违约金的同时，书面通知甲方解除本合同；</w:t>
      </w:r>
    </w:p>
    <w:p w14:paraId="37F98456">
      <w:pPr>
        <w:spacing w:line="360" w:lineRule="auto"/>
        <w:ind w:firstLine="4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C1716D4">
      <w:pPr>
        <w:spacing w:line="360" w:lineRule="auto"/>
        <w:ind w:firstLine="4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2AE8574">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484E3D0">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1.6.6如果出现政府采购监督管理部门在处理投诉事项期间，书面通知甲方暂停采购活动的情形，或者询问或质疑事项可能影响中标结果的，导致甲方中止履行合同的情形，均不视为甲方违约。</w:t>
      </w:r>
    </w:p>
    <w:p w14:paraId="146F2AF8">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1.6.7因甲方未按合同约定支付价款、未按合同约定受领标的物、擅自解除合同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逾期退还履约保证金导致乙方遭受的直接损失，乙方可向甲方申请赔偿，赔偿金额由双方协商一致；针对因政策变化等原因不能签订合同或解除合同时，造成乙方合法利益受损的情形，可以给予乙方合理补偿，补偿金额不得超过乙方的直接损失。</w:t>
      </w:r>
    </w:p>
    <w:p w14:paraId="59E73D63">
      <w:pPr>
        <w:spacing w:line="360" w:lineRule="auto"/>
        <w:ind w:firstLine="437"/>
        <w:outlineLvl w:val="2"/>
        <w:rPr>
          <w:rFonts w:hint="eastAsia" w:ascii="仿宋" w:hAnsi="仿宋" w:eastAsia="仿宋" w:cs="仿宋"/>
          <w:b/>
          <w:bCs/>
          <w:color w:val="auto"/>
          <w:sz w:val="24"/>
          <w:szCs w:val="24"/>
          <w:highlight w:val="none"/>
          <w:lang w:val="zh-CN"/>
        </w:rPr>
      </w:pPr>
      <w:bookmarkStart w:id="565" w:name="_Toc16021"/>
      <w:bookmarkStart w:id="566" w:name="_Toc15583"/>
      <w:bookmarkStart w:id="567" w:name="_Toc20996"/>
      <w:bookmarkStart w:id="568" w:name="_Toc10408"/>
      <w:bookmarkStart w:id="569" w:name="_Toc28375"/>
      <w:r>
        <w:rPr>
          <w:rFonts w:hint="eastAsia" w:ascii="仿宋" w:hAnsi="仿宋" w:eastAsia="仿宋" w:cs="仿宋"/>
          <w:b/>
          <w:bCs/>
          <w:color w:val="auto"/>
          <w:sz w:val="24"/>
          <w:szCs w:val="24"/>
          <w:highlight w:val="none"/>
          <w:lang w:val="zh-CN"/>
        </w:rPr>
        <w:t>1.7 合同争议的解决</w:t>
      </w:r>
      <w:bookmarkEnd w:id="565"/>
      <w:bookmarkEnd w:id="566"/>
      <w:bookmarkEnd w:id="567"/>
      <w:bookmarkEnd w:id="568"/>
      <w:bookmarkEnd w:id="569"/>
    </w:p>
    <w:p w14:paraId="7343E866">
      <w:pPr>
        <w:spacing w:line="360" w:lineRule="auto"/>
        <w:ind w:firstLine="4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本合同履行过程中发生的任何争议，双方当事人均可通过和解或者调解解决；不愿和解、调解或者和解、调解不成的，可以选择下列第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1.7.1</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种方式解决：</w:t>
      </w:r>
    </w:p>
    <w:p w14:paraId="6A396368">
      <w:pPr>
        <w:spacing w:line="360" w:lineRule="auto"/>
        <w:ind w:firstLine="4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1.7.1将争议提交</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仲裁委员会依申请仲裁时其现行有效的仲裁规则裁决；</w:t>
      </w:r>
    </w:p>
    <w:p w14:paraId="2745DC71">
      <w:pPr>
        <w:spacing w:line="360" w:lineRule="auto"/>
        <w:ind w:firstLine="4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1.7.2向</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人民法院起诉。</w:t>
      </w:r>
    </w:p>
    <w:p w14:paraId="21782786">
      <w:pPr>
        <w:spacing w:line="360" w:lineRule="auto"/>
        <w:ind w:firstLine="437"/>
        <w:outlineLvl w:val="2"/>
        <w:rPr>
          <w:rFonts w:hint="eastAsia" w:ascii="仿宋" w:hAnsi="仿宋" w:eastAsia="仿宋" w:cs="仿宋"/>
          <w:b/>
          <w:bCs/>
          <w:color w:val="auto"/>
          <w:sz w:val="24"/>
          <w:szCs w:val="24"/>
          <w:highlight w:val="none"/>
          <w:lang w:val="zh-CN"/>
        </w:rPr>
      </w:pPr>
      <w:bookmarkStart w:id="570" w:name="_Toc21422"/>
      <w:bookmarkStart w:id="571" w:name="_Toc11173"/>
      <w:bookmarkStart w:id="572" w:name="_Toc15322"/>
      <w:bookmarkStart w:id="573" w:name="_Toc7245"/>
      <w:bookmarkStart w:id="574" w:name="_Toc14122"/>
      <w:r>
        <w:rPr>
          <w:rFonts w:hint="eastAsia" w:ascii="仿宋" w:hAnsi="仿宋" w:eastAsia="仿宋" w:cs="仿宋"/>
          <w:b/>
          <w:bCs/>
          <w:color w:val="auto"/>
          <w:sz w:val="24"/>
          <w:szCs w:val="24"/>
          <w:highlight w:val="none"/>
          <w:lang w:val="zh-CN"/>
        </w:rPr>
        <w:t>1.8 合同生效</w:t>
      </w:r>
      <w:bookmarkEnd w:id="570"/>
      <w:bookmarkEnd w:id="571"/>
      <w:bookmarkEnd w:id="572"/>
      <w:bookmarkEnd w:id="573"/>
      <w:bookmarkEnd w:id="574"/>
    </w:p>
    <w:p w14:paraId="75BCB7E1">
      <w:pPr>
        <w:spacing w:line="360" w:lineRule="auto"/>
        <w:ind w:firstLine="4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本合同自双方当事人盖章时生效。</w:t>
      </w:r>
    </w:p>
    <w:p w14:paraId="3D332747">
      <w:pPr>
        <w:autoSpaceDE w:val="0"/>
        <w:autoSpaceDN w:val="0"/>
        <w:adjustRightInd w:val="0"/>
        <w:spacing w:line="560" w:lineRule="exact"/>
        <w:rPr>
          <w:rFonts w:hint="eastAsia" w:ascii="仿宋" w:hAnsi="仿宋" w:eastAsia="仿宋" w:cs="仿宋"/>
          <w:color w:val="auto"/>
          <w:sz w:val="24"/>
          <w:szCs w:val="24"/>
          <w:highlight w:val="none"/>
          <w:lang w:val="zh-CN"/>
        </w:rPr>
      </w:pPr>
    </w:p>
    <w:p w14:paraId="1DECF0ED">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甲    方：</w:t>
      </w:r>
      <w:r>
        <w:rPr>
          <w:rFonts w:hint="eastAsia" w:ascii="仿宋" w:hAnsi="仿宋" w:eastAsia="仿宋" w:cs="仿宋"/>
          <w:bCs/>
          <w:color w:val="auto"/>
          <w:sz w:val="24"/>
          <w:szCs w:val="24"/>
          <w:highlight w:val="none"/>
          <w:u w:val="single"/>
          <w:lang w:val="zh-CN"/>
        </w:rPr>
        <w:t xml:space="preserve">    （单位盖章）     </w:t>
      </w:r>
      <w:r>
        <w:rPr>
          <w:rFonts w:hint="eastAsia" w:ascii="仿宋" w:hAnsi="仿宋" w:eastAsia="仿宋" w:cs="仿宋"/>
          <w:bCs/>
          <w:color w:val="auto"/>
          <w:sz w:val="24"/>
          <w:szCs w:val="24"/>
          <w:highlight w:val="none"/>
          <w:lang w:val="zh-CN"/>
        </w:rPr>
        <w:t xml:space="preserve">          乙方：</w:t>
      </w:r>
      <w:r>
        <w:rPr>
          <w:rFonts w:hint="eastAsia" w:ascii="仿宋" w:hAnsi="仿宋" w:eastAsia="仿宋" w:cs="仿宋"/>
          <w:bCs/>
          <w:color w:val="auto"/>
          <w:sz w:val="24"/>
          <w:szCs w:val="24"/>
          <w:highlight w:val="none"/>
          <w:u w:val="single"/>
          <w:lang w:val="zh-CN"/>
        </w:rPr>
        <w:t xml:space="preserve">    （单位盖章）     </w:t>
      </w:r>
    </w:p>
    <w:p w14:paraId="32B77F94">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法定代表人                               法定代表人</w:t>
      </w:r>
    </w:p>
    <w:p w14:paraId="51EFDB77">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或授权代表（签字）：                      或授权代表（签字）：</w:t>
      </w:r>
    </w:p>
    <w:p w14:paraId="33793DE9">
      <w:pPr>
        <w:keepNext w:val="0"/>
        <w:keepLines w:val="0"/>
        <w:pageBreakBefore w:val="0"/>
        <w:widowControl/>
        <w:kinsoku/>
        <w:wordWrap/>
        <w:overflowPunct/>
        <w:topLinePunct w:val="0"/>
        <w:bidi w:val="0"/>
        <w:snapToGrid/>
        <w:spacing w:line="500" w:lineRule="exact"/>
        <w:jc w:val="left"/>
        <w:textAlignment w:val="auto"/>
        <w:rPr>
          <w:rFonts w:hint="eastAsia" w:ascii="仿宋" w:hAnsi="仿宋" w:eastAsia="仿宋" w:cs="仿宋"/>
          <w:bCs/>
          <w:color w:val="auto"/>
          <w:sz w:val="24"/>
          <w:szCs w:val="24"/>
          <w:highlight w:val="none"/>
        </w:rPr>
      </w:pPr>
      <w:bookmarkStart w:id="575" w:name="_Toc331685783"/>
      <w:r>
        <w:rPr>
          <w:rFonts w:hint="eastAsia" w:ascii="仿宋" w:hAnsi="仿宋" w:eastAsia="仿宋" w:cs="仿宋"/>
          <w:bCs/>
          <w:color w:val="auto"/>
          <w:sz w:val="24"/>
          <w:szCs w:val="24"/>
          <w:highlight w:val="none"/>
        </w:rPr>
        <w:t>时间：</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年</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月</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日               时间：</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年</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月</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日</w:t>
      </w:r>
    </w:p>
    <w:p w14:paraId="46BE3CD5">
      <w:pPr>
        <w:keepNext w:val="0"/>
        <w:keepLines w:val="0"/>
        <w:pageBreakBefore w:val="0"/>
        <w:kinsoku/>
        <w:wordWrap/>
        <w:overflowPunct/>
        <w:topLinePunct w:val="0"/>
        <w:bidi w:val="0"/>
        <w:snapToGrid/>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bookmarkStart w:id="576" w:name="_Hlk110099149"/>
      <w:r>
        <w:rPr>
          <w:rFonts w:hint="eastAsia" w:ascii="仿宋" w:hAnsi="仿宋" w:eastAsia="仿宋" w:cs="仿宋"/>
          <w:color w:val="auto"/>
          <w:sz w:val="24"/>
          <w:szCs w:val="24"/>
          <w:highlight w:val="none"/>
        </w:rPr>
        <w:t>乙方账户信息</w:t>
      </w:r>
    </w:p>
    <w:p w14:paraId="462F6FD6">
      <w:pPr>
        <w:keepNext w:val="0"/>
        <w:keepLines w:val="0"/>
        <w:pageBreakBefore w:val="0"/>
        <w:kinsoku/>
        <w:wordWrap/>
        <w:overflowPunct/>
        <w:topLinePunct w:val="0"/>
        <w:bidi w:val="0"/>
        <w:snapToGrid/>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户名：</w:t>
      </w:r>
      <w:r>
        <w:rPr>
          <w:rFonts w:hint="eastAsia" w:ascii="仿宋" w:hAnsi="仿宋" w:eastAsia="仿宋" w:cs="仿宋"/>
          <w:color w:val="auto"/>
          <w:sz w:val="24"/>
          <w:szCs w:val="24"/>
          <w:highlight w:val="none"/>
          <w:u w:val="single"/>
        </w:rPr>
        <w:t xml:space="preserve">            </w:t>
      </w:r>
    </w:p>
    <w:p w14:paraId="3642BA04">
      <w:pPr>
        <w:keepNext w:val="0"/>
        <w:keepLines w:val="0"/>
        <w:pageBreakBefore w:val="0"/>
        <w:kinsoku/>
        <w:wordWrap/>
        <w:overflowPunct/>
        <w:topLinePunct w:val="0"/>
        <w:bidi w:val="0"/>
        <w:snapToGrid/>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账号：</w:t>
      </w:r>
      <w:r>
        <w:rPr>
          <w:rFonts w:hint="eastAsia" w:ascii="仿宋" w:hAnsi="仿宋" w:eastAsia="仿宋" w:cs="仿宋"/>
          <w:color w:val="auto"/>
          <w:sz w:val="24"/>
          <w:szCs w:val="24"/>
          <w:highlight w:val="none"/>
          <w:u w:val="single"/>
        </w:rPr>
        <w:t xml:space="preserve">            </w:t>
      </w:r>
    </w:p>
    <w:p w14:paraId="0FF8731B">
      <w:pPr>
        <w:keepNext w:val="0"/>
        <w:keepLines w:val="0"/>
        <w:pageBreakBefore w:val="0"/>
        <w:kinsoku/>
        <w:wordWrap/>
        <w:overflowPunct/>
        <w:topLinePunct w:val="0"/>
        <w:bidi w:val="0"/>
        <w:snapToGrid/>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开户银行：</w:t>
      </w:r>
      <w:r>
        <w:rPr>
          <w:rFonts w:hint="eastAsia" w:ascii="仿宋" w:hAnsi="仿宋" w:eastAsia="仿宋" w:cs="仿宋"/>
          <w:color w:val="auto"/>
          <w:sz w:val="24"/>
          <w:szCs w:val="24"/>
          <w:highlight w:val="none"/>
          <w:u w:val="single"/>
        </w:rPr>
        <w:t xml:space="preserve">        </w:t>
      </w:r>
    </w:p>
    <w:bookmarkEnd w:id="576"/>
    <w:p w14:paraId="620F9120">
      <w:pPr>
        <w:widowControl/>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5298397A">
      <w:pPr>
        <w:spacing w:line="360" w:lineRule="auto"/>
        <w:jc w:val="center"/>
        <w:outlineLvl w:val="1"/>
        <w:rPr>
          <w:rFonts w:hint="eastAsia" w:ascii="仿宋" w:hAnsi="仿宋" w:eastAsia="仿宋" w:cs="仿宋"/>
          <w:b/>
          <w:color w:val="auto"/>
          <w:sz w:val="36"/>
          <w:szCs w:val="36"/>
          <w:highlight w:val="none"/>
          <w:lang w:val="zh-CN" w:eastAsia="zh-CN"/>
        </w:rPr>
      </w:pPr>
      <w:bookmarkStart w:id="577" w:name="_Toc4008"/>
      <w:bookmarkStart w:id="578" w:name="_Toc415"/>
      <w:bookmarkStart w:id="579" w:name="_Toc13256"/>
      <w:r>
        <w:rPr>
          <w:rFonts w:hint="eastAsia" w:ascii="仿宋" w:hAnsi="仿宋" w:eastAsia="仿宋" w:cs="仿宋"/>
          <w:b/>
          <w:color w:val="auto"/>
          <w:sz w:val="36"/>
          <w:szCs w:val="36"/>
          <w:highlight w:val="none"/>
          <w:lang w:val="zh-CN" w:eastAsia="zh-CN"/>
        </w:rPr>
        <w:t>第二部分 合同一般条款</w:t>
      </w:r>
      <w:bookmarkEnd w:id="575"/>
      <w:bookmarkEnd w:id="577"/>
      <w:bookmarkEnd w:id="578"/>
      <w:bookmarkEnd w:id="579"/>
    </w:p>
    <w:p w14:paraId="131DFB97">
      <w:pPr>
        <w:spacing w:line="360" w:lineRule="auto"/>
        <w:ind w:firstLine="437"/>
        <w:outlineLvl w:val="2"/>
        <w:rPr>
          <w:rFonts w:hint="eastAsia" w:ascii="仿宋" w:hAnsi="仿宋" w:eastAsia="仿宋" w:cs="仿宋"/>
          <w:b/>
          <w:bCs/>
          <w:i w:val="0"/>
          <w:iCs w:val="0"/>
          <w:color w:val="auto"/>
          <w:sz w:val="24"/>
          <w:szCs w:val="24"/>
          <w:highlight w:val="none"/>
          <w:lang w:val="zh-CN"/>
        </w:rPr>
      </w:pPr>
      <w:bookmarkStart w:id="580" w:name="_Ref467378463"/>
      <w:bookmarkStart w:id="581" w:name="_Toc6755"/>
      <w:bookmarkStart w:id="582" w:name="_Toc28763"/>
      <w:bookmarkStart w:id="583" w:name="_Ref467379101"/>
      <w:bookmarkStart w:id="584" w:name="_Toc15955"/>
      <w:bookmarkStart w:id="585" w:name="_Ref467379195"/>
      <w:bookmarkStart w:id="586" w:name="_Ref467379094"/>
      <w:bookmarkStart w:id="587" w:name="_Toc487900349"/>
      <w:bookmarkStart w:id="588" w:name="_Ref467379225"/>
      <w:bookmarkStart w:id="589" w:name="_Toc279701240"/>
      <w:bookmarkStart w:id="590" w:name="_Ref467379205"/>
      <w:bookmarkStart w:id="591" w:name="_Ref467378499"/>
      <w:bookmarkStart w:id="592" w:name="_Toc19614"/>
      <w:bookmarkStart w:id="593" w:name="_Toc16917"/>
      <w:bookmarkStart w:id="594" w:name="_Ref467379109"/>
      <w:bookmarkStart w:id="595" w:name="_Ref467379214"/>
      <w:bookmarkStart w:id="596" w:name="_Ref467378404"/>
      <w:bookmarkStart w:id="597" w:name="_Toc259093669"/>
      <w:r>
        <w:rPr>
          <w:rFonts w:hint="eastAsia" w:ascii="仿宋" w:hAnsi="仿宋" w:eastAsia="仿宋" w:cs="仿宋"/>
          <w:b/>
          <w:bCs/>
          <w:i w:val="0"/>
          <w:iCs w:val="0"/>
          <w:color w:val="auto"/>
          <w:sz w:val="24"/>
          <w:szCs w:val="24"/>
          <w:highlight w:val="none"/>
          <w:lang w:val="zh-CN"/>
        </w:rPr>
        <w:t>2.1 定义</w:t>
      </w:r>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p>
    <w:p w14:paraId="6209D5FB">
      <w:pPr>
        <w:spacing w:line="360" w:lineRule="auto"/>
        <w:ind w:firstLine="435"/>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本合同中的下列词语应按以下内容进行解释：</w:t>
      </w:r>
    </w:p>
    <w:p w14:paraId="4C9FC24B">
      <w:pPr>
        <w:spacing w:line="360" w:lineRule="auto"/>
        <w:ind w:firstLine="435"/>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2.1.1“合同”系指采购人和中标人签订的载明双方当事人所达成的协议，并包括所有的附件、附录和构成合同的其他文件。</w:t>
      </w:r>
    </w:p>
    <w:p w14:paraId="0B84E116">
      <w:pPr>
        <w:spacing w:line="360" w:lineRule="auto"/>
        <w:ind w:firstLine="435"/>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2.1.2“合同价”系指根据合同约定，中标人在完全履行合同义务后，采购人应支付给中标人的价格。</w:t>
      </w:r>
    </w:p>
    <w:p w14:paraId="27DDFA29">
      <w:pPr>
        <w:spacing w:line="360" w:lineRule="auto"/>
        <w:ind w:firstLine="435"/>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2.1.3“服务”系指中标人根据合同约定应向采购人履行的除货物和工程以外的其他政府采购对象，包括采购人自身需要的服务和向社会公众提供的公共服务。</w:t>
      </w:r>
    </w:p>
    <w:p w14:paraId="0BFFC5D8">
      <w:pPr>
        <w:spacing w:line="360" w:lineRule="auto"/>
        <w:ind w:firstLine="435"/>
        <w:rPr>
          <w:rFonts w:hint="eastAsia" w:ascii="仿宋" w:hAnsi="仿宋" w:eastAsia="仿宋" w:cs="仿宋"/>
          <w:i w:val="0"/>
          <w:iCs w:val="0"/>
          <w:color w:val="auto"/>
          <w:sz w:val="24"/>
          <w:szCs w:val="24"/>
          <w:highlight w:val="none"/>
        </w:rPr>
      </w:pPr>
      <w:bookmarkStart w:id="598" w:name="_Ref467378840"/>
      <w:r>
        <w:rPr>
          <w:rFonts w:hint="eastAsia" w:ascii="仿宋" w:hAnsi="仿宋" w:eastAsia="仿宋" w:cs="仿宋"/>
          <w:i w:val="0"/>
          <w:iCs w:val="0"/>
          <w:color w:val="auto"/>
          <w:sz w:val="24"/>
          <w:szCs w:val="24"/>
          <w:highlight w:val="none"/>
        </w:rPr>
        <w:t>2.1.4“甲方”系指与中标人签署合同的采购人</w:t>
      </w:r>
      <w:bookmarkEnd w:id="598"/>
      <w:r>
        <w:rPr>
          <w:rFonts w:hint="eastAsia" w:ascii="仿宋" w:hAnsi="仿宋" w:eastAsia="仿宋" w:cs="仿宋"/>
          <w:i w:val="0"/>
          <w:iCs w:val="0"/>
          <w:color w:val="auto"/>
          <w:sz w:val="24"/>
          <w:szCs w:val="24"/>
          <w:highlight w:val="none"/>
        </w:rPr>
        <w:t>；采购人委托采购代理机构代表其与乙方签订合同的，采购人的授权委托书作为合同附件。</w:t>
      </w:r>
    </w:p>
    <w:p w14:paraId="0106D279">
      <w:pPr>
        <w:spacing w:line="360" w:lineRule="auto"/>
        <w:ind w:firstLine="435"/>
        <w:rPr>
          <w:rFonts w:hint="eastAsia" w:ascii="仿宋" w:hAnsi="仿宋" w:eastAsia="仿宋" w:cs="仿宋"/>
          <w:i w:val="0"/>
          <w:iCs w:val="0"/>
          <w:color w:val="auto"/>
          <w:sz w:val="24"/>
          <w:szCs w:val="24"/>
          <w:highlight w:val="none"/>
        </w:rPr>
      </w:pPr>
      <w:bookmarkStart w:id="599" w:name="_Ref467379400"/>
      <w:r>
        <w:rPr>
          <w:rFonts w:hint="eastAsia" w:ascii="仿宋" w:hAnsi="仿宋" w:eastAsia="仿宋" w:cs="仿宋"/>
          <w:i w:val="0"/>
          <w:iCs w:val="0"/>
          <w:color w:val="auto"/>
          <w:sz w:val="24"/>
          <w:szCs w:val="24"/>
          <w:highlight w:val="none"/>
        </w:rPr>
        <w:t>2.1.5“乙方”系指根据合同约定提供服务的中标人</w:t>
      </w:r>
      <w:bookmarkEnd w:id="599"/>
      <w:r>
        <w:rPr>
          <w:rFonts w:hint="eastAsia" w:ascii="仿宋" w:hAnsi="仿宋" w:eastAsia="仿宋" w:cs="仿宋"/>
          <w:i w:val="0"/>
          <w:iCs w:val="0"/>
          <w:color w:val="auto"/>
          <w:sz w:val="24"/>
          <w:szCs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24B20D1">
      <w:pPr>
        <w:spacing w:line="360" w:lineRule="auto"/>
        <w:ind w:firstLine="435"/>
        <w:rPr>
          <w:rFonts w:hint="eastAsia" w:ascii="仿宋" w:hAnsi="仿宋" w:eastAsia="仿宋" w:cs="仿宋"/>
          <w:i w:val="0"/>
          <w:iCs w:val="0"/>
          <w:color w:val="auto"/>
          <w:sz w:val="24"/>
          <w:szCs w:val="24"/>
          <w:highlight w:val="none"/>
        </w:rPr>
      </w:pPr>
      <w:bookmarkStart w:id="600" w:name="_Ref467379436"/>
      <w:r>
        <w:rPr>
          <w:rFonts w:hint="eastAsia" w:ascii="仿宋" w:hAnsi="仿宋" w:eastAsia="仿宋" w:cs="仿宋"/>
          <w:i w:val="0"/>
          <w:iCs w:val="0"/>
          <w:color w:val="auto"/>
          <w:sz w:val="24"/>
          <w:szCs w:val="24"/>
          <w:highlight w:val="none"/>
        </w:rPr>
        <w:t>2.1.6“现场”系指合同约定提供服务的地点。</w:t>
      </w:r>
      <w:bookmarkEnd w:id="600"/>
    </w:p>
    <w:p w14:paraId="30E39139">
      <w:pPr>
        <w:spacing w:line="360" w:lineRule="auto"/>
        <w:ind w:firstLine="437"/>
        <w:outlineLvl w:val="2"/>
        <w:rPr>
          <w:rFonts w:hint="eastAsia" w:ascii="仿宋" w:hAnsi="仿宋" w:eastAsia="仿宋" w:cs="仿宋"/>
          <w:b/>
          <w:bCs/>
          <w:i w:val="0"/>
          <w:iCs w:val="0"/>
          <w:color w:val="auto"/>
          <w:sz w:val="24"/>
          <w:szCs w:val="24"/>
          <w:highlight w:val="none"/>
          <w:lang w:val="zh-CN"/>
        </w:rPr>
      </w:pPr>
      <w:bookmarkStart w:id="601" w:name="_Toc28490"/>
      <w:bookmarkStart w:id="602" w:name="_Toc27635"/>
      <w:bookmarkStart w:id="603" w:name="_Toc487900350"/>
      <w:bookmarkStart w:id="604" w:name="_Toc13336"/>
      <w:bookmarkStart w:id="605" w:name="_Toc259093670"/>
      <w:bookmarkStart w:id="606" w:name="_Toc32504"/>
      <w:bookmarkStart w:id="607" w:name="_Toc279701241"/>
      <w:bookmarkStart w:id="608" w:name="_Toc32079"/>
      <w:r>
        <w:rPr>
          <w:rFonts w:hint="eastAsia" w:ascii="仿宋" w:hAnsi="仿宋" w:eastAsia="仿宋" w:cs="仿宋"/>
          <w:b/>
          <w:bCs/>
          <w:i w:val="0"/>
          <w:iCs w:val="0"/>
          <w:color w:val="auto"/>
          <w:sz w:val="24"/>
          <w:szCs w:val="24"/>
          <w:highlight w:val="none"/>
          <w:lang w:val="zh-CN"/>
        </w:rPr>
        <w:t>2.2 技术规范</w:t>
      </w:r>
      <w:bookmarkEnd w:id="601"/>
      <w:bookmarkEnd w:id="602"/>
      <w:bookmarkEnd w:id="603"/>
      <w:bookmarkEnd w:id="604"/>
      <w:bookmarkEnd w:id="605"/>
      <w:bookmarkEnd w:id="606"/>
      <w:bookmarkEnd w:id="607"/>
      <w:bookmarkEnd w:id="608"/>
    </w:p>
    <w:p w14:paraId="58711570">
      <w:pPr>
        <w:spacing w:line="360" w:lineRule="auto"/>
        <w:ind w:firstLine="435"/>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866AD50">
      <w:pPr>
        <w:spacing w:line="360" w:lineRule="auto"/>
        <w:ind w:firstLine="437"/>
        <w:outlineLvl w:val="2"/>
        <w:rPr>
          <w:rFonts w:hint="eastAsia" w:ascii="仿宋" w:hAnsi="仿宋" w:eastAsia="仿宋" w:cs="仿宋"/>
          <w:b/>
          <w:bCs/>
          <w:i w:val="0"/>
          <w:iCs w:val="0"/>
          <w:color w:val="auto"/>
          <w:sz w:val="24"/>
          <w:szCs w:val="24"/>
          <w:highlight w:val="none"/>
          <w:lang w:val="zh-CN"/>
        </w:rPr>
      </w:pPr>
      <w:bookmarkStart w:id="609" w:name="_Toc31634"/>
      <w:bookmarkStart w:id="610" w:name="_Toc17683"/>
      <w:bookmarkStart w:id="611" w:name="_Toc487900351"/>
      <w:bookmarkStart w:id="612" w:name="_Toc27853"/>
      <w:bookmarkStart w:id="613" w:name="_Toc279701242"/>
      <w:bookmarkStart w:id="614" w:name="_Toc15907"/>
      <w:bookmarkStart w:id="615" w:name="_Toc259093671"/>
      <w:bookmarkStart w:id="616" w:name="_Toc9829"/>
      <w:r>
        <w:rPr>
          <w:rFonts w:hint="eastAsia" w:ascii="仿宋" w:hAnsi="仿宋" w:eastAsia="仿宋" w:cs="仿宋"/>
          <w:b/>
          <w:bCs/>
          <w:i w:val="0"/>
          <w:iCs w:val="0"/>
          <w:color w:val="auto"/>
          <w:sz w:val="24"/>
          <w:szCs w:val="24"/>
          <w:highlight w:val="none"/>
          <w:lang w:val="zh-CN"/>
        </w:rPr>
        <w:t>2.3 知识产权</w:t>
      </w:r>
      <w:bookmarkEnd w:id="609"/>
      <w:bookmarkEnd w:id="610"/>
      <w:bookmarkEnd w:id="611"/>
      <w:bookmarkEnd w:id="612"/>
      <w:bookmarkEnd w:id="613"/>
      <w:bookmarkEnd w:id="614"/>
      <w:bookmarkEnd w:id="615"/>
      <w:bookmarkEnd w:id="616"/>
    </w:p>
    <w:p w14:paraId="3CEFF7BD">
      <w:pPr>
        <w:spacing w:line="360" w:lineRule="auto"/>
        <w:ind w:firstLine="435"/>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2.3.1乙方应保证其提供的服务不受任何第三方提出的侵犯其著作权、商标权、专利权等知识产权方面的起诉；如果任何第三方提出侵权指控，那么乙方须与该第三方交涉并承担由此发生的一切责任、费用和赔偿；</w:t>
      </w:r>
    </w:p>
    <w:p w14:paraId="04ADEDF3">
      <w:pPr>
        <w:spacing w:line="360" w:lineRule="auto"/>
        <w:ind w:firstLine="435"/>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2.3.2具有知识产权的计算机软件等货物的知识产权归属，详见</w:t>
      </w:r>
      <w:r>
        <w:rPr>
          <w:rFonts w:hint="eastAsia" w:ascii="仿宋" w:hAnsi="仿宋" w:eastAsia="仿宋" w:cs="仿宋"/>
          <w:b/>
          <w:i w:val="0"/>
          <w:iCs w:val="0"/>
          <w:color w:val="auto"/>
          <w:sz w:val="24"/>
          <w:szCs w:val="24"/>
          <w:highlight w:val="none"/>
          <w:u w:val="single"/>
        </w:rPr>
        <w:t>合同专用条款</w:t>
      </w:r>
      <w:r>
        <w:rPr>
          <w:rFonts w:hint="eastAsia" w:ascii="仿宋" w:hAnsi="仿宋" w:eastAsia="仿宋" w:cs="仿宋"/>
          <w:i w:val="0"/>
          <w:iCs w:val="0"/>
          <w:color w:val="auto"/>
          <w:sz w:val="24"/>
          <w:szCs w:val="24"/>
          <w:highlight w:val="none"/>
        </w:rPr>
        <w:t>。</w:t>
      </w:r>
    </w:p>
    <w:p w14:paraId="1FEFEBFA">
      <w:pPr>
        <w:spacing w:line="360" w:lineRule="auto"/>
        <w:ind w:firstLine="437"/>
        <w:outlineLvl w:val="2"/>
        <w:rPr>
          <w:rFonts w:hint="eastAsia" w:ascii="仿宋" w:hAnsi="仿宋" w:eastAsia="仿宋" w:cs="仿宋"/>
          <w:b/>
          <w:bCs/>
          <w:i w:val="0"/>
          <w:iCs w:val="0"/>
          <w:color w:val="auto"/>
          <w:sz w:val="24"/>
          <w:szCs w:val="24"/>
          <w:highlight w:val="none"/>
          <w:lang w:val="zh-CN"/>
        </w:rPr>
      </w:pPr>
      <w:bookmarkStart w:id="617" w:name="_Ref467378591"/>
      <w:bookmarkStart w:id="618" w:name="_Ref467379542"/>
      <w:bookmarkStart w:id="619" w:name="_Ref467378541"/>
      <w:bookmarkStart w:id="620" w:name="_Toc279701245"/>
      <w:bookmarkStart w:id="621" w:name="_Ref467379527"/>
      <w:bookmarkStart w:id="622" w:name="_Ref467379536"/>
      <w:bookmarkStart w:id="623" w:name="_Toc259093674"/>
      <w:bookmarkStart w:id="624" w:name="_Toc487900354"/>
      <w:bookmarkStart w:id="625" w:name="_Toc30272"/>
      <w:bookmarkStart w:id="626" w:name="_Toc28304"/>
      <w:bookmarkStart w:id="627" w:name="_Toc19074"/>
      <w:bookmarkStart w:id="628" w:name="_Toc26182"/>
      <w:bookmarkStart w:id="629" w:name="_Toc29150"/>
      <w:r>
        <w:rPr>
          <w:rFonts w:hint="eastAsia" w:ascii="仿宋" w:hAnsi="仿宋" w:eastAsia="仿宋" w:cs="仿宋"/>
          <w:b/>
          <w:bCs/>
          <w:i w:val="0"/>
          <w:iCs w:val="0"/>
          <w:color w:val="auto"/>
          <w:sz w:val="24"/>
          <w:szCs w:val="24"/>
          <w:highlight w:val="none"/>
          <w:lang w:val="zh-CN"/>
        </w:rPr>
        <w:t>2.</w:t>
      </w:r>
      <w:bookmarkEnd w:id="617"/>
      <w:bookmarkEnd w:id="618"/>
      <w:bookmarkEnd w:id="619"/>
      <w:bookmarkEnd w:id="620"/>
      <w:bookmarkEnd w:id="621"/>
      <w:bookmarkEnd w:id="622"/>
      <w:bookmarkEnd w:id="623"/>
      <w:bookmarkEnd w:id="624"/>
      <w:r>
        <w:rPr>
          <w:rFonts w:hint="eastAsia" w:ascii="仿宋" w:hAnsi="仿宋" w:eastAsia="仿宋" w:cs="仿宋"/>
          <w:b/>
          <w:bCs/>
          <w:i w:val="0"/>
          <w:iCs w:val="0"/>
          <w:color w:val="auto"/>
          <w:sz w:val="24"/>
          <w:szCs w:val="24"/>
          <w:highlight w:val="none"/>
          <w:lang w:val="zh-CN"/>
        </w:rPr>
        <w:t>4 履约检查和问题反馈</w:t>
      </w:r>
      <w:bookmarkEnd w:id="625"/>
      <w:bookmarkEnd w:id="626"/>
      <w:bookmarkEnd w:id="627"/>
      <w:bookmarkEnd w:id="628"/>
      <w:bookmarkEnd w:id="629"/>
    </w:p>
    <w:p w14:paraId="6953B507">
      <w:pPr>
        <w:spacing w:line="360" w:lineRule="auto"/>
        <w:ind w:firstLine="435"/>
        <w:rPr>
          <w:rFonts w:hint="eastAsia" w:ascii="仿宋" w:hAnsi="仿宋" w:eastAsia="仿宋" w:cs="仿宋"/>
          <w:i w:val="0"/>
          <w:iCs w:val="0"/>
          <w:color w:val="auto"/>
          <w:sz w:val="24"/>
          <w:szCs w:val="24"/>
          <w:highlight w:val="none"/>
        </w:rPr>
      </w:pPr>
      <w:bookmarkStart w:id="630" w:name="_Toc186431854"/>
      <w:bookmarkStart w:id="631" w:name="_Ref467379807"/>
      <w:bookmarkStart w:id="632" w:name="_Toc279701247"/>
      <w:bookmarkStart w:id="633" w:name="_Toc259093676"/>
      <w:bookmarkStart w:id="634" w:name="_Ref467379793"/>
      <w:bookmarkStart w:id="635" w:name="_Toc487900357"/>
      <w:r>
        <w:rPr>
          <w:rFonts w:hint="eastAsia" w:ascii="仿宋" w:hAnsi="仿宋" w:eastAsia="仿宋" w:cs="仿宋"/>
          <w:i w:val="0"/>
          <w:iCs w:val="0"/>
          <w:color w:val="auto"/>
          <w:sz w:val="24"/>
          <w:szCs w:val="24"/>
          <w:highlight w:val="none"/>
        </w:rPr>
        <w:t>2.4.1甲方有权在其认为必要时，对乙方是否能够按照合同约定提供服务进行履约检查，以确保乙方所提供的服务能够依约满足甲方项目需求，但不得因履约检查妨碍乙方的正常工作，乙方应予积极配合；</w:t>
      </w:r>
    </w:p>
    <w:p w14:paraId="0DDF97E2">
      <w:pPr>
        <w:spacing w:line="360" w:lineRule="auto"/>
        <w:ind w:firstLine="435"/>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2.4.2合同履行期间，甲方有权将履行过程中出现的问题反馈给乙方，双方当事人应以书面形式约定需要完善和改进的内容</w:t>
      </w:r>
      <w:bookmarkEnd w:id="630"/>
      <w:bookmarkStart w:id="636" w:name="_Toc186431855"/>
      <w:r>
        <w:rPr>
          <w:rFonts w:hint="eastAsia" w:ascii="仿宋" w:hAnsi="仿宋" w:eastAsia="仿宋" w:cs="仿宋"/>
          <w:i w:val="0"/>
          <w:iCs w:val="0"/>
          <w:color w:val="auto"/>
          <w:sz w:val="24"/>
          <w:szCs w:val="24"/>
          <w:highlight w:val="none"/>
        </w:rPr>
        <w:t>。</w:t>
      </w:r>
    </w:p>
    <w:bookmarkEnd w:id="636"/>
    <w:p w14:paraId="6B38B4B6">
      <w:pPr>
        <w:spacing w:line="360" w:lineRule="auto"/>
        <w:ind w:firstLine="437"/>
        <w:outlineLvl w:val="2"/>
        <w:rPr>
          <w:rFonts w:hint="eastAsia" w:ascii="仿宋" w:hAnsi="仿宋" w:eastAsia="仿宋" w:cs="仿宋"/>
          <w:b/>
          <w:bCs/>
          <w:i w:val="0"/>
          <w:iCs w:val="0"/>
          <w:color w:val="auto"/>
          <w:sz w:val="24"/>
          <w:szCs w:val="24"/>
          <w:highlight w:val="none"/>
          <w:lang w:val="zh-CN"/>
        </w:rPr>
      </w:pPr>
      <w:bookmarkStart w:id="637" w:name="_Toc19219"/>
      <w:bookmarkStart w:id="638" w:name="_Toc6918"/>
      <w:bookmarkStart w:id="639" w:name="_Toc745"/>
      <w:bookmarkStart w:id="640" w:name="_Toc7836"/>
      <w:bookmarkStart w:id="641" w:name="_Toc28451"/>
      <w:r>
        <w:rPr>
          <w:rFonts w:hint="eastAsia" w:ascii="仿宋" w:hAnsi="仿宋" w:eastAsia="仿宋" w:cs="仿宋"/>
          <w:b/>
          <w:bCs/>
          <w:i w:val="0"/>
          <w:iCs w:val="0"/>
          <w:color w:val="auto"/>
          <w:sz w:val="24"/>
          <w:szCs w:val="24"/>
          <w:highlight w:val="none"/>
          <w:lang w:val="zh-CN"/>
        </w:rPr>
        <w:t>2.5 结算方式和付款条件</w:t>
      </w:r>
      <w:bookmarkEnd w:id="631"/>
      <w:bookmarkEnd w:id="632"/>
      <w:bookmarkEnd w:id="633"/>
      <w:bookmarkEnd w:id="634"/>
      <w:bookmarkEnd w:id="635"/>
      <w:bookmarkEnd w:id="637"/>
      <w:bookmarkEnd w:id="638"/>
      <w:bookmarkEnd w:id="639"/>
      <w:bookmarkEnd w:id="640"/>
      <w:bookmarkEnd w:id="641"/>
    </w:p>
    <w:p w14:paraId="5EA299A7">
      <w:pPr>
        <w:spacing w:line="360" w:lineRule="auto"/>
        <w:ind w:firstLine="435"/>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详见</w:t>
      </w:r>
      <w:r>
        <w:rPr>
          <w:rFonts w:hint="eastAsia" w:ascii="仿宋" w:hAnsi="仿宋" w:eastAsia="仿宋" w:cs="仿宋"/>
          <w:b/>
          <w:i w:val="0"/>
          <w:iCs w:val="0"/>
          <w:color w:val="auto"/>
          <w:sz w:val="24"/>
          <w:szCs w:val="24"/>
          <w:highlight w:val="none"/>
          <w:u w:val="single"/>
        </w:rPr>
        <w:t>合同专用条款</w:t>
      </w:r>
      <w:r>
        <w:rPr>
          <w:rFonts w:hint="eastAsia" w:ascii="仿宋" w:hAnsi="仿宋" w:eastAsia="仿宋" w:cs="仿宋"/>
          <w:i w:val="0"/>
          <w:iCs w:val="0"/>
          <w:color w:val="auto"/>
          <w:sz w:val="24"/>
          <w:szCs w:val="24"/>
          <w:highlight w:val="none"/>
        </w:rPr>
        <w:t>。</w:t>
      </w:r>
    </w:p>
    <w:p w14:paraId="340A7667">
      <w:pPr>
        <w:spacing w:line="360" w:lineRule="auto"/>
        <w:ind w:firstLine="437"/>
        <w:outlineLvl w:val="2"/>
        <w:rPr>
          <w:rFonts w:hint="eastAsia" w:ascii="仿宋" w:hAnsi="仿宋" w:eastAsia="仿宋" w:cs="仿宋"/>
          <w:b/>
          <w:bCs/>
          <w:i w:val="0"/>
          <w:iCs w:val="0"/>
          <w:color w:val="auto"/>
          <w:sz w:val="24"/>
          <w:szCs w:val="24"/>
          <w:highlight w:val="none"/>
          <w:lang w:val="zh-CN"/>
        </w:rPr>
      </w:pPr>
      <w:bookmarkStart w:id="642" w:name="_Ref467379852"/>
      <w:bookmarkStart w:id="643" w:name="_Toc487900358"/>
      <w:bookmarkStart w:id="644" w:name="_Toc279701248"/>
      <w:bookmarkStart w:id="645" w:name="_Ref467379923"/>
      <w:bookmarkStart w:id="646" w:name="_Ref467379863"/>
      <w:bookmarkStart w:id="647" w:name="_Toc259093677"/>
      <w:bookmarkStart w:id="648" w:name="_Toc16110"/>
      <w:bookmarkStart w:id="649" w:name="_Toc8947"/>
      <w:bookmarkStart w:id="650" w:name="_Toc6627"/>
      <w:bookmarkStart w:id="651" w:name="_Toc3225"/>
      <w:bookmarkStart w:id="652" w:name="_Toc774"/>
      <w:r>
        <w:rPr>
          <w:rFonts w:hint="eastAsia" w:ascii="仿宋" w:hAnsi="仿宋" w:eastAsia="仿宋" w:cs="仿宋"/>
          <w:b/>
          <w:bCs/>
          <w:i w:val="0"/>
          <w:iCs w:val="0"/>
          <w:color w:val="auto"/>
          <w:sz w:val="24"/>
          <w:szCs w:val="24"/>
          <w:highlight w:val="none"/>
          <w:lang w:val="zh-CN"/>
        </w:rPr>
        <w:t>2.6 技术资料</w:t>
      </w:r>
      <w:bookmarkEnd w:id="642"/>
      <w:bookmarkEnd w:id="643"/>
      <w:bookmarkEnd w:id="644"/>
      <w:bookmarkEnd w:id="645"/>
      <w:bookmarkEnd w:id="646"/>
      <w:bookmarkEnd w:id="647"/>
      <w:r>
        <w:rPr>
          <w:rFonts w:hint="eastAsia" w:ascii="仿宋" w:hAnsi="仿宋" w:eastAsia="仿宋" w:cs="仿宋"/>
          <w:b/>
          <w:bCs/>
          <w:i w:val="0"/>
          <w:iCs w:val="0"/>
          <w:color w:val="auto"/>
          <w:sz w:val="24"/>
          <w:szCs w:val="24"/>
          <w:highlight w:val="none"/>
          <w:lang w:val="zh-CN"/>
        </w:rPr>
        <w:t>和保密义务</w:t>
      </w:r>
      <w:bookmarkEnd w:id="648"/>
      <w:bookmarkEnd w:id="649"/>
      <w:bookmarkEnd w:id="650"/>
      <w:bookmarkEnd w:id="651"/>
      <w:bookmarkEnd w:id="652"/>
    </w:p>
    <w:p w14:paraId="7E29D3BB">
      <w:pPr>
        <w:spacing w:line="360" w:lineRule="auto"/>
        <w:ind w:firstLine="435"/>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2.6.1乙方有权依据合同约定和项目需要，向甲方了解有关情况，调阅有关资料等，甲方应予积极配合；</w:t>
      </w:r>
    </w:p>
    <w:p w14:paraId="51E0D1DA">
      <w:pPr>
        <w:spacing w:line="360" w:lineRule="auto"/>
        <w:ind w:firstLine="435"/>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2.6.2乙方有义务妥善保管和保护由甲方提供的前款信息和资料等；</w:t>
      </w:r>
    </w:p>
    <w:p w14:paraId="5F7ACDBC">
      <w:pPr>
        <w:spacing w:line="360" w:lineRule="auto"/>
        <w:ind w:firstLine="435"/>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DAF056E">
      <w:pPr>
        <w:spacing w:line="360" w:lineRule="auto"/>
        <w:ind w:firstLine="437"/>
        <w:outlineLvl w:val="2"/>
        <w:rPr>
          <w:rFonts w:hint="eastAsia" w:ascii="仿宋" w:hAnsi="仿宋" w:eastAsia="仿宋" w:cs="仿宋"/>
          <w:b/>
          <w:bCs/>
          <w:i w:val="0"/>
          <w:iCs w:val="0"/>
          <w:color w:val="auto"/>
          <w:sz w:val="24"/>
          <w:szCs w:val="24"/>
          <w:highlight w:val="none"/>
          <w:lang w:val="zh-CN"/>
        </w:rPr>
      </w:pPr>
      <w:bookmarkStart w:id="653" w:name="_Toc20401"/>
      <w:bookmarkStart w:id="654" w:name="_Toc7860"/>
      <w:bookmarkStart w:id="655" w:name="_Toc1434"/>
      <w:r>
        <w:rPr>
          <w:rFonts w:hint="eastAsia" w:ascii="仿宋" w:hAnsi="仿宋" w:eastAsia="仿宋" w:cs="仿宋"/>
          <w:b/>
          <w:bCs/>
          <w:i w:val="0"/>
          <w:iCs w:val="0"/>
          <w:color w:val="auto"/>
          <w:sz w:val="24"/>
          <w:szCs w:val="24"/>
          <w:highlight w:val="none"/>
          <w:lang w:val="zh-CN"/>
        </w:rPr>
        <w:t>2.7 质量保证</w:t>
      </w:r>
      <w:bookmarkEnd w:id="653"/>
      <w:bookmarkEnd w:id="654"/>
      <w:bookmarkEnd w:id="655"/>
    </w:p>
    <w:p w14:paraId="714482B6">
      <w:pPr>
        <w:spacing w:line="360" w:lineRule="auto"/>
        <w:ind w:firstLine="435"/>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2.7.1乙方应建立和完善履行合同的内部质量保证体系，并提供相关内部规章制度给甲方，以便甲方进行监督检查；</w:t>
      </w:r>
    </w:p>
    <w:p w14:paraId="038B2FB8">
      <w:pPr>
        <w:spacing w:line="360" w:lineRule="auto"/>
        <w:ind w:firstLine="435"/>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2.7.2乙方应保证履行合同的人员数量和素质、软件和硬件设备的配置、场地、环境和设施等满足全面履行合同的要求，并应接受甲方的监督检查。</w:t>
      </w:r>
    </w:p>
    <w:p w14:paraId="3D180EE8">
      <w:pPr>
        <w:spacing w:line="360" w:lineRule="auto"/>
        <w:ind w:firstLine="437"/>
        <w:outlineLvl w:val="2"/>
        <w:rPr>
          <w:rFonts w:hint="eastAsia" w:ascii="仿宋" w:hAnsi="仿宋" w:eastAsia="仿宋" w:cs="仿宋"/>
          <w:b/>
          <w:i w:val="0"/>
          <w:iCs w:val="0"/>
          <w:color w:val="auto"/>
          <w:sz w:val="24"/>
          <w:szCs w:val="24"/>
          <w:highlight w:val="none"/>
        </w:rPr>
      </w:pPr>
      <w:bookmarkStart w:id="656" w:name="_Toc27251"/>
      <w:bookmarkStart w:id="657" w:name="_Toc22267"/>
      <w:bookmarkStart w:id="658" w:name="_Toc20440"/>
      <w:r>
        <w:rPr>
          <w:rFonts w:hint="eastAsia" w:ascii="仿宋" w:hAnsi="仿宋" w:eastAsia="仿宋" w:cs="仿宋"/>
          <w:b/>
          <w:i w:val="0"/>
          <w:iCs w:val="0"/>
          <w:color w:val="auto"/>
          <w:sz w:val="24"/>
          <w:szCs w:val="24"/>
          <w:highlight w:val="none"/>
        </w:rPr>
        <w:t>2.8 延迟履行</w:t>
      </w:r>
      <w:bookmarkEnd w:id="656"/>
      <w:bookmarkEnd w:id="657"/>
      <w:bookmarkEnd w:id="658"/>
    </w:p>
    <w:p w14:paraId="59409B1F">
      <w:pPr>
        <w:spacing w:line="360" w:lineRule="auto"/>
        <w:ind w:firstLine="435"/>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1B2AD943">
      <w:pPr>
        <w:spacing w:line="360" w:lineRule="auto"/>
        <w:ind w:firstLine="437"/>
        <w:outlineLvl w:val="2"/>
        <w:rPr>
          <w:rFonts w:hint="eastAsia" w:ascii="仿宋" w:hAnsi="仿宋" w:eastAsia="仿宋" w:cs="仿宋"/>
          <w:b/>
          <w:bCs/>
          <w:i w:val="0"/>
          <w:iCs w:val="0"/>
          <w:color w:val="auto"/>
          <w:sz w:val="24"/>
          <w:szCs w:val="24"/>
          <w:highlight w:val="none"/>
          <w:lang w:val="zh-CN"/>
        </w:rPr>
      </w:pPr>
      <w:bookmarkStart w:id="659" w:name="_Toc22045"/>
      <w:bookmarkStart w:id="660" w:name="_Toc106"/>
      <w:bookmarkStart w:id="661" w:name="_Toc7502"/>
      <w:bookmarkStart w:id="662" w:name="_Toc487900364"/>
      <w:bookmarkStart w:id="663" w:name="_Toc279701254"/>
      <w:bookmarkStart w:id="664" w:name="_Toc259093683"/>
      <w:bookmarkStart w:id="665" w:name="_Ref467378121"/>
      <w:r>
        <w:rPr>
          <w:rFonts w:hint="eastAsia" w:ascii="仿宋" w:hAnsi="仿宋" w:eastAsia="仿宋" w:cs="仿宋"/>
          <w:b/>
          <w:bCs/>
          <w:i w:val="0"/>
          <w:iCs w:val="0"/>
          <w:color w:val="auto"/>
          <w:sz w:val="24"/>
          <w:szCs w:val="24"/>
          <w:highlight w:val="none"/>
          <w:lang w:val="zh-CN"/>
        </w:rPr>
        <w:t>2.9 合同变更</w:t>
      </w:r>
      <w:bookmarkEnd w:id="659"/>
      <w:bookmarkEnd w:id="660"/>
      <w:bookmarkEnd w:id="661"/>
    </w:p>
    <w:p w14:paraId="521EAF06">
      <w:pPr>
        <w:spacing w:line="360" w:lineRule="auto"/>
        <w:ind w:firstLine="435"/>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2.9.1双方当事人协商一致，可以签订书面补充合同的形式变更合同，但不得违背采购文件确定的事项；</w:t>
      </w:r>
    </w:p>
    <w:p w14:paraId="61F79BDC">
      <w:pPr>
        <w:spacing w:line="360" w:lineRule="auto"/>
        <w:ind w:firstLine="435"/>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2.9.2合同继续履行将损害国家利益和社会公共利益的，双方当事人应当以书面形式变更合同。有过错的一方应当承担赔偿责任，双方当事人都有过错的，各自承担相应的责任。</w:t>
      </w:r>
      <w:bookmarkStart w:id="666" w:name="_Toc279701259"/>
      <w:bookmarkStart w:id="667" w:name="_Toc259093688"/>
      <w:bookmarkStart w:id="668" w:name="_Toc487900369"/>
    </w:p>
    <w:p w14:paraId="4B2C2FDC">
      <w:pPr>
        <w:spacing w:line="360" w:lineRule="auto"/>
        <w:ind w:firstLine="437"/>
        <w:outlineLvl w:val="2"/>
        <w:rPr>
          <w:rFonts w:hint="eastAsia" w:ascii="仿宋" w:hAnsi="仿宋" w:eastAsia="仿宋" w:cs="仿宋"/>
          <w:b/>
          <w:bCs/>
          <w:i w:val="0"/>
          <w:iCs w:val="0"/>
          <w:color w:val="auto"/>
          <w:sz w:val="24"/>
          <w:szCs w:val="24"/>
          <w:highlight w:val="none"/>
          <w:lang w:val="zh-CN"/>
        </w:rPr>
      </w:pPr>
      <w:bookmarkStart w:id="669" w:name="_Toc20243"/>
      <w:bookmarkStart w:id="670" w:name="_Toc15237"/>
      <w:bookmarkStart w:id="671" w:name="_Toc22955"/>
      <w:bookmarkStart w:id="672" w:name="_Toc19955"/>
      <w:bookmarkStart w:id="673" w:name="_Toc10366"/>
      <w:r>
        <w:rPr>
          <w:rFonts w:hint="eastAsia" w:ascii="仿宋" w:hAnsi="仿宋" w:eastAsia="仿宋" w:cs="仿宋"/>
          <w:b/>
          <w:bCs/>
          <w:i w:val="0"/>
          <w:iCs w:val="0"/>
          <w:color w:val="auto"/>
          <w:sz w:val="24"/>
          <w:szCs w:val="24"/>
          <w:highlight w:val="none"/>
          <w:lang w:val="zh-CN"/>
        </w:rPr>
        <w:t>2.10 合同转让</w:t>
      </w:r>
      <w:bookmarkEnd w:id="666"/>
      <w:bookmarkEnd w:id="667"/>
      <w:bookmarkEnd w:id="668"/>
      <w:r>
        <w:rPr>
          <w:rFonts w:hint="eastAsia" w:ascii="仿宋" w:hAnsi="仿宋" w:eastAsia="仿宋" w:cs="仿宋"/>
          <w:b/>
          <w:bCs/>
          <w:i w:val="0"/>
          <w:iCs w:val="0"/>
          <w:color w:val="auto"/>
          <w:sz w:val="24"/>
          <w:szCs w:val="24"/>
          <w:highlight w:val="none"/>
          <w:lang w:val="zh-CN"/>
        </w:rPr>
        <w:t>和分包</w:t>
      </w:r>
      <w:bookmarkEnd w:id="669"/>
      <w:bookmarkEnd w:id="670"/>
      <w:bookmarkEnd w:id="671"/>
      <w:bookmarkEnd w:id="672"/>
      <w:bookmarkEnd w:id="673"/>
    </w:p>
    <w:p w14:paraId="0CFF6BCE">
      <w:pPr>
        <w:spacing w:line="360" w:lineRule="auto"/>
        <w:ind w:firstLine="435"/>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799B1D4">
      <w:pPr>
        <w:spacing w:line="360" w:lineRule="auto"/>
        <w:ind w:firstLine="437"/>
        <w:outlineLvl w:val="2"/>
        <w:rPr>
          <w:rFonts w:hint="eastAsia" w:ascii="仿宋" w:hAnsi="仿宋" w:eastAsia="仿宋" w:cs="仿宋"/>
          <w:b/>
          <w:bCs/>
          <w:i w:val="0"/>
          <w:iCs w:val="0"/>
          <w:color w:val="auto"/>
          <w:sz w:val="24"/>
          <w:szCs w:val="24"/>
          <w:highlight w:val="none"/>
          <w:lang w:val="zh-CN"/>
        </w:rPr>
      </w:pPr>
      <w:bookmarkStart w:id="674" w:name="_Toc10157"/>
      <w:bookmarkStart w:id="675" w:name="_Toc13566"/>
      <w:bookmarkStart w:id="676" w:name="_Toc22946"/>
      <w:bookmarkStart w:id="677" w:name="_Toc14066"/>
      <w:bookmarkStart w:id="678" w:name="_Toc16508"/>
      <w:r>
        <w:rPr>
          <w:rFonts w:hint="eastAsia" w:ascii="仿宋" w:hAnsi="仿宋" w:eastAsia="仿宋" w:cs="仿宋"/>
          <w:b/>
          <w:bCs/>
          <w:i w:val="0"/>
          <w:iCs w:val="0"/>
          <w:color w:val="auto"/>
          <w:sz w:val="24"/>
          <w:szCs w:val="24"/>
          <w:highlight w:val="none"/>
          <w:lang w:val="zh-CN"/>
        </w:rPr>
        <w:t>2.11 不可抗力</w:t>
      </w:r>
      <w:bookmarkEnd w:id="674"/>
      <w:bookmarkEnd w:id="675"/>
      <w:bookmarkEnd w:id="676"/>
      <w:bookmarkEnd w:id="677"/>
      <w:bookmarkEnd w:id="678"/>
    </w:p>
    <w:p w14:paraId="3F3F4E49">
      <w:pPr>
        <w:spacing w:line="360" w:lineRule="auto"/>
        <w:ind w:firstLine="435"/>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2.11.1如果任何一方遭遇法律规定的不可抗力，致使合同履行受阻时，履行合同的期限应予延长，延长的期限应相当于不可抗力所影响的时间；</w:t>
      </w:r>
    </w:p>
    <w:p w14:paraId="1F76D9DF">
      <w:pPr>
        <w:spacing w:line="360" w:lineRule="auto"/>
        <w:ind w:firstLine="435"/>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2.11.2因不可抗力致使不能实现合同目的的，当事人可以解除合同；</w:t>
      </w:r>
    </w:p>
    <w:p w14:paraId="63F10346">
      <w:pPr>
        <w:spacing w:line="360" w:lineRule="auto"/>
        <w:ind w:firstLine="435"/>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2.11.3因不可抗力致使合同有变更必要的，双方当事人应在</w:t>
      </w:r>
      <w:r>
        <w:rPr>
          <w:rFonts w:hint="eastAsia" w:ascii="仿宋" w:hAnsi="仿宋" w:eastAsia="仿宋" w:cs="仿宋"/>
          <w:b/>
          <w:i w:val="0"/>
          <w:iCs w:val="0"/>
          <w:color w:val="auto"/>
          <w:sz w:val="24"/>
          <w:szCs w:val="24"/>
          <w:highlight w:val="none"/>
          <w:u w:val="single"/>
        </w:rPr>
        <w:t>合同专用条款</w:t>
      </w:r>
      <w:r>
        <w:rPr>
          <w:rFonts w:hint="eastAsia" w:ascii="仿宋" w:hAnsi="仿宋" w:eastAsia="仿宋" w:cs="仿宋"/>
          <w:i w:val="0"/>
          <w:iCs w:val="0"/>
          <w:color w:val="auto"/>
          <w:sz w:val="24"/>
          <w:szCs w:val="24"/>
          <w:highlight w:val="none"/>
        </w:rPr>
        <w:t>约定时间内以书面形式变更合同；</w:t>
      </w:r>
    </w:p>
    <w:p w14:paraId="07921830">
      <w:pPr>
        <w:spacing w:line="360" w:lineRule="auto"/>
        <w:ind w:firstLine="435"/>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2.11.4受不可抗力影响的一方在不可抗力发生后，应在</w:t>
      </w:r>
      <w:r>
        <w:rPr>
          <w:rFonts w:hint="eastAsia" w:ascii="仿宋" w:hAnsi="仿宋" w:eastAsia="仿宋" w:cs="仿宋"/>
          <w:b/>
          <w:i w:val="0"/>
          <w:iCs w:val="0"/>
          <w:color w:val="auto"/>
          <w:sz w:val="24"/>
          <w:szCs w:val="24"/>
          <w:highlight w:val="none"/>
          <w:u w:val="single"/>
        </w:rPr>
        <w:t>合同专用条款</w:t>
      </w:r>
      <w:r>
        <w:rPr>
          <w:rFonts w:hint="eastAsia" w:ascii="仿宋" w:hAnsi="仿宋" w:eastAsia="仿宋" w:cs="仿宋"/>
          <w:i w:val="0"/>
          <w:iCs w:val="0"/>
          <w:color w:val="auto"/>
          <w:sz w:val="24"/>
          <w:szCs w:val="24"/>
          <w:highlight w:val="none"/>
        </w:rPr>
        <w:t>约定时间内以书面形式通知对方当事人，并在</w:t>
      </w:r>
      <w:r>
        <w:rPr>
          <w:rFonts w:hint="eastAsia" w:ascii="仿宋" w:hAnsi="仿宋" w:eastAsia="仿宋" w:cs="仿宋"/>
          <w:b/>
          <w:i w:val="0"/>
          <w:iCs w:val="0"/>
          <w:color w:val="auto"/>
          <w:sz w:val="24"/>
          <w:szCs w:val="24"/>
          <w:highlight w:val="none"/>
          <w:u w:val="single"/>
        </w:rPr>
        <w:t>合同专用条款</w:t>
      </w:r>
      <w:r>
        <w:rPr>
          <w:rFonts w:hint="eastAsia" w:ascii="仿宋" w:hAnsi="仿宋" w:eastAsia="仿宋" w:cs="仿宋"/>
          <w:i w:val="0"/>
          <w:iCs w:val="0"/>
          <w:color w:val="auto"/>
          <w:sz w:val="24"/>
          <w:szCs w:val="24"/>
          <w:highlight w:val="none"/>
        </w:rPr>
        <w:t>约定时间内，将有关部门出具的证明文件送达对方当事人。</w:t>
      </w:r>
    </w:p>
    <w:p w14:paraId="0B517608">
      <w:pPr>
        <w:spacing w:line="360" w:lineRule="auto"/>
        <w:ind w:firstLine="437"/>
        <w:outlineLvl w:val="2"/>
        <w:rPr>
          <w:rFonts w:hint="eastAsia" w:ascii="仿宋" w:hAnsi="仿宋" w:eastAsia="仿宋" w:cs="仿宋"/>
          <w:b/>
          <w:bCs/>
          <w:i w:val="0"/>
          <w:iCs w:val="0"/>
          <w:color w:val="auto"/>
          <w:sz w:val="24"/>
          <w:szCs w:val="24"/>
          <w:highlight w:val="none"/>
          <w:lang w:val="zh-CN"/>
        </w:rPr>
      </w:pPr>
      <w:bookmarkStart w:id="679" w:name="_Toc24332"/>
      <w:bookmarkStart w:id="680" w:name="_Toc30676"/>
      <w:bookmarkStart w:id="681" w:name="_Toc487900365"/>
      <w:bookmarkStart w:id="682" w:name="_Toc259093684"/>
      <w:bookmarkStart w:id="683" w:name="_Toc12787"/>
      <w:bookmarkStart w:id="684" w:name="_Toc279701255"/>
      <w:bookmarkStart w:id="685" w:name="_Toc689"/>
      <w:bookmarkStart w:id="686" w:name="_Toc6969"/>
      <w:r>
        <w:rPr>
          <w:rFonts w:hint="eastAsia" w:ascii="仿宋" w:hAnsi="仿宋" w:eastAsia="仿宋" w:cs="仿宋"/>
          <w:b/>
          <w:bCs/>
          <w:i w:val="0"/>
          <w:iCs w:val="0"/>
          <w:color w:val="auto"/>
          <w:sz w:val="24"/>
          <w:szCs w:val="24"/>
          <w:highlight w:val="none"/>
          <w:lang w:val="zh-CN"/>
        </w:rPr>
        <w:t>2.12 税费</w:t>
      </w:r>
      <w:bookmarkEnd w:id="679"/>
      <w:bookmarkEnd w:id="680"/>
      <w:bookmarkEnd w:id="681"/>
      <w:bookmarkEnd w:id="682"/>
      <w:bookmarkEnd w:id="683"/>
      <w:bookmarkEnd w:id="684"/>
      <w:bookmarkEnd w:id="685"/>
      <w:bookmarkEnd w:id="686"/>
    </w:p>
    <w:p w14:paraId="6836929A">
      <w:pPr>
        <w:spacing w:line="360" w:lineRule="auto"/>
        <w:ind w:firstLine="435"/>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与合同有关的一切税费，均按照中华人民共和国法律的相关规定缴纳。</w:t>
      </w:r>
    </w:p>
    <w:p w14:paraId="462DEAC1">
      <w:pPr>
        <w:spacing w:line="360" w:lineRule="auto"/>
        <w:ind w:firstLine="437"/>
        <w:outlineLvl w:val="2"/>
        <w:rPr>
          <w:rFonts w:hint="eastAsia" w:ascii="仿宋" w:hAnsi="仿宋" w:eastAsia="仿宋" w:cs="仿宋"/>
          <w:b/>
          <w:bCs/>
          <w:i w:val="0"/>
          <w:iCs w:val="0"/>
          <w:color w:val="auto"/>
          <w:sz w:val="24"/>
          <w:szCs w:val="24"/>
          <w:highlight w:val="none"/>
          <w:lang w:val="zh-CN"/>
        </w:rPr>
      </w:pPr>
      <w:bookmarkStart w:id="687" w:name="_Toc8298"/>
      <w:bookmarkStart w:id="688" w:name="_Toc2206"/>
      <w:bookmarkStart w:id="689" w:name="_Toc16959"/>
      <w:bookmarkStart w:id="690" w:name="_Toc487900368"/>
      <w:bookmarkStart w:id="691" w:name="_Toc279701258"/>
      <w:bookmarkStart w:id="692" w:name="_Toc30741"/>
      <w:bookmarkStart w:id="693" w:name="_Toc7102"/>
      <w:bookmarkStart w:id="694" w:name="_Toc259093687"/>
      <w:r>
        <w:rPr>
          <w:rFonts w:hint="eastAsia" w:ascii="仿宋" w:hAnsi="仿宋" w:eastAsia="仿宋" w:cs="仿宋"/>
          <w:b/>
          <w:bCs/>
          <w:i w:val="0"/>
          <w:iCs w:val="0"/>
          <w:color w:val="auto"/>
          <w:sz w:val="24"/>
          <w:szCs w:val="24"/>
          <w:highlight w:val="none"/>
          <w:lang w:val="zh-CN"/>
        </w:rPr>
        <w:t>2.13 乙方破产</w:t>
      </w:r>
      <w:bookmarkEnd w:id="687"/>
      <w:bookmarkEnd w:id="688"/>
      <w:bookmarkEnd w:id="689"/>
      <w:bookmarkEnd w:id="690"/>
      <w:bookmarkEnd w:id="691"/>
      <w:bookmarkEnd w:id="692"/>
      <w:bookmarkEnd w:id="693"/>
      <w:bookmarkEnd w:id="694"/>
    </w:p>
    <w:p w14:paraId="12ADEB10">
      <w:pPr>
        <w:spacing w:line="360" w:lineRule="auto"/>
        <w:ind w:firstLine="435"/>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722D68B">
      <w:pPr>
        <w:spacing w:line="360" w:lineRule="auto"/>
        <w:ind w:firstLine="437"/>
        <w:outlineLvl w:val="2"/>
        <w:rPr>
          <w:rFonts w:hint="eastAsia" w:ascii="仿宋" w:hAnsi="仿宋" w:eastAsia="仿宋" w:cs="仿宋"/>
          <w:b/>
          <w:i w:val="0"/>
          <w:iCs w:val="0"/>
          <w:color w:val="auto"/>
          <w:sz w:val="24"/>
          <w:szCs w:val="24"/>
          <w:highlight w:val="none"/>
        </w:rPr>
      </w:pPr>
      <w:bookmarkStart w:id="695" w:name="_Toc15387"/>
      <w:bookmarkStart w:id="696" w:name="_Toc9036"/>
      <w:bookmarkStart w:id="697" w:name="_Toc6134"/>
      <w:bookmarkStart w:id="698" w:name="_Toc29333"/>
      <w:bookmarkStart w:id="699" w:name="_Toc13537"/>
      <w:r>
        <w:rPr>
          <w:rFonts w:hint="eastAsia" w:ascii="仿宋" w:hAnsi="仿宋" w:eastAsia="仿宋" w:cs="仿宋"/>
          <w:b/>
          <w:bCs/>
          <w:i w:val="0"/>
          <w:iCs w:val="0"/>
          <w:color w:val="auto"/>
          <w:sz w:val="24"/>
          <w:szCs w:val="24"/>
          <w:highlight w:val="none"/>
          <w:lang w:val="zh-CN"/>
        </w:rPr>
        <w:t>2.14 合同中止、终止</w:t>
      </w:r>
      <w:bookmarkEnd w:id="695"/>
      <w:bookmarkEnd w:id="696"/>
      <w:bookmarkEnd w:id="697"/>
      <w:bookmarkEnd w:id="698"/>
      <w:bookmarkEnd w:id="699"/>
    </w:p>
    <w:p w14:paraId="4E758BC4">
      <w:pPr>
        <w:spacing w:line="360" w:lineRule="auto"/>
        <w:ind w:firstLine="435"/>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2.14.1双方当事人不得擅自中止或者终止合同；</w:t>
      </w:r>
    </w:p>
    <w:p w14:paraId="0757D5ED">
      <w:pPr>
        <w:spacing w:line="360" w:lineRule="auto"/>
        <w:ind w:firstLine="435"/>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2.14.2合同继续履行将损害国家利益和社会公共利益的，双方当事人应当中止或者终止合同。有过错的一方应当承担赔偿责任，双方当事人都有过错的，各自承担相应的责任。</w:t>
      </w:r>
    </w:p>
    <w:p w14:paraId="5720C020">
      <w:pPr>
        <w:spacing w:line="360" w:lineRule="auto"/>
        <w:ind w:firstLine="437"/>
        <w:outlineLvl w:val="2"/>
        <w:rPr>
          <w:rFonts w:hint="eastAsia" w:ascii="仿宋" w:hAnsi="仿宋" w:eastAsia="仿宋" w:cs="仿宋"/>
          <w:b/>
          <w:bCs/>
          <w:i w:val="0"/>
          <w:iCs w:val="0"/>
          <w:color w:val="auto"/>
          <w:sz w:val="24"/>
          <w:szCs w:val="24"/>
          <w:highlight w:val="none"/>
          <w:lang w:val="zh-CN"/>
        </w:rPr>
      </w:pPr>
      <w:bookmarkStart w:id="700" w:name="_Toc1125"/>
      <w:bookmarkStart w:id="701" w:name="_Toc14563"/>
      <w:bookmarkStart w:id="702" w:name="_Toc14791"/>
      <w:bookmarkStart w:id="703" w:name="_Toc6596"/>
      <w:bookmarkStart w:id="704" w:name="_Toc7061"/>
      <w:r>
        <w:rPr>
          <w:rFonts w:hint="eastAsia" w:ascii="仿宋" w:hAnsi="仿宋" w:eastAsia="仿宋" w:cs="仿宋"/>
          <w:b/>
          <w:bCs/>
          <w:i w:val="0"/>
          <w:iCs w:val="0"/>
          <w:color w:val="auto"/>
          <w:sz w:val="24"/>
          <w:szCs w:val="24"/>
          <w:highlight w:val="none"/>
          <w:lang w:val="zh-CN"/>
        </w:rPr>
        <w:t>2.15 检验和验收</w:t>
      </w:r>
      <w:bookmarkEnd w:id="700"/>
      <w:bookmarkEnd w:id="701"/>
      <w:bookmarkEnd w:id="702"/>
      <w:bookmarkEnd w:id="703"/>
      <w:bookmarkEnd w:id="704"/>
    </w:p>
    <w:p w14:paraId="46E3F270">
      <w:pPr>
        <w:spacing w:line="360" w:lineRule="auto"/>
        <w:ind w:firstLine="435"/>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2.15.1乙方按照</w:t>
      </w:r>
      <w:r>
        <w:rPr>
          <w:rFonts w:hint="eastAsia" w:ascii="仿宋" w:hAnsi="仿宋" w:eastAsia="仿宋" w:cs="仿宋"/>
          <w:b/>
          <w:i w:val="0"/>
          <w:iCs w:val="0"/>
          <w:color w:val="auto"/>
          <w:sz w:val="24"/>
          <w:szCs w:val="24"/>
          <w:highlight w:val="none"/>
          <w:u w:val="single"/>
        </w:rPr>
        <w:t>合同专用条款</w:t>
      </w:r>
      <w:r>
        <w:rPr>
          <w:rFonts w:hint="eastAsia" w:ascii="仿宋" w:hAnsi="仿宋" w:eastAsia="仿宋" w:cs="仿宋"/>
          <w:i w:val="0"/>
          <w:iCs w:val="0"/>
          <w:color w:val="auto"/>
          <w:sz w:val="24"/>
          <w:szCs w:val="24"/>
          <w:highlight w:val="none"/>
        </w:rPr>
        <w:t>的约定，定期提交服务报告，甲方按照</w:t>
      </w:r>
      <w:r>
        <w:rPr>
          <w:rFonts w:hint="eastAsia" w:ascii="仿宋" w:hAnsi="仿宋" w:eastAsia="仿宋" w:cs="仿宋"/>
          <w:b/>
          <w:i w:val="0"/>
          <w:iCs w:val="0"/>
          <w:color w:val="auto"/>
          <w:sz w:val="24"/>
          <w:szCs w:val="24"/>
          <w:highlight w:val="none"/>
          <w:u w:val="single"/>
        </w:rPr>
        <w:t>合同专用条款</w:t>
      </w:r>
      <w:r>
        <w:rPr>
          <w:rFonts w:hint="eastAsia" w:ascii="仿宋" w:hAnsi="仿宋" w:eastAsia="仿宋" w:cs="仿宋"/>
          <w:i w:val="0"/>
          <w:iCs w:val="0"/>
          <w:color w:val="auto"/>
          <w:sz w:val="24"/>
          <w:szCs w:val="24"/>
          <w:highlight w:val="none"/>
        </w:rPr>
        <w:t>的约定进行定期验收；</w:t>
      </w:r>
    </w:p>
    <w:p w14:paraId="044F279F">
      <w:pPr>
        <w:spacing w:line="360" w:lineRule="auto"/>
        <w:ind w:firstLine="435"/>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153CA70">
      <w:pPr>
        <w:spacing w:line="360" w:lineRule="auto"/>
        <w:ind w:firstLine="435"/>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2.15.3检验和验收标准、程序等具体内容以及前述验收书的效力详见</w:t>
      </w:r>
      <w:r>
        <w:rPr>
          <w:rFonts w:hint="eastAsia" w:ascii="仿宋" w:hAnsi="仿宋" w:eastAsia="仿宋" w:cs="仿宋"/>
          <w:b/>
          <w:i w:val="0"/>
          <w:iCs w:val="0"/>
          <w:color w:val="auto"/>
          <w:sz w:val="24"/>
          <w:szCs w:val="24"/>
          <w:highlight w:val="none"/>
          <w:u w:val="single"/>
        </w:rPr>
        <w:t>合同专用条款</w:t>
      </w:r>
      <w:r>
        <w:rPr>
          <w:rFonts w:hint="eastAsia" w:ascii="仿宋" w:hAnsi="仿宋" w:eastAsia="仿宋" w:cs="仿宋"/>
          <w:i w:val="0"/>
          <w:iCs w:val="0"/>
          <w:color w:val="auto"/>
          <w:sz w:val="24"/>
          <w:szCs w:val="24"/>
          <w:highlight w:val="none"/>
        </w:rPr>
        <w:t>。</w:t>
      </w:r>
    </w:p>
    <w:bookmarkEnd w:id="662"/>
    <w:bookmarkEnd w:id="663"/>
    <w:bookmarkEnd w:id="664"/>
    <w:bookmarkEnd w:id="665"/>
    <w:p w14:paraId="726C89E4">
      <w:pPr>
        <w:spacing w:line="360" w:lineRule="auto"/>
        <w:ind w:firstLine="437"/>
        <w:outlineLvl w:val="2"/>
        <w:rPr>
          <w:rFonts w:hint="eastAsia" w:ascii="仿宋" w:hAnsi="仿宋" w:eastAsia="仿宋" w:cs="仿宋"/>
          <w:b/>
          <w:bCs/>
          <w:i w:val="0"/>
          <w:iCs w:val="0"/>
          <w:color w:val="auto"/>
          <w:sz w:val="24"/>
          <w:szCs w:val="24"/>
          <w:highlight w:val="none"/>
        </w:rPr>
      </w:pPr>
      <w:bookmarkStart w:id="705" w:name="_Toc259093692"/>
      <w:bookmarkStart w:id="706" w:name="_Toc487900373"/>
      <w:bookmarkStart w:id="707" w:name="_Toc18567"/>
      <w:bookmarkStart w:id="708" w:name="_Toc279701263"/>
      <w:bookmarkStart w:id="709" w:name="_Toc10330"/>
      <w:bookmarkStart w:id="710" w:name="_Toc28706"/>
      <w:bookmarkStart w:id="711" w:name="_Toc31923"/>
      <w:bookmarkStart w:id="712" w:name="_Toc12773"/>
      <w:r>
        <w:rPr>
          <w:rFonts w:hint="eastAsia" w:ascii="仿宋" w:hAnsi="仿宋" w:eastAsia="仿宋" w:cs="仿宋"/>
          <w:b/>
          <w:bCs/>
          <w:i w:val="0"/>
          <w:iCs w:val="0"/>
          <w:color w:val="auto"/>
          <w:sz w:val="24"/>
          <w:szCs w:val="24"/>
          <w:highlight w:val="none"/>
        </w:rPr>
        <w:t xml:space="preserve">2.16 </w:t>
      </w:r>
      <w:r>
        <w:rPr>
          <w:rFonts w:hint="eastAsia" w:ascii="仿宋" w:hAnsi="仿宋" w:eastAsia="仿宋" w:cs="仿宋"/>
          <w:b/>
          <w:bCs/>
          <w:i w:val="0"/>
          <w:iCs w:val="0"/>
          <w:color w:val="auto"/>
          <w:sz w:val="24"/>
          <w:szCs w:val="24"/>
          <w:highlight w:val="none"/>
          <w:lang w:val="zh-CN"/>
        </w:rPr>
        <w:t>合同使用的文字和适用的法律</w:t>
      </w:r>
      <w:bookmarkEnd w:id="705"/>
      <w:bookmarkEnd w:id="706"/>
      <w:bookmarkEnd w:id="707"/>
      <w:bookmarkEnd w:id="708"/>
      <w:bookmarkEnd w:id="709"/>
      <w:bookmarkEnd w:id="710"/>
      <w:bookmarkEnd w:id="711"/>
      <w:bookmarkEnd w:id="712"/>
    </w:p>
    <w:p w14:paraId="20BD64AE">
      <w:pPr>
        <w:spacing w:line="360" w:lineRule="auto"/>
        <w:ind w:firstLine="435"/>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2.16.1合同使用汉语书就、变更和解释；</w:t>
      </w:r>
    </w:p>
    <w:p w14:paraId="4E1F0D8A">
      <w:pPr>
        <w:spacing w:line="360" w:lineRule="auto"/>
        <w:ind w:firstLine="435"/>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2.16.2合同适用中华人民共和国法律。</w:t>
      </w:r>
    </w:p>
    <w:p w14:paraId="0461FCD6">
      <w:pPr>
        <w:spacing w:line="360" w:lineRule="auto"/>
        <w:ind w:firstLine="437"/>
        <w:outlineLvl w:val="2"/>
        <w:rPr>
          <w:rFonts w:hint="eastAsia" w:ascii="仿宋" w:hAnsi="仿宋" w:eastAsia="仿宋" w:cs="仿宋"/>
          <w:b/>
          <w:i w:val="0"/>
          <w:iCs w:val="0"/>
          <w:color w:val="auto"/>
          <w:sz w:val="24"/>
          <w:szCs w:val="24"/>
          <w:highlight w:val="none"/>
        </w:rPr>
      </w:pPr>
      <w:bookmarkStart w:id="713" w:name="_Toc3148"/>
      <w:bookmarkStart w:id="714" w:name="_Toc13059"/>
      <w:bookmarkStart w:id="715" w:name="_Toc259093693"/>
      <w:bookmarkStart w:id="716" w:name="_Toc16673"/>
      <w:bookmarkStart w:id="717" w:name="_Toc279701264"/>
      <w:bookmarkStart w:id="718" w:name="_Toc30894"/>
      <w:bookmarkStart w:id="719" w:name="_Toc12004"/>
      <w:bookmarkStart w:id="720" w:name="_Toc487900374"/>
      <w:r>
        <w:rPr>
          <w:rFonts w:hint="eastAsia" w:ascii="仿宋" w:hAnsi="仿宋" w:eastAsia="仿宋" w:cs="仿宋"/>
          <w:b/>
          <w:bCs/>
          <w:i w:val="0"/>
          <w:iCs w:val="0"/>
          <w:color w:val="auto"/>
          <w:sz w:val="24"/>
          <w:szCs w:val="24"/>
          <w:highlight w:val="none"/>
          <w:lang w:val="zh-CN"/>
        </w:rPr>
        <w:t>2.17 履约保证金</w:t>
      </w:r>
      <w:bookmarkEnd w:id="713"/>
      <w:bookmarkEnd w:id="714"/>
      <w:bookmarkEnd w:id="715"/>
      <w:bookmarkEnd w:id="716"/>
      <w:bookmarkEnd w:id="717"/>
      <w:bookmarkEnd w:id="718"/>
      <w:bookmarkEnd w:id="719"/>
    </w:p>
    <w:p w14:paraId="52F4654F">
      <w:pPr>
        <w:spacing w:line="360" w:lineRule="auto"/>
        <w:ind w:firstLine="435"/>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2.17.1采购文件要求乙方提交履约保证金的，乙方应按</w:t>
      </w:r>
      <w:r>
        <w:rPr>
          <w:rFonts w:hint="eastAsia" w:ascii="仿宋" w:hAnsi="仿宋" w:eastAsia="仿宋" w:cs="仿宋"/>
          <w:b/>
          <w:i w:val="0"/>
          <w:iCs w:val="0"/>
          <w:color w:val="auto"/>
          <w:sz w:val="24"/>
          <w:szCs w:val="24"/>
          <w:highlight w:val="none"/>
          <w:u w:val="single"/>
        </w:rPr>
        <w:t>合同专用条款</w:t>
      </w:r>
      <w:r>
        <w:rPr>
          <w:rFonts w:hint="eastAsia" w:ascii="仿宋" w:hAnsi="仿宋" w:eastAsia="仿宋" w:cs="仿宋"/>
          <w:i w:val="0"/>
          <w:iCs w:val="0"/>
          <w:color w:val="auto"/>
          <w:sz w:val="24"/>
          <w:szCs w:val="24"/>
          <w:highlight w:val="none"/>
        </w:rPr>
        <w:t>约定的方式，以支票、汇票、本票或者金融机构、担保机构出具的保函等非现金形式提交；</w:t>
      </w:r>
    </w:p>
    <w:p w14:paraId="41FD9780">
      <w:pPr>
        <w:spacing w:line="360" w:lineRule="auto"/>
        <w:ind w:firstLine="435"/>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2.17.2履约保证金在</w:t>
      </w:r>
      <w:r>
        <w:rPr>
          <w:rFonts w:hint="eastAsia" w:ascii="仿宋" w:hAnsi="仿宋" w:eastAsia="仿宋" w:cs="仿宋"/>
          <w:b/>
          <w:i w:val="0"/>
          <w:iCs w:val="0"/>
          <w:color w:val="auto"/>
          <w:sz w:val="24"/>
          <w:szCs w:val="24"/>
          <w:highlight w:val="none"/>
          <w:u w:val="single"/>
        </w:rPr>
        <w:t>合同专用条款</w:t>
      </w:r>
      <w:r>
        <w:rPr>
          <w:rFonts w:hint="eastAsia" w:ascii="仿宋" w:hAnsi="仿宋" w:eastAsia="仿宋" w:cs="仿宋"/>
          <w:i w:val="0"/>
          <w:iCs w:val="0"/>
          <w:color w:val="auto"/>
          <w:sz w:val="24"/>
          <w:szCs w:val="24"/>
          <w:highlight w:val="none"/>
        </w:rPr>
        <w:t>约定期间内不予退还或者应完全有效，前述约定期间届满之日起</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个工作日内，甲方应将履约保证金退还乙方</w:t>
      </w: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lang w:val="en-US" w:eastAsia="zh-CN"/>
        </w:rPr>
        <w:t>甲方</w:t>
      </w:r>
      <w:r>
        <w:rPr>
          <w:rFonts w:hint="eastAsia" w:ascii="仿宋" w:hAnsi="仿宋" w:eastAsia="仿宋" w:cs="仿宋"/>
          <w:i w:val="0"/>
          <w:iCs w:val="0"/>
          <w:color w:val="auto"/>
          <w:sz w:val="24"/>
          <w:szCs w:val="24"/>
          <w:highlight w:val="none"/>
        </w:rPr>
        <w:t>逾期退还履约保证金</w:t>
      </w:r>
      <w:r>
        <w:rPr>
          <w:rFonts w:hint="eastAsia" w:ascii="仿宋" w:hAnsi="仿宋" w:eastAsia="仿宋" w:cs="仿宋"/>
          <w:i w:val="0"/>
          <w:iCs w:val="0"/>
          <w:color w:val="auto"/>
          <w:sz w:val="24"/>
          <w:szCs w:val="24"/>
          <w:highlight w:val="none"/>
          <w:lang w:val="en-US" w:eastAsia="zh-CN"/>
        </w:rPr>
        <w:t>应承担违约责任。</w:t>
      </w:r>
    </w:p>
    <w:p w14:paraId="51ECE2A6">
      <w:pPr>
        <w:spacing w:line="360" w:lineRule="auto"/>
        <w:ind w:firstLine="435"/>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2.17.3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720"/>
    <w:p w14:paraId="7CFD042D">
      <w:pPr>
        <w:spacing w:line="360" w:lineRule="auto"/>
        <w:ind w:firstLine="437"/>
        <w:outlineLvl w:val="2"/>
        <w:rPr>
          <w:rFonts w:hint="eastAsia" w:ascii="仿宋" w:hAnsi="仿宋" w:eastAsia="仿宋" w:cs="仿宋"/>
          <w:b/>
          <w:i w:val="0"/>
          <w:iCs w:val="0"/>
          <w:color w:val="auto"/>
          <w:sz w:val="24"/>
          <w:szCs w:val="24"/>
          <w:highlight w:val="none"/>
        </w:rPr>
      </w:pPr>
      <w:bookmarkStart w:id="721" w:name="_Toc11238"/>
      <w:bookmarkStart w:id="722" w:name="_Toc6885"/>
      <w:bookmarkStart w:id="723" w:name="_Toc14001"/>
      <w:bookmarkStart w:id="724" w:name="_Toc7242"/>
      <w:bookmarkStart w:id="725" w:name="_Toc19890"/>
      <w:r>
        <w:rPr>
          <w:rFonts w:hint="eastAsia" w:ascii="仿宋" w:hAnsi="仿宋" w:eastAsia="仿宋" w:cs="仿宋"/>
          <w:b/>
          <w:bCs/>
          <w:i w:val="0"/>
          <w:iCs w:val="0"/>
          <w:color w:val="auto"/>
          <w:sz w:val="24"/>
          <w:szCs w:val="24"/>
          <w:highlight w:val="none"/>
          <w:lang w:val="zh-CN"/>
        </w:rPr>
        <w:t>2.18 合同份数</w:t>
      </w:r>
      <w:bookmarkEnd w:id="721"/>
      <w:bookmarkEnd w:id="722"/>
      <w:bookmarkEnd w:id="723"/>
      <w:bookmarkEnd w:id="724"/>
      <w:bookmarkEnd w:id="725"/>
    </w:p>
    <w:p w14:paraId="60A042B6">
      <w:pPr>
        <w:spacing w:line="360" w:lineRule="auto"/>
        <w:ind w:firstLine="435"/>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合同份数按</w:t>
      </w:r>
      <w:r>
        <w:rPr>
          <w:rFonts w:hint="eastAsia" w:ascii="仿宋" w:hAnsi="仿宋" w:eastAsia="仿宋" w:cs="仿宋"/>
          <w:b/>
          <w:i w:val="0"/>
          <w:iCs w:val="0"/>
          <w:color w:val="auto"/>
          <w:sz w:val="24"/>
          <w:szCs w:val="24"/>
          <w:highlight w:val="none"/>
          <w:u w:val="single"/>
        </w:rPr>
        <w:t>合同专用条款</w:t>
      </w:r>
      <w:r>
        <w:rPr>
          <w:rFonts w:hint="eastAsia" w:ascii="仿宋" w:hAnsi="仿宋" w:eastAsia="仿宋" w:cs="仿宋"/>
          <w:i w:val="0"/>
          <w:iCs w:val="0"/>
          <w:color w:val="auto"/>
          <w:sz w:val="24"/>
          <w:szCs w:val="24"/>
          <w:highlight w:val="none"/>
        </w:rPr>
        <w:t>规定，每份均具有同等法律效力。</w:t>
      </w:r>
    </w:p>
    <w:p w14:paraId="79FBC2AB">
      <w:pPr>
        <w:pStyle w:val="13"/>
        <w:widowControl/>
        <w:shd w:val="clear"/>
        <w:kinsoku w:val="0"/>
        <w:autoSpaceDE w:val="0"/>
        <w:autoSpaceDN w:val="0"/>
        <w:adjustRightInd w:val="0"/>
        <w:snapToGrid w:val="0"/>
        <w:spacing w:before="114" w:after="0" w:line="225" w:lineRule="auto"/>
        <w:jc w:val="center"/>
        <w:textAlignment w:val="baseline"/>
        <w:outlineLvl w:val="0"/>
        <w:rPr>
          <w:rFonts w:hint="eastAsia" w:ascii="仿宋" w:hAnsi="仿宋" w:eastAsia="仿宋" w:cs="仿宋"/>
          <w:b/>
          <w:color w:val="auto"/>
          <w:sz w:val="36"/>
          <w:szCs w:val="36"/>
          <w:highlight w:val="none"/>
        </w:rPr>
      </w:pPr>
      <w:r>
        <w:rPr>
          <w:rFonts w:hint="eastAsia" w:ascii="仿宋" w:hAnsi="仿宋" w:eastAsia="仿宋" w:cs="仿宋"/>
          <w:color w:val="auto"/>
          <w:sz w:val="24"/>
          <w:szCs w:val="24"/>
          <w:highlight w:val="none"/>
        </w:rPr>
        <w:br w:type="page"/>
      </w:r>
      <w:bookmarkStart w:id="726" w:name="_Toc3736"/>
      <w:bookmarkStart w:id="727" w:name="_Toc19801"/>
      <w:bookmarkStart w:id="728" w:name="_Toc24453"/>
      <w:r>
        <w:rPr>
          <w:rFonts w:hint="eastAsia" w:ascii="仿宋" w:hAnsi="仿宋" w:eastAsia="仿宋" w:cs="仿宋"/>
          <w:b/>
          <w:color w:val="auto"/>
          <w:kern w:val="2"/>
          <w:sz w:val="36"/>
          <w:szCs w:val="36"/>
          <w:highlight w:val="none"/>
          <w:lang w:val="zh-CN" w:eastAsia="zh-CN" w:bidi="ar-SA"/>
        </w:rPr>
        <w:t>第三部分 合同专用条款</w:t>
      </w:r>
      <w:bookmarkEnd w:id="726"/>
      <w:bookmarkEnd w:id="727"/>
      <w:bookmarkEnd w:id="728"/>
    </w:p>
    <w:p w14:paraId="3C23FE09">
      <w:pPr>
        <w:spacing w:line="360" w:lineRule="auto"/>
        <w:ind w:firstLine="435"/>
        <w:rPr>
          <w:rFonts w:hint="eastAsia" w:ascii="仿宋" w:hAnsi="仿宋" w:eastAsia="仿宋" w:cs="仿宋"/>
          <w:color w:val="auto"/>
          <w:sz w:val="24"/>
          <w:szCs w:val="24"/>
          <w:highlight w:val="none"/>
        </w:rPr>
      </w:pPr>
    </w:p>
    <w:p w14:paraId="7357FA92">
      <w:pPr>
        <w:spacing w:line="360" w:lineRule="auto"/>
        <w:ind w:firstLine="4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0"/>
        <w:tblW w:w="836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94"/>
        <w:gridCol w:w="7568"/>
      </w:tblGrid>
      <w:tr w14:paraId="0AD1E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794" w:type="dxa"/>
            <w:tcBorders>
              <w:left w:val="single" w:color="auto" w:sz="4" w:space="0"/>
            </w:tcBorders>
            <w:vAlign w:val="center"/>
          </w:tcPr>
          <w:p w14:paraId="3143CF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条款号</w:t>
            </w:r>
          </w:p>
        </w:tc>
        <w:tc>
          <w:tcPr>
            <w:tcW w:w="7568" w:type="dxa"/>
            <w:vAlign w:val="center"/>
          </w:tcPr>
          <w:p w14:paraId="324AC0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约定内容</w:t>
            </w:r>
          </w:p>
        </w:tc>
      </w:tr>
      <w:tr w14:paraId="13243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794" w:type="dxa"/>
            <w:tcBorders>
              <w:left w:val="single" w:color="auto" w:sz="4" w:space="0"/>
            </w:tcBorders>
            <w:vAlign w:val="center"/>
          </w:tcPr>
          <w:p w14:paraId="5C99D946">
            <w:pPr>
              <w:spacing w:line="560" w:lineRule="exact"/>
              <w:rPr>
                <w:rFonts w:hint="eastAsia" w:ascii="仿宋" w:hAnsi="仿宋" w:eastAsia="仿宋" w:cs="仿宋"/>
                <w:color w:val="auto"/>
                <w:sz w:val="24"/>
                <w:szCs w:val="24"/>
                <w:highlight w:val="none"/>
              </w:rPr>
            </w:pPr>
          </w:p>
        </w:tc>
        <w:tc>
          <w:tcPr>
            <w:tcW w:w="7568" w:type="dxa"/>
            <w:vAlign w:val="center"/>
          </w:tcPr>
          <w:p w14:paraId="65659AAB">
            <w:pPr>
              <w:spacing w:line="560" w:lineRule="exact"/>
              <w:rPr>
                <w:rFonts w:hint="eastAsia" w:ascii="仿宋" w:hAnsi="仿宋" w:eastAsia="仿宋" w:cs="仿宋"/>
                <w:color w:val="auto"/>
                <w:sz w:val="24"/>
                <w:szCs w:val="24"/>
                <w:highlight w:val="none"/>
              </w:rPr>
            </w:pPr>
          </w:p>
        </w:tc>
      </w:tr>
      <w:tr w14:paraId="648A8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205B67A0">
            <w:pPr>
              <w:spacing w:line="560" w:lineRule="exact"/>
              <w:rPr>
                <w:rFonts w:hint="eastAsia" w:ascii="仿宋" w:hAnsi="仿宋" w:eastAsia="仿宋" w:cs="仿宋"/>
                <w:color w:val="auto"/>
                <w:sz w:val="24"/>
                <w:szCs w:val="24"/>
                <w:highlight w:val="none"/>
              </w:rPr>
            </w:pPr>
          </w:p>
        </w:tc>
        <w:tc>
          <w:tcPr>
            <w:tcW w:w="7568" w:type="dxa"/>
            <w:vAlign w:val="center"/>
          </w:tcPr>
          <w:p w14:paraId="192211D4">
            <w:pPr>
              <w:spacing w:line="560" w:lineRule="exact"/>
              <w:rPr>
                <w:rFonts w:hint="eastAsia" w:ascii="仿宋" w:hAnsi="仿宋" w:eastAsia="仿宋" w:cs="仿宋"/>
                <w:color w:val="auto"/>
                <w:sz w:val="24"/>
                <w:szCs w:val="24"/>
                <w:highlight w:val="none"/>
              </w:rPr>
            </w:pPr>
          </w:p>
        </w:tc>
      </w:tr>
      <w:tr w14:paraId="2A57E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5F589F01">
            <w:pPr>
              <w:spacing w:line="560" w:lineRule="exact"/>
              <w:rPr>
                <w:rFonts w:hint="eastAsia" w:ascii="仿宋" w:hAnsi="仿宋" w:eastAsia="仿宋" w:cs="仿宋"/>
                <w:color w:val="auto"/>
                <w:sz w:val="24"/>
                <w:szCs w:val="24"/>
                <w:highlight w:val="none"/>
              </w:rPr>
            </w:pPr>
          </w:p>
        </w:tc>
        <w:tc>
          <w:tcPr>
            <w:tcW w:w="7568" w:type="dxa"/>
            <w:vAlign w:val="center"/>
          </w:tcPr>
          <w:p w14:paraId="13672B83">
            <w:pPr>
              <w:spacing w:line="560" w:lineRule="exact"/>
              <w:rPr>
                <w:rFonts w:hint="eastAsia" w:ascii="仿宋" w:hAnsi="仿宋" w:eastAsia="仿宋" w:cs="仿宋"/>
                <w:color w:val="auto"/>
                <w:sz w:val="24"/>
                <w:szCs w:val="24"/>
                <w:highlight w:val="none"/>
              </w:rPr>
            </w:pPr>
          </w:p>
        </w:tc>
      </w:tr>
      <w:tr w14:paraId="65751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3FA41C6E">
            <w:pPr>
              <w:spacing w:line="560" w:lineRule="exact"/>
              <w:rPr>
                <w:rFonts w:hint="eastAsia" w:ascii="仿宋" w:hAnsi="仿宋" w:eastAsia="仿宋" w:cs="仿宋"/>
                <w:color w:val="auto"/>
                <w:sz w:val="24"/>
                <w:szCs w:val="24"/>
                <w:highlight w:val="none"/>
              </w:rPr>
            </w:pPr>
          </w:p>
        </w:tc>
        <w:tc>
          <w:tcPr>
            <w:tcW w:w="7568" w:type="dxa"/>
            <w:vAlign w:val="center"/>
          </w:tcPr>
          <w:p w14:paraId="2EB6DDFD">
            <w:pPr>
              <w:spacing w:line="560" w:lineRule="exact"/>
              <w:rPr>
                <w:rFonts w:hint="eastAsia" w:ascii="仿宋" w:hAnsi="仿宋" w:eastAsia="仿宋" w:cs="仿宋"/>
                <w:color w:val="auto"/>
                <w:sz w:val="24"/>
                <w:szCs w:val="24"/>
                <w:highlight w:val="none"/>
              </w:rPr>
            </w:pPr>
          </w:p>
        </w:tc>
      </w:tr>
      <w:tr w14:paraId="148B9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1710A21D">
            <w:pPr>
              <w:spacing w:line="560" w:lineRule="exact"/>
              <w:rPr>
                <w:rFonts w:hint="eastAsia" w:ascii="仿宋" w:hAnsi="仿宋" w:eastAsia="仿宋" w:cs="仿宋"/>
                <w:color w:val="auto"/>
                <w:sz w:val="24"/>
                <w:szCs w:val="24"/>
                <w:highlight w:val="none"/>
              </w:rPr>
            </w:pPr>
          </w:p>
        </w:tc>
        <w:tc>
          <w:tcPr>
            <w:tcW w:w="7568" w:type="dxa"/>
            <w:vAlign w:val="center"/>
          </w:tcPr>
          <w:p w14:paraId="3A4CB3AF">
            <w:pPr>
              <w:spacing w:line="560" w:lineRule="exact"/>
              <w:rPr>
                <w:rFonts w:hint="eastAsia" w:ascii="仿宋" w:hAnsi="仿宋" w:eastAsia="仿宋" w:cs="仿宋"/>
                <w:color w:val="auto"/>
                <w:sz w:val="24"/>
                <w:szCs w:val="24"/>
                <w:highlight w:val="none"/>
                <w:u w:val="single"/>
              </w:rPr>
            </w:pPr>
          </w:p>
        </w:tc>
      </w:tr>
      <w:tr w14:paraId="57F5B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109F20AE">
            <w:pPr>
              <w:spacing w:line="560" w:lineRule="exact"/>
              <w:rPr>
                <w:rFonts w:hint="eastAsia" w:ascii="仿宋" w:hAnsi="仿宋" w:eastAsia="仿宋" w:cs="仿宋"/>
                <w:color w:val="auto"/>
                <w:sz w:val="24"/>
                <w:szCs w:val="24"/>
                <w:highlight w:val="none"/>
              </w:rPr>
            </w:pPr>
          </w:p>
        </w:tc>
        <w:tc>
          <w:tcPr>
            <w:tcW w:w="7568" w:type="dxa"/>
            <w:vAlign w:val="center"/>
          </w:tcPr>
          <w:p w14:paraId="08860C21">
            <w:pPr>
              <w:spacing w:line="560" w:lineRule="exact"/>
              <w:rPr>
                <w:rFonts w:hint="eastAsia" w:ascii="仿宋" w:hAnsi="仿宋" w:eastAsia="仿宋" w:cs="仿宋"/>
                <w:color w:val="auto"/>
                <w:sz w:val="24"/>
                <w:szCs w:val="24"/>
                <w:highlight w:val="none"/>
              </w:rPr>
            </w:pPr>
          </w:p>
        </w:tc>
      </w:tr>
      <w:tr w14:paraId="20C19B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6A1A0C70">
            <w:pPr>
              <w:spacing w:line="560" w:lineRule="exact"/>
              <w:rPr>
                <w:rFonts w:hint="eastAsia" w:ascii="仿宋" w:hAnsi="仿宋" w:eastAsia="仿宋" w:cs="仿宋"/>
                <w:color w:val="auto"/>
                <w:sz w:val="24"/>
                <w:szCs w:val="24"/>
                <w:highlight w:val="none"/>
              </w:rPr>
            </w:pPr>
          </w:p>
        </w:tc>
        <w:tc>
          <w:tcPr>
            <w:tcW w:w="7568" w:type="dxa"/>
            <w:vAlign w:val="center"/>
          </w:tcPr>
          <w:p w14:paraId="74E913E6">
            <w:pPr>
              <w:spacing w:line="560" w:lineRule="exact"/>
              <w:rPr>
                <w:rFonts w:hint="eastAsia" w:ascii="仿宋" w:hAnsi="仿宋" w:eastAsia="仿宋" w:cs="仿宋"/>
                <w:color w:val="auto"/>
                <w:sz w:val="24"/>
                <w:szCs w:val="24"/>
                <w:highlight w:val="none"/>
                <w:u w:val="single"/>
              </w:rPr>
            </w:pPr>
          </w:p>
        </w:tc>
      </w:tr>
      <w:tr w14:paraId="712AA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1C4F22A8">
            <w:pPr>
              <w:spacing w:line="560" w:lineRule="exact"/>
              <w:rPr>
                <w:rFonts w:hint="eastAsia" w:ascii="仿宋" w:hAnsi="仿宋" w:eastAsia="仿宋" w:cs="仿宋"/>
                <w:color w:val="auto"/>
                <w:sz w:val="24"/>
                <w:szCs w:val="24"/>
                <w:highlight w:val="none"/>
              </w:rPr>
            </w:pPr>
          </w:p>
        </w:tc>
        <w:tc>
          <w:tcPr>
            <w:tcW w:w="7568" w:type="dxa"/>
            <w:vAlign w:val="center"/>
          </w:tcPr>
          <w:p w14:paraId="436CF81A">
            <w:pPr>
              <w:spacing w:line="560" w:lineRule="exact"/>
              <w:rPr>
                <w:rFonts w:hint="eastAsia" w:ascii="仿宋" w:hAnsi="仿宋" w:eastAsia="仿宋" w:cs="仿宋"/>
                <w:color w:val="auto"/>
                <w:sz w:val="24"/>
                <w:szCs w:val="24"/>
                <w:highlight w:val="none"/>
              </w:rPr>
            </w:pPr>
          </w:p>
        </w:tc>
      </w:tr>
      <w:tr w14:paraId="17F5D8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4B7470A2">
            <w:pPr>
              <w:spacing w:line="560" w:lineRule="exact"/>
              <w:rPr>
                <w:rFonts w:hint="eastAsia" w:ascii="仿宋" w:hAnsi="仿宋" w:eastAsia="仿宋" w:cs="仿宋"/>
                <w:color w:val="auto"/>
                <w:sz w:val="24"/>
                <w:szCs w:val="24"/>
                <w:highlight w:val="none"/>
              </w:rPr>
            </w:pPr>
          </w:p>
        </w:tc>
        <w:tc>
          <w:tcPr>
            <w:tcW w:w="7568" w:type="dxa"/>
            <w:vAlign w:val="center"/>
          </w:tcPr>
          <w:p w14:paraId="70A80801">
            <w:pPr>
              <w:spacing w:line="560" w:lineRule="exact"/>
              <w:rPr>
                <w:rFonts w:hint="eastAsia" w:ascii="仿宋" w:hAnsi="仿宋" w:eastAsia="仿宋" w:cs="仿宋"/>
                <w:color w:val="auto"/>
                <w:sz w:val="24"/>
                <w:szCs w:val="24"/>
                <w:highlight w:val="none"/>
              </w:rPr>
            </w:pPr>
          </w:p>
        </w:tc>
      </w:tr>
      <w:tr w14:paraId="75373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32D92EDE">
            <w:pPr>
              <w:spacing w:line="560" w:lineRule="exact"/>
              <w:rPr>
                <w:rFonts w:hint="eastAsia" w:ascii="仿宋" w:hAnsi="仿宋" w:eastAsia="仿宋" w:cs="仿宋"/>
                <w:color w:val="auto"/>
                <w:sz w:val="24"/>
                <w:szCs w:val="24"/>
                <w:highlight w:val="none"/>
              </w:rPr>
            </w:pPr>
          </w:p>
        </w:tc>
        <w:tc>
          <w:tcPr>
            <w:tcW w:w="7568" w:type="dxa"/>
            <w:vAlign w:val="center"/>
          </w:tcPr>
          <w:p w14:paraId="5D3A2F50">
            <w:pPr>
              <w:spacing w:line="560" w:lineRule="exact"/>
              <w:rPr>
                <w:rFonts w:hint="eastAsia" w:ascii="仿宋" w:hAnsi="仿宋" w:eastAsia="仿宋" w:cs="仿宋"/>
                <w:color w:val="auto"/>
                <w:sz w:val="24"/>
                <w:szCs w:val="24"/>
                <w:highlight w:val="none"/>
              </w:rPr>
            </w:pPr>
          </w:p>
        </w:tc>
      </w:tr>
      <w:tr w14:paraId="509DE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2B73A03C">
            <w:pPr>
              <w:spacing w:line="560" w:lineRule="exact"/>
              <w:rPr>
                <w:rFonts w:hint="eastAsia" w:ascii="仿宋" w:hAnsi="仿宋" w:eastAsia="仿宋" w:cs="仿宋"/>
                <w:color w:val="auto"/>
                <w:sz w:val="24"/>
                <w:szCs w:val="24"/>
                <w:highlight w:val="none"/>
              </w:rPr>
            </w:pPr>
          </w:p>
        </w:tc>
        <w:tc>
          <w:tcPr>
            <w:tcW w:w="7568" w:type="dxa"/>
            <w:tcBorders>
              <w:top w:val="single" w:color="auto" w:sz="6" w:space="0"/>
              <w:left w:val="single" w:color="auto" w:sz="6" w:space="0"/>
              <w:bottom w:val="single" w:color="auto" w:sz="6" w:space="0"/>
              <w:right w:val="single" w:color="auto" w:sz="6" w:space="0"/>
            </w:tcBorders>
            <w:vAlign w:val="center"/>
          </w:tcPr>
          <w:p w14:paraId="3ECF25D5">
            <w:pPr>
              <w:spacing w:line="560" w:lineRule="exact"/>
              <w:rPr>
                <w:rFonts w:hint="eastAsia" w:ascii="仿宋" w:hAnsi="仿宋" w:eastAsia="仿宋" w:cs="仿宋"/>
                <w:color w:val="auto"/>
                <w:sz w:val="24"/>
                <w:szCs w:val="24"/>
                <w:highlight w:val="none"/>
              </w:rPr>
            </w:pPr>
          </w:p>
        </w:tc>
      </w:tr>
      <w:tr w14:paraId="349BA4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63BC9819">
            <w:pPr>
              <w:spacing w:line="560" w:lineRule="exact"/>
              <w:rPr>
                <w:rFonts w:hint="eastAsia" w:ascii="仿宋" w:hAnsi="仿宋" w:eastAsia="仿宋" w:cs="仿宋"/>
                <w:color w:val="auto"/>
                <w:sz w:val="24"/>
                <w:szCs w:val="24"/>
                <w:highlight w:val="none"/>
              </w:rPr>
            </w:pPr>
          </w:p>
        </w:tc>
        <w:tc>
          <w:tcPr>
            <w:tcW w:w="7568" w:type="dxa"/>
            <w:tcBorders>
              <w:top w:val="single" w:color="auto" w:sz="6" w:space="0"/>
              <w:left w:val="single" w:color="auto" w:sz="6" w:space="0"/>
              <w:bottom w:val="single" w:color="auto" w:sz="6" w:space="0"/>
              <w:right w:val="single" w:color="auto" w:sz="6" w:space="0"/>
            </w:tcBorders>
            <w:vAlign w:val="center"/>
          </w:tcPr>
          <w:p w14:paraId="27F897F3">
            <w:pPr>
              <w:spacing w:line="560" w:lineRule="exact"/>
              <w:rPr>
                <w:rFonts w:hint="eastAsia" w:ascii="仿宋" w:hAnsi="仿宋" w:eastAsia="仿宋" w:cs="仿宋"/>
                <w:color w:val="auto"/>
                <w:sz w:val="24"/>
                <w:szCs w:val="24"/>
                <w:highlight w:val="none"/>
              </w:rPr>
            </w:pPr>
          </w:p>
        </w:tc>
      </w:tr>
    </w:tbl>
    <w:p w14:paraId="001CD9BC">
      <w:pPr>
        <w:spacing w:line="360" w:lineRule="auto"/>
        <w:rPr>
          <w:rFonts w:hint="eastAsia" w:ascii="仿宋" w:hAnsi="仿宋" w:eastAsia="仿宋" w:cs="仿宋"/>
          <w:color w:val="auto"/>
          <w:sz w:val="24"/>
          <w:highlight w:val="none"/>
        </w:rPr>
      </w:pPr>
    </w:p>
    <w:p w14:paraId="553D7D99">
      <w:pPr>
        <w:widowControl/>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bookmarkEnd w:id="525"/>
    <w:p w14:paraId="4FD515F3">
      <w:pPr>
        <w:pStyle w:val="2"/>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仿宋" w:hAnsi="仿宋" w:eastAsia="仿宋" w:cs="仿宋"/>
          <w:b/>
          <w:bCs/>
          <w:snapToGrid w:val="0"/>
          <w:color w:val="auto"/>
          <w:spacing w:val="6"/>
          <w:kern w:val="0"/>
          <w:sz w:val="35"/>
          <w:szCs w:val="35"/>
          <w:highlight w:val="none"/>
          <w:lang w:val="en-US" w:eastAsia="zh-CN" w:bidi="ar-SA"/>
        </w:rPr>
      </w:pPr>
      <w:bookmarkStart w:id="729" w:name="_Toc4770"/>
      <w:bookmarkStart w:id="730" w:name="_Toc155185919"/>
      <w:r>
        <w:rPr>
          <w:rFonts w:hint="eastAsia" w:ascii="仿宋" w:hAnsi="仿宋" w:eastAsia="仿宋" w:cs="仿宋"/>
          <w:b/>
          <w:bCs/>
          <w:snapToGrid w:val="0"/>
          <w:color w:val="auto"/>
          <w:spacing w:val="6"/>
          <w:kern w:val="0"/>
          <w:sz w:val="35"/>
          <w:szCs w:val="35"/>
          <w:highlight w:val="none"/>
          <w:lang w:val="en-US" w:eastAsia="zh-CN" w:bidi="ar-SA"/>
        </w:rPr>
        <w:t>第七章 投标文件格式</w:t>
      </w:r>
      <w:bookmarkEnd w:id="729"/>
      <w:bookmarkEnd w:id="730"/>
    </w:p>
    <w:p w14:paraId="5FA3BDA1">
      <w:pPr>
        <w:rPr>
          <w:rFonts w:hint="eastAsia" w:ascii="仿宋" w:hAnsi="仿宋" w:eastAsia="仿宋" w:cs="仿宋"/>
          <w:color w:val="auto"/>
          <w:szCs w:val="24"/>
          <w:highlight w:val="none"/>
          <w:lang w:val="zh-CN"/>
        </w:rPr>
      </w:pPr>
      <w:r>
        <w:rPr>
          <w:rFonts w:hint="eastAsia" w:ascii="仿宋" w:hAnsi="仿宋" w:eastAsia="仿宋" w:cs="仿宋"/>
          <w:color w:val="auto"/>
          <w:szCs w:val="24"/>
          <w:highlight w:val="none"/>
          <w:lang w:val="zh-CN"/>
        </w:rPr>
        <w:br w:type="page"/>
      </w:r>
    </w:p>
    <w:p w14:paraId="43321BBC">
      <w:pPr>
        <w:rPr>
          <w:rFonts w:hint="eastAsia" w:ascii="仿宋" w:hAnsi="仿宋" w:eastAsia="仿宋" w:cs="仿宋"/>
          <w:color w:val="auto"/>
          <w:szCs w:val="24"/>
          <w:highlight w:val="none"/>
          <w:lang w:val="zh-CN"/>
        </w:rPr>
      </w:pPr>
    </w:p>
    <w:p w14:paraId="1C97760F">
      <w:pPr>
        <w:rPr>
          <w:rFonts w:hint="eastAsia"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封面：</w:t>
      </w:r>
    </w:p>
    <w:p w14:paraId="110C9627">
      <w:pPr>
        <w:autoSpaceDE w:val="0"/>
        <w:autoSpaceDN w:val="0"/>
        <w:adjustRightInd w:val="0"/>
        <w:rPr>
          <w:rFonts w:hint="eastAsia" w:ascii="仿宋" w:hAnsi="仿宋" w:eastAsia="仿宋" w:cs="仿宋"/>
          <w:color w:val="auto"/>
          <w:sz w:val="21"/>
          <w:szCs w:val="24"/>
          <w:highlight w:val="none"/>
        </w:rPr>
      </w:pPr>
    </w:p>
    <w:p w14:paraId="46B2F793">
      <w:pPr>
        <w:autoSpaceDE w:val="0"/>
        <w:autoSpaceDN w:val="0"/>
        <w:adjustRightInd w:val="0"/>
        <w:rPr>
          <w:rFonts w:hint="eastAsia" w:ascii="仿宋" w:hAnsi="仿宋" w:eastAsia="仿宋" w:cs="仿宋"/>
          <w:color w:val="auto"/>
          <w:sz w:val="21"/>
          <w:szCs w:val="24"/>
          <w:highlight w:val="none"/>
        </w:rPr>
      </w:pPr>
    </w:p>
    <w:p w14:paraId="6E4AA265">
      <w:pPr>
        <w:autoSpaceDE w:val="0"/>
        <w:autoSpaceDN w:val="0"/>
        <w:adjustRightInd w:val="0"/>
        <w:jc w:val="center"/>
        <w:rPr>
          <w:rFonts w:hint="eastAsia" w:ascii="仿宋" w:hAnsi="仿宋" w:eastAsia="仿宋" w:cs="仿宋"/>
          <w:color w:val="auto"/>
          <w:sz w:val="21"/>
          <w:szCs w:val="24"/>
          <w:highlight w:val="none"/>
        </w:rPr>
      </w:pPr>
    </w:p>
    <w:p w14:paraId="27B96914">
      <w:pPr>
        <w:pStyle w:val="3"/>
        <w:bidi w:val="0"/>
        <w:jc w:val="center"/>
        <w:rPr>
          <w:rFonts w:hint="eastAsia" w:ascii="仿宋" w:hAnsi="仿宋" w:eastAsia="仿宋" w:cs="仿宋"/>
          <w:color w:val="auto"/>
          <w:sz w:val="84"/>
          <w:szCs w:val="84"/>
        </w:rPr>
      </w:pPr>
      <w:bookmarkStart w:id="731" w:name="_Toc29969"/>
      <w:r>
        <w:rPr>
          <w:rFonts w:hint="eastAsia" w:ascii="仿宋" w:hAnsi="仿宋" w:eastAsia="仿宋" w:cs="仿宋"/>
          <w:color w:val="auto"/>
          <w:sz w:val="84"/>
          <w:szCs w:val="84"/>
        </w:rPr>
        <w:t>投 标 文 件</w:t>
      </w:r>
      <w:bookmarkEnd w:id="731"/>
    </w:p>
    <w:p w14:paraId="459BCAAF">
      <w:pPr>
        <w:pStyle w:val="3"/>
        <w:bidi w:val="0"/>
        <w:spacing w:before="0" w:after="0" w:line="240" w:lineRule="auto"/>
        <w:jc w:val="center"/>
        <w:rPr>
          <w:rFonts w:hint="eastAsia" w:ascii="仿宋" w:hAnsi="仿宋" w:eastAsia="仿宋" w:cs="仿宋"/>
          <w:color w:val="auto"/>
          <w:sz w:val="56"/>
          <w:szCs w:val="56"/>
        </w:rPr>
      </w:pPr>
      <w:bookmarkStart w:id="732" w:name="_Toc26966"/>
      <w:r>
        <w:rPr>
          <w:rFonts w:hint="eastAsia" w:ascii="仿宋" w:hAnsi="仿宋" w:eastAsia="仿宋" w:cs="仿宋"/>
          <w:color w:val="auto"/>
          <w:sz w:val="56"/>
          <w:szCs w:val="56"/>
        </w:rPr>
        <w:t>资格证明文件</w:t>
      </w:r>
      <w:bookmarkEnd w:id="732"/>
    </w:p>
    <w:p w14:paraId="1CFC1F24">
      <w:pPr>
        <w:autoSpaceDE w:val="0"/>
        <w:autoSpaceDN w:val="0"/>
        <w:adjustRightInd w:val="0"/>
        <w:rPr>
          <w:rFonts w:hint="eastAsia" w:ascii="仿宋" w:hAnsi="仿宋" w:eastAsia="仿宋" w:cs="仿宋"/>
          <w:b/>
          <w:bCs/>
          <w:color w:val="auto"/>
          <w:sz w:val="22"/>
          <w:highlight w:val="none"/>
        </w:rPr>
      </w:pPr>
    </w:p>
    <w:p w14:paraId="443B314F">
      <w:pPr>
        <w:autoSpaceDE w:val="0"/>
        <w:autoSpaceDN w:val="0"/>
        <w:adjustRightInd w:val="0"/>
        <w:rPr>
          <w:rFonts w:hint="eastAsia" w:ascii="仿宋" w:hAnsi="仿宋" w:eastAsia="仿宋" w:cs="仿宋"/>
          <w:color w:val="auto"/>
          <w:sz w:val="21"/>
          <w:szCs w:val="21"/>
          <w:highlight w:val="none"/>
        </w:rPr>
      </w:pPr>
    </w:p>
    <w:p w14:paraId="5EEA62C5">
      <w:pPr>
        <w:autoSpaceDE w:val="0"/>
        <w:autoSpaceDN w:val="0"/>
        <w:adjustRightInd w:val="0"/>
        <w:rPr>
          <w:rFonts w:hint="eastAsia" w:ascii="仿宋" w:hAnsi="仿宋" w:eastAsia="仿宋" w:cs="仿宋"/>
          <w:color w:val="auto"/>
          <w:sz w:val="21"/>
          <w:szCs w:val="21"/>
          <w:highlight w:val="none"/>
        </w:rPr>
      </w:pPr>
    </w:p>
    <w:p w14:paraId="41B1134E">
      <w:pPr>
        <w:pStyle w:val="3"/>
        <w:rPr>
          <w:rFonts w:hint="eastAsia" w:ascii="仿宋" w:hAnsi="仿宋" w:eastAsia="仿宋" w:cs="仿宋"/>
          <w:color w:val="auto"/>
          <w:highlight w:val="none"/>
        </w:rPr>
      </w:pPr>
    </w:p>
    <w:p w14:paraId="74BF5759">
      <w:pPr>
        <w:autoSpaceDE w:val="0"/>
        <w:autoSpaceDN w:val="0"/>
        <w:adjustRightInd w:val="0"/>
        <w:rPr>
          <w:rFonts w:hint="eastAsia" w:ascii="仿宋" w:hAnsi="仿宋" w:eastAsia="仿宋" w:cs="仿宋"/>
          <w:color w:val="auto"/>
          <w:sz w:val="21"/>
          <w:szCs w:val="21"/>
          <w:highlight w:val="none"/>
        </w:rPr>
      </w:pPr>
    </w:p>
    <w:p w14:paraId="1D6B15A2">
      <w:pPr>
        <w:autoSpaceDE w:val="0"/>
        <w:autoSpaceDN w:val="0"/>
        <w:adjustRightInd w:val="0"/>
        <w:rPr>
          <w:rFonts w:hint="eastAsia" w:ascii="仿宋" w:hAnsi="仿宋" w:eastAsia="仿宋" w:cs="仿宋"/>
          <w:color w:val="auto"/>
          <w:sz w:val="21"/>
          <w:szCs w:val="21"/>
          <w:highlight w:val="none"/>
        </w:rPr>
      </w:pPr>
    </w:p>
    <w:p w14:paraId="20FDC651">
      <w:pPr>
        <w:ind w:left="420" w:leftChars="175"/>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项目编号：</w:t>
      </w:r>
      <w:r>
        <w:rPr>
          <w:rFonts w:hint="eastAsia" w:ascii="仿宋" w:hAnsi="仿宋" w:eastAsia="仿宋" w:cs="仿宋"/>
          <w:color w:val="auto"/>
          <w:sz w:val="36"/>
          <w:szCs w:val="36"/>
          <w:highlight w:val="none"/>
          <w:u w:val="single"/>
        </w:rPr>
        <w:t xml:space="preserve">   </w:t>
      </w:r>
      <w:r>
        <w:rPr>
          <w:rFonts w:hint="eastAsia" w:ascii="仿宋" w:hAnsi="仿宋" w:eastAsia="仿宋" w:cs="仿宋"/>
          <w:color w:val="auto"/>
          <w:sz w:val="36"/>
          <w:szCs w:val="36"/>
          <w:highlight w:val="none"/>
          <w:u w:val="single"/>
          <w:lang w:val="en-US" w:eastAsia="zh-CN"/>
        </w:rPr>
        <w:t xml:space="preserve"> </w:t>
      </w:r>
      <w:r>
        <w:rPr>
          <w:rFonts w:hint="eastAsia" w:ascii="仿宋" w:hAnsi="仿宋" w:eastAsia="仿宋" w:cs="仿宋"/>
          <w:color w:val="auto"/>
          <w:sz w:val="36"/>
          <w:szCs w:val="36"/>
          <w:highlight w:val="none"/>
          <w:u w:val="single"/>
        </w:rPr>
        <w:t xml:space="preserve">     </w:t>
      </w:r>
      <w:r>
        <w:rPr>
          <w:rFonts w:hint="eastAsia" w:ascii="仿宋" w:hAnsi="仿宋" w:eastAsia="仿宋" w:cs="仿宋"/>
          <w:color w:val="auto"/>
          <w:sz w:val="36"/>
          <w:szCs w:val="36"/>
          <w:highlight w:val="none"/>
          <w:u w:val="single"/>
          <w:lang w:val="en-US" w:eastAsia="zh-CN"/>
        </w:rPr>
        <w:t xml:space="preserve"> </w:t>
      </w:r>
      <w:r>
        <w:rPr>
          <w:rFonts w:hint="eastAsia" w:ascii="仿宋" w:hAnsi="仿宋" w:eastAsia="仿宋" w:cs="仿宋"/>
          <w:color w:val="auto"/>
          <w:sz w:val="36"/>
          <w:szCs w:val="36"/>
          <w:highlight w:val="none"/>
          <w:u w:val="single"/>
        </w:rPr>
        <w:t xml:space="preserve">      </w:t>
      </w:r>
      <w:r>
        <w:rPr>
          <w:rFonts w:hint="eastAsia" w:ascii="仿宋" w:hAnsi="仿宋" w:eastAsia="仿宋" w:cs="仿宋"/>
          <w:color w:val="auto"/>
          <w:sz w:val="36"/>
          <w:szCs w:val="36"/>
          <w:highlight w:val="none"/>
          <w:u w:val="single"/>
          <w:lang w:val="en-US" w:eastAsia="zh-CN"/>
        </w:rPr>
        <w:t xml:space="preserve"> </w:t>
      </w:r>
      <w:r>
        <w:rPr>
          <w:rFonts w:hint="eastAsia" w:ascii="仿宋" w:hAnsi="仿宋" w:eastAsia="仿宋" w:cs="仿宋"/>
          <w:color w:val="auto"/>
          <w:sz w:val="36"/>
          <w:szCs w:val="36"/>
          <w:highlight w:val="none"/>
          <w:u w:val="single"/>
        </w:rPr>
        <w:t xml:space="preserve"> </w:t>
      </w:r>
      <w:r>
        <w:rPr>
          <w:rFonts w:hint="eastAsia" w:ascii="仿宋" w:hAnsi="仿宋" w:eastAsia="仿宋" w:cs="仿宋"/>
          <w:color w:val="auto"/>
          <w:sz w:val="36"/>
          <w:szCs w:val="36"/>
          <w:highlight w:val="none"/>
          <w:u w:val="single"/>
          <w:lang w:val="en-US" w:eastAsia="zh-CN"/>
        </w:rPr>
        <w:t xml:space="preserve">     </w:t>
      </w:r>
      <w:r>
        <w:rPr>
          <w:rFonts w:hint="eastAsia" w:ascii="仿宋" w:hAnsi="仿宋" w:eastAsia="仿宋" w:cs="仿宋"/>
          <w:color w:val="auto"/>
          <w:sz w:val="36"/>
          <w:szCs w:val="36"/>
          <w:highlight w:val="none"/>
          <w:u w:val="single"/>
        </w:rPr>
        <w:t xml:space="preserve">         </w:t>
      </w:r>
    </w:p>
    <w:p w14:paraId="3EA2C6F3">
      <w:pPr>
        <w:ind w:left="420" w:leftChars="175"/>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项目名称：</w:t>
      </w:r>
      <w:r>
        <w:rPr>
          <w:rFonts w:hint="eastAsia" w:ascii="仿宋" w:hAnsi="仿宋" w:eastAsia="仿宋" w:cs="仿宋"/>
          <w:color w:val="auto"/>
          <w:sz w:val="36"/>
          <w:szCs w:val="36"/>
          <w:highlight w:val="none"/>
          <w:u w:val="single"/>
        </w:rPr>
        <w:t xml:space="preserve">                    </w:t>
      </w:r>
      <w:r>
        <w:rPr>
          <w:rFonts w:hint="eastAsia" w:ascii="仿宋" w:hAnsi="仿宋" w:eastAsia="仿宋" w:cs="仿宋"/>
          <w:color w:val="auto"/>
          <w:sz w:val="36"/>
          <w:szCs w:val="36"/>
          <w:highlight w:val="none"/>
          <w:u w:val="single"/>
          <w:lang w:val="en-US" w:eastAsia="zh-CN"/>
        </w:rPr>
        <w:t xml:space="preserve"> </w:t>
      </w:r>
      <w:r>
        <w:rPr>
          <w:rFonts w:hint="eastAsia" w:ascii="仿宋" w:hAnsi="仿宋" w:eastAsia="仿宋" w:cs="仿宋"/>
          <w:color w:val="auto"/>
          <w:sz w:val="36"/>
          <w:szCs w:val="36"/>
          <w:highlight w:val="none"/>
          <w:u w:val="single"/>
        </w:rPr>
        <w:t xml:space="preserve">           </w:t>
      </w:r>
    </w:p>
    <w:p w14:paraId="713D4731">
      <w:pPr>
        <w:ind w:left="420" w:leftChars="175"/>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投</w:t>
      </w:r>
      <w:r>
        <w:rPr>
          <w:rFonts w:hint="eastAsia" w:ascii="仿宋" w:hAnsi="仿宋" w:eastAsia="仿宋" w:cs="仿宋"/>
          <w:color w:val="auto"/>
          <w:sz w:val="36"/>
          <w:szCs w:val="36"/>
          <w:highlight w:val="none"/>
          <w:lang w:val="en-US" w:eastAsia="zh-CN"/>
        </w:rPr>
        <w:t xml:space="preserve"> </w:t>
      </w:r>
      <w:r>
        <w:rPr>
          <w:rFonts w:hint="eastAsia" w:ascii="仿宋" w:hAnsi="仿宋" w:eastAsia="仿宋" w:cs="仿宋"/>
          <w:color w:val="auto"/>
          <w:sz w:val="36"/>
          <w:szCs w:val="36"/>
          <w:highlight w:val="none"/>
        </w:rPr>
        <w:t>标</w:t>
      </w:r>
      <w:r>
        <w:rPr>
          <w:rFonts w:hint="eastAsia" w:ascii="仿宋" w:hAnsi="仿宋" w:eastAsia="仿宋" w:cs="仿宋"/>
          <w:color w:val="auto"/>
          <w:sz w:val="36"/>
          <w:szCs w:val="36"/>
          <w:highlight w:val="none"/>
          <w:lang w:val="en-US" w:eastAsia="zh-CN"/>
        </w:rPr>
        <w:t xml:space="preserve"> </w:t>
      </w:r>
      <w:r>
        <w:rPr>
          <w:rFonts w:hint="eastAsia" w:ascii="仿宋" w:hAnsi="仿宋" w:eastAsia="仿宋" w:cs="仿宋"/>
          <w:color w:val="auto"/>
          <w:sz w:val="36"/>
          <w:szCs w:val="36"/>
          <w:highlight w:val="none"/>
        </w:rPr>
        <w:t>人：</w:t>
      </w:r>
      <w:r>
        <w:rPr>
          <w:rFonts w:hint="eastAsia" w:ascii="仿宋" w:hAnsi="仿宋" w:eastAsia="仿宋" w:cs="仿宋"/>
          <w:color w:val="auto"/>
          <w:sz w:val="36"/>
          <w:szCs w:val="36"/>
          <w:highlight w:val="none"/>
          <w:u w:val="single"/>
        </w:rPr>
        <w:t xml:space="preserve">      </w:t>
      </w:r>
      <w:r>
        <w:rPr>
          <w:rFonts w:hint="eastAsia" w:ascii="仿宋" w:hAnsi="仿宋" w:eastAsia="仿宋" w:cs="仿宋"/>
          <w:color w:val="auto"/>
          <w:sz w:val="36"/>
          <w:szCs w:val="36"/>
          <w:highlight w:val="none"/>
          <w:u w:val="single"/>
          <w:lang w:val="en-US" w:eastAsia="zh-CN"/>
        </w:rPr>
        <w:t xml:space="preserve">  </w:t>
      </w:r>
      <w:r>
        <w:rPr>
          <w:rFonts w:hint="eastAsia" w:ascii="仿宋" w:hAnsi="仿宋" w:eastAsia="仿宋" w:cs="仿宋"/>
          <w:color w:val="auto"/>
          <w:sz w:val="36"/>
          <w:szCs w:val="36"/>
          <w:highlight w:val="none"/>
          <w:u w:val="single"/>
        </w:rPr>
        <w:t xml:space="preserve">         </w:t>
      </w:r>
      <w:r>
        <w:rPr>
          <w:rFonts w:hint="eastAsia" w:ascii="仿宋" w:hAnsi="仿宋" w:eastAsia="仿宋" w:cs="仿宋"/>
          <w:color w:val="auto"/>
          <w:sz w:val="36"/>
          <w:szCs w:val="36"/>
          <w:highlight w:val="none"/>
          <w:u w:val="single"/>
          <w:lang w:val="en-US" w:eastAsia="zh-CN"/>
        </w:rPr>
        <w:t xml:space="preserve"> </w:t>
      </w:r>
      <w:r>
        <w:rPr>
          <w:rFonts w:hint="eastAsia" w:ascii="仿宋" w:hAnsi="仿宋" w:eastAsia="仿宋" w:cs="仿宋"/>
          <w:color w:val="auto"/>
          <w:sz w:val="36"/>
          <w:szCs w:val="36"/>
          <w:highlight w:val="none"/>
          <w:u w:val="single"/>
        </w:rPr>
        <w:t xml:space="preserve">              </w:t>
      </w:r>
    </w:p>
    <w:p w14:paraId="35B30332">
      <w:pPr>
        <w:ind w:left="840" w:firstLine="420"/>
        <w:rPr>
          <w:rFonts w:hint="eastAsia" w:ascii="仿宋" w:hAnsi="仿宋" w:eastAsia="仿宋" w:cs="仿宋"/>
          <w:b/>
          <w:bCs/>
          <w:color w:val="auto"/>
          <w:sz w:val="28"/>
          <w:szCs w:val="28"/>
          <w:highlight w:val="none"/>
        </w:rPr>
      </w:pPr>
    </w:p>
    <w:p w14:paraId="74CAEBB8">
      <w:pPr>
        <w:ind w:left="840" w:firstLine="420"/>
        <w:rPr>
          <w:rFonts w:hint="eastAsia" w:ascii="仿宋" w:hAnsi="仿宋" w:eastAsia="仿宋" w:cs="仿宋"/>
          <w:b/>
          <w:bCs/>
          <w:color w:val="auto"/>
          <w:sz w:val="28"/>
          <w:szCs w:val="28"/>
          <w:highlight w:val="none"/>
        </w:rPr>
      </w:pPr>
    </w:p>
    <w:p w14:paraId="2AED6669">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年  月  日</w:t>
      </w:r>
    </w:p>
    <w:p w14:paraId="0180A8E2">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br w:type="page"/>
      </w:r>
    </w:p>
    <w:p w14:paraId="1277BF42">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仿宋" w:hAnsi="仿宋" w:eastAsia="仿宋" w:cs="仿宋"/>
          <w:b/>
          <w:bCs/>
          <w:color w:val="auto"/>
          <w:kern w:val="2"/>
          <w:sz w:val="28"/>
          <w:szCs w:val="28"/>
          <w:highlight w:val="none"/>
          <w:lang w:val="en-US" w:eastAsia="zh-CN" w:bidi="ar-SA"/>
        </w:rPr>
      </w:pPr>
      <w:bookmarkStart w:id="733" w:name="_Toc25215"/>
      <w:bookmarkStart w:id="734" w:name="_Toc155185927"/>
      <w:r>
        <w:rPr>
          <w:rFonts w:hint="eastAsia" w:ascii="仿宋" w:hAnsi="仿宋" w:eastAsia="仿宋" w:cs="仿宋"/>
          <w:b/>
          <w:bCs/>
          <w:color w:val="auto"/>
          <w:kern w:val="2"/>
          <w:sz w:val="28"/>
          <w:szCs w:val="28"/>
          <w:highlight w:val="none"/>
          <w:lang w:val="en-US" w:eastAsia="zh-CN" w:bidi="ar-SA"/>
        </w:rPr>
        <w:t>一、满足《中华人民共和国政府采购法》第二十二条规定</w:t>
      </w:r>
      <w:bookmarkEnd w:id="733"/>
    </w:p>
    <w:bookmarkEnd w:id="734"/>
    <w:p w14:paraId="2663E2E9">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（一）法人、其他组织或者自然人的证明文件</w:t>
      </w:r>
    </w:p>
    <w:p w14:paraId="1830338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1、投标人为企业（包括合伙企业）的，应提供有效的“营业执照”；</w:t>
      </w:r>
    </w:p>
    <w:p w14:paraId="4A3566A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2、投标人为事业单位的，应提供有效的“事业单位法人证书”；</w:t>
      </w:r>
    </w:p>
    <w:p w14:paraId="0AFDE45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3、投标人为非企业机构的，应提供有效的“执业许可证”、“登记证书”等证明文件；</w:t>
      </w:r>
    </w:p>
    <w:p w14:paraId="65D48A0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4、投标人是个体工商户的，应提供有效的“个体工商户营业执照”；</w:t>
      </w:r>
    </w:p>
    <w:p w14:paraId="40C7F41A">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5、投标人是自然人的，应提供有效的自然人身份证明。</w:t>
      </w:r>
    </w:p>
    <w:p w14:paraId="1B25D25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lang w:val="en-US" w:eastAsia="zh-CN"/>
        </w:rPr>
      </w:pPr>
    </w:p>
    <w:p w14:paraId="330BA9EC">
      <w:pP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br w:type="page"/>
      </w:r>
    </w:p>
    <w:p w14:paraId="5C53E086">
      <w:pPr>
        <w:pStyle w:val="13"/>
        <w:keepNext w:val="0"/>
        <w:keepLines w:val="0"/>
        <w:pageBreakBefore w:val="0"/>
        <w:widowControl/>
        <w:shd w:val="clear"/>
        <w:kinsoku w:val="0"/>
        <w:wordWrap/>
        <w:overflowPunct/>
        <w:topLinePunct w:val="0"/>
        <w:autoSpaceDE w:val="0"/>
        <w:autoSpaceDN w:val="0"/>
        <w:bidi w:val="0"/>
        <w:adjustRightInd w:val="0"/>
        <w:snapToGrid w:val="0"/>
        <w:spacing w:line="360" w:lineRule="auto"/>
        <w:ind w:left="34"/>
        <w:jc w:val="both"/>
        <w:textAlignment w:val="baseline"/>
        <w:outlineLvl w:val="2"/>
        <w:rPr>
          <w:rFonts w:hint="eastAsia" w:ascii="仿宋" w:hAnsi="仿宋" w:eastAsia="仿宋" w:cs="仿宋"/>
          <w:b/>
          <w:bCs/>
          <w:color w:val="auto"/>
          <w:spacing w:val="-3"/>
          <w:sz w:val="24"/>
          <w:szCs w:val="24"/>
          <w:highlight w:val="none"/>
          <w:lang w:val="en-US" w:eastAsia="zh-CN"/>
        </w:rPr>
      </w:pPr>
      <w:bookmarkStart w:id="735" w:name="_Toc163492923"/>
      <w:bookmarkStart w:id="736" w:name="_Toc140132840"/>
      <w:bookmarkStart w:id="737" w:name="_Toc155185930"/>
      <w:bookmarkStart w:id="738" w:name="_Toc109900336"/>
      <w:bookmarkStart w:id="739" w:name="_Toc21383"/>
      <w:bookmarkStart w:id="740" w:name="_Toc109899498"/>
      <w:bookmarkStart w:id="741" w:name="_Toc109899917"/>
      <w:r>
        <w:rPr>
          <w:rFonts w:hint="eastAsia" w:ascii="仿宋" w:hAnsi="仿宋" w:eastAsia="仿宋" w:cs="仿宋"/>
          <w:b/>
          <w:bCs/>
          <w:color w:val="auto"/>
          <w:spacing w:val="-3"/>
          <w:sz w:val="24"/>
          <w:szCs w:val="24"/>
          <w:highlight w:val="none"/>
          <w:lang w:val="en-US" w:eastAsia="zh-CN"/>
        </w:rPr>
        <w:t>（二）</w:t>
      </w:r>
      <w:r>
        <w:rPr>
          <w:rFonts w:hint="eastAsia" w:ascii="仿宋" w:hAnsi="仿宋" w:eastAsia="仿宋" w:cs="仿宋"/>
          <w:b/>
          <w:bCs/>
          <w:color w:val="auto"/>
          <w:spacing w:val="-3"/>
          <w:sz w:val="24"/>
          <w:szCs w:val="24"/>
          <w:highlight w:val="none"/>
        </w:rPr>
        <w:t>良好的商业信誉和健全的财务会计制度</w:t>
      </w:r>
    </w:p>
    <w:p w14:paraId="5112FD69">
      <w:pPr>
        <w:pStyle w:val="92"/>
        <w:keepNext w:val="0"/>
        <w:keepLines w:val="0"/>
        <w:pageBreakBefore w:val="0"/>
        <w:widowControl w:val="0"/>
        <w:shd w:val="clear"/>
        <w:kinsoku/>
        <w:wordWrap/>
        <w:overflowPunct/>
        <w:topLinePunct w:val="0"/>
        <w:autoSpaceDE/>
        <w:autoSpaceDN/>
        <w:bidi w:val="0"/>
        <w:adjustRightInd w:val="0"/>
        <w:snapToGrid w:val="0"/>
        <w:spacing w:line="360" w:lineRule="auto"/>
        <w:ind w:firstLine="484" w:firstLineChars="200"/>
        <w:jc w:val="left"/>
        <w:textAlignment w:val="auto"/>
        <w:rPr>
          <w:rFonts w:hint="eastAsia" w:ascii="仿宋" w:hAnsi="仿宋" w:eastAsia="仿宋" w:cs="仿宋"/>
          <w:snapToGrid w:val="0"/>
          <w:color w:val="auto"/>
          <w:spacing w:val="1"/>
          <w:kern w:val="0"/>
          <w:sz w:val="24"/>
          <w:szCs w:val="24"/>
          <w:highlight w:val="none"/>
          <w:lang w:val="en-US" w:eastAsia="en-US" w:bidi="ar-SA"/>
        </w:rPr>
      </w:pPr>
      <w:r>
        <w:rPr>
          <w:rFonts w:hint="eastAsia" w:ascii="仿宋" w:hAnsi="仿宋" w:eastAsia="仿宋" w:cs="仿宋"/>
          <w:snapToGrid w:val="0"/>
          <w:color w:val="auto"/>
          <w:spacing w:val="1"/>
          <w:kern w:val="0"/>
          <w:sz w:val="24"/>
          <w:szCs w:val="24"/>
          <w:highlight w:val="none"/>
          <w:lang w:val="en-US" w:eastAsia="zh-CN" w:bidi="ar-SA"/>
        </w:rPr>
        <w:t>供应商是法人的，应提供本单位2023年或2024年经会计师事务所出具的审计报告复印件（报告中须包括资产负债表、利润表、现金流量表及所有者权益变动表及其附注），或银行出具的资信证明。银行资信证明可提供原件，也可提供银行在开标日前十二个月内开具资信证明的复印件，对于资信证明文件中写明“复印无效”的</w:t>
      </w:r>
      <w:r>
        <w:rPr>
          <w:rFonts w:hint="eastAsia" w:ascii="仿宋" w:hAnsi="仿宋" w:eastAsia="仿宋" w:cs="仿宋"/>
          <w:snapToGrid w:val="0"/>
          <w:color w:val="auto"/>
          <w:spacing w:val="1"/>
          <w:kern w:val="0"/>
          <w:sz w:val="24"/>
          <w:szCs w:val="24"/>
          <w:highlight w:val="none"/>
          <w:lang w:val="en-US" w:eastAsia="en-US" w:bidi="ar-SA"/>
        </w:rPr>
        <w:t>应提供原件。银行资信证明的抬头可以与采购人或采购代理机构名称不同。</w:t>
      </w:r>
    </w:p>
    <w:p w14:paraId="0A82A941">
      <w:pPr>
        <w:pStyle w:val="92"/>
        <w:keepNext w:val="0"/>
        <w:keepLines w:val="0"/>
        <w:pageBreakBefore w:val="0"/>
        <w:widowControl w:val="0"/>
        <w:shd w:val="clear"/>
        <w:kinsoku/>
        <w:wordWrap/>
        <w:overflowPunct/>
        <w:topLinePunct w:val="0"/>
        <w:autoSpaceDE/>
        <w:autoSpaceDN/>
        <w:bidi w:val="0"/>
        <w:adjustRightInd w:val="0"/>
        <w:snapToGrid w:val="0"/>
        <w:spacing w:line="360" w:lineRule="auto"/>
        <w:ind w:firstLine="484"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snapToGrid w:val="0"/>
          <w:color w:val="auto"/>
          <w:spacing w:val="1"/>
          <w:kern w:val="0"/>
          <w:sz w:val="24"/>
          <w:szCs w:val="24"/>
          <w:highlight w:val="none"/>
          <w:lang w:val="en-US" w:eastAsia="en-US" w:bidi="ar-SA"/>
        </w:rPr>
        <w:t>供应商是其他组织或自然人的，应提供银行出具的资信证明。银行资信证明应能说明该供应商与银行之间业务往来正常，无不良记录，企业信誉良好等。银行出具的存款证明不能作为银行资信证明。</w:t>
      </w:r>
    </w:p>
    <w:p w14:paraId="6549BF09">
      <w:pPr>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br w:type="page"/>
      </w:r>
    </w:p>
    <w:p w14:paraId="51EBE10D">
      <w:pPr>
        <w:pStyle w:val="13"/>
        <w:keepNext w:val="0"/>
        <w:keepLines w:val="0"/>
        <w:pageBreakBefore w:val="0"/>
        <w:widowControl/>
        <w:shd w:val="clear"/>
        <w:kinsoku w:val="0"/>
        <w:wordWrap/>
        <w:overflowPunct/>
        <w:topLinePunct w:val="0"/>
        <w:autoSpaceDE w:val="0"/>
        <w:autoSpaceDN w:val="0"/>
        <w:bidi w:val="0"/>
        <w:adjustRightInd w:val="0"/>
        <w:snapToGrid w:val="0"/>
        <w:spacing w:line="360" w:lineRule="auto"/>
        <w:ind w:left="34"/>
        <w:jc w:val="both"/>
        <w:textAlignment w:val="baseline"/>
        <w:outlineLvl w:val="2"/>
        <w:rPr>
          <w:rFonts w:hint="eastAsia" w:ascii="仿宋" w:hAnsi="仿宋" w:eastAsia="仿宋" w:cs="仿宋"/>
          <w:b/>
          <w:bCs/>
          <w:color w:val="auto"/>
          <w:spacing w:val="-3"/>
          <w:sz w:val="24"/>
          <w:szCs w:val="24"/>
          <w:highlight w:val="none"/>
          <w:lang w:val="en-US" w:eastAsia="zh-CN"/>
        </w:rPr>
      </w:pPr>
      <w:r>
        <w:rPr>
          <w:rFonts w:hint="eastAsia" w:ascii="仿宋" w:hAnsi="仿宋" w:eastAsia="仿宋" w:cs="仿宋"/>
          <w:b/>
          <w:bCs/>
          <w:color w:val="auto"/>
          <w:spacing w:val="-3"/>
          <w:sz w:val="24"/>
          <w:szCs w:val="24"/>
          <w:highlight w:val="none"/>
          <w:lang w:val="en-US" w:eastAsia="zh-CN"/>
        </w:rPr>
        <w:t>（三）依法缴纳税收和社会保障资金的良好记录</w:t>
      </w:r>
    </w:p>
    <w:p w14:paraId="196A80D9">
      <w:pPr>
        <w:pStyle w:val="92"/>
        <w:shd w:val="clear"/>
        <w:adjustRightInd w:val="0"/>
        <w:snapToGrid w:val="0"/>
        <w:spacing w:line="360" w:lineRule="auto"/>
        <w:ind w:firstLine="600" w:firstLineChars="2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供应商依法缴纳税收的证明材料：本项目投标截止时间前 6 个月内（至少提供1个月）缴纳税收的凭据（完税证、缴款书、印花税票、银行代扣（代缴）转账凭证等均可）；</w:t>
      </w:r>
    </w:p>
    <w:p w14:paraId="2AA1ECFC">
      <w:pPr>
        <w:pStyle w:val="92"/>
        <w:shd w:val="clear"/>
        <w:adjustRightInd w:val="0"/>
        <w:snapToGrid w:val="0"/>
        <w:spacing w:line="360" w:lineRule="auto"/>
        <w:ind w:firstLine="600" w:firstLineChars="2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供应商依法缴纳社会保障资金的证明材料：本项目投标截止时间时间前 6个月内（至少提供1个月）缴纳社会保险的凭据（专用收据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社会保险交纳清单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完税证、缴款书、银行代扣（代缴）转账凭证等均可）；</w:t>
      </w:r>
    </w:p>
    <w:p w14:paraId="0A8F6DBD">
      <w:pPr>
        <w:pStyle w:val="92"/>
        <w:shd w:val="clear"/>
        <w:adjustRightInd w:val="0"/>
        <w:snapToGrid w:val="0"/>
        <w:spacing w:line="360" w:lineRule="auto"/>
        <w:ind w:firstLine="600" w:firstLineChars="2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为其他组织或自然人的，也需要按此项规定提供缴纳税收的凭据和交纳社会保险的凭据。如供应商的社会保险为委托第三方代缴，还需同时提供供应商与第三方服务机构签署的服务合同（合同中应明确写明第三方为供应商代缴其社会保险）。</w:t>
      </w:r>
    </w:p>
    <w:p w14:paraId="1C6483C9">
      <w:pPr>
        <w:rPr>
          <w:rFonts w:hint="eastAsia" w:ascii="仿宋" w:hAnsi="仿宋" w:eastAsia="仿宋" w:cs="仿宋"/>
          <w:b/>
          <w:bCs/>
          <w:i w:val="0"/>
          <w:iCs w:val="0"/>
          <w:color w:val="auto"/>
          <w:kern w:val="2"/>
          <w:sz w:val="28"/>
          <w:szCs w:val="28"/>
          <w:highlight w:val="none"/>
          <w:lang w:val="en-US" w:eastAsia="zh-CN" w:bidi="ar-SA"/>
        </w:rPr>
      </w:pPr>
      <w:r>
        <w:rPr>
          <w:rFonts w:hint="eastAsia" w:ascii="仿宋" w:hAnsi="仿宋" w:eastAsia="仿宋" w:cs="仿宋"/>
          <w:b/>
          <w:bCs/>
          <w:i w:val="0"/>
          <w:iCs w:val="0"/>
          <w:color w:val="auto"/>
          <w:kern w:val="2"/>
          <w:sz w:val="28"/>
          <w:szCs w:val="28"/>
          <w:highlight w:val="none"/>
          <w:lang w:val="en-US" w:eastAsia="zh-CN" w:bidi="ar-SA"/>
        </w:rPr>
        <w:br w:type="page"/>
      </w:r>
    </w:p>
    <w:p w14:paraId="533A50CA">
      <w:pPr>
        <w:pStyle w:val="92"/>
        <w:numPr>
          <w:ilvl w:val="0"/>
          <w:numId w:val="0"/>
        </w:numPr>
        <w:shd w:val="clear"/>
        <w:adjustRightInd w:val="0"/>
        <w:snapToGrid w:val="0"/>
        <w:spacing w:line="360" w:lineRule="auto"/>
        <w:jc w:val="left"/>
        <w:rPr>
          <w:rFonts w:hint="eastAsia" w:ascii="仿宋" w:hAnsi="仿宋" w:eastAsia="仿宋" w:cs="仿宋"/>
          <w:b/>
          <w:bCs/>
          <w:snapToGrid w:val="0"/>
          <w:color w:val="auto"/>
          <w:spacing w:val="-3"/>
          <w:kern w:val="0"/>
          <w:sz w:val="24"/>
          <w:szCs w:val="24"/>
          <w:highlight w:val="none"/>
          <w:lang w:val="en-US" w:eastAsia="zh-CN" w:bidi="ar-SA"/>
        </w:rPr>
      </w:pPr>
      <w:r>
        <w:rPr>
          <w:rFonts w:hint="eastAsia" w:ascii="仿宋" w:hAnsi="仿宋" w:eastAsia="仿宋" w:cs="仿宋"/>
          <w:b/>
          <w:bCs/>
          <w:snapToGrid w:val="0"/>
          <w:color w:val="auto"/>
          <w:spacing w:val="-3"/>
          <w:kern w:val="0"/>
          <w:sz w:val="24"/>
          <w:szCs w:val="24"/>
          <w:highlight w:val="none"/>
          <w:lang w:val="en-US" w:eastAsia="zh-CN" w:bidi="ar-SA"/>
        </w:rPr>
        <w:t>（四）供应商须具有履行合同所必需的设备和专业技术能力</w:t>
      </w:r>
    </w:p>
    <w:p w14:paraId="41925A94">
      <w:pPr>
        <w:pStyle w:val="92"/>
        <w:numPr>
          <w:ilvl w:val="0"/>
          <w:numId w:val="0"/>
        </w:numPr>
        <w:shd w:val="clear"/>
        <w:adjustRightInd w:val="0"/>
        <w:snapToGrid w:val="0"/>
        <w:spacing w:line="360" w:lineRule="auto"/>
        <w:jc w:val="left"/>
        <w:rPr>
          <w:rFonts w:hint="eastAsia" w:ascii="仿宋" w:hAnsi="仿宋" w:eastAsia="仿宋" w:cs="仿宋"/>
          <w:b w:val="0"/>
          <w:bCs w:val="0"/>
          <w:snapToGrid w:val="0"/>
          <w:color w:val="auto"/>
          <w:spacing w:val="-3"/>
          <w:kern w:val="0"/>
          <w:sz w:val="24"/>
          <w:szCs w:val="24"/>
          <w:highlight w:val="none"/>
          <w:lang w:val="en-US" w:eastAsia="zh-CN" w:bidi="ar-SA"/>
        </w:rPr>
      </w:pPr>
      <w:r>
        <w:rPr>
          <w:rFonts w:hint="eastAsia" w:ascii="仿宋" w:hAnsi="仿宋" w:eastAsia="仿宋" w:cs="仿宋"/>
          <w:b w:val="0"/>
          <w:bCs w:val="0"/>
          <w:snapToGrid w:val="0"/>
          <w:color w:val="auto"/>
          <w:spacing w:val="-3"/>
          <w:kern w:val="0"/>
          <w:sz w:val="24"/>
          <w:szCs w:val="24"/>
          <w:highlight w:val="none"/>
          <w:lang w:val="en-US" w:eastAsia="zh-CN" w:bidi="ar-SA"/>
        </w:rPr>
        <w:t>须附相关证明材料或声明：</w:t>
      </w:r>
    </w:p>
    <w:p w14:paraId="64F2E6BF">
      <w:pPr>
        <w:pStyle w:val="92"/>
        <w:shd w:val="clear"/>
        <w:adjustRightInd w:val="0"/>
        <w:snapToGrid w:val="0"/>
        <w:spacing w:line="360" w:lineRule="auto"/>
        <w:jc w:val="left"/>
        <w:rPr>
          <w:rFonts w:hint="eastAsia" w:ascii="仿宋" w:hAnsi="仿宋" w:eastAsia="仿宋" w:cs="仿宋"/>
          <w:color w:val="auto"/>
          <w:sz w:val="24"/>
          <w:szCs w:val="24"/>
          <w:highlight w:val="none"/>
        </w:rPr>
      </w:pPr>
    </w:p>
    <w:p w14:paraId="291EE372">
      <w:pPr>
        <w:pStyle w:val="92"/>
        <w:shd w:val="clear"/>
        <w:adjustRightInd w:val="0"/>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格式：</w:t>
      </w:r>
    </w:p>
    <w:p w14:paraId="70F60522">
      <w:pPr>
        <w:pStyle w:val="92"/>
        <w:shd w:val="clea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郑重声明：</w:t>
      </w:r>
    </w:p>
    <w:p w14:paraId="0962254F">
      <w:pPr>
        <w:pStyle w:val="92"/>
        <w:shd w:val="clear"/>
        <w:adjustRightInd w:val="0"/>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本公司（或单位）具备本项目履行合同所必需的设备和专业技术能力，特此承诺。</w:t>
      </w:r>
    </w:p>
    <w:p w14:paraId="493C5266">
      <w:pPr>
        <w:pStyle w:val="92"/>
        <w:shd w:val="clear"/>
        <w:adjustRightInd w:val="0"/>
        <w:snapToGrid w:val="0"/>
        <w:spacing w:line="360" w:lineRule="auto"/>
        <w:jc w:val="left"/>
        <w:rPr>
          <w:rFonts w:hint="eastAsia" w:ascii="仿宋" w:hAnsi="仿宋" w:eastAsia="仿宋" w:cs="仿宋"/>
          <w:color w:val="auto"/>
          <w:sz w:val="24"/>
          <w:szCs w:val="24"/>
          <w:highlight w:val="none"/>
        </w:rPr>
      </w:pPr>
    </w:p>
    <w:p w14:paraId="2889E334">
      <w:pPr>
        <w:pStyle w:val="92"/>
        <w:shd w:val="clear"/>
        <w:adjustRightInd w:val="0"/>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名称（盖章）：</w:t>
      </w:r>
    </w:p>
    <w:p w14:paraId="62C4A0DF">
      <w:pPr>
        <w:pStyle w:val="92"/>
        <w:shd w:val="clear"/>
        <w:adjustRightInd w:val="0"/>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法定代表人或授权代理人（签字或盖章）：</w:t>
      </w:r>
    </w:p>
    <w:p w14:paraId="58B5CC65">
      <w:pPr>
        <w:pStyle w:val="92"/>
        <w:shd w:val="clear"/>
        <w:adjustRightInd w:val="0"/>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月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p>
    <w:p w14:paraId="75BD77A5">
      <w:pPr>
        <w:rPr>
          <w:rFonts w:hint="eastAsia" w:ascii="仿宋" w:hAnsi="仿宋" w:eastAsia="仿宋" w:cs="仿宋"/>
          <w:b/>
          <w:bCs/>
          <w:i w:val="0"/>
          <w:iCs w:val="0"/>
          <w:color w:val="auto"/>
          <w:kern w:val="2"/>
          <w:sz w:val="28"/>
          <w:szCs w:val="28"/>
          <w:highlight w:val="none"/>
          <w:lang w:val="en-US" w:eastAsia="zh-CN" w:bidi="ar-SA"/>
        </w:rPr>
      </w:pPr>
      <w:r>
        <w:rPr>
          <w:rFonts w:hint="eastAsia" w:ascii="仿宋" w:hAnsi="仿宋" w:eastAsia="仿宋" w:cs="仿宋"/>
          <w:b/>
          <w:bCs/>
          <w:i w:val="0"/>
          <w:iCs w:val="0"/>
          <w:color w:val="auto"/>
          <w:kern w:val="2"/>
          <w:sz w:val="28"/>
          <w:szCs w:val="28"/>
          <w:highlight w:val="none"/>
          <w:lang w:val="en-US" w:eastAsia="zh-CN" w:bidi="ar-SA"/>
        </w:rPr>
        <w:br w:type="page"/>
      </w:r>
    </w:p>
    <w:p w14:paraId="475F808F">
      <w:pPr>
        <w:pStyle w:val="92"/>
        <w:shd w:val="clear"/>
        <w:adjustRightInd w:val="0"/>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b/>
          <w:bCs/>
          <w:snapToGrid w:val="0"/>
          <w:color w:val="auto"/>
          <w:spacing w:val="-3"/>
          <w:kern w:val="0"/>
          <w:sz w:val="24"/>
          <w:szCs w:val="24"/>
          <w:highlight w:val="none"/>
          <w:lang w:val="en-US" w:eastAsia="en-US" w:bidi="ar-SA"/>
        </w:rPr>
        <w:t>（</w:t>
      </w:r>
      <w:r>
        <w:rPr>
          <w:rFonts w:hint="eastAsia" w:ascii="仿宋" w:hAnsi="仿宋" w:eastAsia="仿宋" w:cs="仿宋"/>
          <w:b/>
          <w:bCs/>
          <w:snapToGrid w:val="0"/>
          <w:color w:val="auto"/>
          <w:spacing w:val="-3"/>
          <w:kern w:val="0"/>
          <w:sz w:val="24"/>
          <w:szCs w:val="24"/>
          <w:highlight w:val="none"/>
          <w:lang w:val="en-US" w:eastAsia="zh-CN" w:bidi="ar-SA"/>
        </w:rPr>
        <w:t>五）</w:t>
      </w:r>
      <w:r>
        <w:rPr>
          <w:rFonts w:hint="eastAsia" w:ascii="仿宋" w:hAnsi="仿宋" w:eastAsia="仿宋" w:cs="仿宋"/>
          <w:b/>
          <w:bCs/>
          <w:snapToGrid w:val="0"/>
          <w:color w:val="auto"/>
          <w:spacing w:val="-3"/>
          <w:kern w:val="0"/>
          <w:sz w:val="24"/>
          <w:szCs w:val="24"/>
          <w:highlight w:val="none"/>
          <w:lang w:val="en-US" w:eastAsia="en-US" w:bidi="ar-SA"/>
        </w:rPr>
        <w:t>参加政府采购活动前三年内，在经营活动中没有重大违法记录</w:t>
      </w:r>
    </w:p>
    <w:p w14:paraId="7180935C">
      <w:pPr>
        <w:pStyle w:val="92"/>
        <w:shd w:val="clear"/>
        <w:adjustRightInd w:val="0"/>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参加政府采购活动前三年内，在经营活动中没有重大违法记录的书面声明：</w:t>
      </w:r>
    </w:p>
    <w:p w14:paraId="234C9C16">
      <w:pPr>
        <w:pStyle w:val="92"/>
        <w:shd w:val="clear"/>
        <w:adjustRightInd w:val="0"/>
        <w:snapToGrid w:val="0"/>
        <w:spacing w:line="360" w:lineRule="auto"/>
        <w:rPr>
          <w:rFonts w:hint="eastAsia" w:ascii="仿宋" w:hAnsi="仿宋" w:eastAsia="仿宋" w:cs="仿宋"/>
          <w:color w:val="auto"/>
          <w:sz w:val="24"/>
          <w:szCs w:val="24"/>
          <w:highlight w:val="none"/>
        </w:rPr>
      </w:pPr>
    </w:p>
    <w:p w14:paraId="65C7AA85">
      <w:pPr>
        <w:pStyle w:val="92"/>
        <w:shd w:val="clear"/>
        <w:adjustRightInd w:val="0"/>
        <w:snapToGrid w:val="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格式：</w:t>
      </w:r>
    </w:p>
    <w:p w14:paraId="4616AB0C">
      <w:pPr>
        <w:pStyle w:val="92"/>
        <w:shd w:val="clear"/>
        <w:adjustRightInd w:val="0"/>
        <w:snapToGrid w:val="0"/>
        <w:spacing w:line="360" w:lineRule="auto"/>
        <w:rPr>
          <w:rFonts w:hint="eastAsia" w:ascii="仿宋" w:hAnsi="仿宋" w:eastAsia="仿宋" w:cs="仿宋"/>
          <w:color w:val="auto"/>
          <w:sz w:val="24"/>
          <w:szCs w:val="24"/>
          <w:highlight w:val="none"/>
          <w:lang w:val="en-US" w:eastAsia="zh-CN"/>
        </w:rPr>
      </w:pPr>
    </w:p>
    <w:p w14:paraId="25A8F2B5">
      <w:pPr>
        <w:pStyle w:val="92"/>
        <w:shd w:val="clea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无重大违法记录声明书</w:t>
      </w:r>
    </w:p>
    <w:p w14:paraId="0CA32832">
      <w:pPr>
        <w:pStyle w:val="92"/>
        <w:shd w:val="clea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（采购人） </w:t>
      </w:r>
      <w:r>
        <w:rPr>
          <w:rFonts w:hint="eastAsia" w:ascii="仿宋" w:hAnsi="仿宋" w:eastAsia="仿宋" w:cs="仿宋"/>
          <w:color w:val="auto"/>
          <w:sz w:val="24"/>
          <w:szCs w:val="24"/>
          <w:highlight w:val="none"/>
        </w:rPr>
        <w:t>：</w:t>
      </w:r>
    </w:p>
    <w:p w14:paraId="53DFDDF2">
      <w:pPr>
        <w:pStyle w:val="92"/>
        <w:shd w:val="clea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我公司参与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（项目名称、编号）投标，本公司郑重声明，我方参加本项目政府采购活动前三年内无重大违法记录，符合《政府采购法》规定的</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条件。若贵方在本项目采购过程中发现我方政府采购活动前三年内有重大违法记录，我公司将无条件退出本项目的投标，并承担因此引起的一切后果。我方对此声明负全部法律责任。</w:t>
      </w:r>
    </w:p>
    <w:p w14:paraId="678A26BA">
      <w:pPr>
        <w:pStyle w:val="92"/>
        <w:shd w:val="clea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特此声明</w:t>
      </w:r>
    </w:p>
    <w:p w14:paraId="573A0EA2">
      <w:pPr>
        <w:pStyle w:val="92"/>
        <w:shd w:val="clear"/>
        <w:adjustRightInd w:val="0"/>
        <w:snapToGrid w:val="0"/>
        <w:spacing w:line="360" w:lineRule="auto"/>
        <w:rPr>
          <w:rFonts w:hint="eastAsia" w:ascii="仿宋" w:hAnsi="仿宋" w:eastAsia="仿宋" w:cs="仿宋"/>
          <w:color w:val="auto"/>
          <w:sz w:val="24"/>
          <w:szCs w:val="24"/>
          <w:highlight w:val="none"/>
        </w:rPr>
      </w:pPr>
    </w:p>
    <w:p w14:paraId="11FC4DF0">
      <w:pPr>
        <w:pStyle w:val="92"/>
        <w:shd w:val="clea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供应商（盖章）：</w:t>
      </w:r>
    </w:p>
    <w:p w14:paraId="591F65A1">
      <w:pPr>
        <w:pStyle w:val="92"/>
        <w:shd w:val="clea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法定代表人或授权代理人（签字或盖章）：</w:t>
      </w:r>
    </w:p>
    <w:p w14:paraId="4B334ADC">
      <w:pPr>
        <w:pStyle w:val="92"/>
        <w:shd w:val="clear"/>
        <w:adjustRightInd w:val="0"/>
        <w:snapToGrid w:val="0"/>
        <w:spacing w:line="360" w:lineRule="auto"/>
        <w:rPr>
          <w:rFonts w:hint="eastAsia" w:ascii="仿宋" w:hAnsi="仿宋" w:eastAsia="仿宋" w:cs="仿宋"/>
          <w:color w:val="auto"/>
          <w:sz w:val="24"/>
          <w:szCs w:val="24"/>
          <w:highlight w:val="none"/>
        </w:rPr>
        <w:sectPr>
          <w:footerReference r:id="rId8" w:type="default"/>
          <w:pgSz w:w="11906" w:h="16839"/>
          <w:pgMar w:top="1440" w:right="1800" w:bottom="1440" w:left="1800" w:header="862" w:footer="1068" w:gutter="0"/>
          <w:pgNumType w:fmt="decimal"/>
          <w:cols w:space="720" w:num="1"/>
        </w:sectPr>
      </w:pPr>
      <w:r>
        <w:rPr>
          <w:rFonts w:hint="eastAsia" w:ascii="仿宋" w:hAnsi="仿宋" w:eastAsia="仿宋" w:cs="仿宋"/>
          <w:color w:val="auto"/>
          <w:sz w:val="24"/>
          <w:szCs w:val="24"/>
          <w:highlight w:val="none"/>
        </w:rPr>
        <w:t xml:space="preserve">日期：  年  月  </w:t>
      </w:r>
    </w:p>
    <w:bookmarkEnd w:id="735"/>
    <w:bookmarkEnd w:id="736"/>
    <w:bookmarkEnd w:id="737"/>
    <w:bookmarkEnd w:id="738"/>
    <w:bookmarkEnd w:id="739"/>
    <w:bookmarkEnd w:id="740"/>
    <w:bookmarkEnd w:id="741"/>
    <w:p w14:paraId="013A60E6">
      <w:pPr>
        <w:rPr>
          <w:rFonts w:hint="eastAsia" w:ascii="仿宋" w:hAnsi="仿宋" w:eastAsia="仿宋" w:cs="仿宋"/>
          <w:b/>
          <w:bCs/>
          <w:color w:val="auto"/>
          <w:kern w:val="2"/>
          <w:sz w:val="28"/>
          <w:szCs w:val="28"/>
          <w:highlight w:val="none"/>
          <w:lang w:val="en-US" w:eastAsia="zh-CN" w:bidi="ar-SA"/>
        </w:rPr>
      </w:pPr>
      <w:bookmarkStart w:id="742" w:name="_Toc24696"/>
      <w:r>
        <w:rPr>
          <w:rFonts w:hint="eastAsia" w:ascii="仿宋" w:hAnsi="仿宋" w:eastAsia="仿宋" w:cs="仿宋"/>
          <w:b/>
          <w:bCs/>
          <w:color w:val="auto"/>
          <w:kern w:val="2"/>
          <w:sz w:val="28"/>
          <w:szCs w:val="28"/>
          <w:highlight w:val="none"/>
          <w:lang w:val="en-US" w:eastAsia="zh-CN" w:bidi="ar-SA"/>
        </w:rPr>
        <w:t>二、不参与围标串标承诺书</w:t>
      </w:r>
      <w:bookmarkEnd w:id="742"/>
    </w:p>
    <w:p w14:paraId="05C686B6">
      <w:pPr>
        <w:pStyle w:val="3"/>
        <w:keepNext/>
        <w:keepLines/>
        <w:pageBreakBefore w:val="0"/>
        <w:widowControl w:val="0"/>
        <w:numPr>
          <w:ilvl w:val="0"/>
          <w:numId w:val="0"/>
        </w:numPr>
        <w:kinsoku/>
        <w:wordWrap/>
        <w:overflowPunct/>
        <w:topLinePunct w:val="0"/>
        <w:autoSpaceDE/>
        <w:autoSpaceDN/>
        <w:bidi w:val="0"/>
        <w:adjustRightInd/>
        <w:snapToGrid/>
        <w:spacing w:before="100" w:after="100" w:line="440" w:lineRule="exact"/>
        <w:ind w:left="420" w:leftChars="0" w:hanging="420" w:firstLineChars="0"/>
        <w:textAlignment w:val="auto"/>
        <w:rPr>
          <w:rFonts w:hint="eastAsia" w:ascii="仿宋" w:hAnsi="仿宋" w:eastAsia="仿宋" w:cs="仿宋"/>
          <w:b/>
          <w:bCs/>
          <w:color w:val="auto"/>
          <w:kern w:val="2"/>
          <w:sz w:val="32"/>
          <w:szCs w:val="32"/>
          <w:highlight w:val="none"/>
          <w:lang w:val="en-US" w:eastAsia="zh-CN" w:bidi="ar-SA"/>
        </w:rPr>
      </w:pPr>
    </w:p>
    <w:p w14:paraId="0A75A228">
      <w:pPr>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highlight w:val="none"/>
          <w:lang w:val="en-US" w:eastAsia="zh-CN"/>
        </w:rPr>
      </w:pPr>
      <w:r>
        <w:rPr>
          <w:rFonts w:hint="eastAsia" w:ascii="仿宋" w:hAnsi="仿宋" w:eastAsia="仿宋" w:cs="仿宋"/>
          <w:b/>
          <w:bCs/>
          <w:color w:val="auto"/>
          <w:kern w:val="2"/>
          <w:sz w:val="32"/>
          <w:szCs w:val="32"/>
          <w:highlight w:val="none"/>
          <w:lang w:val="en-US" w:eastAsia="zh-CN" w:bidi="ar-SA"/>
        </w:rPr>
        <w:t>不参与围标串标承诺书</w:t>
      </w:r>
    </w:p>
    <w:p w14:paraId="22D371EA">
      <w:pPr>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w:t>
      </w:r>
    </w:p>
    <w:p w14:paraId="372FC22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本人作为经授权的投标人代表,清楚知晓我单位本项目投标活动,对以下事项作出承诺：</w:t>
      </w:r>
    </w:p>
    <w:p w14:paraId="244EAF7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highlight w:val="none"/>
          <w:lang w:val="en-US" w:eastAsia="zh-CN"/>
        </w:rPr>
      </w:pPr>
    </w:p>
    <w:p w14:paraId="076F6C3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一、我单位和我本人遵循公开透明、公平竞争、公正和诚实信用的原则,依法依规参与本项目竞标。</w:t>
      </w:r>
    </w:p>
    <w:p w14:paraId="37D0DF8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二、我单位和我本人在本项目政府采购投标活动中,未参与围标串标。</w:t>
      </w:r>
    </w:p>
    <w:p w14:paraId="1CC0AB9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三、我单位如被查实在本项目政府采购投标活动中存在围标串标的，递交投标文件行为作为实施串通投标违法行为的关键环节,由我单位及法定代表人承担相应的法律责任，接受相应行政处罚和失信惩戒。</w:t>
      </w:r>
    </w:p>
    <w:p w14:paraId="6B3247AA">
      <w:pPr>
        <w:pStyle w:val="13"/>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highlight w:val="none"/>
          <w:lang w:val="en-US" w:eastAsia="zh-CN"/>
        </w:rPr>
      </w:pPr>
    </w:p>
    <w:p w14:paraId="72B235A9">
      <w:pPr>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kern w:val="0"/>
          <w:sz w:val="24"/>
          <w:szCs w:val="24"/>
          <w:highlight w:val="none"/>
        </w:rPr>
      </w:pPr>
    </w:p>
    <w:p w14:paraId="5EA32C1C">
      <w:pPr>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投标人</w:t>
      </w:r>
      <w:r>
        <w:rPr>
          <w:rFonts w:hint="eastAsia" w:ascii="仿宋" w:hAnsi="仿宋" w:eastAsia="仿宋" w:cs="仿宋"/>
          <w:bCs/>
          <w:color w:val="auto"/>
          <w:szCs w:val="21"/>
          <w:highlight w:val="none"/>
          <w:lang w:val="en-US" w:eastAsia="zh-CN"/>
        </w:rPr>
        <w:t>名称</w:t>
      </w:r>
      <w:r>
        <w:rPr>
          <w:rFonts w:hint="eastAsia" w:ascii="仿宋" w:hAnsi="仿宋" w:eastAsia="仿宋" w:cs="仿宋"/>
          <w:color w:val="auto"/>
          <w:szCs w:val="24"/>
          <w:highlight w:val="none"/>
          <w:lang w:eastAsia="zh-CN"/>
        </w:rPr>
        <w:t>（</w:t>
      </w:r>
      <w:r>
        <w:rPr>
          <w:rFonts w:hint="eastAsia" w:ascii="仿宋" w:hAnsi="仿宋" w:eastAsia="仿宋" w:cs="仿宋"/>
          <w:color w:val="auto"/>
          <w:kern w:val="0"/>
          <w:sz w:val="24"/>
          <w:szCs w:val="24"/>
          <w:highlight w:val="none"/>
          <w:lang w:val="en-US" w:eastAsia="zh-CN"/>
        </w:rPr>
        <w:t>公</w:t>
      </w:r>
      <w:r>
        <w:rPr>
          <w:rFonts w:hint="eastAsia" w:ascii="仿宋" w:hAnsi="仿宋" w:eastAsia="仿宋" w:cs="仿宋"/>
          <w:color w:val="auto"/>
          <w:kern w:val="0"/>
          <w:sz w:val="24"/>
          <w:szCs w:val="24"/>
          <w:highlight w:val="none"/>
          <w:lang w:eastAsia="zh-CN"/>
        </w:rPr>
        <w:t>章</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szCs w:val="24"/>
          <w:highlight w:val="none"/>
        </w:rPr>
        <w:t>：</w:t>
      </w:r>
    </w:p>
    <w:p w14:paraId="03047D28">
      <w:pPr>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法定代表人、负责人、本人、或授权代表</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签字或</w:t>
      </w:r>
      <w:r>
        <w:rPr>
          <w:rFonts w:hint="eastAsia" w:ascii="仿宋" w:hAnsi="仿宋" w:eastAsia="仿宋" w:cs="仿宋"/>
          <w:color w:val="auto"/>
          <w:kern w:val="0"/>
          <w:sz w:val="24"/>
          <w:szCs w:val="24"/>
          <w:highlight w:val="none"/>
          <w:lang w:eastAsia="zh-CN"/>
        </w:rPr>
        <w:t>盖章）</w:t>
      </w:r>
      <w:r>
        <w:rPr>
          <w:rFonts w:hint="eastAsia" w:ascii="仿宋" w:hAnsi="仿宋" w:eastAsia="仿宋" w:cs="仿宋"/>
          <w:color w:val="auto"/>
          <w:kern w:val="0"/>
          <w:sz w:val="24"/>
          <w:szCs w:val="24"/>
          <w:highlight w:val="none"/>
        </w:rPr>
        <w:t>：</w:t>
      </w:r>
    </w:p>
    <w:p w14:paraId="058DBF7F">
      <w:pPr>
        <w:pStyle w:val="3"/>
        <w:keepNext/>
        <w:keepLines/>
        <w:pageBreakBefore w:val="0"/>
        <w:widowControl w:val="0"/>
        <w:numPr>
          <w:ilvl w:val="0"/>
          <w:numId w:val="0"/>
        </w:numPr>
        <w:kinsoku/>
        <w:wordWrap/>
        <w:overflowPunct/>
        <w:topLinePunct w:val="0"/>
        <w:autoSpaceDE/>
        <w:autoSpaceDN/>
        <w:bidi w:val="0"/>
        <w:adjustRightInd/>
        <w:snapToGrid/>
        <w:spacing w:before="100" w:after="100" w:line="440" w:lineRule="exac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日</w:t>
      </w:r>
      <w:r>
        <w:rPr>
          <w:rFonts w:hint="eastAsia" w:ascii="仿宋" w:hAnsi="仿宋" w:eastAsia="仿宋" w:cs="仿宋"/>
          <w:b w:val="0"/>
          <w:bCs w:val="0"/>
          <w:color w:val="auto"/>
          <w:kern w:val="0"/>
          <w:sz w:val="24"/>
          <w:szCs w:val="24"/>
          <w:highlight w:val="none"/>
          <w:lang w:val="en-US" w:eastAsia="zh-CN" w:bidi="ar-SA"/>
        </w:rPr>
        <w:t>期：  年  月  日</w:t>
      </w:r>
      <w:bookmarkStart w:id="743" w:name="_Toc2869"/>
    </w:p>
    <w:p w14:paraId="0CBEDD24">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br w:type="page"/>
      </w:r>
    </w:p>
    <w:p w14:paraId="58D5FD61">
      <w:pPr>
        <w:pStyle w:val="3"/>
        <w:keepNext/>
        <w:keepLines/>
        <w:pageBreakBefore w:val="0"/>
        <w:widowControl w:val="0"/>
        <w:numPr>
          <w:ilvl w:val="0"/>
          <w:numId w:val="0"/>
        </w:numPr>
        <w:kinsoku/>
        <w:wordWrap/>
        <w:overflowPunct/>
        <w:topLinePunct w:val="0"/>
        <w:autoSpaceDE/>
        <w:autoSpaceDN/>
        <w:bidi w:val="0"/>
        <w:adjustRightInd/>
        <w:snapToGrid/>
        <w:spacing w:before="100" w:after="100" w:line="440" w:lineRule="exact"/>
        <w:textAlignment w:val="auto"/>
        <w:rPr>
          <w:rFonts w:hint="eastAsia" w:ascii="仿宋" w:hAnsi="仿宋" w:eastAsia="仿宋" w:cs="仿宋"/>
          <w:b/>
          <w:bCs/>
          <w:color w:val="auto"/>
          <w:kern w:val="2"/>
          <w:sz w:val="28"/>
          <w:szCs w:val="28"/>
          <w:highlight w:val="none"/>
          <w:lang w:val="zh-CN" w:eastAsia="zh-CN" w:bidi="ar-SA"/>
        </w:rPr>
      </w:pPr>
      <w:r>
        <w:rPr>
          <w:rFonts w:hint="eastAsia" w:ascii="仿宋" w:hAnsi="仿宋" w:eastAsia="仿宋" w:cs="仿宋"/>
          <w:b/>
          <w:bCs/>
          <w:color w:val="auto"/>
          <w:kern w:val="2"/>
          <w:sz w:val="28"/>
          <w:szCs w:val="28"/>
          <w:highlight w:val="none"/>
          <w:lang w:val="en-US" w:eastAsia="zh-CN" w:bidi="ar-SA"/>
        </w:rPr>
        <w:t>三、</w:t>
      </w:r>
      <w:r>
        <w:rPr>
          <w:rFonts w:hint="eastAsia" w:ascii="仿宋" w:hAnsi="仿宋" w:eastAsia="仿宋" w:cs="仿宋"/>
          <w:b/>
          <w:bCs/>
          <w:color w:val="auto"/>
          <w:kern w:val="2"/>
          <w:sz w:val="28"/>
          <w:szCs w:val="28"/>
          <w:highlight w:val="none"/>
          <w:lang w:val="zh-CN" w:eastAsia="zh-CN" w:bidi="ar-SA"/>
        </w:rPr>
        <w:t>其他资格证明文件</w:t>
      </w:r>
      <w:bookmarkEnd w:id="743"/>
    </w:p>
    <w:p w14:paraId="2280C36F">
      <w:pPr>
        <w:pStyle w:val="37"/>
        <w:keepNext w:val="0"/>
        <w:keepLines w:val="0"/>
        <w:pageBreakBefore w:val="0"/>
        <w:widowControl w:val="0"/>
        <w:kinsoku/>
        <w:wordWrap w:val="0"/>
        <w:overflowPunct/>
        <w:topLinePunct w:val="0"/>
        <w:autoSpaceDE/>
        <w:autoSpaceDN/>
        <w:bidi w:val="0"/>
        <w:adjustRightInd/>
        <w:snapToGrid/>
        <w:spacing w:line="440" w:lineRule="exact"/>
        <w:ind w:firstLine="482"/>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投标人认为需提供的其它相关资格证明材料</w:t>
      </w:r>
    </w:p>
    <w:p w14:paraId="16C6AE73">
      <w:pPr>
        <w:pStyle w:val="37"/>
        <w:keepNext w:val="0"/>
        <w:keepLines w:val="0"/>
        <w:pageBreakBefore w:val="0"/>
        <w:widowControl w:val="0"/>
        <w:kinsoku/>
        <w:wordWrap w:val="0"/>
        <w:overflowPunct/>
        <w:topLinePunct w:val="0"/>
        <w:autoSpaceDE/>
        <w:autoSpaceDN/>
        <w:bidi w:val="0"/>
        <w:adjustRightInd/>
        <w:snapToGrid/>
        <w:spacing w:line="440" w:lineRule="exact"/>
        <w:ind w:firstLine="482"/>
        <w:textAlignment w:val="auto"/>
        <w:rPr>
          <w:rFonts w:hint="eastAsia" w:ascii="仿宋" w:hAnsi="仿宋" w:eastAsia="仿宋" w:cs="仿宋"/>
          <w:color w:val="auto"/>
          <w:szCs w:val="24"/>
          <w:highlight w:val="none"/>
          <w:lang w:eastAsia="zh-CN"/>
        </w:rPr>
      </w:pPr>
    </w:p>
    <w:p w14:paraId="413C3CC4">
      <w:pPr>
        <w:pStyle w:val="37"/>
        <w:rPr>
          <w:rFonts w:hint="default" w:ascii="仿宋" w:hAnsi="仿宋" w:eastAsia="仿宋" w:cs="仿宋"/>
          <w:color w:val="auto"/>
          <w:highlight w:val="none"/>
          <w:lang w:val="en-US"/>
        </w:rPr>
      </w:pPr>
      <w:r>
        <w:rPr>
          <w:rFonts w:hint="eastAsia" w:ascii="仿宋" w:hAnsi="仿宋" w:eastAsia="仿宋" w:cs="仿宋"/>
          <w:color w:val="auto"/>
          <w:sz w:val="24"/>
          <w:szCs w:val="24"/>
          <w:highlight w:val="none"/>
          <w:lang w:val="en-US" w:eastAsia="zh-CN"/>
        </w:rPr>
        <w:t>（1）投标人具有工程设计综合甲级资质或工程设计水利行业甲级资质或工程设计水利行业（城市防洪）专业甲级资质；（2）投标人已通过全国投资项目在线审批监管平台（www．tzxm．gov．cn）备案，备案的工程咨询专业包含水利水电专业，工程咨询服务范围包含规划咨询（投标人应提供全国投资项目在线审批监管平台（www．tzxm．gov．cn）备案截图（应能清晰反映投标人从事的工程咨询专业和服务范围等内容）</w:t>
      </w:r>
    </w:p>
    <w:p w14:paraId="77F7944C">
      <w:pPr>
        <w:pStyle w:val="37"/>
        <w:rPr>
          <w:rFonts w:hint="eastAsia" w:ascii="仿宋" w:hAnsi="仿宋" w:eastAsia="仿宋" w:cs="仿宋"/>
          <w:color w:val="auto"/>
          <w:highlight w:val="none"/>
        </w:rPr>
      </w:pPr>
    </w:p>
    <w:p w14:paraId="3708D5F6">
      <w:pPr>
        <w:pStyle w:val="37"/>
        <w:rPr>
          <w:rFonts w:hint="eastAsia" w:ascii="仿宋" w:hAnsi="仿宋" w:eastAsia="仿宋" w:cs="仿宋"/>
          <w:color w:val="auto"/>
          <w:highlight w:val="none"/>
        </w:rPr>
      </w:pPr>
    </w:p>
    <w:p w14:paraId="6AEB1B09">
      <w:pPr>
        <w:pStyle w:val="37"/>
        <w:rPr>
          <w:rFonts w:hint="eastAsia" w:ascii="仿宋" w:hAnsi="仿宋" w:eastAsia="仿宋" w:cs="仿宋"/>
          <w:color w:val="auto"/>
          <w:highlight w:val="none"/>
        </w:rPr>
      </w:pPr>
    </w:p>
    <w:p w14:paraId="302FF4BF">
      <w:pPr>
        <w:pStyle w:val="37"/>
        <w:rPr>
          <w:rFonts w:hint="eastAsia" w:ascii="仿宋" w:hAnsi="仿宋" w:eastAsia="仿宋" w:cs="仿宋"/>
          <w:color w:val="auto"/>
          <w:highlight w:val="none"/>
        </w:rPr>
      </w:pPr>
    </w:p>
    <w:p w14:paraId="502F7650">
      <w:pPr>
        <w:pStyle w:val="37"/>
        <w:rPr>
          <w:rFonts w:hint="eastAsia" w:ascii="仿宋" w:hAnsi="仿宋" w:eastAsia="仿宋" w:cs="仿宋"/>
          <w:color w:val="auto"/>
          <w:highlight w:val="none"/>
        </w:rPr>
      </w:pPr>
    </w:p>
    <w:p w14:paraId="672C43C9">
      <w:pPr>
        <w:pStyle w:val="37"/>
        <w:rPr>
          <w:rFonts w:hint="eastAsia" w:ascii="仿宋" w:hAnsi="仿宋" w:eastAsia="仿宋" w:cs="仿宋"/>
          <w:color w:val="auto"/>
          <w:highlight w:val="none"/>
        </w:rPr>
      </w:pPr>
    </w:p>
    <w:p w14:paraId="05226E95">
      <w:pPr>
        <w:pStyle w:val="37"/>
        <w:rPr>
          <w:rFonts w:hint="eastAsia" w:ascii="仿宋" w:hAnsi="仿宋" w:eastAsia="仿宋" w:cs="仿宋"/>
          <w:color w:val="auto"/>
          <w:highlight w:val="none"/>
        </w:rPr>
      </w:pPr>
    </w:p>
    <w:p w14:paraId="77CBC21E">
      <w:pPr>
        <w:pStyle w:val="37"/>
        <w:rPr>
          <w:rFonts w:hint="eastAsia" w:ascii="仿宋" w:hAnsi="仿宋" w:eastAsia="仿宋" w:cs="仿宋"/>
          <w:color w:val="auto"/>
          <w:highlight w:val="none"/>
        </w:rPr>
      </w:pPr>
    </w:p>
    <w:p w14:paraId="5C45AAAB">
      <w:pPr>
        <w:pStyle w:val="37"/>
        <w:rPr>
          <w:rFonts w:hint="eastAsia" w:ascii="仿宋" w:hAnsi="仿宋" w:eastAsia="仿宋" w:cs="仿宋"/>
          <w:color w:val="auto"/>
          <w:highlight w:val="none"/>
        </w:rPr>
      </w:pPr>
    </w:p>
    <w:p w14:paraId="0D825C07">
      <w:pPr>
        <w:pStyle w:val="37"/>
        <w:rPr>
          <w:rFonts w:hint="eastAsia" w:ascii="仿宋" w:hAnsi="仿宋" w:eastAsia="仿宋" w:cs="仿宋"/>
          <w:color w:val="auto"/>
          <w:highlight w:val="none"/>
        </w:rPr>
      </w:pPr>
    </w:p>
    <w:p w14:paraId="678C729C">
      <w:pPr>
        <w:pStyle w:val="37"/>
        <w:rPr>
          <w:rFonts w:hint="eastAsia" w:ascii="仿宋" w:hAnsi="仿宋" w:eastAsia="仿宋" w:cs="仿宋"/>
          <w:color w:val="auto"/>
          <w:highlight w:val="none"/>
        </w:rPr>
      </w:pPr>
    </w:p>
    <w:p w14:paraId="7FC0B990">
      <w:pPr>
        <w:pStyle w:val="37"/>
        <w:rPr>
          <w:rFonts w:hint="eastAsia" w:ascii="仿宋" w:hAnsi="仿宋" w:eastAsia="仿宋" w:cs="仿宋"/>
          <w:color w:val="auto"/>
          <w:highlight w:val="none"/>
        </w:rPr>
      </w:pPr>
    </w:p>
    <w:p w14:paraId="66A8E959">
      <w:pPr>
        <w:pStyle w:val="37"/>
        <w:rPr>
          <w:rFonts w:hint="eastAsia" w:ascii="仿宋" w:hAnsi="仿宋" w:eastAsia="仿宋" w:cs="仿宋"/>
          <w:color w:val="auto"/>
          <w:highlight w:val="none"/>
        </w:rPr>
      </w:pPr>
    </w:p>
    <w:p w14:paraId="2C1AAA67">
      <w:pPr>
        <w:pStyle w:val="37"/>
        <w:rPr>
          <w:rFonts w:hint="eastAsia" w:ascii="仿宋" w:hAnsi="仿宋" w:eastAsia="仿宋" w:cs="仿宋"/>
          <w:color w:val="auto"/>
          <w:highlight w:val="none"/>
        </w:rPr>
      </w:pPr>
    </w:p>
    <w:p w14:paraId="05B584BA">
      <w:pPr>
        <w:pStyle w:val="37"/>
        <w:rPr>
          <w:rFonts w:hint="eastAsia" w:ascii="仿宋" w:hAnsi="仿宋" w:eastAsia="仿宋" w:cs="仿宋"/>
          <w:color w:val="auto"/>
          <w:highlight w:val="none"/>
        </w:rPr>
      </w:pPr>
    </w:p>
    <w:p w14:paraId="3EF746A5">
      <w:pPr>
        <w:pStyle w:val="37"/>
        <w:rPr>
          <w:rFonts w:hint="eastAsia" w:ascii="仿宋" w:hAnsi="仿宋" w:eastAsia="仿宋" w:cs="仿宋"/>
          <w:color w:val="auto"/>
          <w:highlight w:val="none"/>
        </w:rPr>
      </w:pPr>
    </w:p>
    <w:p w14:paraId="63C5B6F9">
      <w:pPr>
        <w:pStyle w:val="37"/>
        <w:rPr>
          <w:rFonts w:hint="eastAsia" w:ascii="仿宋" w:hAnsi="仿宋" w:eastAsia="仿宋" w:cs="仿宋"/>
          <w:color w:val="auto"/>
          <w:highlight w:val="none"/>
        </w:rPr>
      </w:pPr>
    </w:p>
    <w:p w14:paraId="28BFBB88">
      <w:pPr>
        <w:pStyle w:val="37"/>
        <w:rPr>
          <w:rFonts w:hint="eastAsia" w:ascii="仿宋" w:hAnsi="仿宋" w:eastAsia="仿宋" w:cs="仿宋"/>
          <w:color w:val="auto"/>
          <w:highlight w:val="none"/>
        </w:rPr>
      </w:pPr>
    </w:p>
    <w:p w14:paraId="7549A64E">
      <w:pPr>
        <w:pStyle w:val="37"/>
        <w:rPr>
          <w:rFonts w:hint="eastAsia" w:ascii="仿宋" w:hAnsi="仿宋" w:eastAsia="仿宋" w:cs="仿宋"/>
          <w:color w:val="auto"/>
          <w:highlight w:val="none"/>
        </w:rPr>
      </w:pPr>
    </w:p>
    <w:p w14:paraId="6E3D1238">
      <w:pPr>
        <w:rPr>
          <w:rFonts w:hint="eastAsia" w:ascii="仿宋" w:hAnsi="仿宋" w:eastAsia="仿宋" w:cs="仿宋"/>
          <w:color w:val="auto"/>
          <w:szCs w:val="24"/>
          <w:highlight w:val="none"/>
          <w:lang w:val="zh-CN"/>
        </w:rPr>
      </w:pPr>
    </w:p>
    <w:p w14:paraId="68030BFD">
      <w:pPr>
        <w:rPr>
          <w:rFonts w:hint="eastAsia" w:ascii="仿宋" w:hAnsi="仿宋" w:eastAsia="仿宋" w:cs="仿宋"/>
          <w:color w:val="auto"/>
          <w:szCs w:val="24"/>
          <w:highlight w:val="none"/>
          <w:lang w:val="zh-CN"/>
        </w:rPr>
      </w:pPr>
    </w:p>
    <w:p w14:paraId="257FAAA4">
      <w:pPr>
        <w:ind w:firstLine="480" w:firstLineChars="200"/>
        <w:rPr>
          <w:rFonts w:hint="eastAsia" w:ascii="仿宋" w:hAnsi="仿宋" w:eastAsia="仿宋" w:cs="仿宋"/>
          <w:color w:val="auto"/>
          <w:szCs w:val="24"/>
          <w:highlight w:val="none"/>
          <w:lang w:val="zh-CN"/>
        </w:rPr>
      </w:pPr>
    </w:p>
    <w:p w14:paraId="539898C1">
      <w:pPr>
        <w:ind w:firstLine="480" w:firstLineChars="200"/>
        <w:rPr>
          <w:rFonts w:hint="eastAsia"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封面：</w:t>
      </w:r>
    </w:p>
    <w:p w14:paraId="7244FC3E">
      <w:pPr>
        <w:autoSpaceDE w:val="0"/>
        <w:autoSpaceDN w:val="0"/>
        <w:adjustRightInd w:val="0"/>
        <w:rPr>
          <w:rFonts w:hint="eastAsia" w:ascii="仿宋" w:hAnsi="仿宋" w:eastAsia="仿宋" w:cs="仿宋"/>
          <w:color w:val="auto"/>
          <w:sz w:val="21"/>
          <w:szCs w:val="24"/>
          <w:highlight w:val="none"/>
        </w:rPr>
      </w:pPr>
    </w:p>
    <w:p w14:paraId="180C96C1">
      <w:pPr>
        <w:autoSpaceDE w:val="0"/>
        <w:autoSpaceDN w:val="0"/>
        <w:adjustRightInd w:val="0"/>
        <w:rPr>
          <w:rFonts w:hint="eastAsia" w:ascii="仿宋" w:hAnsi="仿宋" w:eastAsia="仿宋" w:cs="仿宋"/>
          <w:color w:val="auto"/>
          <w:sz w:val="21"/>
          <w:szCs w:val="24"/>
          <w:highlight w:val="none"/>
        </w:rPr>
      </w:pPr>
    </w:p>
    <w:p w14:paraId="46EB38E9">
      <w:pPr>
        <w:autoSpaceDE w:val="0"/>
        <w:autoSpaceDN w:val="0"/>
        <w:adjustRightInd w:val="0"/>
        <w:jc w:val="center"/>
        <w:rPr>
          <w:rFonts w:hint="eastAsia" w:ascii="仿宋" w:hAnsi="仿宋" w:eastAsia="仿宋" w:cs="仿宋"/>
          <w:color w:val="auto"/>
          <w:sz w:val="21"/>
          <w:szCs w:val="24"/>
          <w:highlight w:val="none"/>
        </w:rPr>
      </w:pPr>
    </w:p>
    <w:p w14:paraId="405E381C">
      <w:pPr>
        <w:pStyle w:val="3"/>
        <w:bidi w:val="0"/>
        <w:jc w:val="center"/>
        <w:rPr>
          <w:rFonts w:hint="eastAsia" w:ascii="仿宋" w:hAnsi="仿宋" w:eastAsia="仿宋" w:cs="仿宋"/>
          <w:color w:val="auto"/>
          <w:sz w:val="84"/>
          <w:szCs w:val="84"/>
        </w:rPr>
      </w:pPr>
      <w:bookmarkStart w:id="744" w:name="_Toc19075"/>
      <w:r>
        <w:rPr>
          <w:rFonts w:hint="eastAsia" w:ascii="仿宋" w:hAnsi="仿宋" w:eastAsia="仿宋" w:cs="仿宋"/>
          <w:color w:val="auto"/>
          <w:sz w:val="84"/>
          <w:szCs w:val="84"/>
        </w:rPr>
        <w:t>投 标 文 件</w:t>
      </w:r>
      <w:bookmarkEnd w:id="744"/>
    </w:p>
    <w:p w14:paraId="3671E3D1">
      <w:pPr>
        <w:pStyle w:val="3"/>
        <w:bidi w:val="0"/>
        <w:spacing w:before="0" w:after="0" w:line="240" w:lineRule="auto"/>
        <w:jc w:val="center"/>
        <w:rPr>
          <w:rFonts w:hint="eastAsia" w:ascii="仿宋" w:hAnsi="仿宋" w:eastAsia="仿宋" w:cs="仿宋"/>
          <w:color w:val="auto"/>
          <w:sz w:val="56"/>
          <w:szCs w:val="56"/>
          <w:lang w:val="en-US" w:eastAsia="zh-CN"/>
        </w:rPr>
      </w:pPr>
      <w:bookmarkStart w:id="745" w:name="_Toc11387"/>
      <w:r>
        <w:rPr>
          <w:rFonts w:hint="eastAsia" w:ascii="仿宋" w:hAnsi="仿宋" w:eastAsia="仿宋" w:cs="仿宋"/>
          <w:color w:val="auto"/>
          <w:sz w:val="56"/>
          <w:szCs w:val="56"/>
          <w:lang w:val="en-US" w:eastAsia="zh-CN"/>
        </w:rPr>
        <w:t>报价文件</w:t>
      </w:r>
      <w:bookmarkEnd w:id="745"/>
    </w:p>
    <w:p w14:paraId="43AC395F">
      <w:pPr>
        <w:pStyle w:val="3"/>
        <w:rPr>
          <w:rFonts w:hint="eastAsia" w:ascii="仿宋" w:hAnsi="仿宋" w:eastAsia="仿宋" w:cs="仿宋"/>
          <w:color w:val="auto"/>
          <w:sz w:val="21"/>
          <w:szCs w:val="21"/>
          <w:highlight w:val="none"/>
        </w:rPr>
      </w:pPr>
    </w:p>
    <w:p w14:paraId="08E1DD9F">
      <w:pPr>
        <w:rPr>
          <w:rFonts w:hint="eastAsia" w:ascii="仿宋" w:hAnsi="仿宋" w:eastAsia="仿宋" w:cs="仿宋"/>
          <w:color w:val="auto"/>
          <w:sz w:val="21"/>
          <w:szCs w:val="21"/>
          <w:highlight w:val="none"/>
        </w:rPr>
      </w:pPr>
    </w:p>
    <w:p w14:paraId="6F206DA1">
      <w:pPr>
        <w:rPr>
          <w:rFonts w:hint="eastAsia" w:ascii="仿宋" w:hAnsi="仿宋" w:eastAsia="仿宋" w:cs="仿宋"/>
          <w:color w:val="auto"/>
          <w:highlight w:val="none"/>
        </w:rPr>
      </w:pPr>
    </w:p>
    <w:p w14:paraId="425FCB58">
      <w:pPr>
        <w:autoSpaceDE w:val="0"/>
        <w:autoSpaceDN w:val="0"/>
        <w:adjustRightInd w:val="0"/>
        <w:rPr>
          <w:rFonts w:hint="eastAsia" w:ascii="仿宋" w:hAnsi="仿宋" w:eastAsia="仿宋" w:cs="仿宋"/>
          <w:color w:val="auto"/>
          <w:sz w:val="21"/>
          <w:szCs w:val="21"/>
          <w:highlight w:val="none"/>
        </w:rPr>
      </w:pPr>
    </w:p>
    <w:p w14:paraId="553B0C88">
      <w:pPr>
        <w:autoSpaceDE w:val="0"/>
        <w:autoSpaceDN w:val="0"/>
        <w:adjustRightInd w:val="0"/>
        <w:rPr>
          <w:rFonts w:hint="eastAsia" w:ascii="仿宋" w:hAnsi="仿宋" w:eastAsia="仿宋" w:cs="仿宋"/>
          <w:color w:val="auto"/>
          <w:sz w:val="21"/>
          <w:szCs w:val="21"/>
          <w:highlight w:val="none"/>
        </w:rPr>
      </w:pPr>
    </w:p>
    <w:p w14:paraId="294437BC">
      <w:pPr>
        <w:ind w:left="420" w:leftChars="175"/>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项目编号：</w:t>
      </w:r>
      <w:r>
        <w:rPr>
          <w:rFonts w:hint="eastAsia" w:ascii="仿宋" w:hAnsi="仿宋" w:eastAsia="仿宋" w:cs="仿宋"/>
          <w:color w:val="auto"/>
          <w:sz w:val="36"/>
          <w:szCs w:val="36"/>
          <w:highlight w:val="none"/>
          <w:u w:val="single"/>
        </w:rPr>
        <w:t xml:space="preserve">   </w:t>
      </w:r>
      <w:r>
        <w:rPr>
          <w:rFonts w:hint="eastAsia" w:ascii="仿宋" w:hAnsi="仿宋" w:eastAsia="仿宋" w:cs="仿宋"/>
          <w:color w:val="auto"/>
          <w:sz w:val="36"/>
          <w:szCs w:val="36"/>
          <w:highlight w:val="none"/>
          <w:u w:val="single"/>
          <w:lang w:val="en-US" w:eastAsia="zh-CN"/>
        </w:rPr>
        <w:t xml:space="preserve"> </w:t>
      </w:r>
      <w:r>
        <w:rPr>
          <w:rFonts w:hint="eastAsia" w:ascii="仿宋" w:hAnsi="仿宋" w:eastAsia="仿宋" w:cs="仿宋"/>
          <w:color w:val="auto"/>
          <w:sz w:val="36"/>
          <w:szCs w:val="36"/>
          <w:highlight w:val="none"/>
          <w:u w:val="single"/>
        </w:rPr>
        <w:t xml:space="preserve">     </w:t>
      </w:r>
      <w:r>
        <w:rPr>
          <w:rFonts w:hint="eastAsia" w:ascii="仿宋" w:hAnsi="仿宋" w:eastAsia="仿宋" w:cs="仿宋"/>
          <w:color w:val="auto"/>
          <w:sz w:val="36"/>
          <w:szCs w:val="36"/>
          <w:highlight w:val="none"/>
          <w:u w:val="single"/>
          <w:lang w:val="en-US" w:eastAsia="zh-CN"/>
        </w:rPr>
        <w:t xml:space="preserve"> </w:t>
      </w:r>
      <w:r>
        <w:rPr>
          <w:rFonts w:hint="eastAsia" w:ascii="仿宋" w:hAnsi="仿宋" w:eastAsia="仿宋" w:cs="仿宋"/>
          <w:color w:val="auto"/>
          <w:sz w:val="36"/>
          <w:szCs w:val="36"/>
          <w:highlight w:val="none"/>
          <w:u w:val="single"/>
        </w:rPr>
        <w:t xml:space="preserve">       </w:t>
      </w:r>
      <w:r>
        <w:rPr>
          <w:rFonts w:hint="eastAsia" w:ascii="仿宋" w:hAnsi="仿宋" w:eastAsia="仿宋" w:cs="仿宋"/>
          <w:color w:val="auto"/>
          <w:sz w:val="36"/>
          <w:szCs w:val="36"/>
          <w:highlight w:val="none"/>
          <w:u w:val="single"/>
          <w:lang w:val="en-US" w:eastAsia="zh-CN"/>
        </w:rPr>
        <w:t xml:space="preserve">  </w:t>
      </w:r>
      <w:r>
        <w:rPr>
          <w:rFonts w:hint="eastAsia" w:ascii="仿宋" w:hAnsi="仿宋" w:eastAsia="仿宋" w:cs="仿宋"/>
          <w:color w:val="auto"/>
          <w:sz w:val="36"/>
          <w:szCs w:val="36"/>
          <w:highlight w:val="none"/>
          <w:u w:val="single"/>
        </w:rPr>
        <w:t xml:space="preserve"> </w:t>
      </w:r>
      <w:r>
        <w:rPr>
          <w:rFonts w:hint="eastAsia" w:ascii="仿宋" w:hAnsi="仿宋" w:eastAsia="仿宋" w:cs="仿宋"/>
          <w:color w:val="auto"/>
          <w:sz w:val="36"/>
          <w:szCs w:val="36"/>
          <w:highlight w:val="none"/>
          <w:u w:val="single"/>
          <w:lang w:val="en-US" w:eastAsia="zh-CN"/>
        </w:rPr>
        <w:t xml:space="preserve">     </w:t>
      </w:r>
      <w:r>
        <w:rPr>
          <w:rFonts w:hint="eastAsia" w:ascii="仿宋" w:hAnsi="仿宋" w:eastAsia="仿宋" w:cs="仿宋"/>
          <w:color w:val="auto"/>
          <w:sz w:val="36"/>
          <w:szCs w:val="36"/>
          <w:highlight w:val="none"/>
          <w:u w:val="single"/>
        </w:rPr>
        <w:t xml:space="preserve">        </w:t>
      </w:r>
    </w:p>
    <w:p w14:paraId="1708861F">
      <w:pPr>
        <w:ind w:left="420" w:leftChars="175"/>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项目名称：</w:t>
      </w:r>
      <w:r>
        <w:rPr>
          <w:rFonts w:hint="eastAsia" w:ascii="仿宋" w:hAnsi="仿宋" w:eastAsia="仿宋" w:cs="仿宋"/>
          <w:color w:val="auto"/>
          <w:sz w:val="36"/>
          <w:szCs w:val="36"/>
          <w:highlight w:val="none"/>
          <w:u w:val="single"/>
        </w:rPr>
        <w:t xml:space="preserve">                       </w:t>
      </w:r>
      <w:r>
        <w:rPr>
          <w:rFonts w:hint="eastAsia" w:ascii="仿宋" w:hAnsi="仿宋" w:eastAsia="仿宋" w:cs="仿宋"/>
          <w:color w:val="auto"/>
          <w:sz w:val="36"/>
          <w:szCs w:val="36"/>
          <w:highlight w:val="none"/>
          <w:u w:val="single"/>
          <w:lang w:val="en-US" w:eastAsia="zh-CN"/>
        </w:rPr>
        <w:t xml:space="preserve"> </w:t>
      </w:r>
      <w:r>
        <w:rPr>
          <w:rFonts w:hint="eastAsia" w:ascii="仿宋" w:hAnsi="仿宋" w:eastAsia="仿宋" w:cs="仿宋"/>
          <w:color w:val="auto"/>
          <w:sz w:val="36"/>
          <w:szCs w:val="36"/>
          <w:highlight w:val="none"/>
          <w:u w:val="single"/>
        </w:rPr>
        <w:t xml:space="preserve">         </w:t>
      </w:r>
    </w:p>
    <w:p w14:paraId="723F37DE">
      <w:pPr>
        <w:ind w:left="420" w:leftChars="175"/>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投</w:t>
      </w:r>
      <w:r>
        <w:rPr>
          <w:rFonts w:hint="eastAsia" w:ascii="仿宋" w:hAnsi="仿宋" w:eastAsia="仿宋" w:cs="仿宋"/>
          <w:color w:val="auto"/>
          <w:sz w:val="36"/>
          <w:szCs w:val="36"/>
          <w:highlight w:val="none"/>
          <w:lang w:val="en-US" w:eastAsia="zh-CN"/>
        </w:rPr>
        <w:t xml:space="preserve"> </w:t>
      </w:r>
      <w:r>
        <w:rPr>
          <w:rFonts w:hint="eastAsia" w:ascii="仿宋" w:hAnsi="仿宋" w:eastAsia="仿宋" w:cs="仿宋"/>
          <w:color w:val="auto"/>
          <w:sz w:val="36"/>
          <w:szCs w:val="36"/>
          <w:highlight w:val="none"/>
        </w:rPr>
        <w:t>标</w:t>
      </w:r>
      <w:r>
        <w:rPr>
          <w:rFonts w:hint="eastAsia" w:ascii="仿宋" w:hAnsi="仿宋" w:eastAsia="仿宋" w:cs="仿宋"/>
          <w:color w:val="auto"/>
          <w:sz w:val="36"/>
          <w:szCs w:val="36"/>
          <w:highlight w:val="none"/>
          <w:lang w:val="en-US" w:eastAsia="zh-CN"/>
        </w:rPr>
        <w:t xml:space="preserve"> </w:t>
      </w:r>
      <w:r>
        <w:rPr>
          <w:rFonts w:hint="eastAsia" w:ascii="仿宋" w:hAnsi="仿宋" w:eastAsia="仿宋" w:cs="仿宋"/>
          <w:color w:val="auto"/>
          <w:sz w:val="36"/>
          <w:szCs w:val="36"/>
          <w:highlight w:val="none"/>
        </w:rPr>
        <w:t>人：</w:t>
      </w:r>
      <w:r>
        <w:rPr>
          <w:rFonts w:hint="eastAsia" w:ascii="仿宋" w:hAnsi="仿宋" w:eastAsia="仿宋" w:cs="仿宋"/>
          <w:color w:val="auto"/>
          <w:sz w:val="36"/>
          <w:szCs w:val="36"/>
          <w:highlight w:val="none"/>
          <w:u w:val="single"/>
        </w:rPr>
        <w:t xml:space="preserve">      </w:t>
      </w:r>
      <w:r>
        <w:rPr>
          <w:rFonts w:hint="eastAsia" w:ascii="仿宋" w:hAnsi="仿宋" w:eastAsia="仿宋" w:cs="仿宋"/>
          <w:color w:val="auto"/>
          <w:sz w:val="36"/>
          <w:szCs w:val="36"/>
          <w:highlight w:val="none"/>
          <w:u w:val="single"/>
          <w:lang w:val="en-US" w:eastAsia="zh-CN"/>
        </w:rPr>
        <w:t xml:space="preserve">  </w:t>
      </w:r>
      <w:r>
        <w:rPr>
          <w:rFonts w:hint="eastAsia" w:ascii="仿宋" w:hAnsi="仿宋" w:eastAsia="仿宋" w:cs="仿宋"/>
          <w:color w:val="auto"/>
          <w:sz w:val="36"/>
          <w:szCs w:val="36"/>
          <w:highlight w:val="none"/>
          <w:u w:val="single"/>
        </w:rPr>
        <w:t xml:space="preserve">         </w:t>
      </w:r>
      <w:r>
        <w:rPr>
          <w:rFonts w:hint="eastAsia" w:ascii="仿宋" w:hAnsi="仿宋" w:eastAsia="仿宋" w:cs="仿宋"/>
          <w:color w:val="auto"/>
          <w:sz w:val="36"/>
          <w:szCs w:val="36"/>
          <w:highlight w:val="none"/>
          <w:u w:val="single"/>
          <w:lang w:val="en-US" w:eastAsia="zh-CN"/>
        </w:rPr>
        <w:t xml:space="preserve"> </w:t>
      </w:r>
      <w:r>
        <w:rPr>
          <w:rFonts w:hint="eastAsia" w:ascii="仿宋" w:hAnsi="仿宋" w:eastAsia="仿宋" w:cs="仿宋"/>
          <w:color w:val="auto"/>
          <w:sz w:val="36"/>
          <w:szCs w:val="36"/>
          <w:highlight w:val="none"/>
          <w:u w:val="single"/>
        </w:rPr>
        <w:t xml:space="preserve">               </w:t>
      </w:r>
    </w:p>
    <w:p w14:paraId="63A88E40">
      <w:pPr>
        <w:ind w:left="840" w:firstLine="420"/>
        <w:rPr>
          <w:rFonts w:hint="eastAsia" w:ascii="仿宋" w:hAnsi="仿宋" w:eastAsia="仿宋" w:cs="仿宋"/>
          <w:b/>
          <w:bCs/>
          <w:color w:val="auto"/>
          <w:sz w:val="28"/>
          <w:szCs w:val="28"/>
          <w:highlight w:val="none"/>
        </w:rPr>
      </w:pPr>
    </w:p>
    <w:p w14:paraId="588C7E89">
      <w:pPr>
        <w:ind w:left="840" w:firstLine="420"/>
        <w:rPr>
          <w:rFonts w:hint="eastAsia" w:ascii="仿宋" w:hAnsi="仿宋" w:eastAsia="仿宋" w:cs="仿宋"/>
          <w:b/>
          <w:bCs/>
          <w:color w:val="auto"/>
          <w:sz w:val="28"/>
          <w:szCs w:val="28"/>
          <w:highlight w:val="none"/>
        </w:rPr>
      </w:pPr>
    </w:p>
    <w:p w14:paraId="6053DD10">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年  月  日</w:t>
      </w:r>
    </w:p>
    <w:p w14:paraId="7FCF4E75">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br w:type="page"/>
      </w:r>
    </w:p>
    <w:p w14:paraId="1A7C6469">
      <w:pPr>
        <w:pStyle w:val="3"/>
        <w:keepNext/>
        <w:keepLines/>
        <w:pageBreakBefore w:val="0"/>
        <w:widowControl w:val="0"/>
        <w:numPr>
          <w:ilvl w:val="0"/>
          <w:numId w:val="0"/>
        </w:numPr>
        <w:kinsoku/>
        <w:wordWrap/>
        <w:overflowPunct/>
        <w:topLinePunct w:val="0"/>
        <w:autoSpaceDE/>
        <w:autoSpaceDN/>
        <w:bidi w:val="0"/>
        <w:adjustRightInd/>
        <w:snapToGrid/>
        <w:spacing w:before="100" w:after="100" w:line="440" w:lineRule="exact"/>
        <w:ind w:left="420" w:leftChars="0" w:hanging="420" w:firstLineChars="0"/>
        <w:jc w:val="center"/>
        <w:textAlignment w:val="auto"/>
        <w:rPr>
          <w:rFonts w:hint="eastAsia" w:ascii="仿宋" w:hAnsi="仿宋" w:eastAsia="仿宋" w:cs="仿宋"/>
          <w:b/>
          <w:bCs/>
          <w:color w:val="auto"/>
          <w:kern w:val="2"/>
          <w:sz w:val="32"/>
          <w:szCs w:val="32"/>
          <w:highlight w:val="none"/>
          <w:lang w:val="en-US" w:eastAsia="zh-CN" w:bidi="ar-SA"/>
        </w:rPr>
      </w:pPr>
      <w:bookmarkStart w:id="746" w:name="_Toc28928"/>
      <w:r>
        <w:rPr>
          <w:rFonts w:hint="eastAsia" w:ascii="仿宋" w:hAnsi="仿宋" w:eastAsia="仿宋" w:cs="仿宋"/>
          <w:b/>
          <w:bCs/>
          <w:color w:val="auto"/>
          <w:kern w:val="2"/>
          <w:sz w:val="32"/>
          <w:szCs w:val="32"/>
          <w:highlight w:val="none"/>
          <w:lang w:val="en-US" w:eastAsia="zh-CN" w:bidi="ar-SA"/>
        </w:rPr>
        <w:t>一、开标一览表</w:t>
      </w:r>
      <w:bookmarkEnd w:id="746"/>
    </w:p>
    <w:p w14:paraId="73D30F51">
      <w:pPr>
        <w:pageBreakBefore w:val="0"/>
        <w:kinsoku/>
        <w:wordWrap/>
        <w:overflowPunct/>
        <w:topLinePunct w:val="0"/>
        <w:bidi w:val="0"/>
        <w:adjustRightInd/>
        <w:snapToGrid/>
        <w:spacing w:line="440" w:lineRule="exact"/>
        <w:rPr>
          <w:rFonts w:hint="eastAsia" w:ascii="仿宋" w:hAnsi="仿宋" w:eastAsia="仿宋" w:cs="仿宋"/>
          <w:color w:val="auto"/>
          <w:szCs w:val="24"/>
          <w:highlight w:val="none"/>
        </w:rPr>
      </w:pPr>
    </w:p>
    <w:p w14:paraId="349DA9D8">
      <w:pPr>
        <w:pageBreakBefore w:val="0"/>
        <w:kinsoku/>
        <w:wordWrap/>
        <w:overflowPunct/>
        <w:topLinePunct w:val="0"/>
        <w:bidi w:val="0"/>
        <w:adjustRightInd/>
        <w:snapToGrid/>
        <w:spacing w:line="440" w:lineRule="exact"/>
        <w:rPr>
          <w:rFonts w:hint="eastAsia" w:ascii="仿宋" w:hAnsi="仿宋" w:eastAsia="仿宋" w:cs="仿宋"/>
          <w:b w:val="0"/>
          <w:bCs/>
          <w:color w:val="auto"/>
          <w:szCs w:val="21"/>
          <w:highlight w:val="none"/>
          <w:lang w:val="zh-CN"/>
        </w:rPr>
      </w:pPr>
      <w:r>
        <w:rPr>
          <w:rFonts w:hint="eastAsia" w:ascii="仿宋" w:hAnsi="仿宋" w:eastAsia="仿宋" w:cs="仿宋"/>
          <w:b w:val="0"/>
          <w:bCs/>
          <w:color w:val="auto"/>
          <w:szCs w:val="21"/>
          <w:highlight w:val="none"/>
          <w:lang w:val="zh-CN"/>
        </w:rPr>
        <w:t>项目名称：</w:t>
      </w:r>
      <w:r>
        <w:rPr>
          <w:rFonts w:hint="eastAsia" w:ascii="仿宋" w:hAnsi="仿宋" w:eastAsia="仿宋" w:cs="仿宋"/>
          <w:b w:val="0"/>
          <w:bCs/>
          <w:color w:val="auto"/>
          <w:szCs w:val="21"/>
          <w:highlight w:val="none"/>
          <w:u w:val="single"/>
          <w:lang w:val="zh-CN"/>
        </w:rPr>
        <w:t xml:space="preserve">                     </w:t>
      </w:r>
    </w:p>
    <w:p w14:paraId="72363503">
      <w:pPr>
        <w:pageBreakBefore w:val="0"/>
        <w:kinsoku/>
        <w:wordWrap/>
        <w:overflowPunct/>
        <w:topLinePunct w:val="0"/>
        <w:bidi w:val="0"/>
        <w:adjustRightInd/>
        <w:snapToGrid/>
        <w:spacing w:line="440" w:lineRule="exact"/>
        <w:rPr>
          <w:rFonts w:hint="default" w:ascii="仿宋" w:hAnsi="仿宋" w:eastAsia="仿宋" w:cs="仿宋"/>
          <w:b w:val="0"/>
          <w:bCs/>
          <w:color w:val="auto"/>
          <w:szCs w:val="21"/>
          <w:highlight w:val="none"/>
          <w:u w:val="none"/>
          <w:lang w:val="en-US" w:eastAsia="zh-CN"/>
        </w:rPr>
      </w:pPr>
      <w:r>
        <w:rPr>
          <w:rFonts w:hint="eastAsia" w:ascii="仿宋" w:hAnsi="仿宋" w:eastAsia="仿宋" w:cs="仿宋"/>
          <w:b w:val="0"/>
          <w:bCs/>
          <w:color w:val="auto"/>
          <w:szCs w:val="21"/>
          <w:highlight w:val="none"/>
          <w:lang w:val="zh-CN"/>
        </w:rPr>
        <w:t>项目编号：</w:t>
      </w:r>
      <w:r>
        <w:rPr>
          <w:rFonts w:hint="eastAsia" w:ascii="仿宋" w:hAnsi="仿宋" w:eastAsia="仿宋" w:cs="仿宋"/>
          <w:b w:val="0"/>
          <w:bCs/>
          <w:color w:val="auto"/>
          <w:szCs w:val="21"/>
          <w:highlight w:val="none"/>
          <w:u w:val="single"/>
          <w:lang w:val="zh-CN"/>
        </w:rPr>
        <w:t xml:space="preserve">        </w:t>
      </w:r>
      <w:r>
        <w:rPr>
          <w:rFonts w:hint="eastAsia" w:ascii="仿宋" w:hAnsi="仿宋" w:eastAsia="仿宋" w:cs="仿宋"/>
          <w:b w:val="0"/>
          <w:bCs/>
          <w:color w:val="auto"/>
          <w:szCs w:val="21"/>
          <w:highlight w:val="none"/>
          <w:u w:val="single"/>
          <w:lang w:val="en-US" w:eastAsia="zh-CN"/>
        </w:rPr>
        <w:t xml:space="preserve">     </w:t>
      </w:r>
      <w:r>
        <w:rPr>
          <w:rFonts w:hint="eastAsia" w:ascii="仿宋" w:hAnsi="仿宋" w:eastAsia="仿宋" w:cs="仿宋"/>
          <w:b w:val="0"/>
          <w:bCs/>
          <w:color w:val="auto"/>
          <w:szCs w:val="21"/>
          <w:highlight w:val="none"/>
          <w:u w:val="single"/>
          <w:lang w:val="zh-CN"/>
        </w:rPr>
        <w:t xml:space="preserve">        </w:t>
      </w:r>
      <w:r>
        <w:rPr>
          <w:rFonts w:hint="eastAsia" w:ascii="仿宋" w:hAnsi="仿宋" w:eastAsia="仿宋" w:cs="仿宋"/>
          <w:b w:val="0"/>
          <w:bCs/>
          <w:color w:val="auto"/>
          <w:szCs w:val="21"/>
          <w:highlight w:val="none"/>
          <w:u w:val="none"/>
          <w:lang w:val="en-US" w:eastAsia="zh-CN"/>
        </w:rPr>
        <w:t xml:space="preserve">                               单位：元</w:t>
      </w:r>
    </w:p>
    <w:tbl>
      <w:tblPr>
        <w:tblStyle w:val="30"/>
        <w:tblW w:w="8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3265"/>
        <w:gridCol w:w="2084"/>
        <w:gridCol w:w="1545"/>
      </w:tblGrid>
      <w:tr w14:paraId="2E59B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219" w:type="dxa"/>
            <w:vAlign w:val="center"/>
          </w:tcPr>
          <w:p w14:paraId="256862C0">
            <w:pPr>
              <w:pageBreakBefore w:val="0"/>
              <w:widowControl/>
              <w:kinsoku/>
              <w:wordWrap/>
              <w:overflowPunct/>
              <w:topLinePunct w:val="0"/>
              <w:autoSpaceDE w:val="0"/>
              <w:autoSpaceDN w:val="0"/>
              <w:bidi w:val="0"/>
              <w:adjustRightInd/>
              <w:snapToGrid/>
              <w:spacing w:line="440" w:lineRule="exact"/>
              <w:jc w:val="center"/>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265" w:type="dxa"/>
            <w:vAlign w:val="center"/>
          </w:tcPr>
          <w:p w14:paraId="14FE8235">
            <w:pPr>
              <w:pageBreakBefore w:val="0"/>
              <w:widowControl/>
              <w:kinsoku/>
              <w:wordWrap/>
              <w:overflowPunct/>
              <w:topLinePunct w:val="0"/>
              <w:autoSpaceDE w:val="0"/>
              <w:autoSpaceDN w:val="0"/>
              <w:bidi w:val="0"/>
              <w:adjustRightInd/>
              <w:snapToGrid/>
              <w:spacing w:line="440" w:lineRule="exact"/>
              <w:ind w:left="851" w:hanging="851"/>
              <w:jc w:val="center"/>
              <w:textAlignment w:val="bottom"/>
              <w:rPr>
                <w:rFonts w:hint="eastAsia" w:ascii="仿宋" w:hAnsi="仿宋" w:eastAsia="仿宋" w:cs="仿宋"/>
                <w:color w:val="auto"/>
                <w:sz w:val="24"/>
                <w:szCs w:val="24"/>
                <w:highlight w:val="none"/>
              </w:rPr>
            </w:pPr>
            <w:bookmarkStart w:id="747" w:name="OLE_LINK12"/>
            <w:r>
              <w:rPr>
                <w:rFonts w:hint="eastAsia" w:ascii="仿宋" w:hAnsi="仿宋" w:eastAsia="仿宋" w:cs="仿宋"/>
                <w:color w:val="auto"/>
                <w:sz w:val="24"/>
                <w:szCs w:val="24"/>
                <w:highlight w:val="none"/>
              </w:rPr>
              <w:t>投标报价</w:t>
            </w:r>
            <w:bookmarkEnd w:id="747"/>
          </w:p>
        </w:tc>
        <w:tc>
          <w:tcPr>
            <w:tcW w:w="2084" w:type="dxa"/>
            <w:vAlign w:val="center"/>
          </w:tcPr>
          <w:p w14:paraId="3F5C7E5F">
            <w:pPr>
              <w:pageBreakBefore w:val="0"/>
              <w:widowControl/>
              <w:kinsoku/>
              <w:wordWrap/>
              <w:overflowPunct/>
              <w:topLinePunct w:val="0"/>
              <w:autoSpaceDE w:val="0"/>
              <w:autoSpaceDN w:val="0"/>
              <w:bidi w:val="0"/>
              <w:adjustRightInd/>
              <w:snapToGrid/>
              <w:spacing w:line="440" w:lineRule="exact"/>
              <w:ind w:left="851" w:hanging="851"/>
              <w:jc w:val="center"/>
              <w:textAlignment w:val="bottom"/>
              <w:rPr>
                <w:rFonts w:hint="eastAsia" w:ascii="仿宋" w:hAnsi="仿宋" w:eastAsia="仿宋" w:cs="仿宋"/>
                <w:color w:val="auto"/>
                <w:sz w:val="24"/>
                <w:szCs w:val="24"/>
                <w:highlight w:val="none"/>
              </w:rPr>
            </w:pPr>
            <w:bookmarkStart w:id="748" w:name="OLE_LINK13"/>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期限</w:t>
            </w:r>
            <w:bookmarkEnd w:id="748"/>
          </w:p>
        </w:tc>
        <w:tc>
          <w:tcPr>
            <w:tcW w:w="1545" w:type="dxa"/>
            <w:vAlign w:val="center"/>
          </w:tcPr>
          <w:p w14:paraId="028C2B8E">
            <w:pPr>
              <w:pageBreakBefore w:val="0"/>
              <w:widowControl/>
              <w:kinsoku/>
              <w:wordWrap/>
              <w:overflowPunct/>
              <w:topLinePunct w:val="0"/>
              <w:autoSpaceDE w:val="0"/>
              <w:autoSpaceDN w:val="0"/>
              <w:bidi w:val="0"/>
              <w:adjustRightInd/>
              <w:snapToGrid/>
              <w:spacing w:line="440" w:lineRule="exact"/>
              <w:jc w:val="center"/>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59B2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1219" w:type="dxa"/>
            <w:vAlign w:val="center"/>
          </w:tcPr>
          <w:p w14:paraId="595D138F">
            <w:pPr>
              <w:pageBreakBefore w:val="0"/>
              <w:kinsoku/>
              <w:wordWrap/>
              <w:overflowPunct/>
              <w:topLinePunct w:val="0"/>
              <w:bidi w:val="0"/>
              <w:adjustRightInd/>
              <w:snapToGrid/>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3265" w:type="dxa"/>
            <w:vAlign w:val="center"/>
          </w:tcPr>
          <w:p w14:paraId="2E5DA70A">
            <w:pPr>
              <w:pageBreakBefore w:val="0"/>
              <w:widowControl/>
              <w:kinsoku/>
              <w:wordWrap/>
              <w:overflowPunct/>
              <w:topLinePunct w:val="0"/>
              <w:autoSpaceDE w:val="0"/>
              <w:autoSpaceDN w:val="0"/>
              <w:bidi w:val="0"/>
              <w:adjustRightInd/>
              <w:snapToGrid/>
              <w:spacing w:line="440" w:lineRule="exact"/>
              <w:ind w:left="851" w:hanging="851"/>
              <w:jc w:val="both"/>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小写：</w:t>
            </w:r>
          </w:p>
          <w:p w14:paraId="35BCFEB0">
            <w:pPr>
              <w:pageBreakBefore w:val="0"/>
              <w:kinsoku/>
              <w:wordWrap/>
              <w:overflowPunct/>
              <w:topLinePunct w:val="0"/>
              <w:bidi w:val="0"/>
              <w:adjustRightInd/>
              <w:snapToGrid/>
              <w:spacing w:line="440" w:lineRule="exact"/>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大写：</w:t>
            </w:r>
          </w:p>
        </w:tc>
        <w:tc>
          <w:tcPr>
            <w:tcW w:w="2084" w:type="dxa"/>
            <w:vAlign w:val="center"/>
          </w:tcPr>
          <w:p w14:paraId="5A064C8D">
            <w:pPr>
              <w:pageBreakBefore w:val="0"/>
              <w:kinsoku/>
              <w:wordWrap/>
              <w:overflowPunct/>
              <w:topLinePunct w:val="0"/>
              <w:bidi w:val="0"/>
              <w:adjustRightInd/>
              <w:snapToGrid/>
              <w:spacing w:line="440" w:lineRule="exact"/>
              <w:jc w:val="center"/>
              <w:rPr>
                <w:rFonts w:hint="eastAsia" w:ascii="仿宋" w:hAnsi="仿宋" w:eastAsia="仿宋" w:cs="仿宋"/>
                <w:color w:val="auto"/>
                <w:sz w:val="24"/>
                <w:szCs w:val="24"/>
                <w:highlight w:val="none"/>
              </w:rPr>
            </w:pPr>
          </w:p>
        </w:tc>
        <w:tc>
          <w:tcPr>
            <w:tcW w:w="1545" w:type="dxa"/>
            <w:vAlign w:val="center"/>
          </w:tcPr>
          <w:p w14:paraId="2E55C841">
            <w:pPr>
              <w:pageBreakBefore w:val="0"/>
              <w:kinsoku/>
              <w:wordWrap/>
              <w:overflowPunct/>
              <w:topLinePunct w:val="0"/>
              <w:bidi w:val="0"/>
              <w:adjustRightInd/>
              <w:snapToGrid/>
              <w:spacing w:line="440" w:lineRule="exact"/>
              <w:jc w:val="center"/>
              <w:rPr>
                <w:rFonts w:hint="eastAsia" w:ascii="仿宋" w:hAnsi="仿宋" w:eastAsia="仿宋" w:cs="仿宋"/>
                <w:color w:val="auto"/>
                <w:sz w:val="24"/>
                <w:szCs w:val="24"/>
                <w:highlight w:val="none"/>
              </w:rPr>
            </w:pPr>
          </w:p>
        </w:tc>
      </w:tr>
    </w:tbl>
    <w:p w14:paraId="651E759F">
      <w:pPr>
        <w:pageBreakBefore w:val="0"/>
        <w:kinsoku/>
        <w:wordWrap/>
        <w:overflowPunct/>
        <w:topLinePunct w:val="0"/>
        <w:bidi w:val="0"/>
        <w:adjustRightInd/>
        <w:snapToGrid/>
        <w:spacing w:line="440" w:lineRule="exact"/>
        <w:rPr>
          <w:rFonts w:hint="eastAsia" w:ascii="仿宋" w:hAnsi="仿宋" w:eastAsia="仿宋" w:cs="仿宋"/>
          <w:color w:val="auto"/>
          <w:szCs w:val="21"/>
          <w:highlight w:val="none"/>
          <w:u w:val="single"/>
        </w:rPr>
      </w:pPr>
    </w:p>
    <w:p w14:paraId="33C7B866">
      <w:pPr>
        <w:pageBreakBefore w:val="0"/>
        <w:kinsoku/>
        <w:wordWrap/>
        <w:overflowPunct/>
        <w:topLinePunct w:val="0"/>
        <w:bidi w:val="0"/>
        <w:adjustRightInd/>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投标人名称</w:t>
      </w:r>
      <w:r>
        <w:rPr>
          <w:rFonts w:hint="eastAsia" w:ascii="仿宋" w:hAnsi="仿宋" w:eastAsia="仿宋" w:cs="仿宋"/>
          <w:color w:val="auto"/>
          <w:szCs w:val="24"/>
          <w:highlight w:val="none"/>
          <w:lang w:eastAsia="zh-CN"/>
        </w:rPr>
        <w:t>（</w:t>
      </w:r>
      <w:r>
        <w:rPr>
          <w:rFonts w:hint="eastAsia" w:ascii="仿宋" w:hAnsi="仿宋" w:eastAsia="仿宋" w:cs="仿宋"/>
          <w:color w:val="auto"/>
          <w:kern w:val="0"/>
          <w:sz w:val="24"/>
          <w:szCs w:val="24"/>
          <w:highlight w:val="none"/>
          <w:lang w:val="en-US" w:eastAsia="zh-CN"/>
        </w:rPr>
        <w:t>公</w:t>
      </w:r>
      <w:r>
        <w:rPr>
          <w:rFonts w:hint="eastAsia" w:ascii="仿宋" w:hAnsi="仿宋" w:eastAsia="仿宋" w:cs="仿宋"/>
          <w:color w:val="auto"/>
          <w:kern w:val="0"/>
          <w:sz w:val="24"/>
          <w:szCs w:val="24"/>
          <w:highlight w:val="none"/>
          <w:lang w:eastAsia="zh-CN"/>
        </w:rPr>
        <w:t>章</w:t>
      </w:r>
      <w:r>
        <w:rPr>
          <w:rFonts w:hint="eastAsia" w:ascii="仿宋" w:hAnsi="仿宋" w:eastAsia="仿宋" w:cs="仿宋"/>
          <w:color w:val="auto"/>
          <w:kern w:val="0"/>
          <w:sz w:val="24"/>
          <w:highlight w:val="none"/>
          <w:lang w:val="zh-CN"/>
        </w:rPr>
        <w:t>)</w:t>
      </w:r>
      <w:r>
        <w:rPr>
          <w:rFonts w:hint="eastAsia" w:ascii="仿宋" w:hAnsi="仿宋" w:eastAsia="仿宋" w:cs="仿宋"/>
          <w:color w:val="auto"/>
          <w:szCs w:val="21"/>
          <w:highlight w:val="none"/>
        </w:rPr>
        <w:t>：</w:t>
      </w:r>
    </w:p>
    <w:p w14:paraId="5457FFA6">
      <w:pPr>
        <w:pageBreakBefore w:val="0"/>
        <w:kinsoku/>
        <w:wordWrap/>
        <w:overflowPunct/>
        <w:topLinePunct w:val="0"/>
        <w:bidi w:val="0"/>
        <w:adjustRightInd/>
        <w:snapToGrid/>
        <w:spacing w:line="44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日</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期：</w:t>
      </w:r>
    </w:p>
    <w:p w14:paraId="26228218">
      <w:pPr>
        <w:pageBreakBefore w:val="0"/>
        <w:kinsoku/>
        <w:wordWrap/>
        <w:overflowPunct/>
        <w:topLinePunct w:val="0"/>
        <w:bidi w:val="0"/>
        <w:adjustRightInd/>
        <w:snapToGrid/>
        <w:spacing w:line="440" w:lineRule="exact"/>
        <w:rPr>
          <w:rFonts w:hint="eastAsia" w:ascii="仿宋" w:hAnsi="仿宋" w:eastAsia="仿宋" w:cs="仿宋"/>
          <w:color w:val="auto"/>
          <w:szCs w:val="24"/>
          <w:highlight w:val="none"/>
        </w:rPr>
      </w:pPr>
    </w:p>
    <w:p w14:paraId="16AFBA5B">
      <w:pPr>
        <w:pageBreakBefore w:val="0"/>
        <w:kinsoku/>
        <w:wordWrap/>
        <w:overflowPunct/>
        <w:topLinePunct w:val="0"/>
        <w:bidi w:val="0"/>
        <w:adjustRightInd/>
        <w:snapToGrid/>
        <w:spacing w:line="440" w:lineRule="exact"/>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lang w:eastAsia="zh-CN"/>
        </w:rPr>
        <w:t>注：</w:t>
      </w:r>
    </w:p>
    <w:p w14:paraId="20B64E83">
      <w:pPr>
        <w:pageBreakBefore w:val="0"/>
        <w:kinsoku/>
        <w:wordWrap/>
        <w:overflowPunct/>
        <w:topLinePunct w:val="0"/>
        <w:bidi w:val="0"/>
        <w:adjustRightInd/>
        <w:snapToGrid/>
        <w:spacing w:line="440" w:lineRule="exact"/>
        <w:ind w:firstLine="43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1.此表用于开标唱标之用。报价最多保留两位小数。</w:t>
      </w:r>
    </w:p>
    <w:p w14:paraId="62DA0970">
      <w:pPr>
        <w:pageBreakBefore w:val="0"/>
        <w:kinsoku/>
        <w:wordWrap/>
        <w:overflowPunct/>
        <w:topLinePunct w:val="0"/>
        <w:bidi w:val="0"/>
        <w:adjustRightInd/>
        <w:snapToGrid/>
        <w:spacing w:line="440" w:lineRule="exact"/>
        <w:ind w:firstLine="43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2.表中投标报价即为优惠后报价，并作为评审及定标依据。任何有选择或有条件的投标报价，或者表中某一包填写多个报价，均为无效报价。</w:t>
      </w:r>
    </w:p>
    <w:p w14:paraId="5C9A489D">
      <w:pPr>
        <w:pStyle w:val="13"/>
        <w:pageBreakBefore w:val="0"/>
        <w:kinsoku/>
        <w:wordWrap/>
        <w:overflowPunct/>
        <w:topLinePunct w:val="0"/>
        <w:bidi w:val="0"/>
        <w:adjustRightInd/>
        <w:snapToGrid/>
        <w:spacing w:line="440" w:lineRule="exact"/>
        <w:ind w:firstLine="420" w:firstLineChars="200"/>
        <w:rPr>
          <w:rFonts w:hint="eastAsia" w:ascii="仿宋" w:hAnsi="仿宋" w:eastAsia="仿宋" w:cs="仿宋"/>
          <w:color w:val="auto"/>
          <w:sz w:val="21"/>
          <w:szCs w:val="21"/>
          <w:highlight w:val="none"/>
        </w:rPr>
        <w:sectPr>
          <w:headerReference r:id="rId9" w:type="default"/>
          <w:footerReference r:id="rId10" w:type="default"/>
          <w:pgSz w:w="11905" w:h="16840"/>
          <w:pgMar w:top="1440" w:right="1797" w:bottom="1440" w:left="1797" w:header="851" w:footer="850" w:gutter="0"/>
          <w:pgBorders>
            <w:top w:val="none" w:sz="0" w:space="0"/>
            <w:left w:val="none" w:sz="0" w:space="0"/>
            <w:bottom w:val="none" w:sz="0" w:space="0"/>
            <w:right w:val="none" w:sz="0" w:space="0"/>
          </w:pgBorders>
          <w:pgNumType w:fmt="numberInDash"/>
          <w:cols w:space="720" w:num="1"/>
        </w:sect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.表中大写与小写不一致的，以大写为准。</w:t>
      </w:r>
    </w:p>
    <w:p w14:paraId="4ADCD82D">
      <w:pPr>
        <w:pStyle w:val="6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仿宋" w:hAnsi="仿宋" w:eastAsia="仿宋" w:cs="仿宋"/>
          <w:b/>
          <w:bCs/>
          <w:color w:val="auto"/>
          <w:highlight w:val="none"/>
          <w:lang w:val="en-US" w:eastAsia="zh-CN"/>
        </w:rPr>
      </w:pPr>
    </w:p>
    <w:p w14:paraId="116E3970">
      <w:pPr>
        <w:ind w:firstLine="480" w:firstLineChars="200"/>
        <w:rPr>
          <w:rFonts w:hint="eastAsia" w:ascii="仿宋" w:hAnsi="仿宋" w:eastAsia="仿宋" w:cs="仿宋"/>
          <w:color w:val="auto"/>
          <w:szCs w:val="24"/>
          <w:highlight w:val="none"/>
          <w:lang w:val="zh-CN"/>
        </w:rPr>
      </w:pPr>
    </w:p>
    <w:p w14:paraId="0C3C96BA">
      <w:pPr>
        <w:ind w:firstLine="480" w:firstLineChars="200"/>
        <w:rPr>
          <w:rFonts w:hint="eastAsia"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封面：</w:t>
      </w:r>
    </w:p>
    <w:p w14:paraId="69154FA7">
      <w:pPr>
        <w:autoSpaceDE w:val="0"/>
        <w:autoSpaceDN w:val="0"/>
        <w:adjustRightInd w:val="0"/>
        <w:rPr>
          <w:rFonts w:hint="eastAsia" w:ascii="仿宋" w:hAnsi="仿宋" w:eastAsia="仿宋" w:cs="仿宋"/>
          <w:color w:val="auto"/>
          <w:sz w:val="21"/>
          <w:szCs w:val="24"/>
          <w:highlight w:val="none"/>
        </w:rPr>
      </w:pPr>
    </w:p>
    <w:p w14:paraId="3AB44B18">
      <w:pPr>
        <w:autoSpaceDE w:val="0"/>
        <w:autoSpaceDN w:val="0"/>
        <w:adjustRightInd w:val="0"/>
        <w:rPr>
          <w:rFonts w:hint="eastAsia" w:ascii="仿宋" w:hAnsi="仿宋" w:eastAsia="仿宋" w:cs="仿宋"/>
          <w:color w:val="auto"/>
          <w:sz w:val="21"/>
          <w:szCs w:val="24"/>
          <w:highlight w:val="none"/>
        </w:rPr>
      </w:pPr>
    </w:p>
    <w:p w14:paraId="35180E04">
      <w:pPr>
        <w:autoSpaceDE w:val="0"/>
        <w:autoSpaceDN w:val="0"/>
        <w:adjustRightInd w:val="0"/>
        <w:jc w:val="center"/>
        <w:rPr>
          <w:rFonts w:hint="eastAsia" w:ascii="仿宋" w:hAnsi="仿宋" w:eastAsia="仿宋" w:cs="仿宋"/>
          <w:color w:val="auto"/>
          <w:sz w:val="21"/>
          <w:szCs w:val="24"/>
          <w:highlight w:val="none"/>
        </w:rPr>
      </w:pPr>
    </w:p>
    <w:p w14:paraId="51665FDB">
      <w:pPr>
        <w:pStyle w:val="3"/>
        <w:bidi w:val="0"/>
        <w:jc w:val="center"/>
        <w:rPr>
          <w:rFonts w:hint="eastAsia" w:ascii="仿宋" w:hAnsi="仿宋" w:eastAsia="仿宋" w:cs="仿宋"/>
          <w:color w:val="auto"/>
          <w:sz w:val="84"/>
          <w:szCs w:val="84"/>
        </w:rPr>
      </w:pPr>
      <w:bookmarkStart w:id="749" w:name="_Toc27080"/>
      <w:r>
        <w:rPr>
          <w:rFonts w:hint="eastAsia" w:ascii="仿宋" w:hAnsi="仿宋" w:eastAsia="仿宋" w:cs="仿宋"/>
          <w:color w:val="auto"/>
          <w:sz w:val="84"/>
          <w:szCs w:val="84"/>
        </w:rPr>
        <w:t>投 标 文 件</w:t>
      </w:r>
      <w:bookmarkEnd w:id="749"/>
    </w:p>
    <w:p w14:paraId="580567D2">
      <w:pPr>
        <w:pStyle w:val="3"/>
        <w:bidi w:val="0"/>
        <w:jc w:val="center"/>
        <w:rPr>
          <w:rFonts w:hint="eastAsia" w:ascii="仿宋" w:hAnsi="仿宋" w:eastAsia="仿宋" w:cs="仿宋"/>
          <w:color w:val="auto"/>
          <w:sz w:val="56"/>
          <w:szCs w:val="56"/>
          <w:lang w:val="en-US" w:eastAsia="zh-CN"/>
        </w:rPr>
      </w:pPr>
      <w:bookmarkStart w:id="750" w:name="_Toc15320"/>
      <w:r>
        <w:rPr>
          <w:rFonts w:hint="eastAsia" w:ascii="仿宋" w:hAnsi="仿宋" w:eastAsia="仿宋" w:cs="仿宋"/>
          <w:color w:val="auto"/>
          <w:sz w:val="56"/>
          <w:szCs w:val="56"/>
          <w:lang w:val="en-US" w:eastAsia="zh-CN"/>
        </w:rPr>
        <w:t>商务技术文件</w:t>
      </w:r>
      <w:bookmarkEnd w:id="750"/>
    </w:p>
    <w:p w14:paraId="42858B7F">
      <w:pPr>
        <w:pStyle w:val="3"/>
        <w:rPr>
          <w:rFonts w:hint="eastAsia" w:ascii="仿宋" w:hAnsi="仿宋" w:eastAsia="仿宋" w:cs="仿宋"/>
          <w:color w:val="auto"/>
          <w:sz w:val="21"/>
          <w:szCs w:val="21"/>
          <w:highlight w:val="none"/>
        </w:rPr>
      </w:pPr>
    </w:p>
    <w:p w14:paraId="55FDD9D4">
      <w:pPr>
        <w:rPr>
          <w:rFonts w:hint="eastAsia" w:ascii="仿宋" w:hAnsi="仿宋" w:eastAsia="仿宋" w:cs="仿宋"/>
          <w:color w:val="auto"/>
          <w:sz w:val="21"/>
          <w:szCs w:val="21"/>
          <w:highlight w:val="none"/>
        </w:rPr>
      </w:pPr>
    </w:p>
    <w:p w14:paraId="22CC350A">
      <w:pPr>
        <w:rPr>
          <w:rFonts w:hint="eastAsia" w:ascii="仿宋" w:hAnsi="仿宋" w:eastAsia="仿宋" w:cs="仿宋"/>
          <w:color w:val="auto"/>
          <w:highlight w:val="none"/>
        </w:rPr>
      </w:pPr>
    </w:p>
    <w:p w14:paraId="546B0D1A">
      <w:pPr>
        <w:autoSpaceDE w:val="0"/>
        <w:autoSpaceDN w:val="0"/>
        <w:adjustRightInd w:val="0"/>
        <w:rPr>
          <w:rFonts w:hint="eastAsia" w:ascii="仿宋" w:hAnsi="仿宋" w:eastAsia="仿宋" w:cs="仿宋"/>
          <w:color w:val="auto"/>
          <w:sz w:val="21"/>
          <w:szCs w:val="21"/>
          <w:highlight w:val="none"/>
        </w:rPr>
      </w:pPr>
    </w:p>
    <w:p w14:paraId="777E134D">
      <w:pPr>
        <w:autoSpaceDE w:val="0"/>
        <w:autoSpaceDN w:val="0"/>
        <w:adjustRightInd w:val="0"/>
        <w:rPr>
          <w:rFonts w:hint="eastAsia" w:ascii="仿宋" w:hAnsi="仿宋" w:eastAsia="仿宋" w:cs="仿宋"/>
          <w:color w:val="auto"/>
          <w:sz w:val="21"/>
          <w:szCs w:val="21"/>
          <w:highlight w:val="none"/>
        </w:rPr>
      </w:pPr>
    </w:p>
    <w:p w14:paraId="558E1889">
      <w:pPr>
        <w:ind w:left="420" w:leftChars="175"/>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项目编号：</w:t>
      </w:r>
      <w:r>
        <w:rPr>
          <w:rFonts w:hint="eastAsia" w:ascii="仿宋" w:hAnsi="仿宋" w:eastAsia="仿宋" w:cs="仿宋"/>
          <w:color w:val="auto"/>
          <w:sz w:val="36"/>
          <w:szCs w:val="36"/>
          <w:highlight w:val="none"/>
          <w:u w:val="single"/>
        </w:rPr>
        <w:t xml:space="preserve">   </w:t>
      </w:r>
      <w:r>
        <w:rPr>
          <w:rFonts w:hint="eastAsia" w:ascii="仿宋" w:hAnsi="仿宋" w:eastAsia="仿宋" w:cs="仿宋"/>
          <w:color w:val="auto"/>
          <w:sz w:val="36"/>
          <w:szCs w:val="36"/>
          <w:highlight w:val="none"/>
          <w:u w:val="single"/>
          <w:lang w:val="en-US" w:eastAsia="zh-CN"/>
        </w:rPr>
        <w:t xml:space="preserve"> </w:t>
      </w:r>
      <w:r>
        <w:rPr>
          <w:rFonts w:hint="eastAsia" w:ascii="仿宋" w:hAnsi="仿宋" w:eastAsia="仿宋" w:cs="仿宋"/>
          <w:color w:val="auto"/>
          <w:sz w:val="36"/>
          <w:szCs w:val="36"/>
          <w:highlight w:val="none"/>
          <w:u w:val="single"/>
        </w:rPr>
        <w:t xml:space="preserve"> </w:t>
      </w:r>
      <w:r>
        <w:rPr>
          <w:rFonts w:hint="eastAsia" w:ascii="仿宋" w:hAnsi="仿宋" w:eastAsia="仿宋" w:cs="仿宋"/>
          <w:color w:val="auto"/>
          <w:sz w:val="36"/>
          <w:szCs w:val="36"/>
          <w:highlight w:val="none"/>
          <w:u w:val="single"/>
          <w:lang w:val="en-US" w:eastAsia="zh-CN"/>
        </w:rPr>
        <w:t xml:space="preserve">     </w:t>
      </w:r>
      <w:r>
        <w:rPr>
          <w:rFonts w:hint="eastAsia" w:ascii="仿宋" w:hAnsi="仿宋" w:eastAsia="仿宋" w:cs="仿宋"/>
          <w:color w:val="auto"/>
          <w:sz w:val="36"/>
          <w:szCs w:val="36"/>
          <w:highlight w:val="none"/>
          <w:u w:val="single"/>
        </w:rPr>
        <w:t xml:space="preserve">    </w:t>
      </w:r>
      <w:r>
        <w:rPr>
          <w:rFonts w:hint="eastAsia" w:ascii="仿宋" w:hAnsi="仿宋" w:eastAsia="仿宋" w:cs="仿宋"/>
          <w:color w:val="auto"/>
          <w:sz w:val="36"/>
          <w:szCs w:val="36"/>
          <w:highlight w:val="none"/>
          <w:u w:val="single"/>
          <w:lang w:val="en-US" w:eastAsia="zh-CN"/>
        </w:rPr>
        <w:t xml:space="preserve"> </w:t>
      </w:r>
      <w:r>
        <w:rPr>
          <w:rFonts w:hint="eastAsia" w:ascii="仿宋" w:hAnsi="仿宋" w:eastAsia="仿宋" w:cs="仿宋"/>
          <w:color w:val="auto"/>
          <w:sz w:val="36"/>
          <w:szCs w:val="36"/>
          <w:highlight w:val="none"/>
          <w:u w:val="single"/>
        </w:rPr>
        <w:t xml:space="preserve">       </w:t>
      </w:r>
      <w:r>
        <w:rPr>
          <w:rFonts w:hint="eastAsia" w:ascii="仿宋" w:hAnsi="仿宋" w:eastAsia="仿宋" w:cs="仿宋"/>
          <w:color w:val="auto"/>
          <w:sz w:val="36"/>
          <w:szCs w:val="36"/>
          <w:highlight w:val="none"/>
          <w:u w:val="single"/>
          <w:lang w:val="en-US" w:eastAsia="zh-CN"/>
        </w:rPr>
        <w:t xml:space="preserve">  </w:t>
      </w:r>
      <w:r>
        <w:rPr>
          <w:rFonts w:hint="eastAsia" w:ascii="仿宋" w:hAnsi="仿宋" w:eastAsia="仿宋" w:cs="仿宋"/>
          <w:color w:val="auto"/>
          <w:sz w:val="36"/>
          <w:szCs w:val="36"/>
          <w:highlight w:val="none"/>
          <w:u w:val="single"/>
        </w:rPr>
        <w:t xml:space="preserve">        </w:t>
      </w:r>
    </w:p>
    <w:p w14:paraId="58F4373B">
      <w:pPr>
        <w:ind w:left="420" w:leftChars="175"/>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项目名称：</w:t>
      </w:r>
      <w:r>
        <w:rPr>
          <w:rFonts w:hint="eastAsia" w:ascii="仿宋" w:hAnsi="仿宋" w:eastAsia="仿宋" w:cs="仿宋"/>
          <w:color w:val="auto"/>
          <w:sz w:val="36"/>
          <w:szCs w:val="36"/>
          <w:highlight w:val="none"/>
          <w:u w:val="single"/>
        </w:rPr>
        <w:t xml:space="preserve">                       </w:t>
      </w:r>
      <w:r>
        <w:rPr>
          <w:rFonts w:hint="eastAsia" w:ascii="仿宋" w:hAnsi="仿宋" w:eastAsia="仿宋" w:cs="仿宋"/>
          <w:color w:val="auto"/>
          <w:sz w:val="36"/>
          <w:szCs w:val="36"/>
          <w:highlight w:val="none"/>
          <w:u w:val="single"/>
          <w:lang w:val="en-US" w:eastAsia="zh-CN"/>
        </w:rPr>
        <w:t xml:space="preserve"> </w:t>
      </w:r>
      <w:r>
        <w:rPr>
          <w:rFonts w:hint="eastAsia" w:ascii="仿宋" w:hAnsi="仿宋" w:eastAsia="仿宋" w:cs="仿宋"/>
          <w:color w:val="auto"/>
          <w:sz w:val="36"/>
          <w:szCs w:val="36"/>
          <w:highlight w:val="none"/>
          <w:u w:val="single"/>
        </w:rPr>
        <w:t xml:space="preserve">        </w:t>
      </w:r>
    </w:p>
    <w:p w14:paraId="01427471">
      <w:pPr>
        <w:ind w:left="420" w:leftChars="175"/>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投</w:t>
      </w:r>
      <w:r>
        <w:rPr>
          <w:rFonts w:hint="eastAsia" w:ascii="仿宋" w:hAnsi="仿宋" w:eastAsia="仿宋" w:cs="仿宋"/>
          <w:color w:val="auto"/>
          <w:sz w:val="36"/>
          <w:szCs w:val="36"/>
          <w:highlight w:val="none"/>
          <w:lang w:val="en-US" w:eastAsia="zh-CN"/>
        </w:rPr>
        <w:t xml:space="preserve"> </w:t>
      </w:r>
      <w:r>
        <w:rPr>
          <w:rFonts w:hint="eastAsia" w:ascii="仿宋" w:hAnsi="仿宋" w:eastAsia="仿宋" w:cs="仿宋"/>
          <w:color w:val="auto"/>
          <w:sz w:val="36"/>
          <w:szCs w:val="36"/>
          <w:highlight w:val="none"/>
        </w:rPr>
        <w:t>标</w:t>
      </w:r>
      <w:r>
        <w:rPr>
          <w:rFonts w:hint="eastAsia" w:ascii="仿宋" w:hAnsi="仿宋" w:eastAsia="仿宋" w:cs="仿宋"/>
          <w:color w:val="auto"/>
          <w:sz w:val="36"/>
          <w:szCs w:val="36"/>
          <w:highlight w:val="none"/>
          <w:lang w:val="en-US" w:eastAsia="zh-CN"/>
        </w:rPr>
        <w:t xml:space="preserve"> </w:t>
      </w:r>
      <w:r>
        <w:rPr>
          <w:rFonts w:hint="eastAsia" w:ascii="仿宋" w:hAnsi="仿宋" w:eastAsia="仿宋" w:cs="仿宋"/>
          <w:color w:val="auto"/>
          <w:sz w:val="36"/>
          <w:szCs w:val="36"/>
          <w:highlight w:val="none"/>
        </w:rPr>
        <w:t>人：</w:t>
      </w:r>
      <w:r>
        <w:rPr>
          <w:rFonts w:hint="eastAsia" w:ascii="仿宋" w:hAnsi="仿宋" w:eastAsia="仿宋" w:cs="仿宋"/>
          <w:color w:val="auto"/>
          <w:sz w:val="36"/>
          <w:szCs w:val="36"/>
          <w:highlight w:val="none"/>
          <w:u w:val="single"/>
        </w:rPr>
        <w:t xml:space="preserve">      </w:t>
      </w:r>
      <w:r>
        <w:rPr>
          <w:rFonts w:hint="eastAsia" w:ascii="仿宋" w:hAnsi="仿宋" w:eastAsia="仿宋" w:cs="仿宋"/>
          <w:color w:val="auto"/>
          <w:sz w:val="36"/>
          <w:szCs w:val="36"/>
          <w:highlight w:val="none"/>
          <w:u w:val="single"/>
          <w:lang w:val="en-US" w:eastAsia="zh-CN"/>
        </w:rPr>
        <w:t xml:space="preserve">  </w:t>
      </w:r>
      <w:r>
        <w:rPr>
          <w:rFonts w:hint="eastAsia" w:ascii="仿宋" w:hAnsi="仿宋" w:eastAsia="仿宋" w:cs="仿宋"/>
          <w:color w:val="auto"/>
          <w:sz w:val="36"/>
          <w:szCs w:val="36"/>
          <w:highlight w:val="none"/>
          <w:u w:val="single"/>
        </w:rPr>
        <w:t xml:space="preserve">         </w:t>
      </w:r>
      <w:r>
        <w:rPr>
          <w:rFonts w:hint="eastAsia" w:ascii="仿宋" w:hAnsi="仿宋" w:eastAsia="仿宋" w:cs="仿宋"/>
          <w:color w:val="auto"/>
          <w:sz w:val="36"/>
          <w:szCs w:val="36"/>
          <w:highlight w:val="none"/>
          <w:u w:val="single"/>
          <w:lang w:val="en-US" w:eastAsia="zh-CN"/>
        </w:rPr>
        <w:t xml:space="preserve"> </w:t>
      </w:r>
      <w:r>
        <w:rPr>
          <w:rFonts w:hint="eastAsia" w:ascii="仿宋" w:hAnsi="仿宋" w:eastAsia="仿宋" w:cs="仿宋"/>
          <w:color w:val="auto"/>
          <w:sz w:val="36"/>
          <w:szCs w:val="36"/>
          <w:highlight w:val="none"/>
          <w:u w:val="single"/>
        </w:rPr>
        <w:t xml:space="preserve">              </w:t>
      </w:r>
    </w:p>
    <w:p w14:paraId="112B85E9">
      <w:pPr>
        <w:ind w:left="420" w:leftChars="175"/>
        <w:rPr>
          <w:rFonts w:hint="eastAsia" w:ascii="仿宋" w:hAnsi="仿宋" w:eastAsia="仿宋" w:cs="仿宋"/>
          <w:color w:val="auto"/>
          <w:sz w:val="32"/>
          <w:szCs w:val="32"/>
          <w:highlight w:val="none"/>
        </w:rPr>
      </w:pPr>
    </w:p>
    <w:p w14:paraId="64D87B57">
      <w:pPr>
        <w:ind w:left="840" w:firstLine="420"/>
        <w:rPr>
          <w:rFonts w:hint="eastAsia" w:ascii="仿宋" w:hAnsi="仿宋" w:eastAsia="仿宋" w:cs="仿宋"/>
          <w:b/>
          <w:bCs/>
          <w:color w:val="auto"/>
          <w:sz w:val="28"/>
          <w:szCs w:val="28"/>
          <w:highlight w:val="none"/>
        </w:rPr>
      </w:pPr>
    </w:p>
    <w:p w14:paraId="62B3B2B2">
      <w:pPr>
        <w:ind w:left="840" w:firstLine="420"/>
        <w:rPr>
          <w:rFonts w:hint="eastAsia" w:ascii="仿宋" w:hAnsi="仿宋" w:eastAsia="仿宋" w:cs="仿宋"/>
          <w:b/>
          <w:bCs/>
          <w:color w:val="auto"/>
          <w:sz w:val="28"/>
          <w:szCs w:val="28"/>
          <w:highlight w:val="none"/>
        </w:rPr>
      </w:pPr>
    </w:p>
    <w:p w14:paraId="235E01CF">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年  月  日</w:t>
      </w:r>
    </w:p>
    <w:p w14:paraId="4C0E0103">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br w:type="page"/>
      </w:r>
    </w:p>
    <w:p w14:paraId="07AB4EE4">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ascii="仿宋" w:hAnsi="仿宋" w:eastAsia="仿宋" w:cs="仿宋"/>
          <w:b/>
          <w:bCs/>
          <w:color w:val="auto"/>
          <w:kern w:val="2"/>
          <w:sz w:val="32"/>
          <w:szCs w:val="32"/>
          <w:highlight w:val="none"/>
          <w:lang w:val="en-US" w:eastAsia="zh-CN" w:bidi="ar-SA"/>
        </w:rPr>
      </w:pPr>
      <w:bookmarkStart w:id="751" w:name="_Toc155185921"/>
      <w:bookmarkStart w:id="752" w:name="_Toc109899908"/>
      <w:bookmarkStart w:id="753" w:name="_Toc109900327"/>
      <w:bookmarkStart w:id="754" w:name="_Toc3577"/>
      <w:bookmarkStart w:id="755" w:name="_Toc23604"/>
      <w:bookmarkStart w:id="756" w:name="_Toc109899489"/>
      <w:bookmarkStart w:id="757" w:name="_Toc140132831"/>
      <w:bookmarkStart w:id="758" w:name="_Toc25402"/>
      <w:r>
        <w:rPr>
          <w:rFonts w:hint="eastAsia" w:ascii="仿宋" w:hAnsi="仿宋" w:eastAsia="仿宋" w:cs="仿宋"/>
          <w:b/>
          <w:bCs/>
          <w:color w:val="auto"/>
          <w:kern w:val="2"/>
          <w:sz w:val="32"/>
          <w:szCs w:val="32"/>
          <w:highlight w:val="none"/>
          <w:lang w:val="en-US" w:eastAsia="zh-CN" w:bidi="ar-SA"/>
        </w:rPr>
        <w:t>一、投标函</w:t>
      </w:r>
      <w:bookmarkEnd w:id="751"/>
      <w:bookmarkEnd w:id="752"/>
      <w:bookmarkEnd w:id="753"/>
      <w:bookmarkEnd w:id="754"/>
      <w:bookmarkEnd w:id="755"/>
      <w:bookmarkEnd w:id="756"/>
      <w:bookmarkEnd w:id="757"/>
      <w:bookmarkEnd w:id="758"/>
    </w:p>
    <w:p w14:paraId="64D7E21F">
      <w:pPr>
        <w:keepNext w:val="0"/>
        <w:keepLines w:val="0"/>
        <w:pageBreakBefore w:val="0"/>
        <w:widowControl w:val="0"/>
        <w:kinsoku/>
        <w:wordWrap/>
        <w:overflowPunct/>
        <w:topLinePunct w:val="0"/>
        <w:bidi w:val="0"/>
        <w:spacing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致：（采购人）</w:t>
      </w:r>
    </w:p>
    <w:p w14:paraId="24E842EE">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b/>
          <w:bCs/>
          <w:color w:val="auto"/>
          <w:szCs w:val="24"/>
          <w:highlight w:val="none"/>
        </w:rPr>
      </w:pPr>
      <w:r>
        <w:rPr>
          <w:rFonts w:hint="eastAsia" w:ascii="仿宋" w:hAnsi="仿宋" w:eastAsia="仿宋" w:cs="仿宋"/>
          <w:color w:val="auto"/>
          <w:szCs w:val="24"/>
          <w:highlight w:val="none"/>
        </w:rPr>
        <w:t>根据贵方</w:t>
      </w:r>
      <w:r>
        <w:rPr>
          <w:rFonts w:hint="eastAsia" w:ascii="仿宋" w:hAnsi="仿宋" w:eastAsia="仿宋" w:cs="仿宋"/>
          <w:color w:val="auto"/>
          <w:szCs w:val="24"/>
          <w:highlight w:val="none"/>
          <w:u w:val="single"/>
        </w:rPr>
        <w:t>（项目名称）（项目编号）</w:t>
      </w:r>
      <w:r>
        <w:rPr>
          <w:rFonts w:hint="eastAsia" w:ascii="仿宋" w:hAnsi="仿宋" w:eastAsia="仿宋" w:cs="仿宋"/>
          <w:color w:val="auto"/>
          <w:szCs w:val="24"/>
          <w:highlight w:val="none"/>
          <w:lang w:val="en-US" w:eastAsia="zh-CN"/>
        </w:rPr>
        <w:t>项目</w:t>
      </w:r>
      <w:r>
        <w:rPr>
          <w:rFonts w:hint="eastAsia" w:ascii="仿宋" w:hAnsi="仿宋" w:eastAsia="仿宋" w:cs="仿宋"/>
          <w:color w:val="auto"/>
          <w:szCs w:val="24"/>
          <w:highlight w:val="none"/>
        </w:rPr>
        <w:t>的</w:t>
      </w:r>
      <w:r>
        <w:rPr>
          <w:rFonts w:hint="eastAsia" w:ascii="仿宋" w:hAnsi="仿宋" w:eastAsia="仿宋" w:cs="仿宋"/>
          <w:color w:val="auto"/>
          <w:szCs w:val="24"/>
          <w:highlight w:val="none"/>
          <w:lang w:val="en-US" w:eastAsia="zh-CN"/>
        </w:rPr>
        <w:t>招标公告</w:t>
      </w:r>
      <w:r>
        <w:rPr>
          <w:rFonts w:hint="eastAsia" w:ascii="仿宋" w:hAnsi="仿宋" w:eastAsia="仿宋" w:cs="仿宋"/>
          <w:color w:val="auto"/>
          <w:szCs w:val="24"/>
          <w:highlight w:val="none"/>
        </w:rPr>
        <w:t>，签字代表</w:t>
      </w:r>
      <w:r>
        <w:rPr>
          <w:rFonts w:hint="eastAsia" w:ascii="仿宋" w:hAnsi="仿宋" w:eastAsia="仿宋" w:cs="仿宋"/>
          <w:color w:val="auto"/>
          <w:szCs w:val="24"/>
          <w:highlight w:val="none"/>
          <w:u w:val="single"/>
        </w:rPr>
        <w:t>（姓名、职务）</w:t>
      </w:r>
      <w:r>
        <w:rPr>
          <w:rFonts w:hint="eastAsia" w:ascii="仿宋" w:hAnsi="仿宋" w:eastAsia="仿宋" w:cs="仿宋"/>
          <w:color w:val="auto"/>
          <w:szCs w:val="24"/>
          <w:highlight w:val="none"/>
        </w:rPr>
        <w:t>经正式授权并代表投标人</w:t>
      </w:r>
      <w:r>
        <w:rPr>
          <w:rFonts w:hint="eastAsia" w:ascii="仿宋" w:hAnsi="仿宋" w:eastAsia="仿宋" w:cs="仿宋"/>
          <w:color w:val="auto"/>
          <w:szCs w:val="24"/>
          <w:highlight w:val="none"/>
          <w:u w:val="single"/>
        </w:rPr>
        <w:t>（投标人名称、地址）</w:t>
      </w:r>
      <w:r>
        <w:rPr>
          <w:rFonts w:hint="eastAsia" w:ascii="仿宋" w:hAnsi="仿宋" w:eastAsia="仿宋" w:cs="仿宋"/>
          <w:color w:val="auto"/>
          <w:szCs w:val="24"/>
          <w:highlight w:val="none"/>
        </w:rPr>
        <w:t>提交下述文件</w:t>
      </w:r>
      <w:r>
        <w:rPr>
          <w:rFonts w:hint="eastAsia" w:ascii="仿宋" w:hAnsi="仿宋" w:eastAsia="仿宋" w:cs="仿宋"/>
          <w:b/>
          <w:bCs/>
          <w:color w:val="auto"/>
          <w:szCs w:val="24"/>
          <w:highlight w:val="none"/>
        </w:rPr>
        <w:t>：</w:t>
      </w:r>
    </w:p>
    <w:p w14:paraId="55F3C41D">
      <w:pPr>
        <w:keepNext w:val="0"/>
        <w:keepLines w:val="0"/>
        <w:pageBreakBefore w:val="0"/>
        <w:widowControl w:val="0"/>
        <w:numPr>
          <w:ilvl w:val="0"/>
          <w:numId w:val="0"/>
        </w:numPr>
        <w:kinsoku/>
        <w:wordWrap/>
        <w:overflowPunct/>
        <w:topLinePunct w:val="0"/>
        <w:bidi w:val="0"/>
        <w:spacing w:line="440" w:lineRule="exact"/>
        <w:ind w:firstLine="480" w:firstLineChars="200"/>
        <w:jc w:val="both"/>
        <w:textAlignment w:val="auto"/>
        <w:rPr>
          <w:rFonts w:hint="eastAsia" w:ascii="仿宋" w:hAnsi="仿宋" w:eastAsia="仿宋" w:cs="仿宋"/>
          <w:color w:val="auto"/>
          <w:szCs w:val="24"/>
          <w:highlight w:val="none"/>
        </w:rPr>
      </w:pP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color w:val="auto"/>
          <w:szCs w:val="24"/>
          <w:highlight w:val="none"/>
        </w:rPr>
        <w:t>资格</w:t>
      </w:r>
      <w:r>
        <w:rPr>
          <w:rFonts w:hint="eastAsia" w:ascii="仿宋" w:hAnsi="仿宋" w:eastAsia="仿宋" w:cs="仿宋"/>
          <w:color w:val="auto"/>
          <w:szCs w:val="24"/>
          <w:highlight w:val="none"/>
          <w:lang w:val="en-US" w:eastAsia="zh-CN"/>
        </w:rPr>
        <w:t>证明</w:t>
      </w:r>
      <w:r>
        <w:rPr>
          <w:rFonts w:hint="eastAsia" w:ascii="仿宋" w:hAnsi="仿宋" w:eastAsia="仿宋" w:cs="仿宋"/>
          <w:color w:val="auto"/>
          <w:szCs w:val="24"/>
          <w:highlight w:val="none"/>
        </w:rPr>
        <w:t>文件；</w:t>
      </w:r>
    </w:p>
    <w:p w14:paraId="65B8C631">
      <w:pPr>
        <w:keepNext w:val="0"/>
        <w:keepLines w:val="0"/>
        <w:pageBreakBefore w:val="0"/>
        <w:widowControl w:val="0"/>
        <w:numPr>
          <w:ilvl w:val="0"/>
          <w:numId w:val="0"/>
        </w:numPr>
        <w:kinsoku/>
        <w:wordWrap/>
        <w:overflowPunct/>
        <w:topLinePunct w:val="0"/>
        <w:bidi w:val="0"/>
        <w:spacing w:line="440" w:lineRule="exact"/>
        <w:ind w:firstLine="480" w:firstLineChars="200"/>
        <w:jc w:val="both"/>
        <w:textAlignment w:val="auto"/>
        <w:rPr>
          <w:rFonts w:hint="eastAsia" w:ascii="仿宋" w:hAnsi="仿宋" w:eastAsia="仿宋" w:cs="仿宋"/>
          <w:color w:val="auto"/>
          <w:szCs w:val="24"/>
          <w:highlight w:val="none"/>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color w:val="auto"/>
          <w:szCs w:val="24"/>
          <w:highlight w:val="none"/>
        </w:rPr>
        <w:t>投标报价文件；</w:t>
      </w:r>
    </w:p>
    <w:p w14:paraId="0C2F512E">
      <w:pPr>
        <w:keepNext w:val="0"/>
        <w:keepLines w:val="0"/>
        <w:pageBreakBefore w:val="0"/>
        <w:widowControl w:val="0"/>
        <w:numPr>
          <w:ilvl w:val="0"/>
          <w:numId w:val="0"/>
        </w:numPr>
        <w:kinsoku/>
        <w:wordWrap/>
        <w:overflowPunct/>
        <w:topLinePunct w:val="0"/>
        <w:bidi w:val="0"/>
        <w:spacing w:line="440" w:lineRule="exact"/>
        <w:ind w:firstLine="480" w:firstLineChars="200"/>
        <w:jc w:val="both"/>
        <w:textAlignment w:val="auto"/>
        <w:rPr>
          <w:rFonts w:hint="eastAsia" w:ascii="仿宋" w:hAnsi="仿宋" w:eastAsia="仿宋" w:cs="仿宋"/>
          <w:color w:val="auto"/>
          <w:szCs w:val="24"/>
          <w:highlight w:val="none"/>
        </w:rPr>
      </w:pP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szCs w:val="24"/>
          <w:highlight w:val="none"/>
          <w:lang w:val="en-US" w:eastAsia="zh-CN"/>
        </w:rPr>
        <w:t>商务技术</w:t>
      </w:r>
      <w:r>
        <w:rPr>
          <w:rFonts w:hint="eastAsia" w:ascii="仿宋" w:hAnsi="仿宋" w:eastAsia="仿宋" w:cs="仿宋"/>
          <w:color w:val="auto"/>
          <w:szCs w:val="24"/>
          <w:highlight w:val="none"/>
        </w:rPr>
        <w:t>文件。</w:t>
      </w:r>
    </w:p>
    <w:p w14:paraId="132158AA">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根据此函，签字代表宣布同意如下：</w:t>
      </w:r>
    </w:p>
    <w:p w14:paraId="7EA49C7E">
      <w:pPr>
        <w:keepNext w:val="0"/>
        <w:keepLines w:val="0"/>
        <w:pageBreakBefore w:val="0"/>
        <w:widowControl w:val="0"/>
        <w:numPr>
          <w:ilvl w:val="0"/>
          <w:numId w:val="0"/>
        </w:numPr>
        <w:kinsoku/>
        <w:wordWrap/>
        <w:overflowPunct/>
        <w:topLinePunct w:val="0"/>
        <w:bidi w:val="0"/>
        <w:spacing w:line="440" w:lineRule="exact"/>
        <w:ind w:firstLine="480" w:firstLineChars="200"/>
        <w:jc w:val="both"/>
        <w:textAlignment w:val="auto"/>
        <w:rPr>
          <w:rFonts w:hint="eastAsia" w:ascii="仿宋" w:hAnsi="仿宋" w:eastAsia="仿宋" w:cs="仿宋"/>
          <w:color w:val="auto"/>
          <w:szCs w:val="24"/>
          <w:highlight w:val="none"/>
        </w:rPr>
      </w:pP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color w:val="auto"/>
          <w:szCs w:val="24"/>
          <w:highlight w:val="none"/>
        </w:rPr>
        <w:t>所附投标价格表中规定的应提交和交付的服务和</w:t>
      </w:r>
      <w:r>
        <w:rPr>
          <w:rFonts w:hint="eastAsia" w:ascii="仿宋" w:hAnsi="仿宋" w:eastAsia="仿宋" w:cs="仿宋"/>
          <w:color w:val="auto"/>
          <w:szCs w:val="24"/>
          <w:highlight w:val="none"/>
          <w:lang w:val="en-US" w:eastAsia="zh-CN"/>
        </w:rPr>
        <w:t>相关</w:t>
      </w:r>
      <w:r>
        <w:rPr>
          <w:rFonts w:hint="eastAsia" w:ascii="仿宋" w:hAnsi="仿宋" w:eastAsia="仿宋" w:cs="仿宋"/>
          <w:color w:val="auto"/>
          <w:szCs w:val="24"/>
          <w:highlight w:val="none"/>
        </w:rPr>
        <w:t xml:space="preserve">货物（如有）的投标报价为 </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u w:val="single"/>
          <w:lang w:val="en-US" w:eastAsia="zh-CN"/>
        </w:rPr>
        <w:t>元</w:t>
      </w:r>
      <w:r>
        <w:rPr>
          <w:rFonts w:hint="eastAsia" w:ascii="仿宋" w:hAnsi="仿宋" w:eastAsia="仿宋" w:cs="仿宋"/>
          <w:color w:val="auto"/>
          <w:szCs w:val="24"/>
          <w:highlight w:val="none"/>
        </w:rPr>
        <w:t>。</w:t>
      </w:r>
    </w:p>
    <w:p w14:paraId="4BBA9AF4">
      <w:pPr>
        <w:keepNext w:val="0"/>
        <w:keepLines w:val="0"/>
        <w:pageBreakBefore w:val="0"/>
        <w:widowControl w:val="0"/>
        <w:numPr>
          <w:ilvl w:val="0"/>
          <w:numId w:val="0"/>
        </w:numPr>
        <w:kinsoku/>
        <w:wordWrap/>
        <w:overflowPunct/>
        <w:topLinePunct w:val="0"/>
        <w:bidi w:val="0"/>
        <w:spacing w:line="440" w:lineRule="exact"/>
        <w:ind w:firstLine="480" w:firstLineChars="200"/>
        <w:jc w:val="both"/>
        <w:textAlignment w:val="auto"/>
        <w:rPr>
          <w:rFonts w:hint="eastAsia" w:ascii="仿宋" w:hAnsi="仿宋" w:eastAsia="仿宋" w:cs="仿宋"/>
          <w:color w:val="auto"/>
          <w:szCs w:val="24"/>
          <w:highlight w:val="none"/>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color w:val="auto"/>
          <w:szCs w:val="24"/>
          <w:highlight w:val="none"/>
        </w:rPr>
        <w:t>我方将按招标文件的规定履行合同责任和义务。</w:t>
      </w:r>
    </w:p>
    <w:p w14:paraId="253AB39F">
      <w:pPr>
        <w:keepNext w:val="0"/>
        <w:keepLines w:val="0"/>
        <w:pageBreakBefore w:val="0"/>
        <w:widowControl w:val="0"/>
        <w:numPr>
          <w:ilvl w:val="0"/>
          <w:numId w:val="0"/>
        </w:numPr>
        <w:kinsoku/>
        <w:wordWrap/>
        <w:overflowPunct/>
        <w:topLinePunct w:val="0"/>
        <w:bidi w:val="0"/>
        <w:spacing w:line="440" w:lineRule="exact"/>
        <w:ind w:firstLine="480" w:firstLineChars="200"/>
        <w:jc w:val="both"/>
        <w:textAlignment w:val="auto"/>
        <w:rPr>
          <w:rFonts w:hint="eastAsia" w:ascii="仿宋" w:hAnsi="仿宋" w:eastAsia="仿宋" w:cs="仿宋"/>
          <w:i w:val="0"/>
          <w:iCs w:val="0"/>
          <w:color w:val="auto"/>
          <w:szCs w:val="24"/>
          <w:highlight w:val="none"/>
        </w:rPr>
      </w:pP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szCs w:val="24"/>
          <w:highlight w:val="none"/>
        </w:rPr>
        <w:t>我方已详细审查全部招标文件，包括</w:t>
      </w:r>
      <w:r>
        <w:rPr>
          <w:rFonts w:hint="eastAsia" w:ascii="仿宋" w:hAnsi="仿宋" w:eastAsia="仿宋" w:cs="仿宋"/>
          <w:i w:val="0"/>
          <w:iCs w:val="0"/>
          <w:color w:val="auto"/>
          <w:szCs w:val="24"/>
          <w:highlight w:val="none"/>
        </w:rPr>
        <w:t>第</w:t>
      </w:r>
      <w:r>
        <w:rPr>
          <w:rFonts w:hint="eastAsia" w:ascii="仿宋" w:hAnsi="仿宋" w:eastAsia="仿宋" w:cs="仿宋"/>
          <w:i w:val="0"/>
          <w:iCs w:val="0"/>
          <w:color w:val="auto"/>
          <w:szCs w:val="24"/>
          <w:highlight w:val="none"/>
          <w:u w:val="single"/>
        </w:rPr>
        <w:t>（编号、补遗书）（如果有的话）</w:t>
      </w:r>
      <w:r>
        <w:rPr>
          <w:rFonts w:hint="eastAsia" w:ascii="仿宋" w:hAnsi="仿宋" w:eastAsia="仿宋" w:cs="仿宋"/>
          <w:i w:val="0"/>
          <w:iCs w:val="0"/>
          <w:color w:val="auto"/>
          <w:szCs w:val="24"/>
          <w:highlight w:val="none"/>
        </w:rPr>
        <w:t>。我方完全理解并同意放弃对这方面有不明及误解的权力。</w:t>
      </w:r>
    </w:p>
    <w:p w14:paraId="00528D04">
      <w:pPr>
        <w:keepNext w:val="0"/>
        <w:keepLines w:val="0"/>
        <w:pageBreakBefore w:val="0"/>
        <w:widowControl w:val="0"/>
        <w:numPr>
          <w:ilvl w:val="0"/>
          <w:numId w:val="0"/>
        </w:numPr>
        <w:kinsoku/>
        <w:wordWrap/>
        <w:overflowPunct/>
        <w:topLinePunct w:val="0"/>
        <w:bidi w:val="0"/>
        <w:spacing w:line="440" w:lineRule="exact"/>
        <w:ind w:firstLine="480" w:firstLineChars="200"/>
        <w:jc w:val="both"/>
        <w:textAlignment w:val="auto"/>
        <w:rPr>
          <w:rFonts w:hint="eastAsia" w:ascii="仿宋" w:hAnsi="仿宋" w:eastAsia="仿宋" w:cs="仿宋"/>
          <w:i w:val="0"/>
          <w:iCs w:val="0"/>
          <w:color w:val="auto"/>
          <w:szCs w:val="24"/>
          <w:highlight w:val="none"/>
        </w:rPr>
      </w:pPr>
      <w:r>
        <w:rPr>
          <w:rFonts w:hint="eastAsia" w:ascii="仿宋" w:hAnsi="仿宋" w:eastAsia="仿宋" w:cs="仿宋"/>
          <w:i w:val="0"/>
          <w:iCs w:val="0"/>
          <w:color w:val="auto"/>
          <w:kern w:val="2"/>
          <w:sz w:val="24"/>
          <w:szCs w:val="24"/>
          <w:highlight w:val="none"/>
          <w:lang w:val="en-US" w:eastAsia="zh-CN" w:bidi="ar-SA"/>
        </w:rPr>
        <w:t>4.</w:t>
      </w:r>
      <w:r>
        <w:rPr>
          <w:rFonts w:hint="eastAsia" w:ascii="仿宋" w:hAnsi="仿宋" w:eastAsia="仿宋" w:cs="仿宋"/>
          <w:i w:val="0"/>
          <w:iCs w:val="0"/>
          <w:color w:val="auto"/>
          <w:szCs w:val="24"/>
          <w:highlight w:val="none"/>
        </w:rPr>
        <w:t>投标有效期为自提交投标文件的截止之日起</w:t>
      </w:r>
      <w:r>
        <w:rPr>
          <w:rFonts w:hint="eastAsia" w:ascii="仿宋" w:hAnsi="仿宋" w:eastAsia="仿宋" w:cs="仿宋"/>
          <w:i w:val="0"/>
          <w:iCs w:val="0"/>
          <w:color w:val="auto"/>
          <w:szCs w:val="24"/>
          <w:highlight w:val="none"/>
          <w:u w:val="single"/>
        </w:rPr>
        <w:t>（</w:t>
      </w:r>
      <w:r>
        <w:rPr>
          <w:rFonts w:hint="eastAsia" w:ascii="仿宋" w:hAnsi="仿宋" w:eastAsia="仿宋" w:cs="仿宋"/>
          <w:i w:val="0"/>
          <w:iCs w:val="0"/>
          <w:color w:val="auto"/>
          <w:szCs w:val="24"/>
          <w:highlight w:val="none"/>
          <w:u w:val="single"/>
          <w:lang w:val="en-US" w:eastAsia="zh-CN"/>
        </w:rPr>
        <w:t>90</w:t>
      </w:r>
      <w:r>
        <w:rPr>
          <w:rFonts w:hint="eastAsia" w:ascii="仿宋" w:hAnsi="仿宋" w:eastAsia="仿宋" w:cs="仿宋"/>
          <w:i w:val="0"/>
          <w:iCs w:val="0"/>
          <w:color w:val="auto"/>
          <w:szCs w:val="24"/>
          <w:highlight w:val="none"/>
          <w:u w:val="single"/>
        </w:rPr>
        <w:t>）</w:t>
      </w:r>
      <w:r>
        <w:rPr>
          <w:rFonts w:hint="eastAsia" w:ascii="仿宋" w:hAnsi="仿宋" w:eastAsia="仿宋" w:cs="仿宋"/>
          <w:i w:val="0"/>
          <w:iCs w:val="0"/>
          <w:color w:val="auto"/>
          <w:szCs w:val="24"/>
          <w:highlight w:val="none"/>
        </w:rPr>
        <w:t>日历</w:t>
      </w:r>
      <w:r>
        <w:rPr>
          <w:rFonts w:hint="eastAsia" w:ascii="仿宋" w:hAnsi="仿宋" w:eastAsia="仿宋" w:cs="仿宋"/>
          <w:i w:val="0"/>
          <w:iCs w:val="0"/>
          <w:color w:val="auto"/>
          <w:szCs w:val="24"/>
          <w:highlight w:val="none"/>
          <w:lang w:val="en-US" w:eastAsia="zh-CN"/>
        </w:rPr>
        <w:t>日</w:t>
      </w:r>
      <w:r>
        <w:rPr>
          <w:rFonts w:hint="eastAsia" w:ascii="仿宋" w:hAnsi="仿宋" w:eastAsia="仿宋" w:cs="仿宋"/>
          <w:i w:val="0"/>
          <w:iCs w:val="0"/>
          <w:color w:val="auto"/>
          <w:szCs w:val="24"/>
          <w:highlight w:val="none"/>
        </w:rPr>
        <w:t>。</w:t>
      </w:r>
    </w:p>
    <w:p w14:paraId="4340FDA6">
      <w:pPr>
        <w:keepNext w:val="0"/>
        <w:keepLines w:val="0"/>
        <w:pageBreakBefore w:val="0"/>
        <w:widowControl w:val="0"/>
        <w:numPr>
          <w:ilvl w:val="0"/>
          <w:numId w:val="0"/>
        </w:numPr>
        <w:kinsoku/>
        <w:wordWrap/>
        <w:overflowPunct/>
        <w:topLinePunct w:val="0"/>
        <w:bidi w:val="0"/>
        <w:spacing w:line="440" w:lineRule="exact"/>
        <w:ind w:firstLine="480" w:firstLineChars="200"/>
        <w:jc w:val="both"/>
        <w:textAlignment w:val="auto"/>
        <w:rPr>
          <w:rFonts w:hint="eastAsia" w:ascii="仿宋" w:hAnsi="仿宋" w:eastAsia="仿宋" w:cs="仿宋"/>
          <w:i w:val="0"/>
          <w:iCs w:val="0"/>
          <w:color w:val="auto"/>
          <w:szCs w:val="24"/>
          <w:highlight w:val="none"/>
        </w:rPr>
      </w:pPr>
      <w:r>
        <w:rPr>
          <w:rFonts w:hint="eastAsia" w:ascii="仿宋" w:hAnsi="仿宋" w:eastAsia="仿宋" w:cs="仿宋"/>
          <w:i w:val="0"/>
          <w:iCs w:val="0"/>
          <w:color w:val="auto"/>
          <w:kern w:val="2"/>
          <w:sz w:val="24"/>
          <w:szCs w:val="24"/>
          <w:highlight w:val="none"/>
          <w:lang w:val="en-US" w:eastAsia="zh-CN" w:bidi="ar-SA"/>
        </w:rPr>
        <w:t>5.</w:t>
      </w:r>
      <w:r>
        <w:rPr>
          <w:rFonts w:hint="eastAsia" w:ascii="仿宋" w:hAnsi="仿宋" w:eastAsia="仿宋" w:cs="仿宋"/>
          <w:i w:val="0"/>
          <w:iCs w:val="0"/>
          <w:color w:val="auto"/>
          <w:szCs w:val="24"/>
          <w:highlight w:val="none"/>
        </w:rPr>
        <w:t>我方同意提供按照贵方</w:t>
      </w:r>
      <w:r>
        <w:rPr>
          <w:rFonts w:hint="eastAsia" w:ascii="仿宋" w:hAnsi="仿宋" w:eastAsia="仿宋" w:cs="仿宋"/>
          <w:i w:val="0"/>
          <w:iCs w:val="0"/>
          <w:color w:val="auto"/>
          <w:szCs w:val="24"/>
          <w:highlight w:val="none"/>
          <w:lang w:val="en-US" w:eastAsia="zh-CN"/>
        </w:rPr>
        <w:t>招标</w:t>
      </w:r>
      <w:r>
        <w:rPr>
          <w:rFonts w:hint="eastAsia" w:ascii="仿宋" w:hAnsi="仿宋" w:eastAsia="仿宋" w:cs="仿宋"/>
          <w:i w:val="0"/>
          <w:iCs w:val="0"/>
          <w:color w:val="auto"/>
          <w:szCs w:val="24"/>
          <w:highlight w:val="none"/>
        </w:rPr>
        <w:t>文件要求的与投标有关的一切数据或资料，采用综合评分法时，我方完全理解贵方不一定接受最低价的投标。</w:t>
      </w:r>
    </w:p>
    <w:p w14:paraId="1F37BC48">
      <w:pPr>
        <w:keepNext w:val="0"/>
        <w:keepLines w:val="0"/>
        <w:pageBreakBefore w:val="0"/>
        <w:widowControl w:val="0"/>
        <w:numPr>
          <w:ilvl w:val="0"/>
          <w:numId w:val="0"/>
        </w:numPr>
        <w:kinsoku/>
        <w:wordWrap/>
        <w:overflowPunct/>
        <w:topLinePunct w:val="0"/>
        <w:bidi w:val="0"/>
        <w:spacing w:line="440" w:lineRule="exact"/>
        <w:ind w:firstLine="480" w:firstLineChars="200"/>
        <w:jc w:val="both"/>
        <w:textAlignment w:val="auto"/>
        <w:rPr>
          <w:rFonts w:hint="eastAsia" w:ascii="仿宋" w:hAnsi="仿宋" w:eastAsia="仿宋" w:cs="仿宋"/>
          <w:i w:val="0"/>
          <w:iCs w:val="0"/>
          <w:color w:val="auto"/>
          <w:szCs w:val="24"/>
          <w:highlight w:val="none"/>
        </w:rPr>
      </w:pPr>
      <w:r>
        <w:rPr>
          <w:rFonts w:hint="eastAsia" w:ascii="仿宋" w:hAnsi="仿宋" w:eastAsia="仿宋" w:cs="仿宋"/>
          <w:i w:val="0"/>
          <w:iCs w:val="0"/>
          <w:color w:val="auto"/>
          <w:kern w:val="2"/>
          <w:sz w:val="24"/>
          <w:szCs w:val="24"/>
          <w:highlight w:val="none"/>
          <w:lang w:val="en-US" w:eastAsia="zh-CN" w:bidi="ar-SA"/>
        </w:rPr>
        <w:t>6.</w:t>
      </w:r>
      <w:r>
        <w:rPr>
          <w:rFonts w:hint="eastAsia" w:ascii="仿宋" w:hAnsi="仿宋" w:eastAsia="仿宋" w:cs="仿宋"/>
          <w:i w:val="0"/>
          <w:iCs w:val="0"/>
          <w:color w:val="auto"/>
          <w:szCs w:val="24"/>
          <w:highlight w:val="none"/>
        </w:rPr>
        <w:t>本项目如由中标人支付采购代理服务费，我方同意按投标人须知前附表中规定向采购代理机构支付采购代理服务费。</w:t>
      </w:r>
    </w:p>
    <w:p w14:paraId="2F2D3807">
      <w:pPr>
        <w:keepNext w:val="0"/>
        <w:keepLines w:val="0"/>
        <w:pageBreakBefore w:val="0"/>
        <w:widowControl w:val="0"/>
        <w:numPr>
          <w:ilvl w:val="0"/>
          <w:numId w:val="0"/>
        </w:numPr>
        <w:kinsoku/>
        <w:wordWrap/>
        <w:overflowPunct/>
        <w:topLinePunct w:val="0"/>
        <w:bidi w:val="0"/>
        <w:snapToGrid w:val="0"/>
        <w:spacing w:line="440" w:lineRule="exact"/>
        <w:ind w:firstLine="480" w:firstLineChars="200"/>
        <w:jc w:val="both"/>
        <w:textAlignment w:val="auto"/>
        <w:rPr>
          <w:rFonts w:hint="eastAsia" w:ascii="仿宋" w:hAnsi="仿宋" w:eastAsia="仿宋" w:cs="仿宋"/>
          <w:i w:val="0"/>
          <w:iCs w:val="0"/>
          <w:color w:val="auto"/>
          <w:szCs w:val="24"/>
          <w:highlight w:val="none"/>
        </w:rPr>
      </w:pPr>
      <w:r>
        <w:rPr>
          <w:rFonts w:hint="eastAsia" w:ascii="仿宋" w:hAnsi="仿宋" w:eastAsia="仿宋" w:cs="仿宋"/>
          <w:i w:val="0"/>
          <w:iCs w:val="0"/>
          <w:color w:val="auto"/>
          <w:kern w:val="2"/>
          <w:sz w:val="24"/>
          <w:szCs w:val="24"/>
          <w:highlight w:val="none"/>
          <w:lang w:val="en-US" w:eastAsia="zh-CN" w:bidi="ar-SA"/>
        </w:rPr>
        <w:t>7.</w:t>
      </w:r>
      <w:r>
        <w:rPr>
          <w:rFonts w:hint="eastAsia" w:ascii="仿宋" w:hAnsi="仿宋" w:eastAsia="仿宋" w:cs="仿宋"/>
          <w:i w:val="0"/>
          <w:iCs w:val="0"/>
          <w:color w:val="auto"/>
          <w:szCs w:val="24"/>
          <w:highlight w:val="none"/>
        </w:rPr>
        <w:t>重要声明：</w:t>
      </w:r>
    </w:p>
    <w:p w14:paraId="72293236">
      <w:pPr>
        <w:keepNext w:val="0"/>
        <w:keepLines w:val="0"/>
        <w:pageBreakBefore w:val="0"/>
        <w:widowControl w:val="0"/>
        <w:kinsoku/>
        <w:wordWrap/>
        <w:overflowPunct/>
        <w:topLinePunct w:val="0"/>
        <w:bidi w:val="0"/>
        <w:snapToGrid w:val="0"/>
        <w:spacing w:line="440" w:lineRule="exact"/>
        <w:ind w:firstLine="480" w:firstLineChars="200"/>
        <w:textAlignment w:val="auto"/>
        <w:rPr>
          <w:rFonts w:hint="eastAsia" w:ascii="仿宋" w:hAnsi="仿宋" w:eastAsia="仿宋" w:cs="仿宋"/>
          <w:i w:val="0"/>
          <w:iCs w:val="0"/>
          <w:color w:val="auto"/>
          <w:szCs w:val="24"/>
          <w:highlight w:val="none"/>
        </w:rPr>
      </w:pPr>
      <w:r>
        <w:rPr>
          <w:rFonts w:hint="eastAsia" w:ascii="仿宋" w:hAnsi="仿宋" w:eastAsia="仿宋" w:cs="仿宋"/>
          <w:i w:val="0"/>
          <w:iCs w:val="0"/>
          <w:color w:val="auto"/>
          <w:szCs w:val="24"/>
          <w:highlight w:val="none"/>
        </w:rPr>
        <w:t>1）与我方单位负责人为同一人的其他单位名称：</w:t>
      </w:r>
    </w:p>
    <w:p w14:paraId="706C7121">
      <w:pPr>
        <w:keepNext w:val="0"/>
        <w:keepLines w:val="0"/>
        <w:pageBreakBefore w:val="0"/>
        <w:widowControl w:val="0"/>
        <w:kinsoku/>
        <w:wordWrap/>
        <w:overflowPunct/>
        <w:topLinePunct w:val="0"/>
        <w:bidi w:val="0"/>
        <w:snapToGrid w:val="0"/>
        <w:spacing w:line="440" w:lineRule="exact"/>
        <w:ind w:left="456" w:leftChars="190" w:firstLine="355" w:firstLineChars="148"/>
        <w:textAlignment w:val="auto"/>
        <w:rPr>
          <w:rFonts w:hint="eastAsia" w:ascii="仿宋" w:hAnsi="仿宋" w:eastAsia="仿宋" w:cs="仿宋"/>
          <w:i w:val="0"/>
          <w:iCs w:val="0"/>
          <w:color w:val="auto"/>
          <w:szCs w:val="24"/>
          <w:highlight w:val="none"/>
        </w:rPr>
      </w:pPr>
      <w:r>
        <w:rPr>
          <w:rFonts w:hint="eastAsia" w:ascii="仿宋" w:hAnsi="仿宋" w:eastAsia="仿宋" w:cs="仿宋"/>
          <w:i w:val="0"/>
          <w:iCs w:val="0"/>
          <w:color w:val="auto"/>
          <w:szCs w:val="24"/>
          <w:highlight w:val="none"/>
          <w:lang w:eastAsia="zh-CN"/>
        </w:rPr>
        <w:t>□</w:t>
      </w:r>
      <w:r>
        <w:rPr>
          <w:rFonts w:hint="eastAsia" w:ascii="仿宋" w:hAnsi="仿宋" w:eastAsia="仿宋" w:cs="仿宋"/>
          <w:i w:val="0"/>
          <w:iCs w:val="0"/>
          <w:color w:val="auto"/>
          <w:szCs w:val="24"/>
          <w:highlight w:val="none"/>
        </w:rPr>
        <w:t>无；</w:t>
      </w:r>
      <w:r>
        <w:rPr>
          <w:rFonts w:hint="eastAsia" w:ascii="仿宋" w:hAnsi="仿宋" w:eastAsia="仿宋" w:cs="仿宋"/>
          <w:i w:val="0"/>
          <w:iCs w:val="0"/>
          <w:color w:val="auto"/>
          <w:szCs w:val="24"/>
          <w:highlight w:val="none"/>
          <w:lang w:eastAsia="zh-CN"/>
        </w:rPr>
        <w:t>□</w:t>
      </w:r>
      <w:r>
        <w:rPr>
          <w:rFonts w:hint="eastAsia" w:ascii="仿宋" w:hAnsi="仿宋" w:eastAsia="仿宋" w:cs="仿宋"/>
          <w:i w:val="0"/>
          <w:iCs w:val="0"/>
          <w:color w:val="auto"/>
          <w:szCs w:val="24"/>
          <w:highlight w:val="none"/>
        </w:rPr>
        <w:t>有，具体单位名称为：</w:t>
      </w:r>
      <w:r>
        <w:rPr>
          <w:rFonts w:hint="eastAsia" w:ascii="仿宋" w:hAnsi="仿宋" w:eastAsia="仿宋" w:cs="仿宋"/>
          <w:i w:val="0"/>
          <w:iCs w:val="0"/>
          <w:color w:val="auto"/>
          <w:szCs w:val="24"/>
          <w:highlight w:val="none"/>
          <w:u w:val="single"/>
        </w:rPr>
        <w:t>（由投标人如实填写）</w:t>
      </w:r>
      <w:r>
        <w:rPr>
          <w:rFonts w:hint="eastAsia" w:ascii="仿宋" w:hAnsi="仿宋" w:eastAsia="仿宋" w:cs="仿宋"/>
          <w:i w:val="0"/>
          <w:iCs w:val="0"/>
          <w:color w:val="auto"/>
          <w:szCs w:val="24"/>
          <w:highlight w:val="none"/>
        </w:rPr>
        <w:t>。</w:t>
      </w:r>
    </w:p>
    <w:p w14:paraId="11BEC6E7">
      <w:pPr>
        <w:keepNext w:val="0"/>
        <w:keepLines w:val="0"/>
        <w:pageBreakBefore w:val="0"/>
        <w:widowControl w:val="0"/>
        <w:kinsoku/>
        <w:wordWrap/>
        <w:overflowPunct/>
        <w:topLinePunct w:val="0"/>
        <w:bidi w:val="0"/>
        <w:snapToGrid w:val="0"/>
        <w:spacing w:line="440" w:lineRule="exact"/>
        <w:ind w:firstLine="480" w:firstLineChars="200"/>
        <w:textAlignment w:val="auto"/>
        <w:rPr>
          <w:rFonts w:hint="eastAsia" w:ascii="仿宋" w:hAnsi="仿宋" w:eastAsia="仿宋" w:cs="仿宋"/>
          <w:i w:val="0"/>
          <w:iCs w:val="0"/>
          <w:color w:val="auto"/>
          <w:szCs w:val="24"/>
          <w:highlight w:val="none"/>
        </w:rPr>
      </w:pPr>
      <w:r>
        <w:rPr>
          <w:rFonts w:hint="eastAsia" w:ascii="仿宋" w:hAnsi="仿宋" w:eastAsia="仿宋" w:cs="仿宋"/>
          <w:i w:val="0"/>
          <w:iCs w:val="0"/>
          <w:color w:val="auto"/>
          <w:szCs w:val="24"/>
          <w:highlight w:val="none"/>
        </w:rPr>
        <w:t>2）与我方存在控股、管理关系的其他单位的名称：</w:t>
      </w:r>
    </w:p>
    <w:p w14:paraId="0433437A">
      <w:pPr>
        <w:keepNext w:val="0"/>
        <w:keepLines w:val="0"/>
        <w:pageBreakBefore w:val="0"/>
        <w:widowControl w:val="0"/>
        <w:kinsoku/>
        <w:wordWrap/>
        <w:overflowPunct/>
        <w:topLinePunct w:val="0"/>
        <w:bidi w:val="0"/>
        <w:snapToGrid w:val="0"/>
        <w:spacing w:line="440" w:lineRule="exact"/>
        <w:ind w:left="456" w:leftChars="190" w:firstLine="355" w:firstLineChars="148"/>
        <w:textAlignment w:val="auto"/>
        <w:rPr>
          <w:rFonts w:hint="eastAsia" w:ascii="仿宋" w:hAnsi="仿宋" w:eastAsia="仿宋" w:cs="仿宋"/>
          <w:i w:val="0"/>
          <w:iCs w:val="0"/>
          <w:color w:val="auto"/>
          <w:szCs w:val="24"/>
          <w:highlight w:val="none"/>
        </w:rPr>
      </w:pPr>
      <w:r>
        <w:rPr>
          <w:rFonts w:hint="eastAsia" w:ascii="仿宋" w:hAnsi="仿宋" w:eastAsia="仿宋" w:cs="仿宋"/>
          <w:i w:val="0"/>
          <w:iCs w:val="0"/>
          <w:color w:val="auto"/>
          <w:szCs w:val="24"/>
          <w:highlight w:val="none"/>
          <w:lang w:eastAsia="zh-CN"/>
        </w:rPr>
        <w:t>□</w:t>
      </w:r>
      <w:r>
        <w:rPr>
          <w:rFonts w:hint="eastAsia" w:ascii="仿宋" w:hAnsi="仿宋" w:eastAsia="仿宋" w:cs="仿宋"/>
          <w:i w:val="0"/>
          <w:iCs w:val="0"/>
          <w:color w:val="auto"/>
          <w:szCs w:val="24"/>
          <w:highlight w:val="none"/>
        </w:rPr>
        <w:t>无；□有，具体单位名称为：</w:t>
      </w:r>
      <w:r>
        <w:rPr>
          <w:rFonts w:hint="eastAsia" w:ascii="仿宋" w:hAnsi="仿宋" w:eastAsia="仿宋" w:cs="仿宋"/>
          <w:i w:val="0"/>
          <w:iCs w:val="0"/>
          <w:color w:val="auto"/>
          <w:szCs w:val="24"/>
          <w:highlight w:val="none"/>
          <w:u w:val="single"/>
        </w:rPr>
        <w:t>（由投标人如实填写）</w:t>
      </w:r>
      <w:r>
        <w:rPr>
          <w:rFonts w:hint="eastAsia" w:ascii="仿宋" w:hAnsi="仿宋" w:eastAsia="仿宋" w:cs="仿宋"/>
          <w:i w:val="0"/>
          <w:iCs w:val="0"/>
          <w:color w:val="auto"/>
          <w:szCs w:val="24"/>
          <w:highlight w:val="none"/>
        </w:rPr>
        <w:t>。</w:t>
      </w:r>
    </w:p>
    <w:p w14:paraId="3CECB9B3">
      <w:pPr>
        <w:keepNext w:val="0"/>
        <w:keepLines w:val="0"/>
        <w:pageBreakBefore w:val="0"/>
        <w:widowControl w:val="0"/>
        <w:kinsoku/>
        <w:wordWrap/>
        <w:overflowPunct/>
        <w:topLinePunct w:val="0"/>
        <w:bidi w:val="0"/>
        <w:snapToGrid w:val="0"/>
        <w:spacing w:line="440" w:lineRule="exact"/>
        <w:ind w:firstLine="480" w:firstLineChars="200"/>
        <w:textAlignment w:val="auto"/>
        <w:rPr>
          <w:rFonts w:hint="eastAsia" w:ascii="仿宋" w:hAnsi="仿宋" w:eastAsia="仿宋" w:cs="仿宋"/>
          <w:i w:val="0"/>
          <w:iCs w:val="0"/>
          <w:color w:val="auto"/>
          <w:szCs w:val="24"/>
          <w:highlight w:val="none"/>
        </w:rPr>
      </w:pPr>
      <w:r>
        <w:rPr>
          <w:rFonts w:hint="eastAsia" w:ascii="仿宋" w:hAnsi="仿宋" w:eastAsia="仿宋" w:cs="仿宋"/>
          <w:i w:val="0"/>
          <w:iCs w:val="0"/>
          <w:color w:val="auto"/>
          <w:szCs w:val="24"/>
          <w:highlight w:val="none"/>
        </w:rPr>
        <w:t>3）参与本项目采购活动前，是否为本项目前期准备提供过整体设计、规范编制或者项目管理、监理、检测等服务：</w:t>
      </w:r>
    </w:p>
    <w:p w14:paraId="6A862F58">
      <w:pPr>
        <w:keepNext w:val="0"/>
        <w:keepLines w:val="0"/>
        <w:pageBreakBefore w:val="0"/>
        <w:widowControl w:val="0"/>
        <w:kinsoku/>
        <w:wordWrap/>
        <w:overflowPunct/>
        <w:topLinePunct w:val="0"/>
        <w:bidi w:val="0"/>
        <w:snapToGrid w:val="0"/>
        <w:spacing w:line="440" w:lineRule="exact"/>
        <w:ind w:left="456" w:leftChars="190" w:firstLine="355" w:firstLineChars="148"/>
        <w:textAlignment w:val="auto"/>
        <w:rPr>
          <w:rFonts w:hint="eastAsia" w:ascii="仿宋" w:hAnsi="仿宋" w:eastAsia="仿宋" w:cs="仿宋"/>
          <w:i w:val="0"/>
          <w:iCs w:val="0"/>
          <w:color w:val="auto"/>
          <w:szCs w:val="24"/>
          <w:highlight w:val="none"/>
        </w:rPr>
      </w:pPr>
      <w:r>
        <w:rPr>
          <w:rFonts w:hint="eastAsia" w:ascii="仿宋" w:hAnsi="仿宋" w:eastAsia="仿宋" w:cs="仿宋"/>
          <w:i w:val="0"/>
          <w:iCs w:val="0"/>
          <w:color w:val="auto"/>
          <w:szCs w:val="24"/>
          <w:highlight w:val="none"/>
          <w:lang w:eastAsia="zh-CN"/>
        </w:rPr>
        <w:t>□</w:t>
      </w:r>
      <w:r>
        <w:rPr>
          <w:rFonts w:hint="eastAsia" w:ascii="仿宋" w:hAnsi="仿宋" w:eastAsia="仿宋" w:cs="仿宋"/>
          <w:i w:val="0"/>
          <w:iCs w:val="0"/>
          <w:color w:val="auto"/>
          <w:szCs w:val="24"/>
          <w:highlight w:val="none"/>
        </w:rPr>
        <w:t>无；□有，已提供的具体服务内容为：</w:t>
      </w:r>
      <w:r>
        <w:rPr>
          <w:rFonts w:hint="eastAsia" w:ascii="仿宋" w:hAnsi="仿宋" w:eastAsia="仿宋" w:cs="仿宋"/>
          <w:i w:val="0"/>
          <w:iCs w:val="0"/>
          <w:color w:val="auto"/>
          <w:szCs w:val="24"/>
          <w:highlight w:val="none"/>
          <w:u w:val="single"/>
        </w:rPr>
        <w:t>（由投标人如实填写）</w:t>
      </w:r>
      <w:r>
        <w:rPr>
          <w:rFonts w:hint="eastAsia" w:ascii="仿宋" w:hAnsi="仿宋" w:eastAsia="仿宋" w:cs="仿宋"/>
          <w:i w:val="0"/>
          <w:iCs w:val="0"/>
          <w:color w:val="auto"/>
          <w:szCs w:val="24"/>
          <w:highlight w:val="none"/>
        </w:rPr>
        <w:t>。</w:t>
      </w:r>
    </w:p>
    <w:p w14:paraId="3F7E794A">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（备注：</w:t>
      </w:r>
      <w:r>
        <w:rPr>
          <w:rFonts w:hint="eastAsia" w:ascii="仿宋" w:hAnsi="仿宋" w:eastAsia="仿宋" w:cs="仿宋"/>
          <w:b/>
          <w:bCs/>
          <w:color w:val="auto"/>
          <w:szCs w:val="24"/>
          <w:highlight w:val="none"/>
        </w:rPr>
        <w:t>以上3项声明，必须如实选择</w:t>
      </w:r>
      <w:r>
        <w:rPr>
          <w:rFonts w:hint="eastAsia" w:ascii="仿宋" w:hAnsi="仿宋" w:eastAsia="仿宋" w:cs="仿宋"/>
          <w:color w:val="auto"/>
          <w:szCs w:val="24"/>
          <w:highlight w:val="none"/>
        </w:rPr>
        <w:t>，选中项用</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表示，未选中项用□表示。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3BEEDA1E">
      <w:pPr>
        <w:keepNext w:val="0"/>
        <w:keepLines w:val="0"/>
        <w:pageBreakBefore w:val="0"/>
        <w:widowControl w:val="0"/>
        <w:kinsoku/>
        <w:wordWrap/>
        <w:overflowPunct/>
        <w:topLinePunct w:val="0"/>
        <w:bidi w:val="0"/>
        <w:snapToGrid w:val="0"/>
        <w:spacing w:line="4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4）我方在本投标文件中所提供的全部资料均真实有效，我方承诺对其真实性负责并承担相应后果。</w:t>
      </w:r>
    </w:p>
    <w:p w14:paraId="1DC8D1EB">
      <w:pPr>
        <w:keepNext w:val="0"/>
        <w:keepLines w:val="0"/>
        <w:pageBreakBefore w:val="0"/>
        <w:widowControl w:val="0"/>
        <w:kinsoku/>
        <w:wordWrap/>
        <w:overflowPunct/>
        <w:topLinePunct w:val="0"/>
        <w:bidi w:val="0"/>
        <w:snapToGrid w:val="0"/>
        <w:spacing w:line="4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5）</w:t>
      </w:r>
      <w:bookmarkStart w:id="759" w:name="_Hlk161604053"/>
      <w:r>
        <w:rPr>
          <w:rFonts w:hint="eastAsia" w:ascii="仿宋" w:hAnsi="仿宋" w:eastAsia="仿宋" w:cs="仿宋"/>
          <w:color w:val="auto"/>
          <w:szCs w:val="24"/>
          <w:highlight w:val="none"/>
        </w:rPr>
        <w:t>我方承诺本《投标函》的签章对本投标文件全部内容具有约束力并承担法律责任。</w:t>
      </w:r>
      <w:bookmarkEnd w:id="759"/>
    </w:p>
    <w:p w14:paraId="3E8A37D3">
      <w:pPr>
        <w:keepNext w:val="0"/>
        <w:keepLines w:val="0"/>
        <w:pageBreakBefore w:val="0"/>
        <w:widowControl w:val="0"/>
        <w:kinsoku/>
        <w:wordWrap/>
        <w:overflowPunct/>
        <w:topLinePunct w:val="0"/>
        <w:bidi w:val="0"/>
        <w:spacing w:line="440" w:lineRule="exact"/>
        <w:textAlignment w:val="auto"/>
        <w:rPr>
          <w:rFonts w:hint="eastAsia" w:ascii="仿宋" w:hAnsi="仿宋" w:eastAsia="仿宋" w:cs="仿宋"/>
          <w:color w:val="auto"/>
          <w:szCs w:val="24"/>
          <w:highlight w:val="none"/>
        </w:rPr>
      </w:pPr>
    </w:p>
    <w:p w14:paraId="3A7C0454">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投    标    人</w:t>
      </w:r>
      <w:r>
        <w:rPr>
          <w:rFonts w:hint="eastAsia" w:ascii="仿宋" w:hAnsi="仿宋" w:eastAsia="仿宋" w:cs="仿宋"/>
          <w:color w:val="auto"/>
          <w:szCs w:val="24"/>
          <w:highlight w:val="none"/>
          <w:lang w:eastAsia="zh-CN"/>
        </w:rPr>
        <w:t>（</w:t>
      </w:r>
      <w:r>
        <w:rPr>
          <w:rFonts w:hint="eastAsia" w:ascii="仿宋" w:hAnsi="仿宋" w:eastAsia="仿宋" w:cs="仿宋"/>
          <w:color w:val="auto"/>
          <w:kern w:val="0"/>
          <w:sz w:val="24"/>
          <w:szCs w:val="24"/>
          <w:highlight w:val="none"/>
          <w:lang w:val="en-US" w:eastAsia="zh-CN"/>
        </w:rPr>
        <w:t>公</w:t>
      </w:r>
      <w:r>
        <w:rPr>
          <w:rFonts w:hint="eastAsia" w:ascii="仿宋" w:hAnsi="仿宋" w:eastAsia="仿宋" w:cs="仿宋"/>
          <w:color w:val="auto"/>
          <w:kern w:val="0"/>
          <w:sz w:val="24"/>
          <w:szCs w:val="24"/>
          <w:highlight w:val="none"/>
          <w:lang w:eastAsia="zh-CN"/>
        </w:rPr>
        <w:t>章</w:t>
      </w:r>
      <w:r>
        <w:rPr>
          <w:rFonts w:hint="eastAsia" w:ascii="仿宋" w:hAnsi="仿宋" w:eastAsia="仿宋" w:cs="仿宋"/>
          <w:color w:val="auto"/>
          <w:kern w:val="0"/>
          <w:sz w:val="24"/>
          <w:highlight w:val="none"/>
          <w:lang w:val="zh-CN"/>
        </w:rPr>
        <w:t>)：</w:t>
      </w:r>
    </w:p>
    <w:p w14:paraId="0348A0A0">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通  讯  地  址：</w:t>
      </w:r>
    </w:p>
    <w:p w14:paraId="72C46B48">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传          真：</w:t>
      </w:r>
    </w:p>
    <w:p w14:paraId="63FD99A4">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电          话：</w:t>
      </w:r>
    </w:p>
    <w:p w14:paraId="483D16F8">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授  权  代  表：</w:t>
      </w:r>
    </w:p>
    <w:p w14:paraId="7707DB7D">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highlight w:val="none"/>
        </w:rPr>
        <w:t>日          期：</w:t>
      </w:r>
    </w:p>
    <w:p w14:paraId="1885B9D8">
      <w:pPr>
        <w:rPr>
          <w:rFonts w:hint="eastAsia" w:ascii="仿宋" w:hAnsi="仿宋" w:eastAsia="仿宋" w:cs="仿宋"/>
          <w:color w:val="auto"/>
          <w:szCs w:val="24"/>
          <w:highlight w:val="none"/>
          <w:u w:val="single"/>
        </w:rPr>
      </w:pPr>
    </w:p>
    <w:p w14:paraId="1BA2C8EB">
      <w:pPr>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u w:val="single"/>
        </w:rPr>
        <w:br w:type="page"/>
      </w:r>
    </w:p>
    <w:p w14:paraId="629AEDE3">
      <w:pPr>
        <w:pStyle w:val="3"/>
        <w:keepNext/>
        <w:keepLines/>
        <w:pageBreakBefore w:val="0"/>
        <w:widowControl w:val="0"/>
        <w:numPr>
          <w:ilvl w:val="0"/>
          <w:numId w:val="0"/>
        </w:numPr>
        <w:kinsoku/>
        <w:wordWrap/>
        <w:overflowPunct/>
        <w:topLinePunct w:val="0"/>
        <w:autoSpaceDE/>
        <w:autoSpaceDN/>
        <w:bidi w:val="0"/>
        <w:adjustRightInd/>
        <w:snapToGrid/>
        <w:spacing w:before="100" w:after="100" w:line="440" w:lineRule="exact"/>
        <w:ind w:left="420" w:leftChars="0" w:hanging="420" w:firstLineChars="0"/>
        <w:jc w:val="center"/>
        <w:textAlignment w:val="auto"/>
        <w:rPr>
          <w:rFonts w:hint="eastAsia" w:ascii="仿宋" w:hAnsi="仿宋" w:eastAsia="仿宋" w:cs="仿宋"/>
          <w:b/>
          <w:bCs/>
          <w:color w:val="auto"/>
          <w:kern w:val="2"/>
          <w:sz w:val="32"/>
          <w:szCs w:val="32"/>
          <w:highlight w:val="none"/>
          <w:lang w:val="en-US" w:eastAsia="zh-CN" w:bidi="ar-SA"/>
        </w:rPr>
      </w:pPr>
      <w:bookmarkStart w:id="760" w:name="_Toc12459"/>
      <w:bookmarkStart w:id="761" w:name="_Toc155185924"/>
      <w:r>
        <w:rPr>
          <w:rFonts w:hint="eastAsia" w:ascii="仿宋" w:hAnsi="仿宋" w:eastAsia="仿宋" w:cs="仿宋"/>
          <w:b/>
          <w:bCs/>
          <w:color w:val="auto"/>
          <w:kern w:val="2"/>
          <w:sz w:val="32"/>
          <w:szCs w:val="32"/>
          <w:highlight w:val="none"/>
          <w:lang w:val="en-US" w:eastAsia="zh-CN" w:bidi="ar-SA"/>
        </w:rPr>
        <w:t>二、法定代表人（单位负责人）身份证明</w:t>
      </w:r>
      <w:bookmarkEnd w:id="760"/>
      <w:bookmarkEnd w:id="761"/>
    </w:p>
    <w:p w14:paraId="78C45AA8">
      <w:pPr>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致：（采购人或采购代理机构）</w:t>
      </w:r>
    </w:p>
    <w:p w14:paraId="2245EF66">
      <w:pPr>
        <w:pageBreakBefore w:val="0"/>
        <w:kinsoku/>
        <w:wordWrap/>
        <w:overflowPunct/>
        <w:topLinePunct w:val="0"/>
        <w:autoSpaceDE/>
        <w:autoSpaceDN/>
        <w:bidi w:val="0"/>
        <w:adjustRightInd/>
        <w:snapToGrid/>
        <w:spacing w:line="440" w:lineRule="exact"/>
        <w:ind w:firstLine="960" w:firstLineChars="4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兹证明，</w:t>
      </w:r>
    </w:p>
    <w:p w14:paraId="7BC25B33">
      <w:pPr>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姓名：____性别：____年龄：____职务：____</w:t>
      </w:r>
    </w:p>
    <w:p w14:paraId="76D53793">
      <w:pPr>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 xml:space="preserve">系 </w:t>
      </w:r>
      <w:r>
        <w:rPr>
          <w:rFonts w:hint="eastAsia" w:ascii="仿宋" w:hAnsi="仿宋" w:eastAsia="仿宋" w:cs="仿宋"/>
          <w:color w:val="auto"/>
          <w:szCs w:val="24"/>
          <w:highlight w:val="none"/>
          <w:u w:val="single"/>
          <w:lang w:val="en-US" w:eastAsia="zh-CN"/>
        </w:rPr>
        <w:t xml:space="preserve">            </w:t>
      </w:r>
      <w:r>
        <w:rPr>
          <w:rFonts w:hint="eastAsia" w:ascii="仿宋" w:hAnsi="仿宋" w:eastAsia="仿宋" w:cs="仿宋"/>
          <w:color w:val="auto"/>
          <w:szCs w:val="24"/>
          <w:highlight w:val="none"/>
          <w:lang w:val="en-US" w:eastAsia="zh-CN"/>
        </w:rPr>
        <w:t>（投标人名称）的法定代表人（单位负责人）。</w:t>
      </w:r>
    </w:p>
    <w:p w14:paraId="7D877D04">
      <w:pPr>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附：法定代表人（单位负责人）身份证、护照等身份证明文件电子件：</w:t>
      </w:r>
    </w:p>
    <w:p w14:paraId="668E00FB">
      <w:pPr>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Cs w:val="24"/>
          <w:highlight w:val="none"/>
        </w:rPr>
      </w:pPr>
    </w:p>
    <w:p w14:paraId="56F319B8">
      <w:pPr>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1"/>
          <w:szCs w:val="21"/>
          <w:highlight w:val="none"/>
        </w:rPr>
      </w:pPr>
    </w:p>
    <w:tbl>
      <w:tblPr>
        <w:tblStyle w:val="30"/>
        <w:tblW w:w="8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0"/>
      </w:tblGrid>
      <w:tr w14:paraId="6FCD1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8" w:hRule="atLeast"/>
        </w:trPr>
        <w:tc>
          <w:tcPr>
            <w:tcW w:w="8360" w:type="dxa"/>
          </w:tcPr>
          <w:p w14:paraId="37BAED51">
            <w:pPr>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highlight w:val="none"/>
              </w:rPr>
            </w:pPr>
          </w:p>
        </w:tc>
      </w:tr>
    </w:tbl>
    <w:p w14:paraId="75F78612">
      <w:pPr>
        <w:pageBreakBefore w:val="0"/>
        <w:kinsoku/>
        <w:wordWrap/>
        <w:overflowPunct/>
        <w:topLinePunct w:val="0"/>
        <w:autoSpaceDE/>
        <w:autoSpaceDN/>
        <w:bidi w:val="0"/>
        <w:adjustRightInd/>
        <w:snapToGrid/>
        <w:spacing w:line="440" w:lineRule="exact"/>
        <w:ind w:firstLine="840" w:firstLineChars="350"/>
        <w:jc w:val="center"/>
        <w:textAlignment w:val="auto"/>
        <w:rPr>
          <w:rFonts w:hint="eastAsia" w:ascii="仿宋" w:hAnsi="仿宋" w:eastAsia="仿宋" w:cs="仿宋"/>
          <w:color w:val="auto"/>
          <w:highlight w:val="none"/>
        </w:rPr>
      </w:pPr>
    </w:p>
    <w:p w14:paraId="05B0DC3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投标人名称</w:t>
      </w:r>
      <w:r>
        <w:rPr>
          <w:rFonts w:hint="eastAsia" w:ascii="仿宋" w:hAnsi="仿宋" w:eastAsia="仿宋" w:cs="仿宋"/>
          <w:color w:val="auto"/>
          <w:szCs w:val="24"/>
          <w:highlight w:val="none"/>
          <w:lang w:eastAsia="zh-CN"/>
        </w:rPr>
        <w:t>（</w:t>
      </w:r>
      <w:r>
        <w:rPr>
          <w:rFonts w:hint="eastAsia" w:ascii="仿宋" w:hAnsi="仿宋" w:eastAsia="仿宋" w:cs="仿宋"/>
          <w:color w:val="auto"/>
          <w:kern w:val="0"/>
          <w:sz w:val="24"/>
          <w:szCs w:val="24"/>
          <w:highlight w:val="none"/>
          <w:lang w:val="en-US" w:eastAsia="zh-CN"/>
        </w:rPr>
        <w:t>公</w:t>
      </w:r>
      <w:r>
        <w:rPr>
          <w:rFonts w:hint="eastAsia" w:ascii="仿宋" w:hAnsi="仿宋" w:eastAsia="仿宋" w:cs="仿宋"/>
          <w:color w:val="auto"/>
          <w:kern w:val="0"/>
          <w:sz w:val="24"/>
          <w:szCs w:val="24"/>
          <w:highlight w:val="none"/>
          <w:lang w:eastAsia="zh-CN"/>
        </w:rPr>
        <w:t>章</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szCs w:val="24"/>
          <w:highlight w:val="none"/>
          <w:lang w:val="en-US" w:eastAsia="zh-CN" w:bidi="ar"/>
        </w:rPr>
        <w:t>________________</w:t>
      </w:r>
    </w:p>
    <w:p w14:paraId="0AA698E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法定代表人（单位负责人）（签字或</w:t>
      </w:r>
      <w:r>
        <w:rPr>
          <w:rFonts w:hint="eastAsia" w:ascii="仿宋" w:hAnsi="仿宋" w:eastAsia="仿宋" w:cs="仿宋"/>
          <w:color w:val="auto"/>
          <w:kern w:val="0"/>
          <w:sz w:val="24"/>
          <w:szCs w:val="24"/>
          <w:highlight w:val="none"/>
          <w:lang w:eastAsia="zh-CN"/>
        </w:rPr>
        <w:t>盖章</w:t>
      </w:r>
      <w:r>
        <w:rPr>
          <w:rFonts w:hint="eastAsia" w:ascii="仿宋" w:hAnsi="仿宋" w:eastAsia="仿宋" w:cs="仿宋"/>
          <w:color w:val="auto"/>
          <w:kern w:val="0"/>
          <w:sz w:val="24"/>
          <w:szCs w:val="24"/>
          <w:highlight w:val="none"/>
          <w:lang w:val="en-US" w:eastAsia="zh-CN" w:bidi="ar"/>
        </w:rPr>
        <w:t>）：_______</w:t>
      </w:r>
    </w:p>
    <w:p w14:paraId="687FD6F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日期：_____年______月______日</w:t>
      </w:r>
    </w:p>
    <w:p w14:paraId="270BC046">
      <w:pPr>
        <w:rPr>
          <w:rFonts w:hint="eastAsia" w:ascii="仿宋" w:hAnsi="仿宋" w:eastAsia="仿宋" w:cs="仿宋"/>
          <w:b/>
          <w:color w:val="auto"/>
          <w:sz w:val="28"/>
          <w:szCs w:val="28"/>
          <w:highlight w:val="none"/>
        </w:rPr>
      </w:pPr>
    </w:p>
    <w:p w14:paraId="3C9789CA">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72320FCC">
      <w:pPr>
        <w:pStyle w:val="3"/>
        <w:keepNext/>
        <w:keepLines/>
        <w:pageBreakBefore w:val="0"/>
        <w:widowControl w:val="0"/>
        <w:numPr>
          <w:ilvl w:val="0"/>
          <w:numId w:val="0"/>
        </w:numPr>
        <w:kinsoku/>
        <w:wordWrap/>
        <w:overflowPunct/>
        <w:topLinePunct w:val="0"/>
        <w:autoSpaceDE/>
        <w:autoSpaceDN/>
        <w:bidi w:val="0"/>
        <w:adjustRightInd/>
        <w:snapToGrid/>
        <w:spacing w:before="100" w:after="100" w:line="440" w:lineRule="exact"/>
        <w:ind w:left="420" w:leftChars="0" w:hanging="420" w:firstLineChars="0"/>
        <w:jc w:val="center"/>
        <w:textAlignment w:val="auto"/>
        <w:rPr>
          <w:rFonts w:hint="eastAsia" w:ascii="仿宋" w:hAnsi="仿宋" w:eastAsia="仿宋" w:cs="仿宋"/>
          <w:b/>
          <w:bCs/>
          <w:color w:val="auto"/>
          <w:kern w:val="2"/>
          <w:sz w:val="32"/>
          <w:szCs w:val="32"/>
          <w:highlight w:val="none"/>
          <w:lang w:val="en-US" w:eastAsia="zh-CN" w:bidi="ar-SA"/>
        </w:rPr>
      </w:pPr>
      <w:bookmarkStart w:id="762" w:name="_Toc155185925"/>
      <w:bookmarkStart w:id="763" w:name="_Toc26391"/>
      <w:r>
        <w:rPr>
          <w:rFonts w:hint="eastAsia" w:ascii="仿宋" w:hAnsi="仿宋" w:eastAsia="仿宋" w:cs="仿宋"/>
          <w:b/>
          <w:bCs/>
          <w:color w:val="auto"/>
          <w:kern w:val="2"/>
          <w:sz w:val="32"/>
          <w:szCs w:val="32"/>
          <w:highlight w:val="none"/>
          <w:lang w:val="en-US" w:eastAsia="zh-CN" w:bidi="ar-SA"/>
        </w:rPr>
        <w:t>三、授权委托书</w:t>
      </w:r>
      <w:bookmarkEnd w:id="762"/>
      <w:bookmarkEnd w:id="763"/>
    </w:p>
    <w:p w14:paraId="4D92BA3A">
      <w:pPr>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本人</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u w:val="none"/>
        </w:rPr>
        <w:t>（姓名）</w:t>
      </w:r>
      <w:r>
        <w:rPr>
          <w:rFonts w:hint="eastAsia" w:ascii="仿宋" w:hAnsi="仿宋" w:eastAsia="仿宋" w:cs="仿宋"/>
          <w:color w:val="auto"/>
          <w:szCs w:val="24"/>
          <w:highlight w:val="none"/>
        </w:rPr>
        <w:t>系</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u w:val="single"/>
          <w:lang w:val="en-US" w:eastAsia="zh-CN"/>
        </w:rPr>
        <w:t xml:space="preserve">  </w:t>
      </w:r>
      <w:r>
        <w:rPr>
          <w:rFonts w:hint="eastAsia" w:ascii="仿宋" w:hAnsi="仿宋" w:eastAsia="仿宋" w:cs="仿宋"/>
          <w:color w:val="auto"/>
          <w:szCs w:val="24"/>
          <w:highlight w:val="none"/>
          <w:u w:val="none"/>
        </w:rPr>
        <w:t>（投标人名称）</w:t>
      </w:r>
      <w:r>
        <w:rPr>
          <w:rFonts w:hint="eastAsia" w:ascii="仿宋" w:hAnsi="仿宋" w:eastAsia="仿宋" w:cs="仿宋"/>
          <w:color w:val="auto"/>
          <w:szCs w:val="24"/>
          <w:highlight w:val="none"/>
        </w:rPr>
        <w:t>的法定代表人</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单位</w:t>
      </w:r>
      <w:r>
        <w:rPr>
          <w:rFonts w:hint="eastAsia" w:ascii="仿宋" w:hAnsi="仿宋" w:eastAsia="仿宋" w:cs="仿宋"/>
          <w:color w:val="auto"/>
          <w:highlight w:val="none"/>
        </w:rPr>
        <w:t>负责人）</w:t>
      </w:r>
      <w:r>
        <w:rPr>
          <w:rFonts w:hint="eastAsia" w:ascii="仿宋" w:hAnsi="仿宋" w:eastAsia="仿宋" w:cs="仿宋"/>
          <w:color w:val="auto"/>
          <w:szCs w:val="24"/>
          <w:highlight w:val="none"/>
        </w:rPr>
        <w:t>，现委托</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（姓名）为我方代理人。代理人根据授权，以我方名义签署、澄清</w:t>
      </w:r>
      <w:r>
        <w:rPr>
          <w:rFonts w:hint="eastAsia" w:ascii="仿宋" w:hAnsi="仿宋" w:eastAsia="仿宋" w:cs="仿宋"/>
          <w:color w:val="auto"/>
          <w:szCs w:val="24"/>
          <w:highlight w:val="none"/>
          <w:lang w:val="en-US" w:eastAsia="zh-CN"/>
        </w:rPr>
        <w:t>确认</w:t>
      </w:r>
      <w:r>
        <w:rPr>
          <w:rFonts w:hint="eastAsia" w:ascii="仿宋" w:hAnsi="仿宋" w:eastAsia="仿宋" w:cs="仿宋"/>
          <w:color w:val="auto"/>
          <w:szCs w:val="24"/>
          <w:highlight w:val="none"/>
        </w:rPr>
        <w:t>、说明、补正、递交、撤回、修改</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u w:val="single"/>
          <w:lang w:val="en-US" w:eastAsia="zh-CN"/>
        </w:rPr>
        <w:t xml:space="preserve">   </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（项目名称）投标文件、签订合同和处理有关事宜，其法律后果由我方承担。</w:t>
      </w:r>
    </w:p>
    <w:p w14:paraId="4BF2B57E">
      <w:pPr>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委托期限：</w:t>
      </w:r>
      <w:r>
        <w:rPr>
          <w:rFonts w:hint="eastAsia" w:ascii="仿宋" w:hAnsi="仿宋" w:eastAsia="仿宋" w:cs="仿宋"/>
          <w:color w:val="auto"/>
          <w:szCs w:val="24"/>
          <w:highlight w:val="none"/>
          <w:lang w:val="en-US" w:eastAsia="zh-CN"/>
        </w:rPr>
        <w:t>自本授权委托书签署之日起至投标有效期届满之日止。</w:t>
      </w:r>
    </w:p>
    <w:p w14:paraId="6DE69D1D">
      <w:pPr>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代理人无转委托权。</w:t>
      </w:r>
    </w:p>
    <w:p w14:paraId="1A17B67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Cs w:val="24"/>
          <w:highlight w:val="none"/>
        </w:rPr>
      </w:pPr>
    </w:p>
    <w:p w14:paraId="59A93DF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投标人名称</w:t>
      </w:r>
      <w:r>
        <w:rPr>
          <w:rFonts w:hint="eastAsia" w:ascii="仿宋" w:hAnsi="仿宋" w:eastAsia="仿宋" w:cs="仿宋"/>
          <w:color w:val="auto"/>
          <w:szCs w:val="24"/>
          <w:highlight w:val="none"/>
          <w:lang w:eastAsia="zh-CN"/>
        </w:rPr>
        <w:t>（</w:t>
      </w:r>
      <w:r>
        <w:rPr>
          <w:rFonts w:hint="eastAsia" w:ascii="仿宋" w:hAnsi="仿宋" w:eastAsia="仿宋" w:cs="仿宋"/>
          <w:color w:val="auto"/>
          <w:kern w:val="0"/>
          <w:sz w:val="24"/>
          <w:szCs w:val="24"/>
          <w:highlight w:val="none"/>
          <w:lang w:val="en-US" w:eastAsia="zh-CN"/>
        </w:rPr>
        <w:t>公</w:t>
      </w:r>
      <w:r>
        <w:rPr>
          <w:rFonts w:hint="eastAsia" w:ascii="仿宋" w:hAnsi="仿宋" w:eastAsia="仿宋" w:cs="仿宋"/>
          <w:color w:val="auto"/>
          <w:kern w:val="0"/>
          <w:sz w:val="24"/>
          <w:szCs w:val="24"/>
          <w:highlight w:val="none"/>
          <w:lang w:eastAsia="zh-CN"/>
        </w:rPr>
        <w:t>章</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szCs w:val="24"/>
          <w:highlight w:val="none"/>
          <w:lang w:val="en-US" w:eastAsia="zh-CN" w:bidi="ar"/>
        </w:rPr>
        <w:t>________________</w:t>
      </w:r>
    </w:p>
    <w:p w14:paraId="07E854D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法定代表人（单位负责人）（签字或</w:t>
      </w:r>
      <w:r>
        <w:rPr>
          <w:rFonts w:hint="eastAsia" w:ascii="仿宋" w:hAnsi="仿宋" w:eastAsia="仿宋" w:cs="仿宋"/>
          <w:color w:val="auto"/>
          <w:kern w:val="0"/>
          <w:sz w:val="24"/>
          <w:szCs w:val="24"/>
          <w:highlight w:val="none"/>
          <w:lang w:eastAsia="zh-CN"/>
        </w:rPr>
        <w:t>盖章</w:t>
      </w:r>
      <w:r>
        <w:rPr>
          <w:rFonts w:hint="eastAsia" w:ascii="仿宋" w:hAnsi="仿宋" w:eastAsia="仿宋" w:cs="仿宋"/>
          <w:color w:val="auto"/>
          <w:kern w:val="0"/>
          <w:sz w:val="24"/>
          <w:szCs w:val="24"/>
          <w:highlight w:val="none"/>
          <w:lang w:val="en-US" w:eastAsia="zh-CN" w:bidi="ar"/>
        </w:rPr>
        <w:t>）：________________</w:t>
      </w:r>
    </w:p>
    <w:p w14:paraId="3505E64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委托代理人（签字或</w:t>
      </w:r>
      <w:r>
        <w:rPr>
          <w:rFonts w:hint="eastAsia" w:ascii="仿宋" w:hAnsi="仿宋" w:eastAsia="仿宋" w:cs="仿宋"/>
          <w:color w:val="auto"/>
          <w:kern w:val="0"/>
          <w:sz w:val="24"/>
          <w:szCs w:val="24"/>
          <w:highlight w:val="none"/>
          <w:lang w:eastAsia="zh-CN"/>
        </w:rPr>
        <w:t>盖章</w:t>
      </w:r>
      <w:r>
        <w:rPr>
          <w:rFonts w:hint="eastAsia" w:ascii="仿宋" w:hAnsi="仿宋" w:eastAsia="仿宋" w:cs="仿宋"/>
          <w:color w:val="auto"/>
          <w:kern w:val="0"/>
          <w:sz w:val="24"/>
          <w:szCs w:val="24"/>
          <w:highlight w:val="none"/>
          <w:lang w:val="en-US" w:eastAsia="zh-CN" w:bidi="ar"/>
        </w:rPr>
        <w:t>）：________________ 联系电话：</w:t>
      </w:r>
      <w:r>
        <w:rPr>
          <w:rFonts w:hint="eastAsia" w:ascii="仿宋" w:hAnsi="仿宋" w:eastAsia="仿宋" w:cs="仿宋"/>
          <w:color w:val="auto"/>
          <w:kern w:val="0"/>
          <w:sz w:val="24"/>
          <w:szCs w:val="24"/>
          <w:highlight w:val="none"/>
          <w:u w:val="single"/>
          <w:lang w:val="en-US" w:eastAsia="zh-CN" w:bidi="ar"/>
        </w:rPr>
        <w:t xml:space="preserve">             </w:t>
      </w:r>
    </w:p>
    <w:p w14:paraId="67B6C41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日期：_____年______月______日</w:t>
      </w:r>
    </w:p>
    <w:p w14:paraId="00C721A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Cs w:val="24"/>
          <w:highlight w:val="none"/>
          <w:lang w:val="en-US" w:eastAsia="zh-CN"/>
        </w:rPr>
      </w:pPr>
    </w:p>
    <w:p w14:paraId="4C012A3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附：法定代表人及委托代理人身份证明文件电子件：</w:t>
      </w:r>
    </w:p>
    <w:tbl>
      <w:tblPr>
        <w:tblStyle w:val="30"/>
        <w:tblW w:w="8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0"/>
      </w:tblGrid>
      <w:tr w14:paraId="2FF5C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18" w:hRule="atLeast"/>
        </w:trPr>
        <w:tc>
          <w:tcPr>
            <w:tcW w:w="8240" w:type="dxa"/>
          </w:tcPr>
          <w:p w14:paraId="3A8DE73C">
            <w:pPr>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highlight w:val="none"/>
              </w:rPr>
            </w:pPr>
          </w:p>
        </w:tc>
      </w:tr>
    </w:tbl>
    <w:p w14:paraId="63732A4B">
      <w:pPr>
        <w:pageBreakBefore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说明：</w:t>
      </w:r>
    </w:p>
    <w:p w14:paraId="2BBFB348">
      <w:pPr>
        <w:pageBreakBefore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1.若投标人为事业单位或其他组织或分支机构，则法定代表人（单位负责人）处的签署人可为单位负责人。</w:t>
      </w:r>
    </w:p>
    <w:p w14:paraId="06E6571D">
      <w:pPr>
        <w:pageBreakBefore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2.若投标文件中签字之处均为法定代表人（单位负责人）本人签署，则可不提供本《授权委托书》，但须提供《法定代表人（单位负责人）身份证明》。</w:t>
      </w:r>
    </w:p>
    <w:p w14:paraId="5A5E1C0F">
      <w:pPr>
        <w:pageBreakBefore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3.投标人为自然人的情形，可不提供本《授权委托书》。</w:t>
      </w:r>
    </w:p>
    <w:p w14:paraId="14B17A87">
      <w:pPr>
        <w:pageBreakBefore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4.投标人应随本《授权委托书》同时提供法定代表人（单位负责人）及委托代理人的有效的身份证、护照等身份证明文件电子件。提供身份证的，应同时提供身份证</w:t>
      </w:r>
      <w:r>
        <w:rPr>
          <w:rFonts w:hint="eastAsia" w:ascii="仿宋" w:hAnsi="仿宋" w:eastAsia="仿宋" w:cs="仿宋"/>
          <w:b/>
          <w:bCs/>
          <w:color w:val="auto"/>
          <w:sz w:val="21"/>
          <w:szCs w:val="21"/>
          <w:highlight w:val="none"/>
          <w:lang w:val="en-US" w:eastAsia="zh-CN"/>
        </w:rPr>
        <w:t>双面</w:t>
      </w:r>
      <w:r>
        <w:rPr>
          <w:rFonts w:hint="eastAsia" w:ascii="仿宋" w:hAnsi="仿宋" w:eastAsia="仿宋" w:cs="仿宋"/>
          <w:color w:val="auto"/>
          <w:sz w:val="21"/>
          <w:szCs w:val="21"/>
          <w:highlight w:val="none"/>
          <w:lang w:val="en-US" w:eastAsia="zh-CN"/>
        </w:rPr>
        <w:t>电子件。</w:t>
      </w:r>
    </w:p>
    <w:p w14:paraId="55BCE0C8">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54F4A56D">
      <w:pPr>
        <w:pStyle w:val="3"/>
        <w:bidi w:val="0"/>
        <w:jc w:val="center"/>
        <w:rPr>
          <w:rFonts w:hint="eastAsia" w:ascii="仿宋" w:hAnsi="仿宋" w:eastAsia="仿宋" w:cs="仿宋"/>
          <w:color w:val="auto"/>
          <w:lang w:val="en-US" w:eastAsia="zh-CN"/>
        </w:rPr>
      </w:pPr>
      <w:bookmarkStart w:id="764" w:name="_Toc163492928"/>
      <w:bookmarkStart w:id="765" w:name="_Toc27408"/>
      <w:bookmarkStart w:id="766" w:name="_Toc155185934"/>
      <w:r>
        <w:rPr>
          <w:rFonts w:hint="eastAsia" w:ascii="仿宋" w:hAnsi="仿宋" w:eastAsia="仿宋" w:cs="仿宋"/>
          <w:b/>
          <w:bCs/>
          <w:color w:val="auto"/>
          <w:kern w:val="2"/>
          <w:sz w:val="32"/>
          <w:szCs w:val="32"/>
          <w:highlight w:val="none"/>
          <w:lang w:val="en-US" w:eastAsia="zh-CN" w:bidi="ar-SA"/>
        </w:rPr>
        <w:t>四、</w:t>
      </w:r>
      <w:bookmarkEnd w:id="764"/>
      <w:bookmarkEnd w:id="765"/>
      <w:bookmarkEnd w:id="766"/>
      <w:r>
        <w:rPr>
          <w:rFonts w:hint="eastAsia" w:ascii="仿宋" w:hAnsi="仿宋" w:eastAsia="仿宋" w:cs="仿宋"/>
          <w:color w:val="auto"/>
          <w:lang w:val="en-US" w:eastAsia="zh-CN"/>
        </w:rPr>
        <w:t>政府采购投标人廉洁自律承诺书</w:t>
      </w:r>
    </w:p>
    <w:p w14:paraId="0FCD690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（采购人）、（采购代理机构）：</w:t>
      </w:r>
    </w:p>
    <w:p w14:paraId="062BB1CC">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我单位响应你单位项目招标要求参加投标。在这次投标过程中和中标后，我们将严格遵守国家法律法规要求，并郑重承诺：</w:t>
      </w:r>
    </w:p>
    <w:p w14:paraId="7CEF1B21">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 xml:space="preserve">一、不向项目有关人员及部门赠送礼金礼物、有价证券、回扣以及中介 </w:t>
      </w:r>
    </w:p>
    <w:p w14:paraId="4BFDFEB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费、介绍费、咨询费等好处费；</w:t>
      </w:r>
    </w:p>
    <w:p w14:paraId="24340F83">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二、不为项目有关人员及部门报销应由你方单位或个人支付的费用；</w:t>
      </w:r>
    </w:p>
    <w:p w14:paraId="59F6EA47">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三、不向项目有关人员及部门提供有可能影响公正的宴请和健身娱乐等活</w:t>
      </w:r>
    </w:p>
    <w:p w14:paraId="2B1E983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动；</w:t>
      </w:r>
    </w:p>
    <w:p w14:paraId="72295BCD">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四、不为项目有关人员及部门出国（境）、旅游等提供方便；</w:t>
      </w:r>
    </w:p>
    <w:p w14:paraId="66422277">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五、不为项目有关人员个人装修住房、婚丧嫁娶、配偶子女工作安排等提</w:t>
      </w:r>
    </w:p>
    <w:p w14:paraId="3186616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供好处；</w:t>
      </w:r>
    </w:p>
    <w:p w14:paraId="43546BF8">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六、严格遵守《中华人民共和国政府采购法》《中华人民共和国政府采购法实施条例》《中华人民共和国民法典》等法律法规，诚实守信，合法经营，坚决抵制各种违法违纪行为。</w:t>
      </w:r>
    </w:p>
    <w:p w14:paraId="46D71948">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如违反上述承诺，你单位有权立即取消我单位投标、中标或在建项目的建设资格，有权拒绝我单位在一定时期内进入你单位进行项目建设或其他经营活动，并通报财政局。由此引起的相应损失均由我单位承担。</w:t>
      </w:r>
    </w:p>
    <w:p w14:paraId="737C1259">
      <w:pPr>
        <w:jc w:val="left"/>
        <w:rPr>
          <w:rFonts w:hint="eastAsia" w:ascii="仿宋" w:hAnsi="仿宋" w:eastAsia="仿宋" w:cs="仿宋"/>
          <w:color w:val="auto"/>
          <w:lang w:val="en-US" w:eastAsia="zh-CN"/>
        </w:rPr>
      </w:pPr>
    </w:p>
    <w:p w14:paraId="268928EC">
      <w:pPr>
        <w:keepNext w:val="0"/>
        <w:keepLines w:val="0"/>
        <w:widowControl/>
        <w:suppressLineNumbers w:val="0"/>
        <w:jc w:val="left"/>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投标人名称（公章)：</w:t>
      </w:r>
    </w:p>
    <w:p w14:paraId="5A1C7917">
      <w:pPr>
        <w:keepNext w:val="0"/>
        <w:keepLines w:val="0"/>
        <w:widowControl/>
        <w:suppressLineNumbers w:val="0"/>
        <w:jc w:val="left"/>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日期：  年  月  日</w:t>
      </w:r>
    </w:p>
    <w:p w14:paraId="46755DD5">
      <w:pPr>
        <w:rPr>
          <w:rFonts w:hint="eastAsia" w:ascii="仿宋" w:hAnsi="仿宋" w:eastAsia="仿宋" w:cs="仿宋"/>
          <w:color w:val="auto"/>
          <w:lang w:val="en-US" w:eastAsia="zh-CN"/>
        </w:rPr>
      </w:pPr>
    </w:p>
    <w:p w14:paraId="28D07CC2">
      <w:pPr>
        <w:pStyle w:val="13"/>
        <w:keepNext w:val="0"/>
        <w:keepLines w:val="0"/>
        <w:pageBreakBefore w:val="0"/>
        <w:widowControl/>
        <w:shd w:val="clear"/>
        <w:kinsoku w:val="0"/>
        <w:wordWrap/>
        <w:overflowPunct/>
        <w:topLinePunct w:val="0"/>
        <w:autoSpaceDE w:val="0"/>
        <w:autoSpaceDN w:val="0"/>
        <w:bidi w:val="0"/>
        <w:adjustRightInd w:val="0"/>
        <w:snapToGrid w:val="0"/>
        <w:spacing w:before="181" w:line="440" w:lineRule="exact"/>
        <w:ind w:right="179"/>
        <w:jc w:val="left"/>
        <w:textAlignment w:val="baseline"/>
        <w:rPr>
          <w:rFonts w:hint="eastAsia" w:ascii="仿宋" w:hAnsi="仿宋" w:eastAsia="仿宋" w:cs="仿宋"/>
          <w:color w:val="auto"/>
          <w:lang w:val="en-US" w:eastAsia="zh-CN"/>
        </w:rPr>
      </w:pPr>
      <w:bookmarkStart w:id="767" w:name="_Toc24923"/>
      <w:r>
        <w:rPr>
          <w:rFonts w:hint="eastAsia" w:ascii="仿宋" w:hAnsi="仿宋" w:eastAsia="仿宋" w:cs="仿宋"/>
          <w:color w:val="auto"/>
          <w:lang w:val="en-US" w:eastAsia="zh-CN"/>
        </w:rPr>
        <w:br w:type="page"/>
      </w:r>
    </w:p>
    <w:p w14:paraId="5EC9C181">
      <w:pPr>
        <w:pStyle w:val="3"/>
        <w:bidi w:val="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五、</w:t>
      </w:r>
      <w:r>
        <w:rPr>
          <w:rFonts w:hint="eastAsia" w:ascii="仿宋" w:hAnsi="仿宋" w:eastAsia="仿宋" w:cs="仿宋"/>
          <w:color w:val="auto"/>
          <w:lang w:val="zh-CN" w:eastAsia="zh-CN"/>
        </w:rPr>
        <w:t>实质性响应一览表</w:t>
      </w:r>
      <w:bookmarkEnd w:id="767"/>
    </w:p>
    <w:p w14:paraId="64B05A47">
      <w:pPr>
        <w:shd w:val="clear" w:color="auto" w:fill="FFFFFF"/>
        <w:tabs>
          <w:tab w:val="left" w:pos="3045"/>
        </w:tabs>
        <w:autoSpaceDE w:val="0"/>
        <w:autoSpaceDN w:val="0"/>
        <w:adjustRightInd w:val="0"/>
        <w:snapToGrid w:val="0"/>
        <w:spacing w:line="360" w:lineRule="exact"/>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w:t>
      </w:r>
      <w:r>
        <w:rPr>
          <w:rFonts w:hint="eastAsia" w:ascii="仿宋" w:hAnsi="仿宋" w:eastAsia="仿宋" w:cs="仿宋"/>
          <w:b w:val="0"/>
          <w:bCs/>
          <w:color w:val="auto"/>
          <w:sz w:val="24"/>
          <w:highlight w:val="none"/>
          <w:lang w:val="en-US" w:eastAsia="zh-CN"/>
        </w:rPr>
        <w:t>投标人</w:t>
      </w:r>
      <w:r>
        <w:rPr>
          <w:rFonts w:hint="eastAsia" w:ascii="仿宋" w:hAnsi="仿宋" w:eastAsia="仿宋" w:cs="仿宋"/>
          <w:b w:val="0"/>
          <w:bCs/>
          <w:color w:val="auto"/>
          <w:sz w:val="24"/>
          <w:highlight w:val="none"/>
        </w:rPr>
        <w:t>须对本附表所有内容逐条响应且无负偏离，否则</w:t>
      </w:r>
      <w:r>
        <w:rPr>
          <w:rFonts w:hint="eastAsia" w:ascii="仿宋" w:hAnsi="仿宋" w:eastAsia="仿宋" w:cs="仿宋"/>
          <w:b w:val="0"/>
          <w:bCs/>
          <w:color w:val="auto"/>
          <w:sz w:val="24"/>
          <w:highlight w:val="none"/>
          <w:lang w:val="en-US" w:eastAsia="zh-CN"/>
        </w:rPr>
        <w:t>其</w:t>
      </w:r>
      <w:r>
        <w:rPr>
          <w:rFonts w:hint="eastAsia" w:ascii="仿宋" w:hAnsi="仿宋" w:eastAsia="仿宋" w:cs="仿宋"/>
          <w:b/>
          <w:bCs w:val="0"/>
          <w:color w:val="auto"/>
          <w:sz w:val="24"/>
          <w:highlight w:val="none"/>
        </w:rPr>
        <w:t>投标无效</w:t>
      </w:r>
      <w:r>
        <w:rPr>
          <w:rFonts w:hint="eastAsia" w:ascii="仿宋" w:hAnsi="仿宋" w:eastAsia="仿宋" w:cs="仿宋"/>
          <w:b w:val="0"/>
          <w:bCs/>
          <w:color w:val="auto"/>
          <w:sz w:val="24"/>
          <w:highlight w:val="none"/>
        </w:rPr>
        <w:t>）</w:t>
      </w:r>
    </w:p>
    <w:p w14:paraId="1A4441CA">
      <w:pPr>
        <w:pStyle w:val="24"/>
        <w:rPr>
          <w:rFonts w:hint="eastAsia" w:ascii="仿宋" w:hAnsi="仿宋" w:eastAsia="仿宋" w:cs="仿宋"/>
          <w:color w:val="auto"/>
          <w:highlight w:val="none"/>
        </w:rPr>
      </w:pPr>
    </w:p>
    <w:tbl>
      <w:tblPr>
        <w:tblStyle w:val="30"/>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
        <w:gridCol w:w="1992"/>
        <w:gridCol w:w="4050"/>
        <w:gridCol w:w="1840"/>
        <w:gridCol w:w="972"/>
      </w:tblGrid>
      <w:tr w14:paraId="6A7DF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408" w:type="dxa"/>
            <w:vMerge w:val="restart"/>
            <w:noWrap w:val="0"/>
            <w:vAlign w:val="center"/>
          </w:tcPr>
          <w:p w14:paraId="2294E506">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6042" w:type="dxa"/>
            <w:gridSpan w:val="2"/>
            <w:noWrap w:val="0"/>
            <w:vAlign w:val="center"/>
          </w:tcPr>
          <w:p w14:paraId="6DE0A05E">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招标</w:t>
            </w:r>
            <w:r>
              <w:rPr>
                <w:rFonts w:hint="eastAsia" w:ascii="仿宋" w:hAnsi="仿宋" w:eastAsia="仿宋" w:cs="仿宋"/>
                <w:color w:val="auto"/>
                <w:sz w:val="21"/>
                <w:szCs w:val="21"/>
                <w:highlight w:val="none"/>
              </w:rPr>
              <w:t>文件要求的实质性响应内容</w:t>
            </w:r>
          </w:p>
        </w:tc>
        <w:tc>
          <w:tcPr>
            <w:tcW w:w="1840" w:type="dxa"/>
            <w:vMerge w:val="restart"/>
            <w:noWrap w:val="0"/>
            <w:vAlign w:val="center"/>
          </w:tcPr>
          <w:p w14:paraId="1A6A56BF">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投标文件响应</w:t>
            </w:r>
            <w:r>
              <w:rPr>
                <w:rFonts w:hint="eastAsia" w:ascii="仿宋" w:hAnsi="仿宋" w:eastAsia="仿宋" w:cs="仿宋"/>
                <w:color w:val="auto"/>
                <w:sz w:val="21"/>
                <w:szCs w:val="21"/>
                <w:highlight w:val="none"/>
                <w:lang w:val="en-US" w:eastAsia="zh-CN"/>
              </w:rPr>
              <w:t>的</w:t>
            </w:r>
            <w:r>
              <w:rPr>
                <w:rFonts w:hint="eastAsia" w:ascii="仿宋" w:hAnsi="仿宋" w:eastAsia="仿宋" w:cs="仿宋"/>
                <w:color w:val="auto"/>
                <w:sz w:val="21"/>
                <w:szCs w:val="21"/>
                <w:highlight w:val="none"/>
              </w:rPr>
              <w:t>具体内容</w:t>
            </w:r>
          </w:p>
        </w:tc>
        <w:tc>
          <w:tcPr>
            <w:tcW w:w="972" w:type="dxa"/>
            <w:vMerge w:val="restart"/>
            <w:noWrap w:val="0"/>
            <w:vAlign w:val="center"/>
          </w:tcPr>
          <w:p w14:paraId="696500D7">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tc>
      </w:tr>
      <w:tr w14:paraId="1B99C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408" w:type="dxa"/>
            <w:vMerge w:val="continue"/>
            <w:noWrap w:val="0"/>
            <w:vAlign w:val="center"/>
          </w:tcPr>
          <w:p w14:paraId="62686B64">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仿宋" w:hAnsi="仿宋" w:eastAsia="仿宋" w:cs="仿宋"/>
                <w:color w:val="auto"/>
                <w:sz w:val="21"/>
                <w:szCs w:val="21"/>
                <w:highlight w:val="none"/>
              </w:rPr>
            </w:pPr>
          </w:p>
        </w:tc>
        <w:tc>
          <w:tcPr>
            <w:tcW w:w="1992" w:type="dxa"/>
            <w:noWrap w:val="0"/>
            <w:vAlign w:val="center"/>
          </w:tcPr>
          <w:p w14:paraId="2E7A6F85">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实质性要求</w:t>
            </w:r>
          </w:p>
        </w:tc>
        <w:tc>
          <w:tcPr>
            <w:tcW w:w="4050" w:type="dxa"/>
            <w:noWrap w:val="0"/>
            <w:vAlign w:val="center"/>
          </w:tcPr>
          <w:p w14:paraId="30389D36">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招标文件中的规定</w:t>
            </w:r>
          </w:p>
        </w:tc>
        <w:tc>
          <w:tcPr>
            <w:tcW w:w="1840" w:type="dxa"/>
            <w:vMerge w:val="continue"/>
            <w:noWrap w:val="0"/>
            <w:vAlign w:val="center"/>
          </w:tcPr>
          <w:p w14:paraId="64696D4B">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仿宋" w:hAnsi="仿宋" w:eastAsia="仿宋" w:cs="仿宋"/>
                <w:color w:val="auto"/>
                <w:sz w:val="21"/>
                <w:szCs w:val="21"/>
                <w:highlight w:val="none"/>
              </w:rPr>
            </w:pPr>
          </w:p>
        </w:tc>
        <w:tc>
          <w:tcPr>
            <w:tcW w:w="972" w:type="dxa"/>
            <w:vMerge w:val="continue"/>
            <w:noWrap w:val="0"/>
            <w:vAlign w:val="center"/>
          </w:tcPr>
          <w:p w14:paraId="240E748A">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仿宋" w:hAnsi="仿宋" w:eastAsia="仿宋" w:cs="仿宋"/>
                <w:color w:val="auto"/>
                <w:sz w:val="21"/>
                <w:szCs w:val="21"/>
                <w:highlight w:val="none"/>
              </w:rPr>
            </w:pPr>
          </w:p>
        </w:tc>
      </w:tr>
      <w:tr w14:paraId="7C952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408" w:type="dxa"/>
            <w:noWrap w:val="0"/>
            <w:vAlign w:val="center"/>
          </w:tcPr>
          <w:p w14:paraId="1C72E099">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992" w:type="dxa"/>
            <w:shd w:val="clear" w:color="auto" w:fill="auto"/>
            <w:noWrap w:val="0"/>
            <w:vAlign w:val="center"/>
          </w:tcPr>
          <w:p w14:paraId="49158A6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投标有效期</w:t>
            </w:r>
          </w:p>
        </w:tc>
        <w:tc>
          <w:tcPr>
            <w:tcW w:w="4050" w:type="dxa"/>
            <w:shd w:val="clear" w:color="auto" w:fill="auto"/>
            <w:noWrap w:val="0"/>
            <w:vAlign w:val="center"/>
          </w:tcPr>
          <w:p w14:paraId="53E0532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1"/>
                <w:szCs w:val="21"/>
                <w:highlight w:val="none"/>
                <w:lang w:val="en-US" w:eastAsia="zh-CN"/>
              </w:rPr>
            </w:pPr>
            <w:r>
              <w:rPr>
                <w:rFonts w:hint="default" w:ascii="仿宋" w:hAnsi="仿宋" w:eastAsia="仿宋" w:cs="仿宋"/>
                <w:color w:val="auto"/>
                <w:sz w:val="21"/>
                <w:szCs w:val="21"/>
                <w:highlight w:val="none"/>
                <w:lang w:val="en-US" w:eastAsia="zh-CN"/>
              </w:rPr>
              <w:t>90日历日</w:t>
            </w:r>
          </w:p>
        </w:tc>
        <w:tc>
          <w:tcPr>
            <w:tcW w:w="1840" w:type="dxa"/>
            <w:noWrap w:val="0"/>
            <w:vAlign w:val="center"/>
          </w:tcPr>
          <w:p w14:paraId="319C1952">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投标人在此处填</w:t>
            </w:r>
          </w:p>
          <w:p w14:paraId="29699FE2">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写投标文件的相</w:t>
            </w:r>
          </w:p>
          <w:p w14:paraId="7292A4C1">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关内容或投标文</w:t>
            </w:r>
          </w:p>
          <w:p w14:paraId="3817B5DC">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件中对应的页码</w:t>
            </w:r>
          </w:p>
        </w:tc>
        <w:tc>
          <w:tcPr>
            <w:tcW w:w="972" w:type="dxa"/>
            <w:noWrap w:val="0"/>
            <w:vAlign w:val="center"/>
          </w:tcPr>
          <w:p w14:paraId="26009CF8">
            <w:pPr>
              <w:keepNext w:val="0"/>
              <w:keepLines w:val="0"/>
              <w:pageBreakBefore w:val="0"/>
              <w:widowControl w:val="0"/>
              <w:kinsoku/>
              <w:wordWrap/>
              <w:overflowPunct/>
              <w:topLinePunct w:val="0"/>
              <w:bidi w:val="0"/>
              <w:adjustRightInd/>
              <w:snapToGrid/>
              <w:spacing w:line="360" w:lineRule="exact"/>
              <w:textAlignment w:val="auto"/>
              <w:rPr>
                <w:rFonts w:hint="eastAsia" w:ascii="仿宋" w:hAnsi="仿宋" w:eastAsia="仿宋" w:cs="仿宋"/>
                <w:color w:val="auto"/>
                <w:sz w:val="21"/>
                <w:szCs w:val="21"/>
                <w:highlight w:val="none"/>
              </w:rPr>
            </w:pPr>
          </w:p>
        </w:tc>
      </w:tr>
      <w:tr w14:paraId="473F3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408" w:type="dxa"/>
            <w:noWrap w:val="0"/>
            <w:vAlign w:val="center"/>
          </w:tcPr>
          <w:p w14:paraId="75C83D9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992" w:type="dxa"/>
            <w:shd w:val="clear" w:color="auto" w:fill="auto"/>
            <w:noWrap w:val="0"/>
            <w:vAlign w:val="center"/>
          </w:tcPr>
          <w:p w14:paraId="0AD0727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i w:val="0"/>
                <w:iCs w:val="0"/>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服务期限</w:t>
            </w:r>
          </w:p>
        </w:tc>
        <w:tc>
          <w:tcPr>
            <w:tcW w:w="4050" w:type="dxa"/>
            <w:shd w:val="clear" w:color="auto" w:fill="auto"/>
            <w:noWrap w:val="0"/>
            <w:vAlign w:val="center"/>
          </w:tcPr>
          <w:p w14:paraId="25ED58B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lang w:val="en-US" w:eastAsia="zh-CN"/>
              </w:rPr>
            </w:pPr>
            <w:r>
              <w:rPr>
                <w:rFonts w:hint="default" w:ascii="仿宋" w:hAnsi="仿宋" w:eastAsia="仿宋" w:cs="仿宋"/>
                <w:color w:val="auto"/>
                <w:sz w:val="21"/>
                <w:szCs w:val="21"/>
                <w:highlight w:val="none"/>
                <w:lang w:val="en-US" w:eastAsia="zh-CN"/>
              </w:rPr>
              <w:t>合同签订后至2026年9月（至审查通过自治区人民政府批复）</w:t>
            </w:r>
          </w:p>
        </w:tc>
        <w:tc>
          <w:tcPr>
            <w:tcW w:w="1840" w:type="dxa"/>
            <w:noWrap w:val="0"/>
            <w:vAlign w:val="center"/>
          </w:tcPr>
          <w:p w14:paraId="022C2848">
            <w:pPr>
              <w:keepNext w:val="0"/>
              <w:keepLines w:val="0"/>
              <w:pageBreakBefore w:val="0"/>
              <w:widowControl w:val="0"/>
              <w:kinsoku/>
              <w:wordWrap/>
              <w:overflowPunct/>
              <w:topLinePunct w:val="0"/>
              <w:bidi w:val="0"/>
              <w:adjustRightInd/>
              <w:snapToGrid/>
              <w:spacing w:line="360" w:lineRule="exact"/>
              <w:textAlignment w:val="auto"/>
              <w:rPr>
                <w:rFonts w:hint="eastAsia" w:ascii="仿宋" w:hAnsi="仿宋" w:eastAsia="仿宋" w:cs="仿宋"/>
                <w:color w:val="auto"/>
                <w:sz w:val="21"/>
                <w:szCs w:val="21"/>
                <w:highlight w:val="none"/>
              </w:rPr>
            </w:pPr>
          </w:p>
        </w:tc>
        <w:tc>
          <w:tcPr>
            <w:tcW w:w="972" w:type="dxa"/>
            <w:noWrap w:val="0"/>
            <w:vAlign w:val="center"/>
          </w:tcPr>
          <w:p w14:paraId="42C9492C">
            <w:pPr>
              <w:keepNext w:val="0"/>
              <w:keepLines w:val="0"/>
              <w:pageBreakBefore w:val="0"/>
              <w:widowControl w:val="0"/>
              <w:kinsoku/>
              <w:wordWrap/>
              <w:overflowPunct/>
              <w:topLinePunct w:val="0"/>
              <w:bidi w:val="0"/>
              <w:adjustRightInd/>
              <w:snapToGrid/>
              <w:spacing w:line="360" w:lineRule="exact"/>
              <w:textAlignment w:val="auto"/>
              <w:rPr>
                <w:rFonts w:hint="eastAsia" w:ascii="仿宋" w:hAnsi="仿宋" w:eastAsia="仿宋" w:cs="仿宋"/>
                <w:color w:val="auto"/>
                <w:sz w:val="21"/>
                <w:szCs w:val="21"/>
                <w:highlight w:val="none"/>
              </w:rPr>
            </w:pPr>
          </w:p>
        </w:tc>
      </w:tr>
      <w:tr w14:paraId="004C3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408" w:type="dxa"/>
            <w:shd w:val="clear" w:color="auto" w:fill="auto"/>
            <w:noWrap w:val="0"/>
            <w:vAlign w:val="center"/>
          </w:tcPr>
          <w:p w14:paraId="6F50892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3</w:t>
            </w:r>
          </w:p>
        </w:tc>
        <w:tc>
          <w:tcPr>
            <w:tcW w:w="1992" w:type="dxa"/>
            <w:shd w:val="clear" w:color="auto" w:fill="auto"/>
            <w:noWrap w:val="0"/>
            <w:vAlign w:val="center"/>
          </w:tcPr>
          <w:p w14:paraId="5074808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auto"/>
                <w:kern w:val="2"/>
                <w:sz w:val="21"/>
                <w:szCs w:val="21"/>
                <w:highlight w:val="none"/>
                <w:lang w:val="en-US" w:eastAsia="zh-CN" w:bidi="ar-SA"/>
              </w:rPr>
              <w:t>服务地点</w:t>
            </w:r>
          </w:p>
        </w:tc>
        <w:tc>
          <w:tcPr>
            <w:tcW w:w="4050" w:type="dxa"/>
            <w:shd w:val="clear" w:color="auto" w:fill="auto"/>
            <w:noWrap w:val="0"/>
            <w:vAlign w:val="center"/>
          </w:tcPr>
          <w:p w14:paraId="7BCD0A5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auto"/>
                <w:kern w:val="2"/>
                <w:sz w:val="21"/>
                <w:szCs w:val="21"/>
                <w:highlight w:val="none"/>
                <w:lang w:val="en-US" w:eastAsia="zh-CN" w:bidi="ar-SA"/>
              </w:rPr>
              <w:t>乌鲁木齐市</w:t>
            </w:r>
          </w:p>
        </w:tc>
        <w:tc>
          <w:tcPr>
            <w:tcW w:w="1840" w:type="dxa"/>
            <w:noWrap w:val="0"/>
            <w:vAlign w:val="center"/>
          </w:tcPr>
          <w:p w14:paraId="0EB544AA">
            <w:pPr>
              <w:keepNext w:val="0"/>
              <w:keepLines w:val="0"/>
              <w:pageBreakBefore w:val="0"/>
              <w:widowControl w:val="0"/>
              <w:kinsoku/>
              <w:wordWrap/>
              <w:overflowPunct/>
              <w:topLinePunct w:val="0"/>
              <w:bidi w:val="0"/>
              <w:adjustRightInd/>
              <w:snapToGrid/>
              <w:spacing w:line="360" w:lineRule="exact"/>
              <w:textAlignment w:val="auto"/>
              <w:rPr>
                <w:rFonts w:hint="eastAsia" w:ascii="仿宋" w:hAnsi="仿宋" w:eastAsia="仿宋" w:cs="仿宋"/>
                <w:color w:val="auto"/>
                <w:sz w:val="21"/>
                <w:szCs w:val="21"/>
                <w:highlight w:val="none"/>
              </w:rPr>
            </w:pPr>
          </w:p>
        </w:tc>
        <w:tc>
          <w:tcPr>
            <w:tcW w:w="972" w:type="dxa"/>
            <w:noWrap w:val="0"/>
            <w:vAlign w:val="center"/>
          </w:tcPr>
          <w:p w14:paraId="4418386B">
            <w:pPr>
              <w:keepNext w:val="0"/>
              <w:keepLines w:val="0"/>
              <w:pageBreakBefore w:val="0"/>
              <w:widowControl w:val="0"/>
              <w:kinsoku/>
              <w:wordWrap/>
              <w:overflowPunct/>
              <w:topLinePunct w:val="0"/>
              <w:bidi w:val="0"/>
              <w:adjustRightInd/>
              <w:snapToGrid/>
              <w:spacing w:line="360" w:lineRule="exact"/>
              <w:textAlignment w:val="auto"/>
              <w:rPr>
                <w:rFonts w:hint="eastAsia" w:ascii="仿宋" w:hAnsi="仿宋" w:eastAsia="仿宋" w:cs="仿宋"/>
                <w:color w:val="auto"/>
                <w:sz w:val="21"/>
                <w:szCs w:val="21"/>
                <w:highlight w:val="none"/>
              </w:rPr>
            </w:pPr>
          </w:p>
        </w:tc>
      </w:tr>
      <w:tr w14:paraId="22BEE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408" w:type="dxa"/>
            <w:shd w:val="clear" w:color="auto" w:fill="auto"/>
            <w:noWrap w:val="0"/>
            <w:vAlign w:val="center"/>
          </w:tcPr>
          <w:p w14:paraId="1FA49D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1992" w:type="dxa"/>
            <w:shd w:val="clear" w:color="auto" w:fill="auto"/>
            <w:noWrap w:val="0"/>
            <w:vAlign w:val="center"/>
          </w:tcPr>
          <w:p w14:paraId="218B904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i w:val="0"/>
                <w:iCs w:val="0"/>
                <w:color w:val="auto"/>
                <w:kern w:val="2"/>
                <w:sz w:val="21"/>
                <w:szCs w:val="21"/>
                <w:highlight w:val="none"/>
                <w:lang w:val="en-US" w:eastAsia="zh-CN" w:bidi="ar-SA"/>
              </w:rPr>
            </w:pPr>
            <w:r>
              <w:rPr>
                <w:rFonts w:hint="eastAsia" w:ascii="仿宋" w:hAnsi="仿宋" w:eastAsia="仿宋" w:cs="仿宋"/>
                <w:i w:val="0"/>
                <w:iCs w:val="0"/>
                <w:color w:val="auto"/>
                <w:kern w:val="2"/>
                <w:sz w:val="21"/>
                <w:szCs w:val="21"/>
                <w:highlight w:val="none"/>
                <w:lang w:val="en-US" w:eastAsia="zh-CN" w:bidi="ar-SA"/>
              </w:rPr>
              <w:t>付款方式</w:t>
            </w:r>
          </w:p>
        </w:tc>
        <w:tc>
          <w:tcPr>
            <w:tcW w:w="4050" w:type="dxa"/>
            <w:shd w:val="clear" w:color="auto" w:fill="auto"/>
            <w:noWrap w:val="0"/>
            <w:vAlign w:val="center"/>
          </w:tcPr>
          <w:p w14:paraId="7C06EC9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合同签订后7个工作日付至合同价款的40%，完成初审付至合同价款的60%，审查通过付至合同价款80%，自治区人民政府批复后付至合同价款的100%。</w:t>
            </w:r>
          </w:p>
        </w:tc>
        <w:tc>
          <w:tcPr>
            <w:tcW w:w="1840" w:type="dxa"/>
            <w:noWrap w:val="0"/>
            <w:vAlign w:val="center"/>
          </w:tcPr>
          <w:p w14:paraId="30FCD36D">
            <w:pPr>
              <w:keepNext w:val="0"/>
              <w:keepLines w:val="0"/>
              <w:pageBreakBefore w:val="0"/>
              <w:widowControl w:val="0"/>
              <w:kinsoku/>
              <w:wordWrap/>
              <w:overflowPunct/>
              <w:topLinePunct w:val="0"/>
              <w:bidi w:val="0"/>
              <w:adjustRightInd/>
              <w:snapToGrid/>
              <w:spacing w:line="360" w:lineRule="exact"/>
              <w:textAlignment w:val="auto"/>
              <w:rPr>
                <w:rFonts w:hint="eastAsia" w:ascii="仿宋" w:hAnsi="仿宋" w:eastAsia="仿宋" w:cs="仿宋"/>
                <w:color w:val="auto"/>
                <w:sz w:val="21"/>
                <w:szCs w:val="21"/>
                <w:highlight w:val="none"/>
              </w:rPr>
            </w:pPr>
          </w:p>
        </w:tc>
        <w:tc>
          <w:tcPr>
            <w:tcW w:w="972" w:type="dxa"/>
            <w:noWrap w:val="0"/>
            <w:vAlign w:val="center"/>
          </w:tcPr>
          <w:p w14:paraId="4DA643EB">
            <w:pPr>
              <w:keepNext w:val="0"/>
              <w:keepLines w:val="0"/>
              <w:pageBreakBefore w:val="0"/>
              <w:widowControl w:val="0"/>
              <w:kinsoku/>
              <w:wordWrap/>
              <w:overflowPunct/>
              <w:topLinePunct w:val="0"/>
              <w:bidi w:val="0"/>
              <w:adjustRightInd/>
              <w:snapToGrid/>
              <w:spacing w:line="360" w:lineRule="exact"/>
              <w:textAlignment w:val="auto"/>
              <w:rPr>
                <w:rFonts w:hint="eastAsia" w:ascii="仿宋" w:hAnsi="仿宋" w:eastAsia="仿宋" w:cs="仿宋"/>
                <w:color w:val="auto"/>
                <w:sz w:val="21"/>
                <w:szCs w:val="21"/>
                <w:highlight w:val="none"/>
              </w:rPr>
            </w:pPr>
          </w:p>
        </w:tc>
      </w:tr>
      <w:tr w14:paraId="14099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408" w:type="dxa"/>
            <w:shd w:val="clear" w:color="auto" w:fill="auto"/>
            <w:noWrap w:val="0"/>
            <w:vAlign w:val="center"/>
          </w:tcPr>
          <w:p w14:paraId="173B526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1992" w:type="dxa"/>
            <w:shd w:val="clear" w:color="auto" w:fill="auto"/>
            <w:noWrap w:val="0"/>
            <w:vAlign w:val="center"/>
          </w:tcPr>
          <w:p w14:paraId="0AE03B7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i w:val="0"/>
                <w:iCs w:val="0"/>
                <w:color w:val="auto"/>
                <w:kern w:val="2"/>
                <w:sz w:val="21"/>
                <w:szCs w:val="21"/>
                <w:highlight w:val="none"/>
                <w:lang w:val="en-US" w:eastAsia="zh-CN" w:bidi="ar-SA"/>
              </w:rPr>
            </w:pPr>
            <w:r>
              <w:rPr>
                <w:rFonts w:hint="eastAsia" w:ascii="仿宋" w:hAnsi="仿宋" w:eastAsia="仿宋" w:cs="仿宋"/>
                <w:i w:val="0"/>
                <w:iCs w:val="0"/>
                <w:color w:val="auto"/>
                <w:kern w:val="2"/>
                <w:sz w:val="21"/>
                <w:szCs w:val="21"/>
                <w:highlight w:val="none"/>
                <w:lang w:val="en-US" w:eastAsia="zh-CN" w:bidi="ar-SA"/>
              </w:rPr>
              <w:t>采购需求三、技术要求1.基本要求</w:t>
            </w:r>
          </w:p>
          <w:p w14:paraId="398D2B8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i w:val="0"/>
                <w:iCs w:val="0"/>
                <w:color w:val="auto"/>
                <w:kern w:val="2"/>
                <w:sz w:val="21"/>
                <w:szCs w:val="21"/>
                <w:highlight w:val="none"/>
                <w:lang w:val="en-US" w:eastAsia="zh-CN" w:bidi="ar-SA"/>
              </w:rPr>
            </w:pPr>
          </w:p>
        </w:tc>
        <w:tc>
          <w:tcPr>
            <w:tcW w:w="4050" w:type="dxa"/>
            <w:shd w:val="clear" w:color="auto" w:fill="auto"/>
            <w:noWrap w:val="0"/>
            <w:vAlign w:val="center"/>
          </w:tcPr>
          <w:p w14:paraId="6EA6D59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i w:val="0"/>
                <w:iCs w:val="0"/>
                <w:color w:val="auto"/>
                <w:kern w:val="2"/>
                <w:sz w:val="21"/>
                <w:szCs w:val="21"/>
                <w:highlight w:val="none"/>
                <w:lang w:val="en-US" w:eastAsia="zh-CN" w:bidi="ar-SA"/>
              </w:rPr>
            </w:pPr>
            <w:r>
              <w:rPr>
                <w:rFonts w:hint="eastAsia" w:ascii="仿宋" w:hAnsi="仿宋" w:eastAsia="仿宋" w:cs="仿宋"/>
                <w:i w:val="0"/>
                <w:iCs w:val="0"/>
                <w:color w:val="auto"/>
                <w:kern w:val="2"/>
                <w:sz w:val="21"/>
                <w:szCs w:val="21"/>
                <w:highlight w:val="none"/>
                <w:lang w:val="en-US" w:eastAsia="zh-CN" w:bidi="ar-SA"/>
              </w:rPr>
              <w:t xml:space="preserve">（1）编制内容 </w:t>
            </w:r>
          </w:p>
          <w:p w14:paraId="5C29B3F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i w:val="0"/>
                <w:iCs w:val="0"/>
                <w:color w:val="auto"/>
                <w:kern w:val="2"/>
                <w:sz w:val="21"/>
                <w:szCs w:val="21"/>
                <w:highlight w:val="none"/>
                <w:lang w:val="en-US" w:eastAsia="zh-CN" w:bidi="ar-SA"/>
              </w:rPr>
            </w:pPr>
            <w:r>
              <w:rPr>
                <w:rFonts w:hint="eastAsia" w:ascii="仿宋" w:hAnsi="仿宋" w:eastAsia="仿宋" w:cs="仿宋"/>
                <w:i w:val="0"/>
                <w:iCs w:val="0"/>
                <w:color w:val="auto"/>
                <w:kern w:val="2"/>
                <w:sz w:val="21"/>
                <w:szCs w:val="21"/>
                <w:highlight w:val="none"/>
                <w:lang w:val="en-US" w:eastAsia="zh-CN" w:bidi="ar-SA"/>
              </w:rPr>
              <w:t>本次防洪规划工作，依据《防洪规划编制规程》（SL669-2014）等相关技术标准，在原防洪规划成果的基础上，按照自治区党委、乌鲁木齐市委、自治区水利厅关于乌鲁木齐高质量发展的总体要求，结合乌鲁木齐市经济社会发展规划布局要求、防洪现状及形势分析，对乌鲁木齐市各县区主要河流及山洪沟的防洪保护对象和防洪标准进行复核，防洪总体布局进行梳理分析，提出相应的防洪工程和非工程措施方案，编制并提交《乌鲁木齐市防洪规划报告》及《乌鲁木齐市防洪规划报告附图集》。</w:t>
            </w:r>
          </w:p>
          <w:p w14:paraId="3356142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i w:val="0"/>
                <w:iCs w:val="0"/>
                <w:color w:val="auto"/>
                <w:kern w:val="2"/>
                <w:sz w:val="21"/>
                <w:szCs w:val="21"/>
                <w:highlight w:val="none"/>
                <w:lang w:val="en-US" w:eastAsia="zh-CN" w:bidi="ar-SA"/>
              </w:rPr>
            </w:pPr>
            <w:r>
              <w:rPr>
                <w:rFonts w:hint="eastAsia" w:ascii="仿宋" w:hAnsi="仿宋" w:eastAsia="仿宋" w:cs="仿宋"/>
                <w:i w:val="0"/>
                <w:iCs w:val="0"/>
                <w:color w:val="auto"/>
                <w:kern w:val="2"/>
                <w:sz w:val="21"/>
                <w:szCs w:val="21"/>
                <w:highlight w:val="none"/>
                <w:lang w:val="en-US" w:eastAsia="zh-CN" w:bidi="ar-SA"/>
              </w:rPr>
              <w:t xml:space="preserve">（2）规划范围 </w:t>
            </w:r>
          </w:p>
          <w:p w14:paraId="488DCB5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i w:val="0"/>
                <w:iCs w:val="0"/>
                <w:color w:val="auto"/>
                <w:kern w:val="2"/>
                <w:sz w:val="21"/>
                <w:szCs w:val="21"/>
                <w:highlight w:val="none"/>
                <w:lang w:val="en-US" w:eastAsia="zh-CN" w:bidi="ar-SA"/>
              </w:rPr>
            </w:pPr>
            <w:r>
              <w:rPr>
                <w:rFonts w:hint="eastAsia" w:ascii="仿宋" w:hAnsi="仿宋" w:eastAsia="仿宋" w:cs="仿宋"/>
                <w:i w:val="0"/>
                <w:iCs w:val="0"/>
                <w:color w:val="auto"/>
                <w:kern w:val="2"/>
                <w:sz w:val="21"/>
                <w:szCs w:val="21"/>
                <w:highlight w:val="none"/>
                <w:lang w:val="en-US" w:eastAsia="zh-CN" w:bidi="ar-SA"/>
              </w:rPr>
              <w:t>规划范围涉及乌鲁木齐市天山区、高新技术产业开发区（新市区）、水磨沟区、经济技术开发区（头屯河区）、沙依巴克区、米东区、达坂城区、乌鲁木齐县以及甘泉堡工业园区，主要包括各区县所有危害城市、村镇、农田以及其他附属设施、建筑物的主要河流、山洪沟及城市内涝，规划面积约1.38万平方公里，占乌鲁木齐市国土面积的100%。</w:t>
            </w:r>
          </w:p>
          <w:p w14:paraId="3B3326B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i w:val="0"/>
                <w:iCs w:val="0"/>
                <w:color w:val="auto"/>
                <w:kern w:val="2"/>
                <w:sz w:val="21"/>
                <w:szCs w:val="21"/>
                <w:highlight w:val="none"/>
                <w:lang w:val="en-US" w:eastAsia="zh-CN" w:bidi="ar-SA"/>
              </w:rPr>
            </w:pPr>
            <w:r>
              <w:rPr>
                <w:rFonts w:hint="eastAsia" w:ascii="仿宋" w:hAnsi="仿宋" w:eastAsia="仿宋" w:cs="仿宋"/>
                <w:i w:val="0"/>
                <w:iCs w:val="0"/>
                <w:color w:val="auto"/>
                <w:kern w:val="2"/>
                <w:sz w:val="21"/>
                <w:szCs w:val="21"/>
                <w:highlight w:val="none"/>
                <w:lang w:val="en-US" w:eastAsia="zh-CN" w:bidi="ar-SA"/>
              </w:rPr>
              <w:t>（3）时间要求</w:t>
            </w:r>
          </w:p>
          <w:p w14:paraId="23D2EE3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i w:val="0"/>
                <w:iCs w:val="0"/>
                <w:color w:val="auto"/>
                <w:kern w:val="2"/>
                <w:sz w:val="21"/>
                <w:szCs w:val="21"/>
                <w:highlight w:val="none"/>
                <w:lang w:val="en-US" w:eastAsia="zh-CN" w:bidi="ar-SA"/>
              </w:rPr>
            </w:pPr>
            <w:r>
              <w:rPr>
                <w:rFonts w:hint="eastAsia" w:ascii="仿宋" w:hAnsi="仿宋" w:eastAsia="仿宋" w:cs="仿宋"/>
                <w:i w:val="0"/>
                <w:iCs w:val="0"/>
                <w:color w:val="auto"/>
                <w:kern w:val="2"/>
                <w:sz w:val="21"/>
                <w:szCs w:val="21"/>
                <w:highlight w:val="none"/>
                <w:lang w:val="en-US" w:eastAsia="zh-CN" w:bidi="ar-SA"/>
              </w:rPr>
              <w:t>2025年12月编制完成初稿，2026年6月完成审查后修改，报人民政府批复。</w:t>
            </w:r>
          </w:p>
          <w:p w14:paraId="6678FCC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i w:val="0"/>
                <w:iCs w:val="0"/>
                <w:color w:val="auto"/>
                <w:kern w:val="2"/>
                <w:sz w:val="21"/>
                <w:szCs w:val="21"/>
                <w:highlight w:val="none"/>
                <w:lang w:val="en-US" w:eastAsia="zh-CN" w:bidi="ar-SA"/>
              </w:rPr>
            </w:pPr>
            <w:r>
              <w:rPr>
                <w:rFonts w:hint="eastAsia" w:ascii="仿宋" w:hAnsi="仿宋" w:eastAsia="仿宋" w:cs="仿宋"/>
                <w:i w:val="0"/>
                <w:iCs w:val="0"/>
                <w:color w:val="auto"/>
                <w:kern w:val="2"/>
                <w:sz w:val="21"/>
                <w:szCs w:val="21"/>
                <w:highlight w:val="none"/>
                <w:lang w:val="en-US" w:eastAsia="zh-CN" w:bidi="ar-SA"/>
              </w:rPr>
              <w:t xml:space="preserve">（4）规划成果 </w:t>
            </w:r>
          </w:p>
          <w:p w14:paraId="0005C9D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i w:val="0"/>
                <w:iCs w:val="0"/>
                <w:color w:val="auto"/>
                <w:kern w:val="2"/>
                <w:sz w:val="21"/>
                <w:szCs w:val="21"/>
                <w:highlight w:val="none"/>
                <w:lang w:val="en-US" w:eastAsia="zh-CN" w:bidi="ar-SA"/>
              </w:rPr>
            </w:pPr>
            <w:r>
              <w:rPr>
                <w:rFonts w:hint="eastAsia" w:ascii="仿宋" w:hAnsi="仿宋" w:eastAsia="仿宋" w:cs="仿宋"/>
                <w:i w:val="0"/>
                <w:iCs w:val="0"/>
                <w:color w:val="auto"/>
                <w:kern w:val="2"/>
                <w:sz w:val="21"/>
                <w:szCs w:val="21"/>
                <w:highlight w:val="none"/>
                <w:lang w:val="en-US" w:eastAsia="zh-CN" w:bidi="ar-SA"/>
              </w:rPr>
              <w:t>《乌鲁木齐市防洪规划报告》及《乌鲁木齐市防洪规划报告附图集》。</w:t>
            </w:r>
          </w:p>
          <w:p w14:paraId="3382AFA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i w:val="0"/>
                <w:iCs w:val="0"/>
                <w:color w:val="auto"/>
                <w:kern w:val="2"/>
                <w:sz w:val="21"/>
                <w:szCs w:val="21"/>
                <w:highlight w:val="none"/>
                <w:lang w:val="en-US" w:eastAsia="zh-CN" w:bidi="ar-SA"/>
              </w:rPr>
            </w:pPr>
            <w:r>
              <w:rPr>
                <w:rFonts w:hint="eastAsia" w:ascii="仿宋" w:hAnsi="仿宋" w:eastAsia="仿宋" w:cs="仿宋"/>
                <w:i w:val="0"/>
                <w:iCs w:val="0"/>
                <w:color w:val="auto"/>
                <w:kern w:val="2"/>
                <w:sz w:val="21"/>
                <w:szCs w:val="21"/>
                <w:highlight w:val="none"/>
                <w:lang w:val="en-US" w:eastAsia="zh-CN" w:bidi="ar-SA"/>
              </w:rPr>
              <w:t xml:space="preserve">（5）其他特殊要求 </w:t>
            </w:r>
          </w:p>
          <w:p w14:paraId="596F265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i w:val="0"/>
                <w:iCs w:val="0"/>
                <w:color w:val="auto"/>
                <w:kern w:val="2"/>
                <w:sz w:val="21"/>
                <w:szCs w:val="21"/>
                <w:highlight w:val="none"/>
                <w:lang w:val="en-US" w:eastAsia="zh-CN" w:bidi="ar-SA"/>
              </w:rPr>
            </w:pPr>
            <w:r>
              <w:rPr>
                <w:rFonts w:hint="eastAsia" w:ascii="仿宋" w:hAnsi="仿宋" w:eastAsia="仿宋" w:cs="仿宋"/>
                <w:i w:val="0"/>
                <w:iCs w:val="0"/>
                <w:color w:val="auto"/>
                <w:kern w:val="2"/>
                <w:sz w:val="21"/>
                <w:szCs w:val="21"/>
                <w:highlight w:val="none"/>
                <w:lang w:val="en-US" w:eastAsia="zh-CN" w:bidi="ar-SA"/>
              </w:rPr>
              <w:t>规划中要体现关于城市内涝部分（冒溢点）的相关规划内容。</w:t>
            </w:r>
          </w:p>
        </w:tc>
        <w:tc>
          <w:tcPr>
            <w:tcW w:w="1840" w:type="dxa"/>
            <w:noWrap w:val="0"/>
            <w:vAlign w:val="center"/>
          </w:tcPr>
          <w:p w14:paraId="2CED6A8D">
            <w:pPr>
              <w:keepNext w:val="0"/>
              <w:keepLines w:val="0"/>
              <w:pageBreakBefore w:val="0"/>
              <w:widowControl w:val="0"/>
              <w:kinsoku/>
              <w:wordWrap/>
              <w:overflowPunct/>
              <w:topLinePunct w:val="0"/>
              <w:bidi w:val="0"/>
              <w:adjustRightInd/>
              <w:snapToGrid/>
              <w:spacing w:line="360" w:lineRule="exact"/>
              <w:textAlignment w:val="auto"/>
              <w:rPr>
                <w:rFonts w:hint="eastAsia" w:ascii="仿宋" w:hAnsi="仿宋" w:eastAsia="仿宋" w:cs="仿宋"/>
                <w:color w:val="auto"/>
                <w:sz w:val="21"/>
                <w:szCs w:val="21"/>
                <w:highlight w:val="none"/>
              </w:rPr>
            </w:pPr>
          </w:p>
        </w:tc>
        <w:tc>
          <w:tcPr>
            <w:tcW w:w="972" w:type="dxa"/>
            <w:noWrap w:val="0"/>
            <w:vAlign w:val="center"/>
          </w:tcPr>
          <w:p w14:paraId="31A5BC79">
            <w:pPr>
              <w:keepNext w:val="0"/>
              <w:keepLines w:val="0"/>
              <w:pageBreakBefore w:val="0"/>
              <w:widowControl w:val="0"/>
              <w:kinsoku/>
              <w:wordWrap/>
              <w:overflowPunct/>
              <w:topLinePunct w:val="0"/>
              <w:bidi w:val="0"/>
              <w:adjustRightInd/>
              <w:snapToGrid/>
              <w:spacing w:line="360" w:lineRule="exact"/>
              <w:textAlignment w:val="auto"/>
              <w:rPr>
                <w:rFonts w:hint="eastAsia" w:ascii="仿宋" w:hAnsi="仿宋" w:eastAsia="仿宋" w:cs="仿宋"/>
                <w:color w:val="auto"/>
                <w:sz w:val="21"/>
                <w:szCs w:val="21"/>
                <w:highlight w:val="none"/>
              </w:rPr>
            </w:pPr>
          </w:p>
        </w:tc>
      </w:tr>
    </w:tbl>
    <w:p w14:paraId="2219C886">
      <w:pP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br w:type="page"/>
      </w:r>
    </w:p>
    <w:p w14:paraId="0DF9B315">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ascii="仿宋" w:hAnsi="仿宋" w:eastAsia="仿宋" w:cs="仿宋"/>
          <w:b/>
          <w:bCs/>
          <w:color w:val="auto"/>
          <w:kern w:val="2"/>
          <w:sz w:val="32"/>
          <w:szCs w:val="32"/>
          <w:highlight w:val="none"/>
          <w:lang w:val="en-US" w:eastAsia="zh-CN" w:bidi="ar-SA"/>
        </w:rPr>
      </w:pPr>
      <w:bookmarkStart w:id="768" w:name="_Toc18155"/>
      <w:r>
        <w:rPr>
          <w:rFonts w:hint="eastAsia" w:ascii="仿宋" w:hAnsi="仿宋" w:eastAsia="仿宋" w:cs="仿宋"/>
          <w:b/>
          <w:bCs/>
          <w:color w:val="auto"/>
          <w:kern w:val="2"/>
          <w:sz w:val="32"/>
          <w:szCs w:val="32"/>
          <w:highlight w:val="none"/>
          <w:lang w:val="en-US" w:eastAsia="zh-CN" w:bidi="ar-SA"/>
        </w:rPr>
        <w:t>六、业绩证明文件</w:t>
      </w:r>
      <w:bookmarkEnd w:id="768"/>
    </w:p>
    <w:p w14:paraId="1DAC0113">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Cs w:val="24"/>
          <w:highlight w:val="none"/>
        </w:rPr>
      </w:pPr>
      <w:r>
        <w:rPr>
          <w:rFonts w:hint="eastAsia" w:ascii="仿宋" w:hAnsi="仿宋" w:eastAsia="仿宋" w:cs="仿宋"/>
          <w:bCs/>
          <w:color w:val="auto"/>
          <w:szCs w:val="21"/>
          <w:highlight w:val="none"/>
        </w:rPr>
        <w:fldChar w:fldCharType="begin"/>
      </w:r>
      <w:r>
        <w:rPr>
          <w:rFonts w:hint="eastAsia" w:ascii="仿宋" w:hAnsi="仿宋" w:eastAsia="仿宋" w:cs="仿宋"/>
          <w:bCs/>
          <w:color w:val="auto"/>
          <w:szCs w:val="21"/>
          <w:highlight w:val="none"/>
        </w:rPr>
        <w:instrText xml:space="preserve"> LINK Word.Document.8 "D:\\音乐厅\\4通用设备\\招标文件\\音乐厅空调设备招标文件v1.0.doc" "OLE_LINK8" \r  \* MERGEFORMAT </w:instrText>
      </w:r>
      <w:r>
        <w:rPr>
          <w:rFonts w:hint="eastAsia" w:ascii="仿宋" w:hAnsi="仿宋" w:eastAsia="仿宋" w:cs="仿宋"/>
          <w:bCs/>
          <w:color w:val="auto"/>
          <w:szCs w:val="21"/>
          <w:highlight w:val="none"/>
        </w:rPr>
        <w:fldChar w:fldCharType="separate"/>
      </w:r>
      <w:r>
        <w:rPr>
          <w:rFonts w:hint="eastAsia" w:ascii="仿宋" w:hAnsi="仿宋" w:eastAsia="仿宋" w:cs="仿宋"/>
          <w:color w:val="auto"/>
          <w:szCs w:val="24"/>
          <w:highlight w:val="none"/>
        </w:rPr>
        <w:t>项目名称：</w:t>
      </w:r>
    </w:p>
    <w:p w14:paraId="46762A03">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Cs/>
          <w:color w:val="auto"/>
          <w:szCs w:val="21"/>
          <w:highlight w:val="none"/>
        </w:rPr>
      </w:pPr>
      <w:r>
        <w:rPr>
          <w:rFonts w:hint="eastAsia" w:ascii="仿宋" w:hAnsi="仿宋" w:eastAsia="仿宋" w:cs="仿宋"/>
          <w:color w:val="auto"/>
          <w:szCs w:val="24"/>
          <w:highlight w:val="none"/>
        </w:rPr>
        <w:t>项目编号：</w:t>
      </w:r>
      <w:r>
        <w:rPr>
          <w:rFonts w:hint="eastAsia" w:ascii="仿宋" w:hAnsi="仿宋" w:eastAsia="仿宋" w:cs="仿宋"/>
          <w:bCs/>
          <w:color w:val="auto"/>
          <w:szCs w:val="21"/>
          <w:highlight w:val="none"/>
        </w:rPr>
        <w:fldChar w:fldCharType="end"/>
      </w:r>
    </w:p>
    <w:tbl>
      <w:tblPr>
        <w:tblStyle w:val="30"/>
        <w:tblW w:w="8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80"/>
        <w:gridCol w:w="1248"/>
        <w:gridCol w:w="1129"/>
        <w:gridCol w:w="1283"/>
        <w:gridCol w:w="1368"/>
        <w:gridCol w:w="960"/>
        <w:gridCol w:w="1176"/>
      </w:tblGrid>
      <w:tr w14:paraId="7BC55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44" w:type="dxa"/>
            <w:vAlign w:val="center"/>
          </w:tcPr>
          <w:p w14:paraId="52FB53B5">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bookmarkStart w:id="769" w:name="_Hlk46779239"/>
            <w:r>
              <w:rPr>
                <w:rFonts w:hint="eastAsia" w:ascii="仿宋" w:hAnsi="仿宋" w:eastAsia="仿宋" w:cs="仿宋"/>
                <w:color w:val="auto"/>
                <w:sz w:val="21"/>
                <w:szCs w:val="21"/>
                <w:highlight w:val="none"/>
              </w:rPr>
              <w:t>序号</w:t>
            </w:r>
          </w:p>
        </w:tc>
        <w:tc>
          <w:tcPr>
            <w:tcW w:w="1080" w:type="dxa"/>
            <w:vAlign w:val="center"/>
          </w:tcPr>
          <w:p w14:paraId="0EAB0712">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完成时间</w:t>
            </w:r>
          </w:p>
        </w:tc>
        <w:tc>
          <w:tcPr>
            <w:tcW w:w="1248" w:type="dxa"/>
            <w:vAlign w:val="center"/>
          </w:tcPr>
          <w:p w14:paraId="1A7CD3CA">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项目名称</w:t>
            </w:r>
          </w:p>
        </w:tc>
        <w:tc>
          <w:tcPr>
            <w:tcW w:w="1129" w:type="dxa"/>
            <w:vAlign w:val="center"/>
          </w:tcPr>
          <w:p w14:paraId="7FBD02E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标的</w:t>
            </w:r>
            <w:r>
              <w:rPr>
                <w:rFonts w:hint="eastAsia" w:ascii="仿宋" w:hAnsi="仿宋" w:eastAsia="仿宋" w:cs="仿宋"/>
                <w:color w:val="auto"/>
                <w:sz w:val="21"/>
                <w:szCs w:val="21"/>
                <w:highlight w:val="none"/>
              </w:rPr>
              <w:t>内容</w:t>
            </w:r>
          </w:p>
        </w:tc>
        <w:tc>
          <w:tcPr>
            <w:tcW w:w="1283" w:type="dxa"/>
            <w:vAlign w:val="center"/>
          </w:tcPr>
          <w:p w14:paraId="2BF7E48F">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采购人</w:t>
            </w:r>
            <w:r>
              <w:rPr>
                <w:rFonts w:hint="eastAsia" w:ascii="仿宋" w:hAnsi="仿宋" w:eastAsia="仿宋" w:cs="仿宋"/>
                <w:color w:val="auto"/>
                <w:sz w:val="21"/>
                <w:szCs w:val="21"/>
                <w:highlight w:val="none"/>
              </w:rPr>
              <w:t>名称</w:t>
            </w:r>
          </w:p>
        </w:tc>
        <w:tc>
          <w:tcPr>
            <w:tcW w:w="1368" w:type="dxa"/>
            <w:vAlign w:val="center"/>
          </w:tcPr>
          <w:p w14:paraId="157D3338">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中标（成交）金额</w:t>
            </w:r>
          </w:p>
        </w:tc>
        <w:tc>
          <w:tcPr>
            <w:tcW w:w="960" w:type="dxa"/>
            <w:vAlign w:val="center"/>
          </w:tcPr>
          <w:p w14:paraId="562A269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联系人</w:t>
            </w:r>
          </w:p>
        </w:tc>
        <w:tc>
          <w:tcPr>
            <w:tcW w:w="1176" w:type="dxa"/>
            <w:vAlign w:val="center"/>
          </w:tcPr>
          <w:p w14:paraId="7589AC04">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联系电话</w:t>
            </w:r>
          </w:p>
        </w:tc>
      </w:tr>
      <w:tr w14:paraId="724D3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44" w:type="dxa"/>
            <w:vAlign w:val="center"/>
          </w:tcPr>
          <w:p w14:paraId="71C186FC">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080" w:type="dxa"/>
            <w:vAlign w:val="center"/>
          </w:tcPr>
          <w:p w14:paraId="53ABDE73">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1"/>
                <w:szCs w:val="21"/>
                <w:highlight w:val="none"/>
              </w:rPr>
            </w:pPr>
          </w:p>
        </w:tc>
        <w:tc>
          <w:tcPr>
            <w:tcW w:w="1248" w:type="dxa"/>
            <w:vAlign w:val="center"/>
          </w:tcPr>
          <w:p w14:paraId="288C9C4F">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1"/>
                <w:szCs w:val="21"/>
                <w:highlight w:val="none"/>
              </w:rPr>
            </w:pPr>
          </w:p>
        </w:tc>
        <w:tc>
          <w:tcPr>
            <w:tcW w:w="1129" w:type="dxa"/>
            <w:vAlign w:val="center"/>
          </w:tcPr>
          <w:p w14:paraId="02269E73">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1"/>
                <w:szCs w:val="21"/>
                <w:highlight w:val="none"/>
              </w:rPr>
            </w:pPr>
          </w:p>
        </w:tc>
        <w:tc>
          <w:tcPr>
            <w:tcW w:w="1283" w:type="dxa"/>
            <w:vAlign w:val="center"/>
          </w:tcPr>
          <w:p w14:paraId="15170CA0">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1"/>
                <w:szCs w:val="21"/>
                <w:highlight w:val="none"/>
              </w:rPr>
            </w:pPr>
          </w:p>
        </w:tc>
        <w:tc>
          <w:tcPr>
            <w:tcW w:w="1368" w:type="dxa"/>
            <w:vAlign w:val="center"/>
          </w:tcPr>
          <w:p w14:paraId="5037C609">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1"/>
                <w:szCs w:val="21"/>
                <w:highlight w:val="none"/>
              </w:rPr>
            </w:pPr>
          </w:p>
        </w:tc>
        <w:tc>
          <w:tcPr>
            <w:tcW w:w="960" w:type="dxa"/>
            <w:vAlign w:val="center"/>
          </w:tcPr>
          <w:p w14:paraId="23F9B9F3">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1"/>
                <w:szCs w:val="21"/>
                <w:highlight w:val="none"/>
              </w:rPr>
            </w:pPr>
          </w:p>
        </w:tc>
        <w:tc>
          <w:tcPr>
            <w:tcW w:w="1176" w:type="dxa"/>
            <w:vAlign w:val="center"/>
          </w:tcPr>
          <w:p w14:paraId="118C9CE4">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1"/>
                <w:szCs w:val="21"/>
                <w:highlight w:val="none"/>
              </w:rPr>
            </w:pPr>
          </w:p>
        </w:tc>
      </w:tr>
      <w:tr w14:paraId="63082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44" w:type="dxa"/>
            <w:vAlign w:val="center"/>
          </w:tcPr>
          <w:p w14:paraId="58EE87D9">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080" w:type="dxa"/>
            <w:vAlign w:val="center"/>
          </w:tcPr>
          <w:p w14:paraId="5D6B3B3C">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1"/>
                <w:szCs w:val="21"/>
                <w:highlight w:val="none"/>
              </w:rPr>
            </w:pPr>
          </w:p>
        </w:tc>
        <w:tc>
          <w:tcPr>
            <w:tcW w:w="1248" w:type="dxa"/>
            <w:vAlign w:val="center"/>
          </w:tcPr>
          <w:p w14:paraId="04D4D697">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1"/>
                <w:szCs w:val="21"/>
                <w:highlight w:val="none"/>
              </w:rPr>
            </w:pPr>
          </w:p>
        </w:tc>
        <w:tc>
          <w:tcPr>
            <w:tcW w:w="1129" w:type="dxa"/>
            <w:vAlign w:val="center"/>
          </w:tcPr>
          <w:p w14:paraId="7B3F7021">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1"/>
                <w:szCs w:val="21"/>
                <w:highlight w:val="none"/>
              </w:rPr>
            </w:pPr>
          </w:p>
        </w:tc>
        <w:tc>
          <w:tcPr>
            <w:tcW w:w="1283" w:type="dxa"/>
            <w:vAlign w:val="center"/>
          </w:tcPr>
          <w:p w14:paraId="2150F698">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1"/>
                <w:szCs w:val="21"/>
                <w:highlight w:val="none"/>
              </w:rPr>
            </w:pPr>
          </w:p>
        </w:tc>
        <w:tc>
          <w:tcPr>
            <w:tcW w:w="1368" w:type="dxa"/>
            <w:vAlign w:val="center"/>
          </w:tcPr>
          <w:p w14:paraId="0A530DB4">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1"/>
                <w:szCs w:val="21"/>
                <w:highlight w:val="none"/>
              </w:rPr>
            </w:pPr>
          </w:p>
        </w:tc>
        <w:tc>
          <w:tcPr>
            <w:tcW w:w="960" w:type="dxa"/>
            <w:vAlign w:val="center"/>
          </w:tcPr>
          <w:p w14:paraId="25923599">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1"/>
                <w:szCs w:val="21"/>
                <w:highlight w:val="none"/>
              </w:rPr>
            </w:pPr>
          </w:p>
        </w:tc>
        <w:tc>
          <w:tcPr>
            <w:tcW w:w="1176" w:type="dxa"/>
            <w:vAlign w:val="center"/>
          </w:tcPr>
          <w:p w14:paraId="5BCBAD30">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1"/>
                <w:szCs w:val="21"/>
                <w:highlight w:val="none"/>
              </w:rPr>
            </w:pPr>
          </w:p>
        </w:tc>
      </w:tr>
      <w:tr w14:paraId="03EC6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44" w:type="dxa"/>
            <w:vAlign w:val="center"/>
          </w:tcPr>
          <w:p w14:paraId="72487490">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1080" w:type="dxa"/>
            <w:vAlign w:val="center"/>
          </w:tcPr>
          <w:p w14:paraId="5BC84821">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1"/>
                <w:szCs w:val="21"/>
                <w:highlight w:val="none"/>
              </w:rPr>
            </w:pPr>
          </w:p>
        </w:tc>
        <w:tc>
          <w:tcPr>
            <w:tcW w:w="1248" w:type="dxa"/>
            <w:vAlign w:val="center"/>
          </w:tcPr>
          <w:p w14:paraId="2CEF45C8">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1"/>
                <w:szCs w:val="21"/>
                <w:highlight w:val="none"/>
              </w:rPr>
            </w:pPr>
          </w:p>
        </w:tc>
        <w:tc>
          <w:tcPr>
            <w:tcW w:w="1129" w:type="dxa"/>
            <w:vAlign w:val="center"/>
          </w:tcPr>
          <w:p w14:paraId="385C4C8C">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1"/>
                <w:szCs w:val="21"/>
                <w:highlight w:val="none"/>
              </w:rPr>
            </w:pPr>
          </w:p>
        </w:tc>
        <w:tc>
          <w:tcPr>
            <w:tcW w:w="1283" w:type="dxa"/>
            <w:vAlign w:val="center"/>
          </w:tcPr>
          <w:p w14:paraId="3DC24BA2">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1"/>
                <w:szCs w:val="21"/>
                <w:highlight w:val="none"/>
              </w:rPr>
            </w:pPr>
          </w:p>
        </w:tc>
        <w:tc>
          <w:tcPr>
            <w:tcW w:w="1368" w:type="dxa"/>
            <w:vAlign w:val="center"/>
          </w:tcPr>
          <w:p w14:paraId="56DFCDE8">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1"/>
                <w:szCs w:val="21"/>
                <w:highlight w:val="none"/>
              </w:rPr>
            </w:pPr>
          </w:p>
        </w:tc>
        <w:tc>
          <w:tcPr>
            <w:tcW w:w="960" w:type="dxa"/>
            <w:vAlign w:val="center"/>
          </w:tcPr>
          <w:p w14:paraId="1CD30C2F">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1"/>
                <w:szCs w:val="21"/>
                <w:highlight w:val="none"/>
              </w:rPr>
            </w:pPr>
          </w:p>
        </w:tc>
        <w:tc>
          <w:tcPr>
            <w:tcW w:w="1176" w:type="dxa"/>
            <w:vAlign w:val="center"/>
          </w:tcPr>
          <w:p w14:paraId="71879EA6">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1"/>
                <w:szCs w:val="21"/>
                <w:highlight w:val="none"/>
              </w:rPr>
            </w:pPr>
          </w:p>
        </w:tc>
      </w:tr>
      <w:tr w14:paraId="6BD24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44" w:type="dxa"/>
            <w:vAlign w:val="center"/>
          </w:tcPr>
          <w:p w14:paraId="6BCDBBEF">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1080" w:type="dxa"/>
            <w:vAlign w:val="center"/>
          </w:tcPr>
          <w:p w14:paraId="66EED9DA">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1"/>
                <w:szCs w:val="21"/>
                <w:highlight w:val="none"/>
              </w:rPr>
            </w:pPr>
          </w:p>
        </w:tc>
        <w:tc>
          <w:tcPr>
            <w:tcW w:w="1248" w:type="dxa"/>
            <w:vAlign w:val="center"/>
          </w:tcPr>
          <w:p w14:paraId="44F5D9C8">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1"/>
                <w:szCs w:val="21"/>
                <w:highlight w:val="none"/>
              </w:rPr>
            </w:pPr>
          </w:p>
        </w:tc>
        <w:tc>
          <w:tcPr>
            <w:tcW w:w="1129" w:type="dxa"/>
            <w:vAlign w:val="center"/>
          </w:tcPr>
          <w:p w14:paraId="19F3AF75">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1"/>
                <w:szCs w:val="21"/>
                <w:highlight w:val="none"/>
              </w:rPr>
            </w:pPr>
          </w:p>
        </w:tc>
        <w:tc>
          <w:tcPr>
            <w:tcW w:w="1283" w:type="dxa"/>
            <w:vAlign w:val="center"/>
          </w:tcPr>
          <w:p w14:paraId="7D7D26B8">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1"/>
                <w:szCs w:val="21"/>
                <w:highlight w:val="none"/>
              </w:rPr>
            </w:pPr>
          </w:p>
        </w:tc>
        <w:tc>
          <w:tcPr>
            <w:tcW w:w="1368" w:type="dxa"/>
            <w:vAlign w:val="center"/>
          </w:tcPr>
          <w:p w14:paraId="30801230">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1"/>
                <w:szCs w:val="21"/>
                <w:highlight w:val="none"/>
              </w:rPr>
            </w:pPr>
          </w:p>
        </w:tc>
        <w:tc>
          <w:tcPr>
            <w:tcW w:w="960" w:type="dxa"/>
            <w:vAlign w:val="center"/>
          </w:tcPr>
          <w:p w14:paraId="401105FF">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1"/>
                <w:szCs w:val="21"/>
                <w:highlight w:val="none"/>
              </w:rPr>
            </w:pPr>
          </w:p>
        </w:tc>
        <w:tc>
          <w:tcPr>
            <w:tcW w:w="1176" w:type="dxa"/>
            <w:vAlign w:val="center"/>
          </w:tcPr>
          <w:p w14:paraId="3924CA27">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1"/>
                <w:szCs w:val="21"/>
                <w:highlight w:val="none"/>
              </w:rPr>
            </w:pPr>
          </w:p>
        </w:tc>
      </w:tr>
      <w:tr w14:paraId="67BCE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44" w:type="dxa"/>
            <w:vAlign w:val="center"/>
          </w:tcPr>
          <w:p w14:paraId="67D2F3E1">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1080" w:type="dxa"/>
            <w:vAlign w:val="center"/>
          </w:tcPr>
          <w:p w14:paraId="3EA8D997">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1"/>
                <w:szCs w:val="21"/>
                <w:highlight w:val="none"/>
              </w:rPr>
            </w:pPr>
          </w:p>
        </w:tc>
        <w:tc>
          <w:tcPr>
            <w:tcW w:w="1248" w:type="dxa"/>
            <w:vAlign w:val="center"/>
          </w:tcPr>
          <w:p w14:paraId="6E0939A0">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1"/>
                <w:szCs w:val="21"/>
                <w:highlight w:val="none"/>
              </w:rPr>
            </w:pPr>
          </w:p>
        </w:tc>
        <w:tc>
          <w:tcPr>
            <w:tcW w:w="1129" w:type="dxa"/>
            <w:vAlign w:val="center"/>
          </w:tcPr>
          <w:p w14:paraId="45775813">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1"/>
                <w:szCs w:val="21"/>
                <w:highlight w:val="none"/>
              </w:rPr>
            </w:pPr>
          </w:p>
        </w:tc>
        <w:tc>
          <w:tcPr>
            <w:tcW w:w="1283" w:type="dxa"/>
            <w:vAlign w:val="center"/>
          </w:tcPr>
          <w:p w14:paraId="3CF59EE3">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1"/>
                <w:szCs w:val="21"/>
                <w:highlight w:val="none"/>
              </w:rPr>
            </w:pPr>
          </w:p>
        </w:tc>
        <w:tc>
          <w:tcPr>
            <w:tcW w:w="1368" w:type="dxa"/>
            <w:vAlign w:val="center"/>
          </w:tcPr>
          <w:p w14:paraId="6CEC5F46">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1"/>
                <w:szCs w:val="21"/>
                <w:highlight w:val="none"/>
              </w:rPr>
            </w:pPr>
          </w:p>
        </w:tc>
        <w:tc>
          <w:tcPr>
            <w:tcW w:w="960" w:type="dxa"/>
            <w:vAlign w:val="center"/>
          </w:tcPr>
          <w:p w14:paraId="6536B0B9">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1"/>
                <w:szCs w:val="21"/>
                <w:highlight w:val="none"/>
              </w:rPr>
            </w:pPr>
          </w:p>
        </w:tc>
        <w:tc>
          <w:tcPr>
            <w:tcW w:w="1176" w:type="dxa"/>
            <w:vAlign w:val="center"/>
          </w:tcPr>
          <w:p w14:paraId="1BCBFEC7">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1"/>
                <w:szCs w:val="21"/>
                <w:highlight w:val="none"/>
              </w:rPr>
            </w:pPr>
          </w:p>
        </w:tc>
      </w:tr>
      <w:tr w14:paraId="7078D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4" w:type="dxa"/>
            <w:vAlign w:val="center"/>
          </w:tcPr>
          <w:p w14:paraId="128116C9">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c>
          <w:tcPr>
            <w:tcW w:w="1080" w:type="dxa"/>
            <w:vAlign w:val="center"/>
          </w:tcPr>
          <w:p w14:paraId="67870348">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1"/>
                <w:szCs w:val="21"/>
                <w:highlight w:val="none"/>
              </w:rPr>
            </w:pPr>
          </w:p>
        </w:tc>
        <w:tc>
          <w:tcPr>
            <w:tcW w:w="1248" w:type="dxa"/>
            <w:vAlign w:val="center"/>
          </w:tcPr>
          <w:p w14:paraId="330C9F69">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1"/>
                <w:szCs w:val="21"/>
                <w:highlight w:val="none"/>
              </w:rPr>
            </w:pPr>
          </w:p>
        </w:tc>
        <w:tc>
          <w:tcPr>
            <w:tcW w:w="1129" w:type="dxa"/>
            <w:vAlign w:val="center"/>
          </w:tcPr>
          <w:p w14:paraId="7D004765">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1"/>
                <w:szCs w:val="21"/>
                <w:highlight w:val="none"/>
              </w:rPr>
            </w:pPr>
          </w:p>
        </w:tc>
        <w:tc>
          <w:tcPr>
            <w:tcW w:w="1283" w:type="dxa"/>
            <w:vAlign w:val="center"/>
          </w:tcPr>
          <w:p w14:paraId="070522F1">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1"/>
                <w:szCs w:val="21"/>
                <w:highlight w:val="none"/>
              </w:rPr>
            </w:pPr>
          </w:p>
        </w:tc>
        <w:tc>
          <w:tcPr>
            <w:tcW w:w="1368" w:type="dxa"/>
            <w:vAlign w:val="center"/>
          </w:tcPr>
          <w:p w14:paraId="690FE94C">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1"/>
                <w:szCs w:val="21"/>
                <w:highlight w:val="none"/>
              </w:rPr>
            </w:pPr>
          </w:p>
        </w:tc>
        <w:tc>
          <w:tcPr>
            <w:tcW w:w="960" w:type="dxa"/>
            <w:vAlign w:val="center"/>
          </w:tcPr>
          <w:p w14:paraId="3BB28002">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1"/>
                <w:szCs w:val="21"/>
                <w:highlight w:val="none"/>
              </w:rPr>
            </w:pPr>
          </w:p>
        </w:tc>
        <w:tc>
          <w:tcPr>
            <w:tcW w:w="1176" w:type="dxa"/>
            <w:vAlign w:val="center"/>
          </w:tcPr>
          <w:p w14:paraId="56B4F0E0">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1"/>
                <w:szCs w:val="21"/>
                <w:highlight w:val="none"/>
              </w:rPr>
            </w:pPr>
          </w:p>
        </w:tc>
      </w:tr>
      <w:bookmarkEnd w:id="769"/>
    </w:tbl>
    <w:p w14:paraId="1F1B2613">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注：投标人须按</w:t>
      </w:r>
      <w:r>
        <w:rPr>
          <w:rFonts w:hint="eastAsia" w:ascii="仿宋" w:hAnsi="仿宋" w:eastAsia="仿宋" w:cs="仿宋"/>
          <w:color w:val="auto"/>
          <w:sz w:val="21"/>
          <w:szCs w:val="21"/>
          <w:highlight w:val="none"/>
          <w:lang w:val="en-US" w:eastAsia="zh-CN"/>
        </w:rPr>
        <w:t>相关要求</w:t>
      </w:r>
      <w:r>
        <w:rPr>
          <w:rFonts w:hint="eastAsia" w:ascii="仿宋" w:hAnsi="仿宋" w:eastAsia="仿宋" w:cs="仿宋"/>
          <w:color w:val="auto"/>
          <w:sz w:val="21"/>
          <w:szCs w:val="21"/>
          <w:highlight w:val="none"/>
        </w:rPr>
        <w:t>提供相应的</w:t>
      </w:r>
      <w:r>
        <w:rPr>
          <w:rFonts w:hint="eastAsia" w:ascii="仿宋" w:hAnsi="仿宋" w:eastAsia="仿宋" w:cs="仿宋"/>
          <w:color w:val="auto"/>
          <w:sz w:val="21"/>
          <w:szCs w:val="21"/>
          <w:highlight w:val="none"/>
          <w:lang w:val="en-US" w:eastAsia="zh-CN"/>
        </w:rPr>
        <w:t>采购合同等</w:t>
      </w:r>
      <w:r>
        <w:rPr>
          <w:rFonts w:hint="eastAsia" w:ascii="仿宋" w:hAnsi="仿宋" w:eastAsia="仿宋" w:cs="仿宋"/>
          <w:color w:val="auto"/>
          <w:sz w:val="21"/>
          <w:szCs w:val="21"/>
          <w:highlight w:val="none"/>
        </w:rPr>
        <w:t>业绩证明资料。</w:t>
      </w:r>
    </w:p>
    <w:p w14:paraId="2B7482A7">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Cs w:val="24"/>
          <w:highlight w:val="none"/>
        </w:rPr>
      </w:pPr>
    </w:p>
    <w:p w14:paraId="0ADDCABE">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投标人名称</w:t>
      </w:r>
      <w:r>
        <w:rPr>
          <w:rFonts w:hint="eastAsia" w:ascii="仿宋" w:hAnsi="仿宋" w:eastAsia="仿宋" w:cs="仿宋"/>
          <w:color w:val="auto"/>
          <w:szCs w:val="24"/>
          <w:highlight w:val="none"/>
          <w:lang w:eastAsia="zh-CN"/>
        </w:rPr>
        <w:t>（</w:t>
      </w:r>
      <w:r>
        <w:rPr>
          <w:rFonts w:hint="eastAsia" w:ascii="仿宋" w:hAnsi="仿宋" w:eastAsia="仿宋" w:cs="仿宋"/>
          <w:color w:val="auto"/>
          <w:kern w:val="0"/>
          <w:sz w:val="24"/>
          <w:szCs w:val="24"/>
          <w:highlight w:val="none"/>
          <w:lang w:val="en-US" w:eastAsia="zh-CN"/>
        </w:rPr>
        <w:t>公</w:t>
      </w:r>
      <w:r>
        <w:rPr>
          <w:rFonts w:hint="eastAsia" w:ascii="仿宋" w:hAnsi="仿宋" w:eastAsia="仿宋" w:cs="仿宋"/>
          <w:color w:val="auto"/>
          <w:kern w:val="0"/>
          <w:sz w:val="24"/>
          <w:szCs w:val="24"/>
          <w:highlight w:val="none"/>
          <w:lang w:eastAsia="zh-CN"/>
        </w:rPr>
        <w:t>章</w:t>
      </w:r>
      <w:r>
        <w:rPr>
          <w:rFonts w:hint="eastAsia" w:ascii="仿宋" w:hAnsi="仿宋" w:eastAsia="仿宋" w:cs="仿宋"/>
          <w:color w:val="auto"/>
          <w:kern w:val="0"/>
          <w:sz w:val="24"/>
          <w:highlight w:val="none"/>
          <w:lang w:val="zh-CN"/>
        </w:rPr>
        <w:t>)</w:t>
      </w:r>
      <w:r>
        <w:rPr>
          <w:rFonts w:hint="eastAsia" w:ascii="仿宋" w:hAnsi="仿宋" w:eastAsia="仿宋" w:cs="仿宋"/>
          <w:color w:val="auto"/>
          <w:szCs w:val="24"/>
          <w:highlight w:val="none"/>
        </w:rPr>
        <w:t>：</w:t>
      </w:r>
    </w:p>
    <w:p w14:paraId="5D160FA1">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日期：</w:t>
      </w:r>
      <w:r>
        <w:rPr>
          <w:rFonts w:hint="eastAsia" w:ascii="仿宋" w:hAnsi="仿宋" w:eastAsia="仿宋" w:cs="仿宋"/>
          <w:color w:val="auto"/>
          <w:kern w:val="0"/>
          <w:sz w:val="24"/>
          <w:szCs w:val="24"/>
          <w:lang w:val="en-US" w:eastAsia="zh-CN" w:bidi="ar"/>
        </w:rPr>
        <w:t xml:space="preserve">  年  月  日</w:t>
      </w:r>
    </w:p>
    <w:p w14:paraId="11036D2B">
      <w:pPr>
        <w:ind w:firstLine="420"/>
        <w:rPr>
          <w:rFonts w:hint="eastAsia" w:ascii="仿宋" w:hAnsi="仿宋" w:eastAsia="仿宋" w:cs="仿宋"/>
          <w:color w:val="auto"/>
          <w:szCs w:val="24"/>
          <w:highlight w:val="none"/>
        </w:rPr>
      </w:pPr>
      <w:r>
        <w:rPr>
          <w:rFonts w:hint="eastAsia" w:ascii="仿宋" w:hAnsi="仿宋" w:eastAsia="仿宋" w:cs="仿宋"/>
          <w:color w:val="auto"/>
          <w:szCs w:val="24"/>
          <w:highlight w:val="none"/>
        </w:rPr>
        <w:br w:type="page"/>
      </w:r>
    </w:p>
    <w:p w14:paraId="7EC241E9">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ascii="仿宋" w:hAnsi="仿宋" w:eastAsia="仿宋" w:cs="仿宋"/>
          <w:b/>
          <w:bCs/>
          <w:color w:val="auto"/>
          <w:kern w:val="2"/>
          <w:sz w:val="32"/>
          <w:szCs w:val="32"/>
          <w:highlight w:val="none"/>
          <w:lang w:val="en-US" w:eastAsia="zh-CN" w:bidi="ar-SA"/>
        </w:rPr>
      </w:pPr>
      <w:bookmarkStart w:id="770" w:name="_Toc13134"/>
      <w:r>
        <w:rPr>
          <w:rFonts w:hint="eastAsia" w:ascii="仿宋" w:hAnsi="仿宋" w:eastAsia="仿宋" w:cs="仿宋"/>
          <w:b/>
          <w:bCs/>
          <w:color w:val="auto"/>
          <w:kern w:val="2"/>
          <w:sz w:val="32"/>
          <w:szCs w:val="32"/>
          <w:highlight w:val="none"/>
          <w:lang w:val="en-US" w:eastAsia="zh-CN" w:bidi="ar-SA"/>
        </w:rPr>
        <w:t>七、拟派项目团队</w:t>
      </w:r>
      <w:bookmarkEnd w:id="770"/>
    </w:p>
    <w:tbl>
      <w:tblPr>
        <w:tblStyle w:val="30"/>
        <w:tblW w:w="92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3"/>
        <w:gridCol w:w="1267"/>
        <w:gridCol w:w="1296"/>
        <w:gridCol w:w="1080"/>
        <w:gridCol w:w="804"/>
        <w:gridCol w:w="1860"/>
        <w:gridCol w:w="1356"/>
        <w:gridCol w:w="816"/>
      </w:tblGrid>
      <w:tr w14:paraId="05193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4" w:hRule="atLeast"/>
          <w:jc w:val="center"/>
        </w:trPr>
        <w:tc>
          <w:tcPr>
            <w:tcW w:w="773" w:type="dxa"/>
            <w:vAlign w:val="center"/>
          </w:tcPr>
          <w:p w14:paraId="73C646A9">
            <w:pPr>
              <w:pStyle w:val="49"/>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1267" w:type="dxa"/>
            <w:vAlign w:val="center"/>
          </w:tcPr>
          <w:p w14:paraId="4A124575">
            <w:pPr>
              <w:pStyle w:val="49"/>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团队成员</w:t>
            </w:r>
          </w:p>
          <w:p w14:paraId="6D60BB5A">
            <w:pPr>
              <w:pStyle w:val="49"/>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姓名</w:t>
            </w:r>
          </w:p>
        </w:tc>
        <w:tc>
          <w:tcPr>
            <w:tcW w:w="1296" w:type="dxa"/>
            <w:tcBorders>
              <w:right w:val="single" w:color="auto" w:sz="4" w:space="0"/>
            </w:tcBorders>
            <w:vAlign w:val="center"/>
          </w:tcPr>
          <w:p w14:paraId="0A1FEFEE">
            <w:pPr>
              <w:pStyle w:val="49"/>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工作单位</w:t>
            </w:r>
          </w:p>
        </w:tc>
        <w:tc>
          <w:tcPr>
            <w:tcW w:w="1080" w:type="dxa"/>
            <w:tcBorders>
              <w:left w:val="single" w:color="auto" w:sz="4" w:space="0"/>
            </w:tcBorders>
            <w:vAlign w:val="center"/>
          </w:tcPr>
          <w:p w14:paraId="3AE62462">
            <w:pPr>
              <w:pStyle w:val="49"/>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身份证号</w:t>
            </w:r>
          </w:p>
        </w:tc>
        <w:tc>
          <w:tcPr>
            <w:tcW w:w="804" w:type="dxa"/>
            <w:tcBorders>
              <w:left w:val="single" w:color="auto" w:sz="4" w:space="0"/>
            </w:tcBorders>
            <w:vAlign w:val="center"/>
          </w:tcPr>
          <w:p w14:paraId="55A7C0D7">
            <w:pPr>
              <w:pStyle w:val="49"/>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职称</w:t>
            </w:r>
          </w:p>
        </w:tc>
        <w:tc>
          <w:tcPr>
            <w:tcW w:w="1860" w:type="dxa"/>
            <w:vAlign w:val="center"/>
          </w:tcPr>
          <w:p w14:paraId="6BFF4FA9">
            <w:pPr>
              <w:pStyle w:val="49"/>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注册证书（岗位证书）名称及编号</w:t>
            </w:r>
          </w:p>
        </w:tc>
        <w:tc>
          <w:tcPr>
            <w:tcW w:w="1356" w:type="dxa"/>
            <w:vAlign w:val="center"/>
          </w:tcPr>
          <w:p w14:paraId="451B15D8">
            <w:pPr>
              <w:pStyle w:val="49"/>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在团队中职务（岗位）</w:t>
            </w:r>
          </w:p>
        </w:tc>
        <w:tc>
          <w:tcPr>
            <w:tcW w:w="816" w:type="dxa"/>
            <w:vAlign w:val="center"/>
          </w:tcPr>
          <w:p w14:paraId="7763B138">
            <w:pPr>
              <w:pStyle w:val="49"/>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自有/外聘</w:t>
            </w:r>
          </w:p>
        </w:tc>
      </w:tr>
      <w:tr w14:paraId="08EE66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jc w:val="center"/>
        </w:trPr>
        <w:tc>
          <w:tcPr>
            <w:tcW w:w="773" w:type="dxa"/>
            <w:vAlign w:val="center"/>
          </w:tcPr>
          <w:p w14:paraId="613CB63D">
            <w:pPr>
              <w:pStyle w:val="49"/>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bookmarkStart w:id="771" w:name="_Toc99533292"/>
            <w:bookmarkStart w:id="772" w:name="_Toc100090784"/>
            <w:r>
              <w:rPr>
                <w:rFonts w:hint="eastAsia" w:ascii="仿宋" w:hAnsi="仿宋" w:eastAsia="仿宋" w:cs="仿宋"/>
                <w:color w:val="auto"/>
                <w:sz w:val="21"/>
                <w:szCs w:val="21"/>
                <w:highlight w:val="none"/>
              </w:rPr>
              <w:t>1</w:t>
            </w:r>
            <w:bookmarkEnd w:id="771"/>
            <w:bookmarkEnd w:id="772"/>
          </w:p>
        </w:tc>
        <w:tc>
          <w:tcPr>
            <w:tcW w:w="1267" w:type="dxa"/>
            <w:vAlign w:val="center"/>
          </w:tcPr>
          <w:p w14:paraId="0D706DF0">
            <w:pPr>
              <w:pStyle w:val="49"/>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p>
        </w:tc>
        <w:tc>
          <w:tcPr>
            <w:tcW w:w="1296" w:type="dxa"/>
            <w:tcBorders>
              <w:right w:val="single" w:color="auto" w:sz="4" w:space="0"/>
            </w:tcBorders>
            <w:vAlign w:val="center"/>
          </w:tcPr>
          <w:p w14:paraId="195D9511">
            <w:pPr>
              <w:pStyle w:val="49"/>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p>
        </w:tc>
        <w:tc>
          <w:tcPr>
            <w:tcW w:w="1080" w:type="dxa"/>
            <w:tcBorders>
              <w:left w:val="single" w:color="auto" w:sz="4" w:space="0"/>
            </w:tcBorders>
            <w:vAlign w:val="center"/>
          </w:tcPr>
          <w:p w14:paraId="021127E0">
            <w:pPr>
              <w:pStyle w:val="49"/>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p>
        </w:tc>
        <w:tc>
          <w:tcPr>
            <w:tcW w:w="804" w:type="dxa"/>
            <w:tcBorders>
              <w:left w:val="single" w:color="auto" w:sz="4" w:space="0"/>
            </w:tcBorders>
            <w:vAlign w:val="center"/>
          </w:tcPr>
          <w:p w14:paraId="6EA4F29A">
            <w:pPr>
              <w:pStyle w:val="49"/>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p>
        </w:tc>
        <w:tc>
          <w:tcPr>
            <w:tcW w:w="1860" w:type="dxa"/>
            <w:vAlign w:val="center"/>
          </w:tcPr>
          <w:p w14:paraId="7161601C">
            <w:pPr>
              <w:pStyle w:val="49"/>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p>
        </w:tc>
        <w:tc>
          <w:tcPr>
            <w:tcW w:w="1356" w:type="dxa"/>
            <w:vAlign w:val="center"/>
          </w:tcPr>
          <w:p w14:paraId="2CBF073E">
            <w:pPr>
              <w:pStyle w:val="49"/>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p>
        </w:tc>
        <w:tc>
          <w:tcPr>
            <w:tcW w:w="816" w:type="dxa"/>
            <w:vAlign w:val="center"/>
          </w:tcPr>
          <w:p w14:paraId="62B9DE2B">
            <w:pPr>
              <w:pStyle w:val="49"/>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p>
        </w:tc>
      </w:tr>
      <w:tr w14:paraId="669BF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jc w:val="center"/>
        </w:trPr>
        <w:tc>
          <w:tcPr>
            <w:tcW w:w="773" w:type="dxa"/>
            <w:vAlign w:val="center"/>
          </w:tcPr>
          <w:p w14:paraId="3951ED17">
            <w:pPr>
              <w:pStyle w:val="49"/>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bookmarkStart w:id="773" w:name="_Toc99533293"/>
            <w:bookmarkStart w:id="774" w:name="_Toc100090785"/>
            <w:r>
              <w:rPr>
                <w:rFonts w:hint="eastAsia" w:ascii="仿宋" w:hAnsi="仿宋" w:eastAsia="仿宋" w:cs="仿宋"/>
                <w:color w:val="auto"/>
                <w:sz w:val="21"/>
                <w:szCs w:val="21"/>
                <w:highlight w:val="none"/>
              </w:rPr>
              <w:t>2</w:t>
            </w:r>
            <w:bookmarkEnd w:id="773"/>
            <w:bookmarkEnd w:id="774"/>
          </w:p>
        </w:tc>
        <w:tc>
          <w:tcPr>
            <w:tcW w:w="1267" w:type="dxa"/>
            <w:vAlign w:val="center"/>
          </w:tcPr>
          <w:p w14:paraId="31F73797">
            <w:pPr>
              <w:pStyle w:val="49"/>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p>
        </w:tc>
        <w:tc>
          <w:tcPr>
            <w:tcW w:w="1296" w:type="dxa"/>
            <w:tcBorders>
              <w:right w:val="single" w:color="auto" w:sz="4" w:space="0"/>
            </w:tcBorders>
            <w:vAlign w:val="center"/>
          </w:tcPr>
          <w:p w14:paraId="39C90C74">
            <w:pPr>
              <w:pStyle w:val="49"/>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p>
        </w:tc>
        <w:tc>
          <w:tcPr>
            <w:tcW w:w="1080" w:type="dxa"/>
            <w:tcBorders>
              <w:left w:val="single" w:color="auto" w:sz="4" w:space="0"/>
            </w:tcBorders>
            <w:vAlign w:val="center"/>
          </w:tcPr>
          <w:p w14:paraId="2C2FE29F">
            <w:pPr>
              <w:pStyle w:val="49"/>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p>
        </w:tc>
        <w:tc>
          <w:tcPr>
            <w:tcW w:w="804" w:type="dxa"/>
            <w:tcBorders>
              <w:left w:val="single" w:color="auto" w:sz="4" w:space="0"/>
            </w:tcBorders>
            <w:vAlign w:val="center"/>
          </w:tcPr>
          <w:p w14:paraId="386012EF">
            <w:pPr>
              <w:pStyle w:val="49"/>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p>
        </w:tc>
        <w:tc>
          <w:tcPr>
            <w:tcW w:w="1860" w:type="dxa"/>
            <w:vAlign w:val="center"/>
          </w:tcPr>
          <w:p w14:paraId="3E1BA271">
            <w:pPr>
              <w:pStyle w:val="49"/>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p>
        </w:tc>
        <w:tc>
          <w:tcPr>
            <w:tcW w:w="1356" w:type="dxa"/>
            <w:vAlign w:val="center"/>
          </w:tcPr>
          <w:p w14:paraId="045D65F3">
            <w:pPr>
              <w:pStyle w:val="49"/>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p>
        </w:tc>
        <w:tc>
          <w:tcPr>
            <w:tcW w:w="816" w:type="dxa"/>
            <w:vAlign w:val="center"/>
          </w:tcPr>
          <w:p w14:paraId="4E48F951">
            <w:pPr>
              <w:pStyle w:val="49"/>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p>
        </w:tc>
      </w:tr>
      <w:tr w14:paraId="74BF4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jc w:val="center"/>
        </w:trPr>
        <w:tc>
          <w:tcPr>
            <w:tcW w:w="773" w:type="dxa"/>
            <w:vAlign w:val="center"/>
          </w:tcPr>
          <w:p w14:paraId="6F97BB54">
            <w:pPr>
              <w:pStyle w:val="49"/>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bookmarkStart w:id="775" w:name="_Toc100090786"/>
            <w:bookmarkStart w:id="776" w:name="_Toc99533294"/>
            <w:r>
              <w:rPr>
                <w:rFonts w:hint="eastAsia" w:ascii="仿宋" w:hAnsi="仿宋" w:eastAsia="仿宋" w:cs="仿宋"/>
                <w:color w:val="auto"/>
                <w:sz w:val="21"/>
                <w:szCs w:val="21"/>
                <w:highlight w:val="none"/>
              </w:rPr>
              <w:t>3</w:t>
            </w:r>
            <w:bookmarkEnd w:id="775"/>
            <w:bookmarkEnd w:id="776"/>
          </w:p>
        </w:tc>
        <w:tc>
          <w:tcPr>
            <w:tcW w:w="1267" w:type="dxa"/>
            <w:vAlign w:val="center"/>
          </w:tcPr>
          <w:p w14:paraId="727CE70C">
            <w:pPr>
              <w:pStyle w:val="49"/>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p>
        </w:tc>
        <w:tc>
          <w:tcPr>
            <w:tcW w:w="1296" w:type="dxa"/>
            <w:tcBorders>
              <w:right w:val="single" w:color="auto" w:sz="4" w:space="0"/>
            </w:tcBorders>
            <w:vAlign w:val="center"/>
          </w:tcPr>
          <w:p w14:paraId="546BCB66">
            <w:pPr>
              <w:pStyle w:val="49"/>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p>
        </w:tc>
        <w:tc>
          <w:tcPr>
            <w:tcW w:w="1080" w:type="dxa"/>
            <w:tcBorders>
              <w:left w:val="single" w:color="auto" w:sz="4" w:space="0"/>
            </w:tcBorders>
            <w:vAlign w:val="center"/>
          </w:tcPr>
          <w:p w14:paraId="0CD26E6A">
            <w:pPr>
              <w:pStyle w:val="49"/>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p>
        </w:tc>
        <w:tc>
          <w:tcPr>
            <w:tcW w:w="804" w:type="dxa"/>
            <w:tcBorders>
              <w:left w:val="single" w:color="auto" w:sz="4" w:space="0"/>
            </w:tcBorders>
            <w:vAlign w:val="center"/>
          </w:tcPr>
          <w:p w14:paraId="39E5FEF8">
            <w:pPr>
              <w:pStyle w:val="49"/>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p>
        </w:tc>
        <w:tc>
          <w:tcPr>
            <w:tcW w:w="1860" w:type="dxa"/>
            <w:vAlign w:val="center"/>
          </w:tcPr>
          <w:p w14:paraId="1186D4AF">
            <w:pPr>
              <w:pStyle w:val="49"/>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p>
        </w:tc>
        <w:tc>
          <w:tcPr>
            <w:tcW w:w="1356" w:type="dxa"/>
            <w:vAlign w:val="center"/>
          </w:tcPr>
          <w:p w14:paraId="02A38011">
            <w:pPr>
              <w:pStyle w:val="49"/>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p>
        </w:tc>
        <w:tc>
          <w:tcPr>
            <w:tcW w:w="816" w:type="dxa"/>
            <w:vAlign w:val="center"/>
          </w:tcPr>
          <w:p w14:paraId="60D8E9C5">
            <w:pPr>
              <w:pStyle w:val="49"/>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p>
        </w:tc>
      </w:tr>
      <w:tr w14:paraId="2AE83D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jc w:val="center"/>
        </w:trPr>
        <w:tc>
          <w:tcPr>
            <w:tcW w:w="773" w:type="dxa"/>
            <w:vAlign w:val="center"/>
          </w:tcPr>
          <w:p w14:paraId="42CF471E">
            <w:pPr>
              <w:pStyle w:val="49"/>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bookmarkStart w:id="777" w:name="_Toc99533295"/>
            <w:bookmarkStart w:id="778" w:name="_Toc100090787"/>
            <w:r>
              <w:rPr>
                <w:rFonts w:hint="eastAsia" w:ascii="仿宋" w:hAnsi="仿宋" w:eastAsia="仿宋" w:cs="仿宋"/>
                <w:color w:val="auto"/>
                <w:sz w:val="21"/>
                <w:szCs w:val="21"/>
                <w:highlight w:val="none"/>
              </w:rPr>
              <w:t>4</w:t>
            </w:r>
            <w:bookmarkEnd w:id="777"/>
            <w:bookmarkEnd w:id="778"/>
          </w:p>
        </w:tc>
        <w:tc>
          <w:tcPr>
            <w:tcW w:w="1267" w:type="dxa"/>
            <w:vAlign w:val="center"/>
          </w:tcPr>
          <w:p w14:paraId="20D3C94E">
            <w:pPr>
              <w:pStyle w:val="49"/>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p>
        </w:tc>
        <w:tc>
          <w:tcPr>
            <w:tcW w:w="1296" w:type="dxa"/>
            <w:tcBorders>
              <w:right w:val="single" w:color="auto" w:sz="4" w:space="0"/>
            </w:tcBorders>
            <w:vAlign w:val="center"/>
          </w:tcPr>
          <w:p w14:paraId="0EE6F2CD">
            <w:pPr>
              <w:pStyle w:val="49"/>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p>
        </w:tc>
        <w:tc>
          <w:tcPr>
            <w:tcW w:w="1080" w:type="dxa"/>
            <w:tcBorders>
              <w:left w:val="single" w:color="auto" w:sz="4" w:space="0"/>
            </w:tcBorders>
            <w:vAlign w:val="center"/>
          </w:tcPr>
          <w:p w14:paraId="21E40A94">
            <w:pPr>
              <w:pStyle w:val="49"/>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p>
        </w:tc>
        <w:tc>
          <w:tcPr>
            <w:tcW w:w="804" w:type="dxa"/>
            <w:tcBorders>
              <w:left w:val="single" w:color="auto" w:sz="4" w:space="0"/>
            </w:tcBorders>
            <w:vAlign w:val="center"/>
          </w:tcPr>
          <w:p w14:paraId="451F5B63">
            <w:pPr>
              <w:pStyle w:val="49"/>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p>
        </w:tc>
        <w:tc>
          <w:tcPr>
            <w:tcW w:w="1860" w:type="dxa"/>
            <w:vAlign w:val="center"/>
          </w:tcPr>
          <w:p w14:paraId="0DD083C7">
            <w:pPr>
              <w:pStyle w:val="49"/>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p>
        </w:tc>
        <w:tc>
          <w:tcPr>
            <w:tcW w:w="1356" w:type="dxa"/>
            <w:vAlign w:val="center"/>
          </w:tcPr>
          <w:p w14:paraId="75632149">
            <w:pPr>
              <w:pStyle w:val="49"/>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p>
        </w:tc>
        <w:tc>
          <w:tcPr>
            <w:tcW w:w="816" w:type="dxa"/>
            <w:vAlign w:val="center"/>
          </w:tcPr>
          <w:p w14:paraId="79DA159E">
            <w:pPr>
              <w:pStyle w:val="49"/>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p>
        </w:tc>
      </w:tr>
      <w:tr w14:paraId="759462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jc w:val="center"/>
        </w:trPr>
        <w:tc>
          <w:tcPr>
            <w:tcW w:w="773" w:type="dxa"/>
            <w:vAlign w:val="center"/>
          </w:tcPr>
          <w:p w14:paraId="058A1A26">
            <w:pPr>
              <w:pStyle w:val="49"/>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bookmarkStart w:id="779" w:name="_Toc100090788"/>
            <w:bookmarkStart w:id="780" w:name="_Toc99533296"/>
            <w:r>
              <w:rPr>
                <w:rFonts w:hint="eastAsia" w:ascii="仿宋" w:hAnsi="仿宋" w:eastAsia="仿宋" w:cs="仿宋"/>
                <w:color w:val="auto"/>
                <w:sz w:val="21"/>
                <w:szCs w:val="21"/>
                <w:highlight w:val="none"/>
              </w:rPr>
              <w:t>5</w:t>
            </w:r>
            <w:bookmarkEnd w:id="779"/>
            <w:bookmarkEnd w:id="780"/>
          </w:p>
        </w:tc>
        <w:tc>
          <w:tcPr>
            <w:tcW w:w="1267" w:type="dxa"/>
            <w:vAlign w:val="center"/>
          </w:tcPr>
          <w:p w14:paraId="2FCC1DCE">
            <w:pPr>
              <w:pStyle w:val="49"/>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p>
        </w:tc>
        <w:tc>
          <w:tcPr>
            <w:tcW w:w="1296" w:type="dxa"/>
            <w:tcBorders>
              <w:right w:val="single" w:color="auto" w:sz="4" w:space="0"/>
            </w:tcBorders>
            <w:vAlign w:val="center"/>
          </w:tcPr>
          <w:p w14:paraId="11ABAAC3">
            <w:pPr>
              <w:pStyle w:val="49"/>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p>
        </w:tc>
        <w:tc>
          <w:tcPr>
            <w:tcW w:w="1080" w:type="dxa"/>
            <w:tcBorders>
              <w:left w:val="single" w:color="auto" w:sz="4" w:space="0"/>
            </w:tcBorders>
            <w:vAlign w:val="center"/>
          </w:tcPr>
          <w:p w14:paraId="3518E004">
            <w:pPr>
              <w:pStyle w:val="49"/>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p>
        </w:tc>
        <w:tc>
          <w:tcPr>
            <w:tcW w:w="804" w:type="dxa"/>
            <w:tcBorders>
              <w:left w:val="single" w:color="auto" w:sz="4" w:space="0"/>
            </w:tcBorders>
            <w:vAlign w:val="center"/>
          </w:tcPr>
          <w:p w14:paraId="088FB570">
            <w:pPr>
              <w:pStyle w:val="49"/>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p>
        </w:tc>
        <w:tc>
          <w:tcPr>
            <w:tcW w:w="1860" w:type="dxa"/>
            <w:vAlign w:val="center"/>
          </w:tcPr>
          <w:p w14:paraId="32F5751E">
            <w:pPr>
              <w:pStyle w:val="49"/>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p>
        </w:tc>
        <w:tc>
          <w:tcPr>
            <w:tcW w:w="1356" w:type="dxa"/>
            <w:vAlign w:val="center"/>
          </w:tcPr>
          <w:p w14:paraId="115D2E44">
            <w:pPr>
              <w:pStyle w:val="49"/>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p>
        </w:tc>
        <w:tc>
          <w:tcPr>
            <w:tcW w:w="816" w:type="dxa"/>
            <w:vAlign w:val="center"/>
          </w:tcPr>
          <w:p w14:paraId="7D2D2AF3">
            <w:pPr>
              <w:pStyle w:val="49"/>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p>
        </w:tc>
      </w:tr>
      <w:tr w14:paraId="39D17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jc w:val="center"/>
        </w:trPr>
        <w:tc>
          <w:tcPr>
            <w:tcW w:w="773" w:type="dxa"/>
            <w:vAlign w:val="center"/>
          </w:tcPr>
          <w:p w14:paraId="4C875393">
            <w:pPr>
              <w:pStyle w:val="49"/>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bookmarkStart w:id="781" w:name="_Toc100090789"/>
            <w:bookmarkStart w:id="782" w:name="_Toc99533297"/>
            <w:r>
              <w:rPr>
                <w:rFonts w:hint="eastAsia" w:ascii="仿宋" w:hAnsi="仿宋" w:eastAsia="仿宋" w:cs="仿宋"/>
                <w:color w:val="auto"/>
                <w:sz w:val="21"/>
                <w:szCs w:val="21"/>
                <w:highlight w:val="none"/>
              </w:rPr>
              <w:t>6</w:t>
            </w:r>
            <w:bookmarkEnd w:id="781"/>
            <w:bookmarkEnd w:id="782"/>
          </w:p>
        </w:tc>
        <w:tc>
          <w:tcPr>
            <w:tcW w:w="1267" w:type="dxa"/>
            <w:vAlign w:val="center"/>
          </w:tcPr>
          <w:p w14:paraId="40939957">
            <w:pPr>
              <w:pStyle w:val="49"/>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p>
        </w:tc>
        <w:tc>
          <w:tcPr>
            <w:tcW w:w="1296" w:type="dxa"/>
            <w:tcBorders>
              <w:right w:val="single" w:color="auto" w:sz="4" w:space="0"/>
            </w:tcBorders>
            <w:vAlign w:val="center"/>
          </w:tcPr>
          <w:p w14:paraId="2CEEBD11">
            <w:pPr>
              <w:pStyle w:val="49"/>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p>
        </w:tc>
        <w:tc>
          <w:tcPr>
            <w:tcW w:w="1080" w:type="dxa"/>
            <w:tcBorders>
              <w:left w:val="single" w:color="auto" w:sz="4" w:space="0"/>
            </w:tcBorders>
            <w:vAlign w:val="center"/>
          </w:tcPr>
          <w:p w14:paraId="1E30EA4A">
            <w:pPr>
              <w:pStyle w:val="49"/>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p>
        </w:tc>
        <w:tc>
          <w:tcPr>
            <w:tcW w:w="804" w:type="dxa"/>
            <w:tcBorders>
              <w:left w:val="single" w:color="auto" w:sz="4" w:space="0"/>
            </w:tcBorders>
            <w:vAlign w:val="center"/>
          </w:tcPr>
          <w:p w14:paraId="2FDA9859">
            <w:pPr>
              <w:pStyle w:val="49"/>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p>
        </w:tc>
        <w:tc>
          <w:tcPr>
            <w:tcW w:w="1860" w:type="dxa"/>
            <w:vAlign w:val="center"/>
          </w:tcPr>
          <w:p w14:paraId="7B368CD2">
            <w:pPr>
              <w:pStyle w:val="49"/>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p>
        </w:tc>
        <w:tc>
          <w:tcPr>
            <w:tcW w:w="1356" w:type="dxa"/>
            <w:vAlign w:val="center"/>
          </w:tcPr>
          <w:p w14:paraId="344D1F90">
            <w:pPr>
              <w:pStyle w:val="49"/>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p>
        </w:tc>
        <w:tc>
          <w:tcPr>
            <w:tcW w:w="816" w:type="dxa"/>
            <w:vAlign w:val="center"/>
          </w:tcPr>
          <w:p w14:paraId="2ED2B730">
            <w:pPr>
              <w:pStyle w:val="49"/>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p>
        </w:tc>
      </w:tr>
      <w:tr w14:paraId="1A747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jc w:val="center"/>
        </w:trPr>
        <w:tc>
          <w:tcPr>
            <w:tcW w:w="773" w:type="dxa"/>
            <w:vAlign w:val="center"/>
          </w:tcPr>
          <w:p w14:paraId="40BB62A2">
            <w:pPr>
              <w:pStyle w:val="49"/>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bookmarkStart w:id="783" w:name="_Toc99533298"/>
            <w:bookmarkStart w:id="784" w:name="_Toc100090790"/>
            <w:r>
              <w:rPr>
                <w:rFonts w:hint="eastAsia" w:ascii="仿宋" w:hAnsi="仿宋" w:eastAsia="仿宋" w:cs="仿宋"/>
                <w:color w:val="auto"/>
                <w:sz w:val="21"/>
                <w:szCs w:val="21"/>
                <w:highlight w:val="none"/>
              </w:rPr>
              <w:t>7</w:t>
            </w:r>
            <w:bookmarkEnd w:id="783"/>
            <w:bookmarkEnd w:id="784"/>
          </w:p>
        </w:tc>
        <w:tc>
          <w:tcPr>
            <w:tcW w:w="1267" w:type="dxa"/>
            <w:vAlign w:val="center"/>
          </w:tcPr>
          <w:p w14:paraId="2C7B2CC4">
            <w:pPr>
              <w:pStyle w:val="49"/>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p>
        </w:tc>
        <w:tc>
          <w:tcPr>
            <w:tcW w:w="1296" w:type="dxa"/>
            <w:tcBorders>
              <w:right w:val="single" w:color="auto" w:sz="4" w:space="0"/>
            </w:tcBorders>
            <w:vAlign w:val="center"/>
          </w:tcPr>
          <w:p w14:paraId="64095710">
            <w:pPr>
              <w:pStyle w:val="49"/>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p>
        </w:tc>
        <w:tc>
          <w:tcPr>
            <w:tcW w:w="1080" w:type="dxa"/>
            <w:tcBorders>
              <w:left w:val="single" w:color="auto" w:sz="4" w:space="0"/>
            </w:tcBorders>
            <w:vAlign w:val="center"/>
          </w:tcPr>
          <w:p w14:paraId="0BE829EF">
            <w:pPr>
              <w:pStyle w:val="49"/>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p>
        </w:tc>
        <w:tc>
          <w:tcPr>
            <w:tcW w:w="804" w:type="dxa"/>
            <w:tcBorders>
              <w:left w:val="single" w:color="auto" w:sz="4" w:space="0"/>
            </w:tcBorders>
            <w:vAlign w:val="center"/>
          </w:tcPr>
          <w:p w14:paraId="059A85DC">
            <w:pPr>
              <w:pStyle w:val="49"/>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p>
        </w:tc>
        <w:tc>
          <w:tcPr>
            <w:tcW w:w="1860" w:type="dxa"/>
            <w:vAlign w:val="center"/>
          </w:tcPr>
          <w:p w14:paraId="6D90A2BE">
            <w:pPr>
              <w:pStyle w:val="49"/>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p>
        </w:tc>
        <w:tc>
          <w:tcPr>
            <w:tcW w:w="1356" w:type="dxa"/>
            <w:vAlign w:val="center"/>
          </w:tcPr>
          <w:p w14:paraId="68866656">
            <w:pPr>
              <w:pStyle w:val="49"/>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p>
        </w:tc>
        <w:tc>
          <w:tcPr>
            <w:tcW w:w="816" w:type="dxa"/>
            <w:vAlign w:val="center"/>
          </w:tcPr>
          <w:p w14:paraId="3EC8FD82">
            <w:pPr>
              <w:pStyle w:val="49"/>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p>
        </w:tc>
      </w:tr>
      <w:tr w14:paraId="29A16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jc w:val="center"/>
        </w:trPr>
        <w:tc>
          <w:tcPr>
            <w:tcW w:w="773" w:type="dxa"/>
            <w:vAlign w:val="center"/>
          </w:tcPr>
          <w:p w14:paraId="0106A4E8">
            <w:pPr>
              <w:pStyle w:val="49"/>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bookmarkStart w:id="785" w:name="_Toc100090791"/>
            <w:bookmarkStart w:id="786" w:name="_Toc99533299"/>
            <w:r>
              <w:rPr>
                <w:rFonts w:hint="eastAsia" w:ascii="仿宋" w:hAnsi="仿宋" w:eastAsia="仿宋" w:cs="仿宋"/>
                <w:color w:val="auto"/>
                <w:sz w:val="21"/>
                <w:szCs w:val="21"/>
                <w:highlight w:val="none"/>
              </w:rPr>
              <w:t>8</w:t>
            </w:r>
            <w:bookmarkEnd w:id="785"/>
            <w:bookmarkEnd w:id="786"/>
          </w:p>
        </w:tc>
        <w:tc>
          <w:tcPr>
            <w:tcW w:w="1267" w:type="dxa"/>
            <w:vAlign w:val="center"/>
          </w:tcPr>
          <w:p w14:paraId="49974479">
            <w:pPr>
              <w:pStyle w:val="49"/>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p>
        </w:tc>
        <w:tc>
          <w:tcPr>
            <w:tcW w:w="1296" w:type="dxa"/>
            <w:tcBorders>
              <w:right w:val="single" w:color="auto" w:sz="4" w:space="0"/>
            </w:tcBorders>
            <w:vAlign w:val="center"/>
          </w:tcPr>
          <w:p w14:paraId="025C4C0C">
            <w:pPr>
              <w:pStyle w:val="49"/>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p>
        </w:tc>
        <w:tc>
          <w:tcPr>
            <w:tcW w:w="1080" w:type="dxa"/>
            <w:tcBorders>
              <w:left w:val="single" w:color="auto" w:sz="4" w:space="0"/>
            </w:tcBorders>
            <w:vAlign w:val="center"/>
          </w:tcPr>
          <w:p w14:paraId="47725186">
            <w:pPr>
              <w:pStyle w:val="49"/>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p>
        </w:tc>
        <w:tc>
          <w:tcPr>
            <w:tcW w:w="804" w:type="dxa"/>
            <w:tcBorders>
              <w:left w:val="single" w:color="auto" w:sz="4" w:space="0"/>
            </w:tcBorders>
            <w:vAlign w:val="center"/>
          </w:tcPr>
          <w:p w14:paraId="3FE094DD">
            <w:pPr>
              <w:pStyle w:val="49"/>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p>
        </w:tc>
        <w:tc>
          <w:tcPr>
            <w:tcW w:w="1860" w:type="dxa"/>
            <w:vAlign w:val="center"/>
          </w:tcPr>
          <w:p w14:paraId="321EDB10">
            <w:pPr>
              <w:pStyle w:val="49"/>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p>
        </w:tc>
        <w:tc>
          <w:tcPr>
            <w:tcW w:w="1356" w:type="dxa"/>
            <w:vAlign w:val="center"/>
          </w:tcPr>
          <w:p w14:paraId="038306EF">
            <w:pPr>
              <w:pStyle w:val="49"/>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p>
        </w:tc>
        <w:tc>
          <w:tcPr>
            <w:tcW w:w="816" w:type="dxa"/>
            <w:vAlign w:val="center"/>
          </w:tcPr>
          <w:p w14:paraId="490D4561">
            <w:pPr>
              <w:pStyle w:val="49"/>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p>
        </w:tc>
      </w:tr>
      <w:tr w14:paraId="55265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jc w:val="center"/>
        </w:trPr>
        <w:tc>
          <w:tcPr>
            <w:tcW w:w="773" w:type="dxa"/>
            <w:vAlign w:val="center"/>
          </w:tcPr>
          <w:p w14:paraId="610700F3">
            <w:pPr>
              <w:pStyle w:val="49"/>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bookmarkStart w:id="787" w:name="_Toc99533300"/>
            <w:bookmarkStart w:id="788" w:name="_Toc100090792"/>
            <w:r>
              <w:rPr>
                <w:rFonts w:hint="eastAsia" w:ascii="仿宋" w:hAnsi="仿宋" w:eastAsia="仿宋" w:cs="仿宋"/>
                <w:color w:val="auto"/>
                <w:sz w:val="21"/>
                <w:szCs w:val="21"/>
                <w:highlight w:val="none"/>
              </w:rPr>
              <w:t>9</w:t>
            </w:r>
            <w:bookmarkEnd w:id="787"/>
            <w:bookmarkEnd w:id="788"/>
          </w:p>
        </w:tc>
        <w:tc>
          <w:tcPr>
            <w:tcW w:w="1267" w:type="dxa"/>
            <w:vAlign w:val="center"/>
          </w:tcPr>
          <w:p w14:paraId="702E8840">
            <w:pPr>
              <w:pStyle w:val="49"/>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p>
        </w:tc>
        <w:tc>
          <w:tcPr>
            <w:tcW w:w="1296" w:type="dxa"/>
            <w:tcBorders>
              <w:right w:val="single" w:color="auto" w:sz="4" w:space="0"/>
            </w:tcBorders>
            <w:vAlign w:val="center"/>
          </w:tcPr>
          <w:p w14:paraId="77569D8E">
            <w:pPr>
              <w:pStyle w:val="49"/>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p>
        </w:tc>
        <w:tc>
          <w:tcPr>
            <w:tcW w:w="1080" w:type="dxa"/>
            <w:tcBorders>
              <w:left w:val="single" w:color="auto" w:sz="4" w:space="0"/>
            </w:tcBorders>
            <w:vAlign w:val="center"/>
          </w:tcPr>
          <w:p w14:paraId="1F2C7CD6">
            <w:pPr>
              <w:pStyle w:val="49"/>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p>
        </w:tc>
        <w:tc>
          <w:tcPr>
            <w:tcW w:w="804" w:type="dxa"/>
            <w:tcBorders>
              <w:left w:val="single" w:color="auto" w:sz="4" w:space="0"/>
            </w:tcBorders>
            <w:vAlign w:val="center"/>
          </w:tcPr>
          <w:p w14:paraId="11859EB2">
            <w:pPr>
              <w:pStyle w:val="49"/>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p>
        </w:tc>
        <w:tc>
          <w:tcPr>
            <w:tcW w:w="1860" w:type="dxa"/>
            <w:vAlign w:val="center"/>
          </w:tcPr>
          <w:p w14:paraId="12F9AA24">
            <w:pPr>
              <w:pStyle w:val="49"/>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p>
        </w:tc>
        <w:tc>
          <w:tcPr>
            <w:tcW w:w="1356" w:type="dxa"/>
            <w:vAlign w:val="center"/>
          </w:tcPr>
          <w:p w14:paraId="194A91D5">
            <w:pPr>
              <w:pStyle w:val="49"/>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p>
        </w:tc>
        <w:tc>
          <w:tcPr>
            <w:tcW w:w="816" w:type="dxa"/>
            <w:vAlign w:val="center"/>
          </w:tcPr>
          <w:p w14:paraId="69CA0C7F">
            <w:pPr>
              <w:pStyle w:val="49"/>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p>
        </w:tc>
      </w:tr>
      <w:tr w14:paraId="2E21B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atLeast"/>
          <w:jc w:val="center"/>
        </w:trPr>
        <w:tc>
          <w:tcPr>
            <w:tcW w:w="773" w:type="dxa"/>
            <w:vAlign w:val="center"/>
          </w:tcPr>
          <w:p w14:paraId="06B6ACEA">
            <w:pPr>
              <w:pStyle w:val="49"/>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c>
          <w:tcPr>
            <w:tcW w:w="1267" w:type="dxa"/>
            <w:vAlign w:val="center"/>
          </w:tcPr>
          <w:p w14:paraId="7C112CF4">
            <w:pPr>
              <w:pStyle w:val="49"/>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p>
        </w:tc>
        <w:tc>
          <w:tcPr>
            <w:tcW w:w="1296" w:type="dxa"/>
            <w:tcBorders>
              <w:right w:val="single" w:color="auto" w:sz="4" w:space="0"/>
            </w:tcBorders>
            <w:vAlign w:val="center"/>
          </w:tcPr>
          <w:p w14:paraId="4C4DFDF3">
            <w:pPr>
              <w:pStyle w:val="49"/>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p>
        </w:tc>
        <w:tc>
          <w:tcPr>
            <w:tcW w:w="1080" w:type="dxa"/>
            <w:tcBorders>
              <w:left w:val="single" w:color="auto" w:sz="4" w:space="0"/>
            </w:tcBorders>
            <w:vAlign w:val="center"/>
          </w:tcPr>
          <w:p w14:paraId="5AB78742">
            <w:pPr>
              <w:pStyle w:val="49"/>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p>
        </w:tc>
        <w:tc>
          <w:tcPr>
            <w:tcW w:w="804" w:type="dxa"/>
            <w:tcBorders>
              <w:left w:val="single" w:color="auto" w:sz="4" w:space="0"/>
            </w:tcBorders>
            <w:vAlign w:val="center"/>
          </w:tcPr>
          <w:p w14:paraId="69D54984">
            <w:pPr>
              <w:pStyle w:val="49"/>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p>
        </w:tc>
        <w:tc>
          <w:tcPr>
            <w:tcW w:w="1860" w:type="dxa"/>
            <w:vAlign w:val="center"/>
          </w:tcPr>
          <w:p w14:paraId="3E2E7697">
            <w:pPr>
              <w:pStyle w:val="49"/>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p>
        </w:tc>
        <w:tc>
          <w:tcPr>
            <w:tcW w:w="1356" w:type="dxa"/>
            <w:vAlign w:val="center"/>
          </w:tcPr>
          <w:p w14:paraId="754988B6">
            <w:pPr>
              <w:pStyle w:val="49"/>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p>
        </w:tc>
        <w:tc>
          <w:tcPr>
            <w:tcW w:w="816" w:type="dxa"/>
            <w:vAlign w:val="center"/>
          </w:tcPr>
          <w:p w14:paraId="11658D01">
            <w:pPr>
              <w:pStyle w:val="49"/>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highlight w:val="none"/>
              </w:rPr>
            </w:pPr>
          </w:p>
        </w:tc>
      </w:tr>
    </w:tbl>
    <w:p w14:paraId="7FB6D633">
      <w:pPr>
        <w:rPr>
          <w:rFonts w:hint="eastAsia" w:ascii="仿宋" w:hAnsi="仿宋" w:eastAsia="仿宋" w:cs="仿宋"/>
          <w:color w:val="auto"/>
          <w:szCs w:val="24"/>
          <w:highlight w:val="none"/>
        </w:rPr>
      </w:pPr>
      <w:r>
        <w:rPr>
          <w:rFonts w:hint="eastAsia" w:ascii="仿宋" w:hAnsi="仿宋" w:eastAsia="仿宋" w:cs="仿宋"/>
          <w:color w:val="auto"/>
          <w:sz w:val="22"/>
          <w:szCs w:val="21"/>
          <w:highlight w:val="none"/>
          <w:lang w:val="en-US" w:eastAsia="zh-CN"/>
        </w:rPr>
        <w:t>注</w:t>
      </w:r>
      <w:r>
        <w:rPr>
          <w:rFonts w:hint="eastAsia" w:ascii="仿宋" w:hAnsi="仿宋" w:eastAsia="仿宋" w:cs="仿宋"/>
          <w:color w:val="auto"/>
          <w:sz w:val="22"/>
          <w:szCs w:val="21"/>
          <w:highlight w:val="none"/>
        </w:rPr>
        <w:t>：表后应附有关证明材料。</w:t>
      </w:r>
      <w:r>
        <w:rPr>
          <w:rFonts w:hint="eastAsia" w:ascii="仿宋" w:hAnsi="仿宋" w:eastAsia="仿宋" w:cs="仿宋"/>
          <w:color w:val="auto"/>
          <w:highlight w:val="none"/>
        </w:rPr>
        <w:br w:type="page"/>
      </w:r>
    </w:p>
    <w:p w14:paraId="2A8C7834">
      <w:pPr>
        <w:ind w:firstLine="321" w:firstLineChars="100"/>
        <w:jc w:val="center"/>
        <w:rPr>
          <w:rFonts w:hint="eastAsia" w:ascii="仿宋" w:hAnsi="仿宋" w:eastAsia="仿宋" w:cs="仿宋"/>
          <w:b/>
          <w:bCs/>
          <w:color w:val="auto"/>
          <w:kern w:val="2"/>
          <w:sz w:val="32"/>
          <w:szCs w:val="32"/>
          <w:highlight w:val="none"/>
          <w:lang w:val="en-US" w:eastAsia="zh-CN" w:bidi="ar-SA"/>
        </w:rPr>
      </w:pPr>
      <w:bookmarkStart w:id="789" w:name="_Toc9988"/>
      <w:r>
        <w:rPr>
          <w:rFonts w:hint="eastAsia" w:ascii="仿宋" w:hAnsi="仿宋" w:eastAsia="仿宋" w:cs="仿宋"/>
          <w:b/>
          <w:bCs/>
          <w:color w:val="auto"/>
          <w:kern w:val="2"/>
          <w:sz w:val="32"/>
          <w:szCs w:val="32"/>
          <w:highlight w:val="none"/>
          <w:lang w:val="en-US" w:eastAsia="zh-CN" w:bidi="ar-SA"/>
        </w:rPr>
        <w:t>八、技术方案</w:t>
      </w:r>
      <w:bookmarkEnd w:id="789"/>
    </w:p>
    <w:p w14:paraId="6DAD2B70">
      <w:pPr>
        <w:pStyle w:val="37"/>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投标人应按照招标文件的要求，提供详细的服务方案，包括文字描述或图表显示。格式自拟。</w:t>
      </w:r>
      <w:bookmarkStart w:id="790" w:name="_Toc19458"/>
    </w:p>
    <w:p w14:paraId="1980DCD4">
      <w:pPr>
        <w:pStyle w:val="37"/>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包含但不限于：1.</w:t>
      </w:r>
      <w:r>
        <w:rPr>
          <w:rFonts w:hint="eastAsia" w:ascii="仿宋" w:hAnsi="仿宋" w:eastAsia="仿宋" w:cs="仿宋"/>
          <w:b w:val="0"/>
          <w:bCs w:val="0"/>
          <w:color w:val="auto"/>
          <w:sz w:val="24"/>
          <w:szCs w:val="24"/>
          <w:highlight w:val="none"/>
          <w:lang w:val="en-US" w:eastAsia="zh-CN"/>
        </w:rPr>
        <w:t>技术实施服务方案、2.项目进度控制措施、3.项目质量保证措施</w:t>
      </w:r>
      <w:r>
        <w:rPr>
          <w:rFonts w:hint="eastAsia" w:ascii="仿宋" w:hAnsi="仿宋" w:eastAsia="仿宋" w:cs="仿宋"/>
          <w:color w:val="auto"/>
          <w:highlight w:val="none"/>
          <w:lang w:val="en-US" w:eastAsia="zh-CN"/>
        </w:rPr>
        <w:t>。</w:t>
      </w:r>
    </w:p>
    <w:p w14:paraId="6B376199">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ascii="仿宋" w:hAnsi="仿宋" w:eastAsia="仿宋" w:cs="仿宋"/>
          <w:b/>
          <w:bCs/>
          <w:color w:val="auto"/>
          <w:kern w:val="2"/>
          <w:sz w:val="32"/>
          <w:szCs w:val="32"/>
          <w:highlight w:val="none"/>
          <w:lang w:val="en-US" w:eastAsia="zh-CN" w:bidi="ar-SA"/>
        </w:rPr>
      </w:pPr>
    </w:p>
    <w:p w14:paraId="0E8A6B1F">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ascii="仿宋" w:hAnsi="仿宋" w:eastAsia="仿宋" w:cs="仿宋"/>
          <w:b/>
          <w:bCs/>
          <w:color w:val="auto"/>
          <w:kern w:val="2"/>
          <w:sz w:val="32"/>
          <w:szCs w:val="32"/>
          <w:highlight w:val="none"/>
          <w:lang w:val="en-US" w:eastAsia="zh-CN" w:bidi="ar-SA"/>
        </w:rPr>
      </w:pPr>
    </w:p>
    <w:p w14:paraId="0DE3030B">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ascii="仿宋" w:hAnsi="仿宋" w:eastAsia="仿宋" w:cs="仿宋"/>
          <w:b/>
          <w:bCs/>
          <w:color w:val="auto"/>
          <w:kern w:val="2"/>
          <w:sz w:val="32"/>
          <w:szCs w:val="32"/>
          <w:highlight w:val="none"/>
          <w:lang w:val="en-US" w:eastAsia="zh-CN" w:bidi="ar-SA"/>
        </w:rPr>
      </w:pPr>
    </w:p>
    <w:p w14:paraId="14CF030F">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ascii="仿宋" w:hAnsi="仿宋" w:eastAsia="仿宋" w:cs="仿宋"/>
          <w:b/>
          <w:bCs/>
          <w:color w:val="auto"/>
          <w:kern w:val="2"/>
          <w:sz w:val="32"/>
          <w:szCs w:val="32"/>
          <w:highlight w:val="none"/>
          <w:lang w:val="en-US" w:eastAsia="zh-CN" w:bidi="ar-SA"/>
        </w:rPr>
      </w:pPr>
    </w:p>
    <w:p w14:paraId="6767B8E4">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ascii="仿宋" w:hAnsi="仿宋" w:eastAsia="仿宋" w:cs="仿宋"/>
          <w:b/>
          <w:bCs/>
          <w:color w:val="auto"/>
          <w:kern w:val="2"/>
          <w:sz w:val="32"/>
          <w:szCs w:val="32"/>
          <w:highlight w:val="none"/>
          <w:lang w:val="en-US" w:eastAsia="zh-CN" w:bidi="ar-SA"/>
        </w:rPr>
      </w:pPr>
    </w:p>
    <w:p w14:paraId="2DF46D92">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ascii="仿宋" w:hAnsi="仿宋" w:eastAsia="仿宋" w:cs="仿宋"/>
          <w:b/>
          <w:bCs/>
          <w:color w:val="auto"/>
          <w:kern w:val="2"/>
          <w:sz w:val="32"/>
          <w:szCs w:val="32"/>
          <w:highlight w:val="none"/>
          <w:lang w:val="en-US" w:eastAsia="zh-CN" w:bidi="ar-SA"/>
        </w:rPr>
      </w:pPr>
    </w:p>
    <w:p w14:paraId="12F3E34B">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ascii="仿宋" w:hAnsi="仿宋" w:eastAsia="仿宋" w:cs="仿宋"/>
          <w:b/>
          <w:bCs/>
          <w:color w:val="auto"/>
          <w:kern w:val="2"/>
          <w:sz w:val="32"/>
          <w:szCs w:val="32"/>
          <w:highlight w:val="none"/>
          <w:lang w:val="en-US" w:eastAsia="zh-CN" w:bidi="ar-SA"/>
        </w:rPr>
      </w:pPr>
    </w:p>
    <w:p w14:paraId="70147C4C">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ascii="仿宋" w:hAnsi="仿宋" w:eastAsia="仿宋" w:cs="仿宋"/>
          <w:b/>
          <w:bCs/>
          <w:color w:val="auto"/>
          <w:kern w:val="2"/>
          <w:sz w:val="32"/>
          <w:szCs w:val="32"/>
          <w:highlight w:val="none"/>
          <w:lang w:val="en-US" w:eastAsia="zh-CN" w:bidi="ar-SA"/>
        </w:rPr>
      </w:pPr>
    </w:p>
    <w:p w14:paraId="4E6D5479">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jc w:val="both"/>
        <w:textAlignment w:val="auto"/>
        <w:rPr>
          <w:rFonts w:hint="eastAsia" w:ascii="仿宋" w:hAnsi="仿宋" w:eastAsia="仿宋" w:cs="仿宋"/>
          <w:b/>
          <w:bCs/>
          <w:color w:val="auto"/>
          <w:kern w:val="2"/>
          <w:sz w:val="32"/>
          <w:szCs w:val="32"/>
          <w:highlight w:val="none"/>
          <w:lang w:val="en-US" w:eastAsia="zh-CN" w:bidi="ar-SA"/>
        </w:rPr>
      </w:pPr>
    </w:p>
    <w:p w14:paraId="15A59AA9">
      <w:pPr>
        <w:rPr>
          <w:rFonts w:hint="eastAsia"/>
          <w:color w:val="auto"/>
          <w:lang w:val="en-US" w:eastAsia="zh-CN"/>
        </w:rPr>
      </w:pPr>
    </w:p>
    <w:p w14:paraId="7855DF44">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ascii="仿宋" w:hAnsi="仿宋" w:eastAsia="仿宋" w:cs="仿宋"/>
          <w:b/>
          <w:bCs/>
          <w:color w:val="auto"/>
          <w:kern w:val="2"/>
          <w:sz w:val="32"/>
          <w:szCs w:val="32"/>
          <w:highlight w:val="none"/>
          <w:lang w:val="en-US" w:eastAsia="zh-CN" w:bidi="ar-SA"/>
        </w:rPr>
      </w:pPr>
    </w:p>
    <w:p w14:paraId="6C8DF6E1">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ascii="仿宋" w:hAnsi="仿宋" w:eastAsia="仿宋" w:cs="仿宋"/>
          <w:b/>
          <w:bCs/>
          <w:color w:val="auto"/>
          <w:kern w:val="2"/>
          <w:sz w:val="32"/>
          <w:szCs w:val="32"/>
          <w:highlight w:val="none"/>
          <w:lang w:val="en-US" w:eastAsia="zh-CN" w:bidi="ar-SA"/>
        </w:rPr>
      </w:pPr>
    </w:p>
    <w:p w14:paraId="5FE662F1">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ascii="仿宋" w:hAnsi="仿宋" w:eastAsia="仿宋" w:cs="仿宋"/>
          <w:b/>
          <w:bCs/>
          <w:color w:val="auto"/>
          <w:kern w:val="2"/>
          <w:sz w:val="32"/>
          <w:szCs w:val="32"/>
          <w:highlight w:val="none"/>
          <w:lang w:val="en-US" w:eastAsia="zh-CN" w:bidi="ar-SA"/>
        </w:rPr>
      </w:pPr>
    </w:p>
    <w:p w14:paraId="195E4400">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ascii="仿宋" w:hAnsi="仿宋" w:eastAsia="仿宋" w:cs="仿宋"/>
          <w:b/>
          <w:bCs/>
          <w:color w:val="auto"/>
          <w:kern w:val="2"/>
          <w:sz w:val="32"/>
          <w:szCs w:val="32"/>
          <w:highlight w:val="none"/>
          <w:lang w:val="en-US" w:eastAsia="zh-CN" w:bidi="ar-SA"/>
        </w:rPr>
        <w:sectPr>
          <w:footerReference r:id="rId11"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40DEAA7A">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Chars="0"/>
        <w:jc w:val="center"/>
        <w:textAlignment w:val="auto"/>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九、其他文件</w:t>
      </w:r>
      <w:bookmarkEnd w:id="790"/>
    </w:p>
    <w:p w14:paraId="781B9314">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Chars="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一</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投标人认为需要提供的其它商务</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技术资料和说明。</w:t>
      </w:r>
      <w:bookmarkStart w:id="791" w:name="_Toc24277"/>
      <w:bookmarkStart w:id="792" w:name="_Toc29603"/>
      <w:bookmarkStart w:id="793" w:name="_Toc163492939"/>
    </w:p>
    <w:p w14:paraId="28D83BC7">
      <w:pPr>
        <w:pStyle w:val="37"/>
        <w:ind w:left="0" w:leftChars="0" w:firstLine="0" w:firstLineChars="0"/>
        <w:rPr>
          <w:rFonts w:hint="eastAsia" w:ascii="仿宋" w:hAnsi="仿宋" w:eastAsia="仿宋" w:cs="仿宋"/>
          <w:b/>
          <w:bCs/>
          <w:color w:val="auto"/>
          <w:sz w:val="24"/>
          <w:szCs w:val="24"/>
          <w:highlight w:val="none"/>
          <w:lang w:val="en-US" w:eastAsia="zh-CN"/>
        </w:rPr>
      </w:pPr>
    </w:p>
    <w:p w14:paraId="06079E32">
      <w:pPr>
        <w:pStyle w:val="37"/>
        <w:ind w:left="0" w:leftChars="0" w:firstLine="0" w:firstLineChars="0"/>
        <w:rPr>
          <w:rFonts w:hint="eastAsia" w:ascii="仿宋" w:hAnsi="仿宋" w:eastAsia="仿宋" w:cs="仿宋"/>
          <w:color w:val="auto"/>
          <w:szCs w:val="21"/>
          <w:highlight w:val="none"/>
        </w:rPr>
      </w:pPr>
      <w:r>
        <w:rPr>
          <w:rFonts w:hint="eastAsia" w:ascii="仿宋" w:hAnsi="仿宋" w:eastAsia="仿宋" w:cs="仿宋"/>
          <w:b/>
          <w:bCs/>
          <w:color w:val="auto"/>
          <w:sz w:val="24"/>
          <w:szCs w:val="24"/>
          <w:highlight w:val="none"/>
          <w:lang w:val="en-US" w:eastAsia="zh-CN"/>
        </w:rPr>
        <w:t>(二）落实政府采购政策相关证明文件</w:t>
      </w:r>
    </w:p>
    <w:p w14:paraId="5031C234">
      <w:pPr>
        <w:pStyle w:val="4"/>
        <w:keepNext/>
        <w:keepLines/>
        <w:pageBreakBefore w:val="0"/>
        <w:widowControl w:val="0"/>
        <w:numPr>
          <w:ilvl w:val="0"/>
          <w:numId w:val="0"/>
        </w:numPr>
        <w:kinsoku/>
        <w:wordWrap/>
        <w:overflowPunct/>
        <w:topLinePunct w:val="0"/>
        <w:autoSpaceDE/>
        <w:autoSpaceDN/>
        <w:bidi w:val="0"/>
        <w:adjustRightInd/>
        <w:snapToGrid/>
        <w:spacing w:before="0" w:after="0" w:line="440" w:lineRule="exact"/>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一、中小企业声明函</w:t>
      </w:r>
      <w:bookmarkEnd w:id="791"/>
      <w:bookmarkEnd w:id="792"/>
      <w:bookmarkEnd w:id="793"/>
    </w:p>
    <w:p w14:paraId="318E5D9C">
      <w:pPr>
        <w:pStyle w:val="39"/>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hanging="420" w:firstLineChars="0"/>
        <w:jc w:val="center"/>
        <w:textAlignment w:val="auto"/>
        <w:rPr>
          <w:rFonts w:hint="eastAsia" w:ascii="仿宋" w:hAnsi="仿宋" w:eastAsia="仿宋" w:cs="仿宋"/>
          <w:b/>
          <w:bCs/>
          <w:color w:val="auto"/>
          <w:sz w:val="32"/>
          <w:szCs w:val="32"/>
          <w:highlight w:val="none"/>
        </w:rPr>
      </w:pPr>
    </w:p>
    <w:p w14:paraId="207600B6">
      <w:pPr>
        <w:pStyle w:val="39"/>
        <w:pageBreakBefore w:val="0"/>
        <w:widowControl w:val="0"/>
        <w:numPr>
          <w:ilvl w:val="0"/>
          <w:numId w:val="0"/>
        </w:numPr>
        <w:kinsoku/>
        <w:wordWrap/>
        <w:overflowPunct/>
        <w:topLinePunct w:val="0"/>
        <w:autoSpaceDE/>
        <w:autoSpaceDN/>
        <w:bidi w:val="0"/>
        <w:adjustRightInd/>
        <w:snapToGrid/>
        <w:spacing w:line="440" w:lineRule="exact"/>
        <w:ind w:left="420" w:leftChars="0" w:hanging="420" w:firstLineChars="0"/>
        <w:jc w:val="center"/>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中小企业声明函</w:t>
      </w:r>
    </w:p>
    <w:p w14:paraId="6D032E9B">
      <w:pPr>
        <w:pageBreakBefore w:val="0"/>
        <w:widowControl w:val="0"/>
        <w:kinsoku/>
        <w:wordWrap/>
        <w:overflowPunct/>
        <w:topLinePunct w:val="0"/>
        <w:autoSpaceDE/>
        <w:autoSpaceDN/>
        <w:bidi w:val="0"/>
        <w:adjustRightInd/>
        <w:snapToGrid/>
        <w:spacing w:line="440" w:lineRule="exact"/>
        <w:ind w:firstLine="504" w:firstLineChars="200"/>
        <w:textAlignment w:val="auto"/>
        <w:rPr>
          <w:rFonts w:hint="eastAsia" w:ascii="仿宋" w:hAnsi="仿宋" w:eastAsia="仿宋" w:cs="仿宋"/>
          <w:color w:val="auto"/>
          <w:spacing w:val="6"/>
          <w:szCs w:val="24"/>
          <w:highlight w:val="none"/>
        </w:rPr>
      </w:pPr>
      <w:r>
        <w:rPr>
          <w:rFonts w:hint="eastAsia" w:ascii="仿宋" w:hAnsi="仿宋" w:eastAsia="仿宋" w:cs="仿宋"/>
          <w:color w:val="auto"/>
          <w:spacing w:val="6"/>
          <w:szCs w:val="24"/>
          <w:highlight w:val="none"/>
        </w:rPr>
        <w:t>本公司（联合体）郑重声明，根据《政府采购促进中小企业发展管理办法》（财库﹝2020﹞46 号）的规定，本公司（联合体）参加</w:t>
      </w:r>
      <w:r>
        <w:rPr>
          <w:rFonts w:hint="eastAsia" w:ascii="仿宋" w:hAnsi="仿宋" w:eastAsia="仿宋" w:cs="仿宋"/>
          <w:color w:val="auto"/>
          <w:spacing w:val="6"/>
          <w:szCs w:val="24"/>
          <w:highlight w:val="none"/>
          <w:u w:val="single"/>
        </w:rPr>
        <w:t xml:space="preserve"> </w:t>
      </w:r>
      <w:r>
        <w:rPr>
          <w:rFonts w:hint="eastAsia" w:ascii="仿宋" w:hAnsi="仿宋" w:eastAsia="仿宋" w:cs="仿宋"/>
          <w:color w:val="auto"/>
          <w:spacing w:val="6"/>
          <w:szCs w:val="24"/>
          <w:highlight w:val="none"/>
          <w:u w:val="single"/>
          <w:lang w:eastAsia="zh-CN"/>
        </w:rPr>
        <w:t xml:space="preserve"> 乌鲁木齐市水务局</w:t>
      </w:r>
      <w:r>
        <w:rPr>
          <w:rFonts w:hint="eastAsia" w:ascii="仿宋" w:hAnsi="仿宋" w:eastAsia="仿宋" w:cs="仿宋"/>
          <w:color w:val="auto"/>
          <w:spacing w:val="6"/>
          <w:szCs w:val="24"/>
          <w:highlight w:val="none"/>
        </w:rPr>
        <w:t xml:space="preserve"> 的</w:t>
      </w:r>
      <w:r>
        <w:rPr>
          <w:rFonts w:hint="eastAsia" w:ascii="仿宋" w:hAnsi="仿宋" w:eastAsia="仿宋" w:cs="仿宋"/>
          <w:color w:val="auto"/>
          <w:spacing w:val="6"/>
          <w:szCs w:val="24"/>
          <w:highlight w:val="none"/>
          <w:u w:val="single"/>
        </w:rPr>
        <w:t xml:space="preserve"> </w:t>
      </w:r>
      <w:r>
        <w:rPr>
          <w:rFonts w:hint="eastAsia" w:ascii="仿宋" w:hAnsi="仿宋" w:eastAsia="仿宋" w:cs="仿宋"/>
          <w:color w:val="auto"/>
          <w:spacing w:val="6"/>
          <w:szCs w:val="24"/>
          <w:highlight w:val="none"/>
          <w:u w:val="single"/>
          <w:lang w:eastAsia="zh-CN"/>
        </w:rPr>
        <w:t>乌鲁木齐市防洪规划报告</w:t>
      </w:r>
      <w:r>
        <w:rPr>
          <w:rFonts w:hint="eastAsia" w:ascii="仿宋" w:hAnsi="仿宋" w:eastAsia="仿宋" w:cs="仿宋"/>
          <w:color w:val="auto"/>
          <w:spacing w:val="6"/>
          <w:szCs w:val="24"/>
          <w:highlight w:val="none"/>
          <w:u w:val="single"/>
        </w:rPr>
        <w:t xml:space="preserve"> </w:t>
      </w:r>
      <w:r>
        <w:rPr>
          <w:rFonts w:hint="eastAsia" w:ascii="仿宋" w:hAnsi="仿宋" w:eastAsia="仿宋" w:cs="仿宋"/>
          <w:color w:val="auto"/>
          <w:spacing w:val="6"/>
          <w:szCs w:val="24"/>
          <w:highlight w:val="none"/>
        </w:rPr>
        <w:t>采购活动，服务全部由符合政策要求的中小企业承接。相关企业（含联合体中的中小企业、签订分包意向协议的中小企业）的具体情况如下：</w:t>
      </w:r>
    </w:p>
    <w:p w14:paraId="6B3E4463">
      <w:pPr>
        <w:pageBreakBefore w:val="0"/>
        <w:widowControl w:val="0"/>
        <w:kinsoku/>
        <w:wordWrap/>
        <w:overflowPunct/>
        <w:topLinePunct w:val="0"/>
        <w:autoSpaceDE/>
        <w:autoSpaceDN/>
        <w:bidi w:val="0"/>
        <w:adjustRightInd/>
        <w:snapToGrid/>
        <w:spacing w:line="440" w:lineRule="exact"/>
        <w:ind w:firstLine="504" w:firstLineChars="200"/>
        <w:textAlignment w:val="auto"/>
        <w:rPr>
          <w:rFonts w:hint="eastAsia" w:ascii="仿宋" w:hAnsi="仿宋" w:eastAsia="仿宋" w:cs="仿宋"/>
          <w:color w:val="auto"/>
          <w:spacing w:val="6"/>
          <w:szCs w:val="24"/>
          <w:highlight w:val="none"/>
        </w:rPr>
      </w:pPr>
      <w:r>
        <w:rPr>
          <w:rFonts w:hint="eastAsia" w:ascii="仿宋" w:hAnsi="仿宋" w:eastAsia="仿宋" w:cs="仿宋"/>
          <w:color w:val="auto"/>
          <w:spacing w:val="6"/>
          <w:szCs w:val="24"/>
          <w:highlight w:val="none"/>
        </w:rPr>
        <w:t xml:space="preserve">1. </w:t>
      </w:r>
      <w:r>
        <w:rPr>
          <w:rFonts w:hint="eastAsia" w:ascii="仿宋" w:hAnsi="仿宋" w:eastAsia="仿宋" w:cs="仿宋"/>
          <w:color w:val="auto"/>
          <w:spacing w:val="6"/>
          <w:szCs w:val="24"/>
          <w:highlight w:val="none"/>
          <w:u w:val="single"/>
          <w:lang w:eastAsia="zh-CN"/>
        </w:rPr>
        <w:t>防洪规划报告</w:t>
      </w:r>
      <w:r>
        <w:rPr>
          <w:rFonts w:hint="eastAsia" w:ascii="仿宋" w:hAnsi="仿宋" w:eastAsia="仿宋" w:cs="仿宋"/>
          <w:color w:val="auto"/>
          <w:spacing w:val="6"/>
          <w:szCs w:val="24"/>
          <w:highlight w:val="none"/>
          <w:u w:val="single"/>
        </w:rPr>
        <w:t xml:space="preserve"> </w:t>
      </w:r>
      <w:r>
        <w:rPr>
          <w:rFonts w:hint="eastAsia" w:ascii="仿宋" w:hAnsi="仿宋" w:eastAsia="仿宋" w:cs="仿宋"/>
          <w:color w:val="auto"/>
          <w:spacing w:val="6"/>
          <w:szCs w:val="24"/>
          <w:highlight w:val="none"/>
        </w:rPr>
        <w:t>，属于</w:t>
      </w:r>
      <w:r>
        <w:rPr>
          <w:rFonts w:hint="eastAsia" w:ascii="仿宋" w:hAnsi="仿宋" w:eastAsia="仿宋" w:cs="仿宋"/>
          <w:color w:val="auto"/>
          <w:spacing w:val="6"/>
          <w:szCs w:val="24"/>
          <w:highlight w:val="none"/>
          <w:u w:val="single"/>
        </w:rPr>
        <w:t xml:space="preserve"> 其他未列明行业</w:t>
      </w:r>
      <w:r>
        <w:rPr>
          <w:rFonts w:hint="eastAsia" w:ascii="仿宋" w:hAnsi="仿宋" w:eastAsia="仿宋" w:cs="仿宋"/>
          <w:color w:val="auto"/>
          <w:spacing w:val="6"/>
          <w:szCs w:val="24"/>
          <w:highlight w:val="none"/>
          <w:u w:val="single"/>
          <w:lang w:val="en-US" w:eastAsia="zh-CN"/>
        </w:rPr>
        <w:t xml:space="preserve"> </w:t>
      </w:r>
      <w:r>
        <w:rPr>
          <w:rFonts w:hint="eastAsia" w:ascii="仿宋" w:hAnsi="仿宋" w:eastAsia="仿宋" w:cs="仿宋"/>
          <w:color w:val="auto"/>
          <w:spacing w:val="6"/>
          <w:szCs w:val="24"/>
          <w:highlight w:val="none"/>
        </w:rPr>
        <w:t>；承接企业为</w:t>
      </w:r>
      <w:r>
        <w:rPr>
          <w:rFonts w:hint="eastAsia" w:ascii="仿宋" w:hAnsi="仿宋" w:eastAsia="仿宋" w:cs="仿宋"/>
          <w:color w:val="auto"/>
          <w:spacing w:val="6"/>
          <w:szCs w:val="24"/>
          <w:highlight w:val="none"/>
          <w:u w:val="single"/>
        </w:rPr>
        <w:t xml:space="preserve"> （企业名称） </w:t>
      </w:r>
      <w:r>
        <w:rPr>
          <w:rFonts w:hint="eastAsia" w:ascii="仿宋" w:hAnsi="仿宋" w:eastAsia="仿宋" w:cs="仿宋"/>
          <w:color w:val="auto"/>
          <w:spacing w:val="6"/>
          <w:szCs w:val="24"/>
          <w:highlight w:val="none"/>
        </w:rPr>
        <w:t>，从业人员</w:t>
      </w:r>
      <w:r>
        <w:rPr>
          <w:rFonts w:hint="eastAsia" w:ascii="仿宋" w:hAnsi="仿宋" w:eastAsia="仿宋" w:cs="仿宋"/>
          <w:color w:val="auto"/>
          <w:spacing w:val="6"/>
          <w:szCs w:val="24"/>
          <w:highlight w:val="none"/>
          <w:u w:val="single"/>
          <w:lang w:val="en-US" w:eastAsia="zh-CN"/>
        </w:rPr>
        <w:t xml:space="preserve">     </w:t>
      </w:r>
      <w:r>
        <w:rPr>
          <w:rFonts w:hint="eastAsia" w:ascii="仿宋" w:hAnsi="仿宋" w:eastAsia="仿宋" w:cs="仿宋"/>
          <w:color w:val="auto"/>
          <w:spacing w:val="6"/>
          <w:szCs w:val="24"/>
          <w:highlight w:val="none"/>
        </w:rPr>
        <w:t>人，营业收入为</w:t>
      </w:r>
      <w:r>
        <w:rPr>
          <w:rFonts w:hint="eastAsia" w:ascii="仿宋" w:hAnsi="仿宋" w:eastAsia="仿宋" w:cs="仿宋"/>
          <w:color w:val="auto"/>
          <w:spacing w:val="6"/>
          <w:szCs w:val="24"/>
          <w:highlight w:val="none"/>
          <w:u w:val="single"/>
          <w:lang w:val="en-US" w:eastAsia="zh-CN"/>
        </w:rPr>
        <w:t xml:space="preserve">       </w:t>
      </w:r>
      <w:r>
        <w:rPr>
          <w:rFonts w:hint="eastAsia" w:ascii="仿宋" w:hAnsi="仿宋" w:eastAsia="仿宋" w:cs="仿宋"/>
          <w:color w:val="auto"/>
          <w:spacing w:val="6"/>
          <w:szCs w:val="24"/>
          <w:highlight w:val="none"/>
        </w:rPr>
        <w:t>万元，资产总额为</w:t>
      </w:r>
      <w:r>
        <w:rPr>
          <w:rFonts w:hint="eastAsia" w:ascii="仿宋" w:hAnsi="仿宋" w:eastAsia="仿宋" w:cs="仿宋"/>
          <w:color w:val="auto"/>
          <w:spacing w:val="6"/>
          <w:szCs w:val="24"/>
          <w:highlight w:val="none"/>
          <w:u w:val="single"/>
          <w:lang w:val="en-US" w:eastAsia="zh-CN"/>
        </w:rPr>
        <w:t xml:space="preserve">         </w:t>
      </w:r>
      <w:r>
        <w:rPr>
          <w:rFonts w:hint="eastAsia" w:ascii="仿宋" w:hAnsi="仿宋" w:eastAsia="仿宋" w:cs="仿宋"/>
          <w:color w:val="auto"/>
          <w:spacing w:val="6"/>
          <w:szCs w:val="24"/>
          <w:highlight w:val="none"/>
        </w:rPr>
        <w:t>万元，属于</w:t>
      </w:r>
      <w:r>
        <w:rPr>
          <w:rFonts w:hint="eastAsia" w:ascii="仿宋" w:hAnsi="仿宋" w:eastAsia="仿宋" w:cs="仿宋"/>
          <w:color w:val="auto"/>
          <w:spacing w:val="6"/>
          <w:szCs w:val="24"/>
          <w:highlight w:val="none"/>
          <w:u w:val="single"/>
        </w:rPr>
        <w:t>（中型企业、小型企业、微型企业）</w:t>
      </w:r>
      <w:r>
        <w:rPr>
          <w:rFonts w:hint="eastAsia" w:ascii="仿宋" w:hAnsi="仿宋" w:eastAsia="仿宋" w:cs="仿宋"/>
          <w:color w:val="auto"/>
          <w:spacing w:val="6"/>
          <w:szCs w:val="24"/>
          <w:highlight w:val="none"/>
        </w:rPr>
        <w:t>；</w:t>
      </w:r>
    </w:p>
    <w:p w14:paraId="28267CD4">
      <w:pPr>
        <w:pageBreakBefore w:val="0"/>
        <w:widowControl w:val="0"/>
        <w:kinsoku/>
        <w:wordWrap/>
        <w:overflowPunct/>
        <w:topLinePunct w:val="0"/>
        <w:autoSpaceDE/>
        <w:autoSpaceDN/>
        <w:bidi w:val="0"/>
        <w:adjustRightInd/>
        <w:snapToGrid/>
        <w:spacing w:line="440" w:lineRule="exact"/>
        <w:ind w:firstLine="504" w:firstLineChars="200"/>
        <w:textAlignment w:val="auto"/>
        <w:rPr>
          <w:rFonts w:hint="eastAsia" w:ascii="仿宋" w:hAnsi="仿宋" w:eastAsia="仿宋" w:cs="仿宋"/>
          <w:color w:val="auto"/>
          <w:spacing w:val="6"/>
          <w:szCs w:val="24"/>
          <w:highlight w:val="none"/>
        </w:rPr>
      </w:pPr>
      <w:r>
        <w:rPr>
          <w:rFonts w:hint="eastAsia" w:ascii="仿宋" w:hAnsi="仿宋" w:eastAsia="仿宋" w:cs="仿宋"/>
          <w:color w:val="auto"/>
          <w:spacing w:val="6"/>
          <w:szCs w:val="24"/>
          <w:highlight w:val="none"/>
        </w:rPr>
        <w:t>以上企业，不属于大企业的分支机构，不存在控股股东为大企业的情形，也不存在与大企业的负责人为同一人的情形。</w:t>
      </w:r>
    </w:p>
    <w:p w14:paraId="47C89E53">
      <w:pPr>
        <w:pageBreakBefore w:val="0"/>
        <w:widowControl w:val="0"/>
        <w:kinsoku/>
        <w:wordWrap/>
        <w:overflowPunct/>
        <w:topLinePunct w:val="0"/>
        <w:autoSpaceDE/>
        <w:autoSpaceDN/>
        <w:bidi w:val="0"/>
        <w:adjustRightInd/>
        <w:snapToGrid/>
        <w:spacing w:line="440" w:lineRule="exact"/>
        <w:ind w:firstLine="504" w:firstLineChars="200"/>
        <w:textAlignment w:val="auto"/>
        <w:rPr>
          <w:rFonts w:hint="eastAsia" w:ascii="仿宋" w:hAnsi="仿宋" w:eastAsia="仿宋" w:cs="仿宋"/>
          <w:color w:val="auto"/>
          <w:spacing w:val="6"/>
          <w:szCs w:val="24"/>
          <w:highlight w:val="none"/>
        </w:rPr>
      </w:pPr>
      <w:r>
        <w:rPr>
          <w:rFonts w:hint="eastAsia" w:ascii="仿宋" w:hAnsi="仿宋" w:eastAsia="仿宋" w:cs="仿宋"/>
          <w:color w:val="auto"/>
          <w:spacing w:val="6"/>
          <w:szCs w:val="24"/>
          <w:highlight w:val="none"/>
        </w:rPr>
        <w:t>本企业对上述声明内容的真实性负责。如有虚假，将依法承担相应责任。</w:t>
      </w:r>
    </w:p>
    <w:p w14:paraId="3A1F3F64">
      <w:pPr>
        <w:pageBreakBefore w:val="0"/>
        <w:widowControl w:val="0"/>
        <w:kinsoku/>
        <w:wordWrap/>
        <w:overflowPunct/>
        <w:topLinePunct w:val="0"/>
        <w:autoSpaceDE/>
        <w:autoSpaceDN/>
        <w:bidi w:val="0"/>
        <w:adjustRightInd/>
        <w:snapToGrid/>
        <w:spacing w:line="440" w:lineRule="exact"/>
        <w:ind w:firstLine="504" w:firstLineChars="200"/>
        <w:textAlignment w:val="auto"/>
        <w:rPr>
          <w:rFonts w:hint="eastAsia" w:ascii="仿宋" w:hAnsi="仿宋" w:eastAsia="仿宋" w:cs="仿宋"/>
          <w:color w:val="auto"/>
          <w:spacing w:val="6"/>
          <w:szCs w:val="24"/>
          <w:highlight w:val="none"/>
        </w:rPr>
      </w:pPr>
    </w:p>
    <w:p w14:paraId="44388756">
      <w:pPr>
        <w:pageBreakBefore w:val="0"/>
        <w:widowControl w:val="0"/>
        <w:kinsoku/>
        <w:wordWrap/>
        <w:overflowPunct/>
        <w:topLinePunct w:val="0"/>
        <w:autoSpaceDE/>
        <w:autoSpaceDN/>
        <w:bidi w:val="0"/>
        <w:adjustRightInd/>
        <w:snapToGrid/>
        <w:spacing w:line="440" w:lineRule="exact"/>
        <w:ind w:right="1008" w:firstLine="4788" w:firstLineChars="1900"/>
        <w:textAlignment w:val="auto"/>
        <w:rPr>
          <w:rFonts w:hint="eastAsia" w:ascii="仿宋" w:hAnsi="仿宋" w:eastAsia="仿宋" w:cs="仿宋"/>
          <w:color w:val="auto"/>
          <w:spacing w:val="6"/>
          <w:szCs w:val="24"/>
          <w:highlight w:val="none"/>
        </w:rPr>
      </w:pPr>
    </w:p>
    <w:p w14:paraId="6C2BBC1F">
      <w:pPr>
        <w:pageBreakBefore w:val="0"/>
        <w:widowControl w:val="0"/>
        <w:kinsoku/>
        <w:wordWrap/>
        <w:overflowPunct/>
        <w:topLinePunct w:val="0"/>
        <w:autoSpaceDE/>
        <w:autoSpaceDN/>
        <w:bidi w:val="0"/>
        <w:adjustRightInd/>
        <w:snapToGrid/>
        <w:spacing w:line="440" w:lineRule="exact"/>
        <w:ind w:right="1008" w:firstLine="4284" w:firstLineChars="1700"/>
        <w:textAlignment w:val="auto"/>
        <w:rPr>
          <w:rFonts w:hint="eastAsia" w:ascii="仿宋" w:hAnsi="仿宋" w:eastAsia="仿宋" w:cs="仿宋"/>
          <w:color w:val="auto"/>
          <w:spacing w:val="6"/>
          <w:szCs w:val="24"/>
          <w:highlight w:val="none"/>
        </w:rPr>
      </w:pPr>
      <w:r>
        <w:rPr>
          <w:rFonts w:hint="eastAsia" w:ascii="仿宋" w:hAnsi="仿宋" w:eastAsia="仿宋" w:cs="仿宋"/>
          <w:color w:val="auto"/>
          <w:spacing w:val="6"/>
          <w:szCs w:val="24"/>
          <w:highlight w:val="none"/>
          <w:lang w:val="en-US" w:eastAsia="zh-CN"/>
        </w:rPr>
        <w:t>投标人</w:t>
      </w:r>
      <w:r>
        <w:rPr>
          <w:rFonts w:hint="eastAsia" w:ascii="仿宋" w:hAnsi="仿宋" w:eastAsia="仿宋" w:cs="仿宋"/>
          <w:color w:val="auto"/>
          <w:spacing w:val="6"/>
          <w:szCs w:val="24"/>
          <w:highlight w:val="none"/>
        </w:rPr>
        <w:t>名称</w:t>
      </w:r>
      <w:r>
        <w:rPr>
          <w:rFonts w:hint="eastAsia" w:ascii="仿宋" w:hAnsi="仿宋" w:eastAsia="仿宋" w:cs="仿宋"/>
          <w:color w:val="auto"/>
          <w:szCs w:val="24"/>
          <w:highlight w:val="none"/>
          <w:lang w:eastAsia="zh-CN"/>
        </w:rPr>
        <w:t>（</w:t>
      </w:r>
      <w:r>
        <w:rPr>
          <w:rFonts w:hint="eastAsia" w:ascii="仿宋" w:hAnsi="仿宋" w:eastAsia="仿宋" w:cs="仿宋"/>
          <w:color w:val="auto"/>
          <w:kern w:val="0"/>
          <w:sz w:val="24"/>
          <w:szCs w:val="24"/>
          <w:highlight w:val="none"/>
          <w:lang w:val="en-US" w:eastAsia="zh-CN"/>
        </w:rPr>
        <w:t>公</w:t>
      </w:r>
      <w:r>
        <w:rPr>
          <w:rFonts w:hint="eastAsia" w:ascii="仿宋" w:hAnsi="仿宋" w:eastAsia="仿宋" w:cs="仿宋"/>
          <w:color w:val="auto"/>
          <w:kern w:val="0"/>
          <w:sz w:val="24"/>
          <w:szCs w:val="24"/>
          <w:highlight w:val="none"/>
          <w:lang w:eastAsia="zh-CN"/>
        </w:rPr>
        <w:t>章</w:t>
      </w:r>
      <w:r>
        <w:rPr>
          <w:rFonts w:hint="eastAsia" w:ascii="仿宋" w:hAnsi="仿宋" w:eastAsia="仿宋" w:cs="仿宋"/>
          <w:color w:val="auto"/>
          <w:kern w:val="0"/>
          <w:sz w:val="24"/>
          <w:highlight w:val="none"/>
          <w:lang w:val="zh-CN"/>
        </w:rPr>
        <w:t>)</w:t>
      </w:r>
      <w:r>
        <w:rPr>
          <w:rFonts w:hint="eastAsia" w:ascii="仿宋" w:hAnsi="仿宋" w:eastAsia="仿宋" w:cs="仿宋"/>
          <w:color w:val="auto"/>
          <w:spacing w:val="6"/>
          <w:szCs w:val="24"/>
          <w:highlight w:val="none"/>
        </w:rPr>
        <w:t>：</w:t>
      </w:r>
    </w:p>
    <w:p w14:paraId="2A9A4197">
      <w:pPr>
        <w:pageBreakBefore w:val="0"/>
        <w:widowControl w:val="0"/>
        <w:kinsoku/>
        <w:wordWrap/>
        <w:overflowPunct/>
        <w:topLinePunct w:val="0"/>
        <w:autoSpaceDE/>
        <w:autoSpaceDN/>
        <w:bidi w:val="0"/>
        <w:adjustRightInd/>
        <w:snapToGrid/>
        <w:spacing w:line="440" w:lineRule="exact"/>
        <w:ind w:right="1008" w:firstLine="4284" w:firstLineChars="1700"/>
        <w:textAlignment w:val="auto"/>
        <w:rPr>
          <w:rFonts w:hint="eastAsia" w:ascii="仿宋" w:hAnsi="仿宋" w:eastAsia="仿宋" w:cs="仿宋"/>
          <w:color w:val="auto"/>
          <w:spacing w:val="6"/>
          <w:szCs w:val="24"/>
          <w:highlight w:val="none"/>
          <w:lang w:val="en-US" w:eastAsia="zh-CN"/>
        </w:rPr>
      </w:pPr>
      <w:r>
        <w:rPr>
          <w:rFonts w:hint="eastAsia" w:ascii="仿宋" w:hAnsi="仿宋" w:eastAsia="仿宋" w:cs="仿宋"/>
          <w:color w:val="auto"/>
          <w:spacing w:val="6"/>
          <w:szCs w:val="24"/>
          <w:highlight w:val="none"/>
        </w:rPr>
        <w:t>日期：</w:t>
      </w:r>
      <w:r>
        <w:rPr>
          <w:rFonts w:hint="eastAsia" w:ascii="仿宋" w:hAnsi="仿宋" w:eastAsia="仿宋" w:cs="仿宋"/>
          <w:color w:val="auto"/>
          <w:spacing w:val="6"/>
          <w:szCs w:val="24"/>
          <w:highlight w:val="none"/>
          <w:lang w:val="en-US" w:eastAsia="zh-CN"/>
        </w:rPr>
        <w:t xml:space="preserve">  年  月  日</w:t>
      </w:r>
    </w:p>
    <w:p w14:paraId="276737B1">
      <w:pPr>
        <w:pageBreakBefore w:val="0"/>
        <w:widowControl w:val="0"/>
        <w:kinsoku/>
        <w:wordWrap/>
        <w:overflowPunct/>
        <w:topLinePunct w:val="0"/>
        <w:autoSpaceDE/>
        <w:autoSpaceDN/>
        <w:bidi w:val="0"/>
        <w:adjustRightInd/>
        <w:snapToGrid/>
        <w:spacing w:line="440" w:lineRule="exact"/>
        <w:ind w:firstLine="504" w:firstLineChars="200"/>
        <w:textAlignment w:val="auto"/>
        <w:rPr>
          <w:rFonts w:hint="eastAsia" w:ascii="仿宋" w:hAnsi="仿宋" w:eastAsia="仿宋" w:cs="仿宋"/>
          <w:color w:val="auto"/>
          <w:spacing w:val="6"/>
          <w:szCs w:val="24"/>
          <w:highlight w:val="none"/>
        </w:rPr>
      </w:pPr>
    </w:p>
    <w:p w14:paraId="511F791B">
      <w:pPr>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auto"/>
          <w:spacing w:val="6"/>
          <w:sz w:val="21"/>
          <w:szCs w:val="21"/>
          <w:highlight w:val="none"/>
          <w:lang w:val="en-US" w:eastAsia="zh-CN"/>
        </w:rPr>
      </w:pPr>
      <w:r>
        <w:rPr>
          <w:rFonts w:hint="eastAsia" w:ascii="仿宋" w:hAnsi="仿宋" w:eastAsia="仿宋" w:cs="仿宋"/>
          <w:b/>
          <w:bCs/>
          <w:color w:val="auto"/>
          <w:spacing w:val="6"/>
          <w:sz w:val="21"/>
          <w:szCs w:val="21"/>
          <w:highlight w:val="none"/>
        </w:rPr>
        <w:t>说明：</w:t>
      </w:r>
      <w:r>
        <w:rPr>
          <w:rFonts w:hint="eastAsia" w:ascii="仿宋" w:hAnsi="仿宋" w:eastAsia="仿宋" w:cs="仿宋"/>
          <w:b/>
          <w:bCs/>
          <w:color w:val="auto"/>
          <w:spacing w:val="6"/>
          <w:sz w:val="21"/>
          <w:szCs w:val="21"/>
          <w:highlight w:val="none"/>
          <w:lang w:val="en-US" w:eastAsia="zh-CN"/>
        </w:rPr>
        <w:t>1.重要提示：供应商应仔细阅读本函附件1关于“中小企业声明函”的填写要求及提交要求，否则，因填写或提交等产生的一切不利后果，须自行承担。</w:t>
      </w:r>
    </w:p>
    <w:p w14:paraId="5833B653">
      <w:pPr>
        <w:pageBreakBefore w:val="0"/>
        <w:widowControl w:val="0"/>
        <w:kinsoku/>
        <w:wordWrap/>
        <w:overflowPunct/>
        <w:topLinePunct w:val="0"/>
        <w:autoSpaceDE/>
        <w:autoSpaceDN/>
        <w:bidi w:val="0"/>
        <w:adjustRightInd/>
        <w:snapToGrid/>
        <w:spacing w:line="440" w:lineRule="exact"/>
        <w:ind w:firstLine="666" w:firstLineChars="300"/>
        <w:textAlignment w:val="auto"/>
        <w:rPr>
          <w:rFonts w:hint="eastAsia" w:ascii="仿宋" w:hAnsi="仿宋" w:eastAsia="仿宋" w:cs="仿宋"/>
          <w:b w:val="0"/>
          <w:bCs w:val="0"/>
          <w:color w:val="auto"/>
          <w:spacing w:val="6"/>
          <w:sz w:val="21"/>
          <w:szCs w:val="21"/>
          <w:highlight w:val="none"/>
        </w:rPr>
      </w:pPr>
      <w:r>
        <w:rPr>
          <w:rFonts w:hint="eastAsia" w:ascii="仿宋" w:hAnsi="仿宋" w:eastAsia="仿宋" w:cs="仿宋"/>
          <w:b w:val="0"/>
          <w:bCs w:val="0"/>
          <w:color w:val="auto"/>
          <w:spacing w:val="6"/>
          <w:sz w:val="21"/>
          <w:szCs w:val="21"/>
          <w:highlight w:val="none"/>
          <w:lang w:val="en-US" w:eastAsia="zh-CN"/>
        </w:rPr>
        <w:t>2.</w:t>
      </w:r>
      <w:r>
        <w:rPr>
          <w:rFonts w:hint="eastAsia" w:ascii="仿宋" w:hAnsi="仿宋" w:eastAsia="仿宋" w:cs="仿宋"/>
          <w:b w:val="0"/>
          <w:bCs w:val="0"/>
          <w:color w:val="auto"/>
          <w:spacing w:val="6"/>
          <w:sz w:val="21"/>
          <w:szCs w:val="21"/>
          <w:highlight w:val="none"/>
        </w:rPr>
        <w:t>从业人员、营业收入、资产总额填报上一年度数据，无上一年度数据的新成立企业可不填报。</w:t>
      </w:r>
    </w:p>
    <w:p w14:paraId="10DB029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bCs/>
          <w:color w:val="auto"/>
          <w:highlight w:val="none"/>
          <w:lang w:val="en-US" w:eastAsia="zh-CN"/>
        </w:rPr>
      </w:pPr>
    </w:p>
    <w:p w14:paraId="36B71CA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bCs/>
          <w:color w:val="auto"/>
          <w:highlight w:val="none"/>
          <w:lang w:val="en-US" w:eastAsia="zh-CN"/>
        </w:rPr>
      </w:pPr>
    </w:p>
    <w:p w14:paraId="20557CC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bCs/>
          <w:color w:val="auto"/>
          <w:highlight w:val="none"/>
          <w:lang w:val="en-US" w:eastAsia="zh-CN"/>
        </w:rPr>
      </w:pPr>
    </w:p>
    <w:p w14:paraId="48C2239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bCs/>
          <w:color w:val="auto"/>
          <w:highlight w:val="none"/>
          <w:lang w:val="en-US" w:eastAsia="zh-CN"/>
        </w:rPr>
      </w:pPr>
    </w:p>
    <w:p w14:paraId="280B246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bCs/>
          <w:color w:val="auto"/>
          <w:highlight w:val="none"/>
          <w:lang w:val="en-US" w:eastAsia="zh-CN"/>
        </w:rPr>
      </w:pPr>
    </w:p>
    <w:p w14:paraId="76CB22E5">
      <w:pPr>
        <w:keepNext w:val="0"/>
        <w:keepLines w:val="0"/>
        <w:pageBreakBefore w:val="0"/>
        <w:widowControl w:val="0"/>
        <w:kinsoku/>
        <w:wordWrap/>
        <w:overflowPunct/>
        <w:topLinePunct w:val="0"/>
        <w:autoSpaceDE/>
        <w:autoSpaceDN/>
        <w:bidi w:val="0"/>
        <w:adjustRightInd/>
        <w:snapToGrid/>
        <w:spacing w:line="360" w:lineRule="exact"/>
        <w:textAlignment w:val="auto"/>
        <w:rPr>
          <w:rStyle w:val="33"/>
          <w:rFonts w:hint="eastAsia" w:ascii="仿宋" w:hAnsi="仿宋" w:eastAsia="仿宋" w:cs="仿宋"/>
          <w:color w:val="auto"/>
          <w:kern w:val="0"/>
          <w:sz w:val="28"/>
          <w:szCs w:val="28"/>
          <w:highlight w:val="none"/>
          <w:lang w:val="en-US" w:eastAsia="zh-CN" w:bidi="ar"/>
        </w:rPr>
      </w:pPr>
      <w:r>
        <w:rPr>
          <w:rFonts w:hint="eastAsia" w:ascii="仿宋" w:hAnsi="仿宋" w:eastAsia="仿宋" w:cs="仿宋"/>
          <w:b/>
          <w:bCs/>
          <w:color w:val="auto"/>
          <w:highlight w:val="none"/>
          <w:lang w:val="en-US" w:eastAsia="zh-CN"/>
        </w:rPr>
        <w:t>附件1</w:t>
      </w:r>
    </w:p>
    <w:p w14:paraId="542A0F4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Style w:val="33"/>
          <w:rFonts w:hint="eastAsia" w:ascii="仿宋" w:hAnsi="仿宋" w:eastAsia="仿宋" w:cs="仿宋"/>
          <w:color w:val="auto"/>
          <w:kern w:val="0"/>
          <w:sz w:val="28"/>
          <w:szCs w:val="28"/>
          <w:highlight w:val="none"/>
          <w:lang w:val="en-US" w:eastAsia="zh-CN" w:bidi="ar"/>
        </w:rPr>
      </w:pPr>
      <w:r>
        <w:rPr>
          <w:rStyle w:val="33"/>
          <w:rFonts w:hint="eastAsia" w:ascii="仿宋" w:hAnsi="仿宋" w:eastAsia="仿宋" w:cs="仿宋"/>
          <w:color w:val="auto"/>
          <w:kern w:val="0"/>
          <w:sz w:val="24"/>
          <w:szCs w:val="24"/>
          <w:highlight w:val="none"/>
          <w:lang w:val="en-US" w:eastAsia="zh-CN" w:bidi="ar"/>
        </w:rPr>
        <w:t>（一）关于“中小企业声明函”的填写要求</w:t>
      </w:r>
    </w:p>
    <w:p w14:paraId="4504B2C5">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0"/>
          <w:sz w:val="24"/>
          <w:szCs w:val="28"/>
          <w:highlight w:val="none"/>
          <w:lang w:val="en-US" w:eastAsia="zh-CN" w:bidi="ar"/>
        </w:rPr>
      </w:pPr>
      <w:r>
        <w:rPr>
          <w:rFonts w:hint="eastAsia" w:ascii="仿宋" w:hAnsi="仿宋" w:eastAsia="仿宋" w:cs="仿宋"/>
          <w:color w:val="auto"/>
          <w:kern w:val="0"/>
          <w:sz w:val="24"/>
          <w:szCs w:val="28"/>
          <w:highlight w:val="none"/>
          <w:lang w:val="en-US" w:eastAsia="zh-CN" w:bidi="ar"/>
        </w:rPr>
        <w:t>“中小企业声明函”具体填写要求如下：</w:t>
      </w:r>
    </w:p>
    <w:p w14:paraId="2FB9E67E">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0"/>
          <w:sz w:val="24"/>
          <w:szCs w:val="28"/>
          <w:highlight w:val="none"/>
          <w:lang w:val="en-US" w:eastAsia="zh-CN" w:bidi="ar"/>
        </w:rPr>
      </w:pPr>
      <w:r>
        <w:rPr>
          <w:rFonts w:hint="eastAsia" w:ascii="仿宋" w:hAnsi="仿宋" w:eastAsia="仿宋" w:cs="仿宋"/>
          <w:color w:val="auto"/>
          <w:kern w:val="0"/>
          <w:sz w:val="24"/>
          <w:szCs w:val="28"/>
          <w:highlight w:val="none"/>
          <w:lang w:val="en-US" w:eastAsia="zh-CN" w:bidi="ar"/>
        </w:rPr>
        <w:t>1.“单位名称”应填写采购人名称。</w:t>
      </w:r>
    </w:p>
    <w:p w14:paraId="4B541579">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0"/>
          <w:sz w:val="24"/>
          <w:szCs w:val="28"/>
          <w:highlight w:val="none"/>
          <w:lang w:val="en-US" w:eastAsia="zh-CN" w:bidi="ar"/>
        </w:rPr>
      </w:pPr>
      <w:r>
        <w:rPr>
          <w:rFonts w:hint="eastAsia" w:ascii="仿宋" w:hAnsi="仿宋" w:eastAsia="仿宋" w:cs="仿宋"/>
          <w:color w:val="auto"/>
          <w:kern w:val="0"/>
          <w:sz w:val="24"/>
          <w:szCs w:val="28"/>
          <w:highlight w:val="none"/>
          <w:lang w:val="en-US" w:eastAsia="zh-CN" w:bidi="ar"/>
        </w:rPr>
        <w:t>2.“项目名称”应按照采购文件中确定的项目名称填写。对于分包方式面向中小企业采购的项目，应标明中小企业的具体分包内容；对于以联合体方式面向中小企业采购的项目，应标明联合体中中小企业所承担的具体内容。</w:t>
      </w:r>
    </w:p>
    <w:p w14:paraId="42299603">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0"/>
          <w:sz w:val="24"/>
          <w:szCs w:val="28"/>
          <w:highlight w:val="none"/>
          <w:lang w:val="en-US" w:eastAsia="zh-CN" w:bidi="ar"/>
        </w:rPr>
      </w:pPr>
      <w:r>
        <w:rPr>
          <w:rFonts w:hint="eastAsia" w:ascii="仿宋" w:hAnsi="仿宋" w:eastAsia="仿宋" w:cs="仿宋"/>
          <w:color w:val="auto"/>
          <w:kern w:val="0"/>
          <w:sz w:val="24"/>
          <w:szCs w:val="28"/>
          <w:highlight w:val="none"/>
          <w:lang w:val="en-US" w:eastAsia="zh-CN" w:bidi="ar"/>
        </w:rPr>
        <w:t>3.“标的名称”应填写采购文件中细化载明的采购标的名称。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14:paraId="4716FFFB">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0"/>
          <w:sz w:val="24"/>
          <w:szCs w:val="28"/>
          <w:highlight w:val="none"/>
          <w:lang w:val="en-US" w:eastAsia="zh-CN" w:bidi="ar"/>
        </w:rPr>
      </w:pPr>
      <w:r>
        <w:rPr>
          <w:rFonts w:hint="eastAsia" w:ascii="仿宋" w:hAnsi="仿宋" w:eastAsia="仿宋" w:cs="仿宋"/>
          <w:color w:val="auto"/>
          <w:kern w:val="0"/>
          <w:sz w:val="24"/>
          <w:szCs w:val="28"/>
          <w:highlight w:val="none"/>
          <w:lang w:val="en-US" w:eastAsia="zh-CN" w:bidi="ar"/>
        </w:rPr>
        <w:t>4.“采购文件中明确的所属行业”应填写采购文件中明确的采购标的所属行业，并应确保与采购标的涉及的货物制造商/服务承接商/工程承建商（根据项目属性确定）本身的所属行业保持一致。</w:t>
      </w:r>
    </w:p>
    <w:p w14:paraId="6E580AC6">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0"/>
          <w:sz w:val="24"/>
          <w:szCs w:val="28"/>
          <w:highlight w:val="none"/>
          <w:lang w:val="en-US" w:eastAsia="zh-CN" w:bidi="ar"/>
        </w:rPr>
      </w:pPr>
      <w:r>
        <w:rPr>
          <w:rFonts w:hint="eastAsia" w:ascii="仿宋" w:hAnsi="仿宋" w:eastAsia="仿宋" w:cs="仿宋"/>
          <w:color w:val="auto"/>
          <w:kern w:val="0"/>
          <w:sz w:val="24"/>
          <w:szCs w:val="28"/>
          <w:highlight w:val="none"/>
          <w:lang w:val="en-US" w:eastAsia="zh-CN" w:bidi="ar"/>
        </w:rPr>
        <w:t>对于分包方式面向中小企业采购的项目，“采购文件中明确的所属行业”应按照采购文件中注明的分包给中小企业的采购标的所属行业填写，并应确保与该分包部分采购标的涉及的货物制造商/服务承接商/工程承建商（根据项目属性确定）本身的所属行业保持一致。</w:t>
      </w:r>
    </w:p>
    <w:p w14:paraId="2A7805CA">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0"/>
          <w:sz w:val="24"/>
          <w:szCs w:val="28"/>
          <w:highlight w:val="none"/>
          <w:lang w:val="en-US" w:eastAsia="zh-CN" w:bidi="ar"/>
        </w:rPr>
      </w:pPr>
      <w:r>
        <w:rPr>
          <w:rFonts w:hint="eastAsia" w:ascii="仿宋" w:hAnsi="仿宋" w:eastAsia="仿宋" w:cs="仿宋"/>
          <w:color w:val="auto"/>
          <w:kern w:val="0"/>
          <w:sz w:val="24"/>
          <w:szCs w:val="28"/>
          <w:highlight w:val="none"/>
          <w:lang w:val="en-US" w:eastAsia="zh-CN" w:bidi="ar"/>
        </w:rPr>
        <w:t>对于以联合体方式面向中小企业采购的项目，“采购文件中明确的所属行业”应按照采购文件中注明的联合体中中小企业承担的采购标的所属行业填写，并应确保与该承担部分采购标的涉及的货物制造商/服务承接商/工程承建商（根据项目属性确定）本身的所属行业保持一致。</w:t>
      </w:r>
    </w:p>
    <w:p w14:paraId="75B34C4E">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0"/>
          <w:sz w:val="24"/>
          <w:szCs w:val="28"/>
          <w:highlight w:val="none"/>
          <w:lang w:val="en-US" w:eastAsia="zh-CN" w:bidi="ar"/>
        </w:rPr>
      </w:pPr>
      <w:r>
        <w:rPr>
          <w:rFonts w:hint="eastAsia" w:ascii="仿宋" w:hAnsi="仿宋" w:eastAsia="仿宋" w:cs="仿宋"/>
          <w:color w:val="auto"/>
          <w:kern w:val="0"/>
          <w:sz w:val="24"/>
          <w:szCs w:val="28"/>
          <w:highlight w:val="none"/>
          <w:lang w:val="en-US" w:eastAsia="zh-CN" w:bidi="ar"/>
        </w:rPr>
        <w:t>5.“企业名称”应填写投标（响应）的货物制造商/服务承接商/工程承建商（根据项目属性确定）。</w:t>
      </w:r>
    </w:p>
    <w:p w14:paraId="33913306">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0"/>
          <w:sz w:val="24"/>
          <w:szCs w:val="28"/>
          <w:highlight w:val="none"/>
          <w:lang w:val="en-US" w:eastAsia="zh-CN" w:bidi="ar"/>
        </w:rPr>
      </w:pPr>
      <w:r>
        <w:rPr>
          <w:rFonts w:hint="eastAsia" w:ascii="仿宋" w:hAnsi="仿宋" w:eastAsia="仿宋" w:cs="仿宋"/>
          <w:color w:val="auto"/>
          <w:kern w:val="0"/>
          <w:sz w:val="24"/>
          <w:szCs w:val="28"/>
          <w:highlight w:val="none"/>
          <w:lang w:val="en-US" w:eastAsia="zh-CN" w:bidi="ar"/>
        </w:rPr>
        <w:t>对于分包方式面向中小企业采购的项目，“企业名称”应填写分包部分采购标的对应的货物制造商/服务承接商/工程承建商（根据项目属性确定）。</w:t>
      </w:r>
    </w:p>
    <w:p w14:paraId="66820D88">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0"/>
          <w:sz w:val="24"/>
          <w:szCs w:val="28"/>
          <w:highlight w:val="none"/>
          <w:lang w:val="en-US" w:eastAsia="zh-CN" w:bidi="ar"/>
        </w:rPr>
      </w:pPr>
      <w:r>
        <w:rPr>
          <w:rFonts w:hint="eastAsia" w:ascii="仿宋" w:hAnsi="仿宋" w:eastAsia="仿宋" w:cs="仿宋"/>
          <w:color w:val="auto"/>
          <w:kern w:val="0"/>
          <w:sz w:val="24"/>
          <w:szCs w:val="28"/>
          <w:highlight w:val="none"/>
          <w:lang w:val="en-US" w:eastAsia="zh-CN" w:bidi="ar"/>
        </w:rPr>
        <w:t>对于以联合体方式面向中小企业采购的项目，“企业名称”应填写联合体中中小企业承担采购标的对应的货物制造商/服务承接商/工程承建商（根据项目属性确定）。</w:t>
      </w:r>
    </w:p>
    <w:p w14:paraId="7A0778D3">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0"/>
          <w:sz w:val="24"/>
          <w:szCs w:val="28"/>
          <w:highlight w:val="none"/>
          <w:lang w:val="en-US" w:eastAsia="zh-CN" w:bidi="ar"/>
        </w:rPr>
      </w:pPr>
      <w:r>
        <w:rPr>
          <w:rFonts w:hint="eastAsia" w:ascii="仿宋" w:hAnsi="仿宋" w:eastAsia="仿宋" w:cs="仿宋"/>
          <w:color w:val="auto"/>
          <w:kern w:val="0"/>
          <w:sz w:val="24"/>
          <w:szCs w:val="28"/>
          <w:highlight w:val="none"/>
          <w:lang w:val="en-US" w:eastAsia="zh-CN" w:bidi="ar"/>
        </w:rPr>
        <w:t>6.从业人员、资产总额指标以上年度末数据为依据，营业收入指标以上年度累计数据为依据。无上年度数据的新成立企业可不填报。</w:t>
      </w:r>
    </w:p>
    <w:p w14:paraId="69FC03ED">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0"/>
          <w:sz w:val="24"/>
          <w:szCs w:val="28"/>
          <w:highlight w:val="none"/>
          <w:lang w:val="en-US" w:eastAsia="zh-CN" w:bidi="ar"/>
        </w:rPr>
      </w:pPr>
      <w:r>
        <w:rPr>
          <w:rFonts w:hint="eastAsia" w:ascii="仿宋" w:hAnsi="仿宋" w:eastAsia="仿宋" w:cs="仿宋"/>
          <w:color w:val="auto"/>
          <w:kern w:val="0"/>
          <w:sz w:val="24"/>
          <w:szCs w:val="28"/>
          <w:highlight w:val="none"/>
          <w:lang w:val="en-US" w:eastAsia="zh-CN" w:bidi="ar"/>
        </w:rPr>
        <w:t>7.“中型企业/小型企业/微型企业”部分，供应商应依据企业上年度从业人员、营业收入、资产总额等指标，按照《中小企业划型标准规定》（工信部联企业〔2011〕300号）、《金融业企业划型标准规定》（银发〔2015〕309号），判断“中小企业声明函”载明的货物制造商/服务承接商/工程承建商（根据项目属性确定）是否属于采购文件所属行业的中型企业/小型企业/微型企业。</w:t>
      </w:r>
    </w:p>
    <w:p w14:paraId="3CD867D0">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0"/>
          <w:sz w:val="24"/>
          <w:szCs w:val="28"/>
          <w:highlight w:val="none"/>
          <w:lang w:val="en-US" w:eastAsia="zh-CN" w:bidi="ar"/>
        </w:rPr>
      </w:pPr>
      <w:r>
        <w:rPr>
          <w:rFonts w:hint="eastAsia" w:ascii="仿宋" w:hAnsi="仿宋" w:eastAsia="仿宋" w:cs="仿宋"/>
          <w:color w:val="auto"/>
          <w:kern w:val="0"/>
          <w:sz w:val="24"/>
          <w:szCs w:val="28"/>
          <w:highlight w:val="none"/>
          <w:lang w:val="en-US" w:eastAsia="zh-CN" w:bidi="ar"/>
        </w:rPr>
        <w:t>8.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4D70B766">
      <w:pPr>
        <w:keepNext w:val="0"/>
        <w:keepLines w:val="0"/>
        <w:pageBreakBefore w:val="0"/>
        <w:widowControl/>
        <w:suppressLineNumbers w:val="0"/>
        <w:kinsoku/>
        <w:wordWrap/>
        <w:overflowPunct/>
        <w:topLinePunct w:val="0"/>
        <w:autoSpaceDE/>
        <w:autoSpaceDN/>
        <w:bidi w:val="0"/>
        <w:adjustRightInd/>
        <w:snapToGrid/>
        <w:spacing w:line="440" w:lineRule="exact"/>
        <w:ind w:firstLine="482" w:firstLineChars="200"/>
        <w:jc w:val="left"/>
        <w:textAlignment w:val="auto"/>
        <w:rPr>
          <w:rStyle w:val="33"/>
          <w:rFonts w:hint="eastAsia" w:ascii="仿宋" w:hAnsi="仿宋" w:eastAsia="仿宋" w:cs="仿宋"/>
          <w:color w:val="auto"/>
          <w:kern w:val="0"/>
          <w:sz w:val="24"/>
          <w:szCs w:val="24"/>
          <w:highlight w:val="none"/>
          <w:lang w:val="en-US" w:eastAsia="zh-CN" w:bidi="ar"/>
        </w:rPr>
      </w:pPr>
      <w:r>
        <w:rPr>
          <w:rStyle w:val="33"/>
          <w:rFonts w:hint="eastAsia" w:ascii="仿宋" w:hAnsi="仿宋" w:eastAsia="仿宋" w:cs="仿宋"/>
          <w:color w:val="auto"/>
          <w:kern w:val="0"/>
          <w:sz w:val="24"/>
          <w:szCs w:val="24"/>
          <w:highlight w:val="none"/>
          <w:lang w:val="en-US" w:eastAsia="zh-CN" w:bidi="ar"/>
        </w:rPr>
        <w:t>（二）关于“中小企业声明函”的提交要求</w:t>
      </w:r>
    </w:p>
    <w:p w14:paraId="283BE300">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0"/>
          <w:sz w:val="24"/>
          <w:szCs w:val="28"/>
          <w:highlight w:val="none"/>
          <w:lang w:val="en-US" w:eastAsia="zh-CN" w:bidi="ar"/>
        </w:rPr>
      </w:pPr>
      <w:r>
        <w:rPr>
          <w:rFonts w:hint="eastAsia" w:ascii="仿宋" w:hAnsi="仿宋" w:eastAsia="仿宋" w:cs="仿宋"/>
          <w:color w:val="auto"/>
          <w:kern w:val="0"/>
          <w:sz w:val="24"/>
          <w:szCs w:val="28"/>
          <w:highlight w:val="none"/>
          <w:lang w:val="en-US" w:eastAsia="zh-CN" w:bidi="ar"/>
        </w:rPr>
        <w:t>1.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4AAD105B">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0"/>
          <w:sz w:val="24"/>
          <w:szCs w:val="28"/>
          <w:highlight w:val="none"/>
          <w:lang w:val="en-US" w:eastAsia="zh-CN" w:bidi="ar"/>
        </w:rPr>
      </w:pPr>
      <w:r>
        <w:rPr>
          <w:rFonts w:hint="eastAsia" w:ascii="仿宋" w:hAnsi="仿宋" w:eastAsia="仿宋" w:cs="仿宋"/>
          <w:color w:val="auto"/>
          <w:kern w:val="0"/>
          <w:sz w:val="24"/>
          <w:szCs w:val="28"/>
          <w:highlight w:val="none"/>
          <w:lang w:val="en-US" w:eastAsia="zh-CN" w:bidi="ar"/>
        </w:rPr>
        <w:t>2.鼓励供应商在投标（响应）时一并提供对货物制造商、服务承接商、工程承建商相关信息的核实核验情况以及其他佐证材料。</w:t>
      </w:r>
    </w:p>
    <w:p w14:paraId="21724A93">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0"/>
          <w:sz w:val="24"/>
          <w:szCs w:val="28"/>
          <w:highlight w:val="none"/>
          <w:lang w:val="en-US" w:eastAsia="zh-CN" w:bidi="ar"/>
        </w:rPr>
      </w:pPr>
      <w:r>
        <w:rPr>
          <w:rFonts w:hint="eastAsia" w:ascii="仿宋" w:hAnsi="仿宋" w:eastAsia="仿宋" w:cs="仿宋"/>
          <w:color w:val="auto"/>
          <w:kern w:val="0"/>
          <w:sz w:val="24"/>
          <w:szCs w:val="28"/>
          <w:highlight w:val="none"/>
          <w:lang w:val="en-US" w:eastAsia="zh-CN" w:bidi="ar"/>
        </w:rPr>
        <w:t>3.如供应商提供的“中小企业声明函”存在按采购文件所属行业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B66A9E1">
      <w:pPr>
        <w:rPr>
          <w:rFonts w:hint="eastAsia" w:ascii="仿宋" w:hAnsi="仿宋" w:eastAsia="仿宋" w:cs="仿宋"/>
          <w:color w:val="auto"/>
          <w:spacing w:val="6"/>
          <w:sz w:val="21"/>
          <w:szCs w:val="21"/>
          <w:highlight w:val="none"/>
        </w:rPr>
      </w:pPr>
    </w:p>
    <w:p w14:paraId="6CAC7EC3">
      <w:pPr>
        <w:rPr>
          <w:rFonts w:hint="eastAsia" w:ascii="仿宋" w:hAnsi="仿宋" w:eastAsia="仿宋" w:cs="仿宋"/>
          <w:color w:val="auto"/>
          <w:spacing w:val="6"/>
          <w:sz w:val="21"/>
          <w:szCs w:val="21"/>
          <w:highlight w:val="none"/>
        </w:rPr>
      </w:pPr>
    </w:p>
    <w:p w14:paraId="1FB4BA8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bCs/>
          <w:color w:val="auto"/>
          <w:highlight w:val="none"/>
          <w:lang w:val="en-US" w:eastAsia="zh-CN"/>
        </w:rPr>
      </w:pPr>
    </w:p>
    <w:p w14:paraId="0C9853A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bCs/>
          <w:color w:val="auto"/>
          <w:highlight w:val="none"/>
          <w:lang w:val="en-US" w:eastAsia="zh-CN"/>
        </w:rPr>
      </w:pPr>
    </w:p>
    <w:p w14:paraId="2DDBCBB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bCs/>
          <w:color w:val="auto"/>
          <w:highlight w:val="none"/>
          <w:lang w:val="en-US" w:eastAsia="zh-CN"/>
        </w:rPr>
      </w:pPr>
    </w:p>
    <w:p w14:paraId="0D8AB4E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bCs/>
          <w:color w:val="auto"/>
          <w:highlight w:val="none"/>
          <w:lang w:val="en-US" w:eastAsia="zh-CN"/>
        </w:rPr>
      </w:pPr>
    </w:p>
    <w:p w14:paraId="28C82AC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bCs/>
          <w:color w:val="auto"/>
          <w:highlight w:val="none"/>
          <w:lang w:val="en-US" w:eastAsia="zh-CN"/>
        </w:rPr>
      </w:pPr>
    </w:p>
    <w:p w14:paraId="1026029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bCs/>
          <w:color w:val="auto"/>
          <w:highlight w:val="none"/>
          <w:lang w:val="en-US" w:eastAsia="zh-CN"/>
        </w:rPr>
      </w:pPr>
    </w:p>
    <w:p w14:paraId="18D667D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bCs/>
          <w:color w:val="auto"/>
          <w:highlight w:val="none"/>
          <w:lang w:val="en-US" w:eastAsia="zh-CN"/>
        </w:rPr>
      </w:pPr>
    </w:p>
    <w:p w14:paraId="339985E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附件2：</w:t>
      </w:r>
    </w:p>
    <w:p w14:paraId="2096DCE4">
      <w:pPr>
        <w:pStyle w:val="18"/>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关于印发中小企业划型标准规定的通知</w:t>
      </w:r>
    </w:p>
    <w:p w14:paraId="6301EB7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Style w:val="33"/>
          <w:rFonts w:hint="eastAsia" w:ascii="仿宋" w:hAnsi="仿宋" w:eastAsia="仿宋" w:cs="仿宋"/>
          <w:b w:val="0"/>
          <w:color w:val="auto"/>
          <w:sz w:val="24"/>
          <w:szCs w:val="24"/>
          <w:highlight w:val="none"/>
        </w:rPr>
      </w:pPr>
      <w:r>
        <w:rPr>
          <w:rStyle w:val="33"/>
          <w:rFonts w:hint="eastAsia" w:ascii="仿宋" w:hAnsi="仿宋" w:eastAsia="仿宋" w:cs="仿宋"/>
          <w:b w:val="0"/>
          <w:color w:val="auto"/>
          <w:sz w:val="24"/>
          <w:szCs w:val="24"/>
          <w:highlight w:val="none"/>
        </w:rPr>
        <w:t>工信部联企业〔2011〕300号</w:t>
      </w:r>
    </w:p>
    <w:p w14:paraId="6F120A7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Style w:val="33"/>
          <w:rFonts w:hint="eastAsia" w:ascii="仿宋" w:hAnsi="仿宋" w:eastAsia="仿宋" w:cs="仿宋"/>
          <w:b w:val="0"/>
          <w:color w:val="auto"/>
          <w:sz w:val="24"/>
          <w:szCs w:val="24"/>
          <w:highlight w:val="none"/>
        </w:rPr>
      </w:pPr>
    </w:p>
    <w:p w14:paraId="053C10F6">
      <w:pPr>
        <w:keepNext w:val="0"/>
        <w:keepLines w:val="0"/>
        <w:pageBreakBefore w:val="0"/>
        <w:widowControl w:val="0"/>
        <w:kinsoku/>
        <w:wordWrap/>
        <w:overflowPunct/>
        <w:topLinePunct w:val="0"/>
        <w:autoSpaceDE/>
        <w:autoSpaceDN/>
        <w:bidi w:val="0"/>
        <w:adjustRightInd/>
        <w:snapToGrid/>
        <w:spacing w:line="440" w:lineRule="exact"/>
        <w:textAlignment w:val="auto"/>
        <w:rPr>
          <w:rStyle w:val="33"/>
          <w:rFonts w:hint="eastAsia" w:ascii="仿宋" w:hAnsi="仿宋" w:eastAsia="仿宋" w:cs="仿宋"/>
          <w:b w:val="0"/>
          <w:color w:val="auto"/>
          <w:sz w:val="24"/>
          <w:szCs w:val="24"/>
          <w:highlight w:val="none"/>
        </w:rPr>
      </w:pPr>
      <w:r>
        <w:rPr>
          <w:rStyle w:val="33"/>
          <w:rFonts w:hint="eastAsia" w:ascii="仿宋" w:hAnsi="仿宋" w:eastAsia="仿宋" w:cs="仿宋"/>
          <w:b w:val="0"/>
          <w:color w:val="auto"/>
          <w:sz w:val="24"/>
          <w:szCs w:val="24"/>
          <w:highlight w:val="none"/>
        </w:rPr>
        <w:t>各省、自治区、直辖市人民政府，国务院各部委、各直属机构及有关单位：</w:t>
      </w:r>
    </w:p>
    <w:p w14:paraId="7F1CEF92">
      <w:pPr>
        <w:keepNext w:val="0"/>
        <w:keepLines w:val="0"/>
        <w:pageBreakBefore w:val="0"/>
        <w:widowControl w:val="0"/>
        <w:kinsoku/>
        <w:wordWrap/>
        <w:overflowPunct/>
        <w:topLinePunct w:val="0"/>
        <w:autoSpaceDE/>
        <w:autoSpaceDN/>
        <w:bidi w:val="0"/>
        <w:adjustRightInd/>
        <w:snapToGrid/>
        <w:spacing w:line="440" w:lineRule="exact"/>
        <w:textAlignment w:val="auto"/>
        <w:rPr>
          <w:rStyle w:val="33"/>
          <w:rFonts w:hint="eastAsia" w:ascii="仿宋" w:hAnsi="仿宋" w:eastAsia="仿宋" w:cs="仿宋"/>
          <w:b w:val="0"/>
          <w:bCs w:val="0"/>
          <w:color w:val="auto"/>
          <w:sz w:val="24"/>
          <w:szCs w:val="24"/>
          <w:highlight w:val="none"/>
        </w:rPr>
      </w:pPr>
      <w:r>
        <w:rPr>
          <w:rStyle w:val="33"/>
          <w:rFonts w:hint="eastAsia" w:ascii="仿宋" w:hAnsi="仿宋" w:eastAsia="仿宋" w:cs="仿宋"/>
          <w:b w:val="0"/>
          <w:bCs w:val="0"/>
          <w:color w:val="auto"/>
          <w:sz w:val="24"/>
          <w:szCs w:val="24"/>
          <w:highlight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5F08A12A">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Style w:val="33"/>
          <w:rFonts w:hint="eastAsia" w:ascii="仿宋" w:hAnsi="仿宋" w:eastAsia="仿宋" w:cs="仿宋"/>
          <w:b w:val="0"/>
          <w:bCs w:val="0"/>
          <w:color w:val="auto"/>
          <w:sz w:val="24"/>
          <w:szCs w:val="24"/>
          <w:highlight w:val="none"/>
        </w:rPr>
      </w:pPr>
      <w:r>
        <w:rPr>
          <w:rStyle w:val="33"/>
          <w:rFonts w:hint="eastAsia" w:ascii="仿宋" w:hAnsi="仿宋" w:eastAsia="仿宋" w:cs="仿宋"/>
          <w:b w:val="0"/>
          <w:bCs w:val="0"/>
          <w:color w:val="auto"/>
          <w:sz w:val="24"/>
          <w:szCs w:val="24"/>
          <w:highlight w:val="none"/>
        </w:rPr>
        <w:t>工业和信息化部　国家统计局</w:t>
      </w:r>
    </w:p>
    <w:p w14:paraId="0DF67C42">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Style w:val="33"/>
          <w:rFonts w:hint="eastAsia" w:ascii="仿宋" w:hAnsi="仿宋" w:eastAsia="仿宋" w:cs="仿宋"/>
          <w:b w:val="0"/>
          <w:bCs w:val="0"/>
          <w:color w:val="auto"/>
          <w:sz w:val="24"/>
          <w:szCs w:val="24"/>
          <w:highlight w:val="none"/>
        </w:rPr>
      </w:pPr>
      <w:r>
        <w:rPr>
          <w:rStyle w:val="33"/>
          <w:rFonts w:hint="eastAsia" w:ascii="仿宋" w:hAnsi="仿宋" w:eastAsia="仿宋" w:cs="仿宋"/>
          <w:b w:val="0"/>
          <w:bCs w:val="0"/>
          <w:color w:val="auto"/>
          <w:sz w:val="24"/>
          <w:szCs w:val="24"/>
          <w:highlight w:val="none"/>
        </w:rPr>
        <w:t>国家发展和改革委员会　财政部</w:t>
      </w:r>
    </w:p>
    <w:p w14:paraId="47F371A8">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Style w:val="33"/>
          <w:rFonts w:hint="eastAsia" w:ascii="仿宋" w:hAnsi="仿宋" w:eastAsia="仿宋" w:cs="仿宋"/>
          <w:b w:val="0"/>
          <w:bCs w:val="0"/>
          <w:color w:val="auto"/>
          <w:sz w:val="24"/>
          <w:szCs w:val="24"/>
          <w:highlight w:val="none"/>
        </w:rPr>
      </w:pPr>
      <w:r>
        <w:rPr>
          <w:rStyle w:val="33"/>
          <w:rFonts w:hint="eastAsia" w:ascii="仿宋" w:hAnsi="仿宋" w:eastAsia="仿宋" w:cs="仿宋"/>
          <w:b w:val="0"/>
          <w:bCs w:val="0"/>
          <w:color w:val="auto"/>
          <w:sz w:val="24"/>
          <w:szCs w:val="24"/>
          <w:highlight w:val="none"/>
        </w:rPr>
        <w:t>二○一一年六月十八日</w:t>
      </w:r>
    </w:p>
    <w:p w14:paraId="7258802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Style w:val="33"/>
          <w:rFonts w:hint="eastAsia" w:ascii="仿宋" w:hAnsi="仿宋" w:eastAsia="仿宋" w:cs="仿宋"/>
          <w:b/>
          <w:bCs w:val="0"/>
          <w:color w:val="auto"/>
          <w:sz w:val="28"/>
          <w:szCs w:val="28"/>
          <w:highlight w:val="none"/>
        </w:rPr>
      </w:pPr>
    </w:p>
    <w:p w14:paraId="1FCC909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Style w:val="33"/>
          <w:rFonts w:hint="eastAsia" w:ascii="仿宋" w:hAnsi="仿宋" w:eastAsia="仿宋" w:cs="仿宋"/>
          <w:b/>
          <w:bCs w:val="0"/>
          <w:color w:val="auto"/>
          <w:sz w:val="28"/>
          <w:szCs w:val="28"/>
          <w:highlight w:val="none"/>
        </w:rPr>
      </w:pPr>
      <w:r>
        <w:rPr>
          <w:rStyle w:val="33"/>
          <w:rFonts w:hint="eastAsia" w:ascii="仿宋" w:hAnsi="仿宋" w:eastAsia="仿宋" w:cs="仿宋"/>
          <w:b/>
          <w:bCs w:val="0"/>
          <w:color w:val="auto"/>
          <w:sz w:val="28"/>
          <w:szCs w:val="28"/>
          <w:highlight w:val="none"/>
        </w:rPr>
        <w:t>中小企业划型标准规定</w:t>
      </w:r>
    </w:p>
    <w:p w14:paraId="6B0054B4">
      <w:pPr>
        <w:keepNext w:val="0"/>
        <w:keepLines w:val="0"/>
        <w:pageBreakBefore w:val="0"/>
        <w:widowControl w:val="0"/>
        <w:kinsoku/>
        <w:wordWrap/>
        <w:overflowPunct/>
        <w:topLinePunct w:val="0"/>
        <w:autoSpaceDE/>
        <w:autoSpaceDN/>
        <w:bidi w:val="0"/>
        <w:adjustRightInd/>
        <w:snapToGrid/>
        <w:spacing w:line="440" w:lineRule="exact"/>
        <w:textAlignment w:val="auto"/>
        <w:rPr>
          <w:rStyle w:val="33"/>
          <w:rFonts w:hint="eastAsia" w:ascii="仿宋" w:hAnsi="仿宋" w:eastAsia="仿宋" w:cs="仿宋"/>
          <w:b w:val="0"/>
          <w:bCs w:val="0"/>
          <w:color w:val="auto"/>
          <w:sz w:val="24"/>
          <w:szCs w:val="24"/>
          <w:highlight w:val="none"/>
        </w:rPr>
      </w:pPr>
      <w:r>
        <w:rPr>
          <w:rStyle w:val="33"/>
          <w:rFonts w:hint="eastAsia" w:ascii="仿宋" w:hAnsi="仿宋" w:eastAsia="仿宋" w:cs="仿宋"/>
          <w:b w:val="0"/>
          <w:bCs w:val="0"/>
          <w:color w:val="auto"/>
          <w:sz w:val="24"/>
          <w:szCs w:val="24"/>
          <w:highlight w:val="none"/>
        </w:rPr>
        <w:t>　　一、根据《中华人民共和国中小企业促进法》和《国务院关于进一步促进中小企业发展的若干意见》(国发〔2009〕36号)，制定本规定。</w:t>
      </w:r>
    </w:p>
    <w:p w14:paraId="0F529B2B">
      <w:pPr>
        <w:keepNext w:val="0"/>
        <w:keepLines w:val="0"/>
        <w:pageBreakBefore w:val="0"/>
        <w:widowControl w:val="0"/>
        <w:kinsoku/>
        <w:wordWrap/>
        <w:overflowPunct/>
        <w:topLinePunct w:val="0"/>
        <w:autoSpaceDE/>
        <w:autoSpaceDN/>
        <w:bidi w:val="0"/>
        <w:adjustRightInd/>
        <w:snapToGrid/>
        <w:spacing w:line="440" w:lineRule="exact"/>
        <w:textAlignment w:val="auto"/>
        <w:rPr>
          <w:rStyle w:val="33"/>
          <w:rFonts w:hint="eastAsia" w:ascii="仿宋" w:hAnsi="仿宋" w:eastAsia="仿宋" w:cs="仿宋"/>
          <w:b w:val="0"/>
          <w:bCs w:val="0"/>
          <w:color w:val="auto"/>
          <w:sz w:val="24"/>
          <w:szCs w:val="24"/>
          <w:highlight w:val="none"/>
        </w:rPr>
      </w:pPr>
      <w:r>
        <w:rPr>
          <w:rStyle w:val="33"/>
          <w:rFonts w:hint="eastAsia" w:ascii="仿宋" w:hAnsi="仿宋" w:eastAsia="仿宋" w:cs="仿宋"/>
          <w:b w:val="0"/>
          <w:bCs w:val="0"/>
          <w:color w:val="auto"/>
          <w:sz w:val="24"/>
          <w:szCs w:val="24"/>
          <w:highlight w:val="none"/>
        </w:rPr>
        <w:t>　　二、中小企业划分为中型、小型、微型三种类型，具体标准根据企业从业人员、营业收入、资产总额等指标，结合行业特点制定。</w:t>
      </w:r>
    </w:p>
    <w:p w14:paraId="11D28C84">
      <w:pPr>
        <w:keepNext w:val="0"/>
        <w:keepLines w:val="0"/>
        <w:pageBreakBefore w:val="0"/>
        <w:widowControl w:val="0"/>
        <w:kinsoku/>
        <w:wordWrap/>
        <w:overflowPunct/>
        <w:topLinePunct w:val="0"/>
        <w:autoSpaceDE/>
        <w:autoSpaceDN/>
        <w:bidi w:val="0"/>
        <w:adjustRightInd/>
        <w:snapToGrid/>
        <w:spacing w:line="440" w:lineRule="exact"/>
        <w:textAlignment w:val="auto"/>
        <w:rPr>
          <w:rStyle w:val="33"/>
          <w:rFonts w:hint="eastAsia" w:ascii="仿宋" w:hAnsi="仿宋" w:eastAsia="仿宋" w:cs="仿宋"/>
          <w:b w:val="0"/>
          <w:bCs w:val="0"/>
          <w:color w:val="auto"/>
          <w:sz w:val="24"/>
          <w:szCs w:val="24"/>
          <w:highlight w:val="none"/>
        </w:rPr>
      </w:pPr>
      <w:r>
        <w:rPr>
          <w:rStyle w:val="33"/>
          <w:rFonts w:hint="eastAsia" w:ascii="仿宋" w:hAnsi="仿宋" w:eastAsia="仿宋" w:cs="仿宋"/>
          <w:b w:val="0"/>
          <w:bCs w:val="0"/>
          <w:color w:val="auto"/>
          <w:sz w:val="24"/>
          <w:szCs w:val="24"/>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B8BF7FA">
      <w:pPr>
        <w:keepNext w:val="0"/>
        <w:keepLines w:val="0"/>
        <w:pageBreakBefore w:val="0"/>
        <w:widowControl w:val="0"/>
        <w:kinsoku/>
        <w:wordWrap/>
        <w:overflowPunct/>
        <w:topLinePunct w:val="0"/>
        <w:autoSpaceDE/>
        <w:autoSpaceDN/>
        <w:bidi w:val="0"/>
        <w:adjustRightInd/>
        <w:snapToGrid/>
        <w:spacing w:line="440" w:lineRule="exact"/>
        <w:textAlignment w:val="auto"/>
        <w:rPr>
          <w:rStyle w:val="33"/>
          <w:rFonts w:hint="eastAsia" w:ascii="仿宋" w:hAnsi="仿宋" w:eastAsia="仿宋" w:cs="仿宋"/>
          <w:b w:val="0"/>
          <w:bCs w:val="0"/>
          <w:color w:val="auto"/>
          <w:sz w:val="24"/>
          <w:szCs w:val="24"/>
          <w:highlight w:val="none"/>
        </w:rPr>
      </w:pPr>
      <w:r>
        <w:rPr>
          <w:rStyle w:val="33"/>
          <w:rFonts w:hint="eastAsia" w:ascii="仿宋" w:hAnsi="仿宋" w:eastAsia="仿宋" w:cs="仿宋"/>
          <w:b w:val="0"/>
          <w:bCs w:val="0"/>
          <w:color w:val="auto"/>
          <w:sz w:val="24"/>
          <w:szCs w:val="24"/>
          <w:highlight w:val="none"/>
        </w:rPr>
        <w:t>　　四、各行业划型标准为：</w:t>
      </w:r>
    </w:p>
    <w:p w14:paraId="367D7AF6">
      <w:pPr>
        <w:keepNext w:val="0"/>
        <w:keepLines w:val="0"/>
        <w:pageBreakBefore w:val="0"/>
        <w:widowControl w:val="0"/>
        <w:kinsoku/>
        <w:wordWrap/>
        <w:overflowPunct/>
        <w:topLinePunct w:val="0"/>
        <w:autoSpaceDE/>
        <w:autoSpaceDN/>
        <w:bidi w:val="0"/>
        <w:adjustRightInd/>
        <w:snapToGrid/>
        <w:spacing w:line="440" w:lineRule="exact"/>
        <w:textAlignment w:val="auto"/>
        <w:rPr>
          <w:rStyle w:val="33"/>
          <w:rFonts w:hint="eastAsia" w:ascii="仿宋" w:hAnsi="仿宋" w:eastAsia="仿宋" w:cs="仿宋"/>
          <w:b w:val="0"/>
          <w:bCs w:val="0"/>
          <w:color w:val="auto"/>
          <w:sz w:val="24"/>
          <w:szCs w:val="24"/>
          <w:highlight w:val="none"/>
        </w:rPr>
      </w:pPr>
      <w:r>
        <w:rPr>
          <w:rStyle w:val="33"/>
          <w:rFonts w:hint="eastAsia" w:ascii="仿宋" w:hAnsi="仿宋" w:eastAsia="仿宋" w:cs="仿宋"/>
          <w:b w:val="0"/>
          <w:bCs w:val="0"/>
          <w:color w:val="auto"/>
          <w:sz w:val="24"/>
          <w:szCs w:val="24"/>
          <w:highlight w:val="none"/>
        </w:rPr>
        <w:t>　　（一）农、林、牧、渔业。营业收入20000万元以下的为中小微型企业。其中，营业收入500万元及以上的为中型企业，营业收入50万元及以上的为小型企业，营业收入50万元以下的为微型企业。</w:t>
      </w:r>
    </w:p>
    <w:p w14:paraId="67DDE89F">
      <w:pPr>
        <w:keepNext w:val="0"/>
        <w:keepLines w:val="0"/>
        <w:pageBreakBefore w:val="0"/>
        <w:widowControl w:val="0"/>
        <w:kinsoku/>
        <w:wordWrap/>
        <w:overflowPunct/>
        <w:topLinePunct w:val="0"/>
        <w:autoSpaceDE/>
        <w:autoSpaceDN/>
        <w:bidi w:val="0"/>
        <w:adjustRightInd/>
        <w:snapToGrid/>
        <w:spacing w:line="440" w:lineRule="exact"/>
        <w:textAlignment w:val="auto"/>
        <w:rPr>
          <w:rStyle w:val="33"/>
          <w:rFonts w:hint="eastAsia" w:ascii="仿宋" w:hAnsi="仿宋" w:eastAsia="仿宋" w:cs="仿宋"/>
          <w:b w:val="0"/>
          <w:bCs w:val="0"/>
          <w:color w:val="auto"/>
          <w:sz w:val="24"/>
          <w:szCs w:val="24"/>
          <w:highlight w:val="none"/>
        </w:rPr>
      </w:pPr>
      <w:r>
        <w:rPr>
          <w:rStyle w:val="33"/>
          <w:rFonts w:hint="eastAsia" w:ascii="仿宋" w:hAnsi="仿宋" w:eastAsia="仿宋" w:cs="仿宋"/>
          <w:b w:val="0"/>
          <w:bCs w:val="0"/>
          <w:color w:val="auto"/>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313E3C4">
      <w:pPr>
        <w:keepNext w:val="0"/>
        <w:keepLines w:val="0"/>
        <w:pageBreakBefore w:val="0"/>
        <w:widowControl w:val="0"/>
        <w:kinsoku/>
        <w:wordWrap/>
        <w:overflowPunct/>
        <w:topLinePunct w:val="0"/>
        <w:autoSpaceDE/>
        <w:autoSpaceDN/>
        <w:bidi w:val="0"/>
        <w:adjustRightInd/>
        <w:snapToGrid/>
        <w:spacing w:line="440" w:lineRule="exact"/>
        <w:textAlignment w:val="auto"/>
        <w:rPr>
          <w:rStyle w:val="33"/>
          <w:rFonts w:hint="eastAsia" w:ascii="仿宋" w:hAnsi="仿宋" w:eastAsia="仿宋" w:cs="仿宋"/>
          <w:b w:val="0"/>
          <w:bCs w:val="0"/>
          <w:color w:val="auto"/>
          <w:sz w:val="24"/>
          <w:szCs w:val="24"/>
          <w:highlight w:val="none"/>
        </w:rPr>
      </w:pPr>
      <w:r>
        <w:rPr>
          <w:rStyle w:val="33"/>
          <w:rFonts w:hint="eastAsia" w:ascii="仿宋" w:hAnsi="仿宋" w:eastAsia="仿宋" w:cs="仿宋"/>
          <w:b w:val="0"/>
          <w:bCs w:val="0"/>
          <w:color w:val="auto"/>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73FEBB5">
      <w:pPr>
        <w:keepNext w:val="0"/>
        <w:keepLines w:val="0"/>
        <w:pageBreakBefore w:val="0"/>
        <w:widowControl w:val="0"/>
        <w:kinsoku/>
        <w:wordWrap/>
        <w:overflowPunct/>
        <w:topLinePunct w:val="0"/>
        <w:autoSpaceDE/>
        <w:autoSpaceDN/>
        <w:bidi w:val="0"/>
        <w:adjustRightInd/>
        <w:snapToGrid/>
        <w:spacing w:line="440" w:lineRule="exact"/>
        <w:textAlignment w:val="auto"/>
        <w:rPr>
          <w:rStyle w:val="33"/>
          <w:rFonts w:hint="eastAsia" w:ascii="仿宋" w:hAnsi="仿宋" w:eastAsia="仿宋" w:cs="仿宋"/>
          <w:b w:val="0"/>
          <w:bCs w:val="0"/>
          <w:color w:val="auto"/>
          <w:sz w:val="24"/>
          <w:szCs w:val="24"/>
          <w:highlight w:val="none"/>
        </w:rPr>
      </w:pPr>
      <w:r>
        <w:rPr>
          <w:rStyle w:val="33"/>
          <w:rFonts w:hint="eastAsia" w:ascii="仿宋" w:hAnsi="仿宋" w:eastAsia="仿宋" w:cs="仿宋"/>
          <w:b w:val="0"/>
          <w:bCs w:val="0"/>
          <w:color w:val="auto"/>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9FC3BE9">
      <w:pPr>
        <w:keepNext w:val="0"/>
        <w:keepLines w:val="0"/>
        <w:pageBreakBefore w:val="0"/>
        <w:widowControl w:val="0"/>
        <w:kinsoku/>
        <w:wordWrap/>
        <w:overflowPunct/>
        <w:topLinePunct w:val="0"/>
        <w:autoSpaceDE/>
        <w:autoSpaceDN/>
        <w:bidi w:val="0"/>
        <w:adjustRightInd/>
        <w:snapToGrid/>
        <w:spacing w:line="440" w:lineRule="exact"/>
        <w:textAlignment w:val="auto"/>
        <w:rPr>
          <w:rStyle w:val="33"/>
          <w:rFonts w:hint="eastAsia" w:ascii="仿宋" w:hAnsi="仿宋" w:eastAsia="仿宋" w:cs="仿宋"/>
          <w:b w:val="0"/>
          <w:bCs w:val="0"/>
          <w:color w:val="auto"/>
          <w:sz w:val="24"/>
          <w:szCs w:val="24"/>
          <w:highlight w:val="none"/>
        </w:rPr>
      </w:pPr>
      <w:r>
        <w:rPr>
          <w:rStyle w:val="33"/>
          <w:rFonts w:hint="eastAsia" w:ascii="仿宋" w:hAnsi="仿宋" w:eastAsia="仿宋" w:cs="仿宋"/>
          <w:b w:val="0"/>
          <w:bCs w:val="0"/>
          <w:color w:val="auto"/>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536D55F">
      <w:pPr>
        <w:keepNext w:val="0"/>
        <w:keepLines w:val="0"/>
        <w:pageBreakBefore w:val="0"/>
        <w:widowControl w:val="0"/>
        <w:kinsoku/>
        <w:wordWrap/>
        <w:overflowPunct/>
        <w:topLinePunct w:val="0"/>
        <w:autoSpaceDE/>
        <w:autoSpaceDN/>
        <w:bidi w:val="0"/>
        <w:adjustRightInd/>
        <w:snapToGrid/>
        <w:spacing w:line="440" w:lineRule="exact"/>
        <w:textAlignment w:val="auto"/>
        <w:rPr>
          <w:rStyle w:val="33"/>
          <w:rFonts w:hint="eastAsia" w:ascii="仿宋" w:hAnsi="仿宋" w:eastAsia="仿宋" w:cs="仿宋"/>
          <w:b w:val="0"/>
          <w:bCs w:val="0"/>
          <w:color w:val="auto"/>
          <w:sz w:val="24"/>
          <w:szCs w:val="24"/>
          <w:highlight w:val="none"/>
        </w:rPr>
      </w:pPr>
      <w:r>
        <w:rPr>
          <w:rStyle w:val="33"/>
          <w:rFonts w:hint="eastAsia" w:ascii="仿宋" w:hAnsi="仿宋" w:eastAsia="仿宋" w:cs="仿宋"/>
          <w:b w:val="0"/>
          <w:bCs w:val="0"/>
          <w:color w:val="auto"/>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B6A3E25">
      <w:pPr>
        <w:keepNext w:val="0"/>
        <w:keepLines w:val="0"/>
        <w:pageBreakBefore w:val="0"/>
        <w:widowControl w:val="0"/>
        <w:kinsoku/>
        <w:wordWrap/>
        <w:overflowPunct/>
        <w:topLinePunct w:val="0"/>
        <w:autoSpaceDE/>
        <w:autoSpaceDN/>
        <w:bidi w:val="0"/>
        <w:adjustRightInd/>
        <w:snapToGrid/>
        <w:spacing w:line="440" w:lineRule="exact"/>
        <w:textAlignment w:val="auto"/>
        <w:rPr>
          <w:rStyle w:val="33"/>
          <w:rFonts w:hint="eastAsia" w:ascii="仿宋" w:hAnsi="仿宋" w:eastAsia="仿宋" w:cs="仿宋"/>
          <w:b w:val="0"/>
          <w:bCs w:val="0"/>
          <w:color w:val="auto"/>
          <w:sz w:val="24"/>
          <w:szCs w:val="24"/>
          <w:highlight w:val="none"/>
        </w:rPr>
      </w:pPr>
      <w:r>
        <w:rPr>
          <w:rStyle w:val="33"/>
          <w:rFonts w:hint="eastAsia" w:ascii="仿宋" w:hAnsi="仿宋" w:eastAsia="仿宋" w:cs="仿宋"/>
          <w:b w:val="0"/>
          <w:bCs w:val="0"/>
          <w:color w:val="auto"/>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EA06E42">
      <w:pPr>
        <w:keepNext w:val="0"/>
        <w:keepLines w:val="0"/>
        <w:pageBreakBefore w:val="0"/>
        <w:widowControl w:val="0"/>
        <w:kinsoku/>
        <w:wordWrap/>
        <w:overflowPunct/>
        <w:topLinePunct w:val="0"/>
        <w:autoSpaceDE/>
        <w:autoSpaceDN/>
        <w:bidi w:val="0"/>
        <w:adjustRightInd/>
        <w:snapToGrid/>
        <w:spacing w:line="440" w:lineRule="exact"/>
        <w:textAlignment w:val="auto"/>
        <w:rPr>
          <w:rStyle w:val="33"/>
          <w:rFonts w:hint="eastAsia" w:ascii="仿宋" w:hAnsi="仿宋" w:eastAsia="仿宋" w:cs="仿宋"/>
          <w:b w:val="0"/>
          <w:bCs w:val="0"/>
          <w:color w:val="auto"/>
          <w:sz w:val="24"/>
          <w:szCs w:val="24"/>
          <w:highlight w:val="none"/>
        </w:rPr>
      </w:pPr>
      <w:r>
        <w:rPr>
          <w:rStyle w:val="33"/>
          <w:rFonts w:hint="eastAsia" w:ascii="仿宋" w:hAnsi="仿宋" w:eastAsia="仿宋" w:cs="仿宋"/>
          <w:b w:val="0"/>
          <w:bCs w:val="0"/>
          <w:color w:val="auto"/>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C4304DB">
      <w:pPr>
        <w:keepNext w:val="0"/>
        <w:keepLines w:val="0"/>
        <w:pageBreakBefore w:val="0"/>
        <w:widowControl w:val="0"/>
        <w:kinsoku/>
        <w:wordWrap/>
        <w:overflowPunct/>
        <w:topLinePunct w:val="0"/>
        <w:autoSpaceDE/>
        <w:autoSpaceDN/>
        <w:bidi w:val="0"/>
        <w:adjustRightInd/>
        <w:snapToGrid/>
        <w:spacing w:line="440" w:lineRule="exact"/>
        <w:textAlignment w:val="auto"/>
        <w:rPr>
          <w:rStyle w:val="33"/>
          <w:rFonts w:hint="eastAsia" w:ascii="仿宋" w:hAnsi="仿宋" w:eastAsia="仿宋" w:cs="仿宋"/>
          <w:b w:val="0"/>
          <w:bCs w:val="0"/>
          <w:color w:val="auto"/>
          <w:sz w:val="24"/>
          <w:szCs w:val="24"/>
          <w:highlight w:val="none"/>
        </w:rPr>
      </w:pPr>
      <w:r>
        <w:rPr>
          <w:rStyle w:val="33"/>
          <w:rFonts w:hint="eastAsia" w:ascii="仿宋" w:hAnsi="仿宋" w:eastAsia="仿宋" w:cs="仿宋"/>
          <w:b w:val="0"/>
          <w:bCs w:val="0"/>
          <w:color w:val="auto"/>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1A46C88">
      <w:pPr>
        <w:keepNext w:val="0"/>
        <w:keepLines w:val="0"/>
        <w:pageBreakBefore w:val="0"/>
        <w:widowControl w:val="0"/>
        <w:kinsoku/>
        <w:wordWrap/>
        <w:overflowPunct/>
        <w:topLinePunct w:val="0"/>
        <w:autoSpaceDE/>
        <w:autoSpaceDN/>
        <w:bidi w:val="0"/>
        <w:adjustRightInd/>
        <w:snapToGrid/>
        <w:spacing w:line="440" w:lineRule="exact"/>
        <w:textAlignment w:val="auto"/>
        <w:rPr>
          <w:rStyle w:val="33"/>
          <w:rFonts w:hint="eastAsia" w:ascii="仿宋" w:hAnsi="仿宋" w:eastAsia="仿宋" w:cs="仿宋"/>
          <w:b w:val="0"/>
          <w:bCs w:val="0"/>
          <w:color w:val="auto"/>
          <w:sz w:val="24"/>
          <w:szCs w:val="24"/>
          <w:highlight w:val="none"/>
        </w:rPr>
      </w:pPr>
      <w:r>
        <w:rPr>
          <w:rStyle w:val="33"/>
          <w:rFonts w:hint="eastAsia" w:ascii="仿宋" w:hAnsi="仿宋" w:eastAsia="仿宋" w:cs="仿宋"/>
          <w:b w:val="0"/>
          <w:bCs w:val="0"/>
          <w:color w:val="auto"/>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270070D">
      <w:pPr>
        <w:keepNext w:val="0"/>
        <w:keepLines w:val="0"/>
        <w:pageBreakBefore w:val="0"/>
        <w:widowControl w:val="0"/>
        <w:kinsoku/>
        <w:wordWrap/>
        <w:overflowPunct/>
        <w:topLinePunct w:val="0"/>
        <w:autoSpaceDE/>
        <w:autoSpaceDN/>
        <w:bidi w:val="0"/>
        <w:adjustRightInd/>
        <w:snapToGrid/>
        <w:spacing w:line="440" w:lineRule="exact"/>
        <w:textAlignment w:val="auto"/>
        <w:rPr>
          <w:rStyle w:val="33"/>
          <w:rFonts w:hint="eastAsia" w:ascii="仿宋" w:hAnsi="仿宋" w:eastAsia="仿宋" w:cs="仿宋"/>
          <w:b w:val="0"/>
          <w:bCs w:val="0"/>
          <w:color w:val="auto"/>
          <w:sz w:val="24"/>
          <w:szCs w:val="24"/>
          <w:highlight w:val="none"/>
        </w:rPr>
      </w:pPr>
      <w:r>
        <w:rPr>
          <w:rStyle w:val="33"/>
          <w:rFonts w:hint="eastAsia" w:ascii="仿宋" w:hAnsi="仿宋" w:eastAsia="仿宋" w:cs="仿宋"/>
          <w:b w:val="0"/>
          <w:bCs w:val="0"/>
          <w:color w:val="auto"/>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141C16B">
      <w:pPr>
        <w:keepNext w:val="0"/>
        <w:keepLines w:val="0"/>
        <w:pageBreakBefore w:val="0"/>
        <w:widowControl w:val="0"/>
        <w:kinsoku/>
        <w:wordWrap/>
        <w:overflowPunct/>
        <w:topLinePunct w:val="0"/>
        <w:autoSpaceDE/>
        <w:autoSpaceDN/>
        <w:bidi w:val="0"/>
        <w:adjustRightInd/>
        <w:snapToGrid/>
        <w:spacing w:line="440" w:lineRule="exact"/>
        <w:textAlignment w:val="auto"/>
        <w:rPr>
          <w:rStyle w:val="33"/>
          <w:rFonts w:hint="eastAsia" w:ascii="仿宋" w:hAnsi="仿宋" w:eastAsia="仿宋" w:cs="仿宋"/>
          <w:b w:val="0"/>
          <w:bCs w:val="0"/>
          <w:color w:val="auto"/>
          <w:sz w:val="24"/>
          <w:szCs w:val="24"/>
          <w:highlight w:val="none"/>
        </w:rPr>
      </w:pPr>
      <w:r>
        <w:rPr>
          <w:rStyle w:val="33"/>
          <w:rFonts w:hint="eastAsia" w:ascii="仿宋" w:hAnsi="仿宋" w:eastAsia="仿宋" w:cs="仿宋"/>
          <w:b w:val="0"/>
          <w:bCs w:val="0"/>
          <w:color w:val="auto"/>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448B4F8">
      <w:pPr>
        <w:keepNext w:val="0"/>
        <w:keepLines w:val="0"/>
        <w:pageBreakBefore w:val="0"/>
        <w:widowControl w:val="0"/>
        <w:kinsoku/>
        <w:wordWrap/>
        <w:overflowPunct/>
        <w:topLinePunct w:val="0"/>
        <w:autoSpaceDE/>
        <w:autoSpaceDN/>
        <w:bidi w:val="0"/>
        <w:adjustRightInd/>
        <w:snapToGrid/>
        <w:spacing w:line="440" w:lineRule="exact"/>
        <w:textAlignment w:val="auto"/>
        <w:rPr>
          <w:rStyle w:val="33"/>
          <w:rFonts w:hint="eastAsia" w:ascii="仿宋" w:hAnsi="仿宋" w:eastAsia="仿宋" w:cs="仿宋"/>
          <w:b w:val="0"/>
          <w:bCs w:val="0"/>
          <w:color w:val="auto"/>
          <w:sz w:val="24"/>
          <w:szCs w:val="24"/>
          <w:highlight w:val="none"/>
        </w:rPr>
      </w:pPr>
      <w:r>
        <w:rPr>
          <w:rStyle w:val="33"/>
          <w:rFonts w:hint="eastAsia" w:ascii="仿宋" w:hAnsi="仿宋" w:eastAsia="仿宋" w:cs="仿宋"/>
          <w:b w:val="0"/>
          <w:bCs w:val="0"/>
          <w:color w:val="auto"/>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9D8B55D">
      <w:pPr>
        <w:keepNext w:val="0"/>
        <w:keepLines w:val="0"/>
        <w:pageBreakBefore w:val="0"/>
        <w:widowControl w:val="0"/>
        <w:kinsoku/>
        <w:wordWrap/>
        <w:overflowPunct/>
        <w:topLinePunct w:val="0"/>
        <w:autoSpaceDE/>
        <w:autoSpaceDN/>
        <w:bidi w:val="0"/>
        <w:adjustRightInd/>
        <w:snapToGrid/>
        <w:spacing w:line="440" w:lineRule="exact"/>
        <w:textAlignment w:val="auto"/>
        <w:rPr>
          <w:rStyle w:val="33"/>
          <w:rFonts w:hint="eastAsia" w:ascii="仿宋" w:hAnsi="仿宋" w:eastAsia="仿宋" w:cs="仿宋"/>
          <w:b w:val="0"/>
          <w:bCs w:val="0"/>
          <w:color w:val="auto"/>
          <w:sz w:val="24"/>
          <w:szCs w:val="24"/>
          <w:highlight w:val="none"/>
        </w:rPr>
      </w:pPr>
      <w:r>
        <w:rPr>
          <w:rStyle w:val="33"/>
          <w:rFonts w:hint="eastAsia" w:ascii="仿宋" w:hAnsi="仿宋" w:eastAsia="仿宋" w:cs="仿宋"/>
          <w:b w:val="0"/>
          <w:bCs w:val="0"/>
          <w:color w:val="auto"/>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C7A27E5">
      <w:pPr>
        <w:keepNext w:val="0"/>
        <w:keepLines w:val="0"/>
        <w:pageBreakBefore w:val="0"/>
        <w:widowControl w:val="0"/>
        <w:kinsoku/>
        <w:wordWrap/>
        <w:overflowPunct/>
        <w:topLinePunct w:val="0"/>
        <w:autoSpaceDE/>
        <w:autoSpaceDN/>
        <w:bidi w:val="0"/>
        <w:adjustRightInd/>
        <w:snapToGrid/>
        <w:spacing w:line="440" w:lineRule="exact"/>
        <w:textAlignment w:val="auto"/>
        <w:rPr>
          <w:rStyle w:val="33"/>
          <w:rFonts w:hint="eastAsia" w:ascii="仿宋" w:hAnsi="仿宋" w:eastAsia="仿宋" w:cs="仿宋"/>
          <w:b w:val="0"/>
          <w:bCs w:val="0"/>
          <w:color w:val="auto"/>
          <w:sz w:val="24"/>
          <w:szCs w:val="24"/>
          <w:highlight w:val="none"/>
        </w:rPr>
      </w:pPr>
      <w:r>
        <w:rPr>
          <w:rStyle w:val="33"/>
          <w:rFonts w:hint="eastAsia" w:ascii="仿宋" w:hAnsi="仿宋" w:eastAsia="仿宋" w:cs="仿宋"/>
          <w:b w:val="0"/>
          <w:bCs w:val="0"/>
          <w:color w:val="auto"/>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F603E3C">
      <w:pPr>
        <w:keepNext w:val="0"/>
        <w:keepLines w:val="0"/>
        <w:pageBreakBefore w:val="0"/>
        <w:widowControl w:val="0"/>
        <w:kinsoku/>
        <w:wordWrap/>
        <w:overflowPunct/>
        <w:topLinePunct w:val="0"/>
        <w:autoSpaceDE/>
        <w:autoSpaceDN/>
        <w:bidi w:val="0"/>
        <w:adjustRightInd/>
        <w:snapToGrid/>
        <w:spacing w:line="440" w:lineRule="exact"/>
        <w:textAlignment w:val="auto"/>
        <w:rPr>
          <w:rStyle w:val="33"/>
          <w:rFonts w:hint="eastAsia" w:ascii="仿宋" w:hAnsi="仿宋" w:eastAsia="仿宋" w:cs="仿宋"/>
          <w:b w:val="0"/>
          <w:bCs w:val="0"/>
          <w:color w:val="auto"/>
          <w:sz w:val="24"/>
          <w:szCs w:val="24"/>
          <w:highlight w:val="none"/>
        </w:rPr>
      </w:pPr>
      <w:r>
        <w:rPr>
          <w:rStyle w:val="33"/>
          <w:rFonts w:hint="eastAsia" w:ascii="仿宋" w:hAnsi="仿宋" w:eastAsia="仿宋" w:cs="仿宋"/>
          <w:b w:val="0"/>
          <w:bCs w:val="0"/>
          <w:color w:val="auto"/>
          <w:sz w:val="24"/>
          <w:szCs w:val="24"/>
          <w:highlight w:val="none"/>
        </w:rPr>
        <w:t>（十六）其他未列明行业。从业人员300人以下的为中小微型企业。其中，从业人员100人及以上的为中型企业；从业人员10人及以上的为小型企业；从业人员10人以下的为微型企业。　　</w:t>
      </w:r>
    </w:p>
    <w:p w14:paraId="27BD50E3">
      <w:pPr>
        <w:keepNext w:val="0"/>
        <w:keepLines w:val="0"/>
        <w:pageBreakBefore w:val="0"/>
        <w:widowControl w:val="0"/>
        <w:kinsoku/>
        <w:wordWrap/>
        <w:overflowPunct/>
        <w:topLinePunct w:val="0"/>
        <w:autoSpaceDE/>
        <w:autoSpaceDN/>
        <w:bidi w:val="0"/>
        <w:adjustRightInd/>
        <w:snapToGrid/>
        <w:spacing w:line="440" w:lineRule="exact"/>
        <w:textAlignment w:val="auto"/>
        <w:rPr>
          <w:rStyle w:val="33"/>
          <w:rFonts w:hint="eastAsia" w:ascii="仿宋" w:hAnsi="仿宋" w:eastAsia="仿宋" w:cs="仿宋"/>
          <w:b w:val="0"/>
          <w:bCs w:val="0"/>
          <w:color w:val="auto"/>
          <w:sz w:val="24"/>
          <w:szCs w:val="24"/>
          <w:highlight w:val="none"/>
        </w:rPr>
      </w:pPr>
      <w:r>
        <w:rPr>
          <w:rStyle w:val="33"/>
          <w:rFonts w:hint="eastAsia" w:ascii="仿宋" w:hAnsi="仿宋" w:eastAsia="仿宋" w:cs="仿宋"/>
          <w:b w:val="0"/>
          <w:bCs w:val="0"/>
          <w:color w:val="auto"/>
          <w:sz w:val="24"/>
          <w:szCs w:val="24"/>
          <w:highlight w:val="none"/>
        </w:rPr>
        <w:t>五、企业类型的划分以统计部门的统计数据为依据。</w:t>
      </w:r>
    </w:p>
    <w:p w14:paraId="31B6A505">
      <w:pPr>
        <w:keepNext w:val="0"/>
        <w:keepLines w:val="0"/>
        <w:pageBreakBefore w:val="0"/>
        <w:widowControl w:val="0"/>
        <w:kinsoku/>
        <w:wordWrap/>
        <w:overflowPunct/>
        <w:topLinePunct w:val="0"/>
        <w:autoSpaceDE/>
        <w:autoSpaceDN/>
        <w:bidi w:val="0"/>
        <w:adjustRightInd/>
        <w:snapToGrid/>
        <w:spacing w:line="440" w:lineRule="exact"/>
        <w:textAlignment w:val="auto"/>
        <w:rPr>
          <w:rStyle w:val="33"/>
          <w:rFonts w:hint="eastAsia" w:ascii="仿宋" w:hAnsi="仿宋" w:eastAsia="仿宋" w:cs="仿宋"/>
          <w:b w:val="0"/>
          <w:bCs w:val="0"/>
          <w:color w:val="auto"/>
          <w:sz w:val="24"/>
          <w:szCs w:val="24"/>
          <w:highlight w:val="none"/>
        </w:rPr>
      </w:pPr>
      <w:r>
        <w:rPr>
          <w:rStyle w:val="33"/>
          <w:rFonts w:hint="eastAsia" w:ascii="仿宋" w:hAnsi="仿宋" w:eastAsia="仿宋" w:cs="仿宋"/>
          <w:b w:val="0"/>
          <w:bCs w:val="0"/>
          <w:color w:val="auto"/>
          <w:sz w:val="24"/>
          <w:szCs w:val="24"/>
          <w:highlight w:val="none"/>
        </w:rPr>
        <w:t>　　六、本规定适用于在中华人民共和国境内依法设立的各类所有制和各种组织形式的企业。个体工商户和本规定以外的行业，参照本规定进行划型。</w:t>
      </w:r>
    </w:p>
    <w:p w14:paraId="37C06E16">
      <w:pPr>
        <w:keepNext w:val="0"/>
        <w:keepLines w:val="0"/>
        <w:pageBreakBefore w:val="0"/>
        <w:widowControl w:val="0"/>
        <w:kinsoku/>
        <w:wordWrap/>
        <w:overflowPunct/>
        <w:topLinePunct w:val="0"/>
        <w:autoSpaceDE/>
        <w:autoSpaceDN/>
        <w:bidi w:val="0"/>
        <w:adjustRightInd/>
        <w:snapToGrid/>
        <w:spacing w:line="440" w:lineRule="exact"/>
        <w:textAlignment w:val="auto"/>
        <w:rPr>
          <w:rStyle w:val="33"/>
          <w:rFonts w:hint="eastAsia" w:ascii="仿宋" w:hAnsi="仿宋" w:eastAsia="仿宋" w:cs="仿宋"/>
          <w:b w:val="0"/>
          <w:bCs w:val="0"/>
          <w:color w:val="auto"/>
          <w:sz w:val="24"/>
          <w:szCs w:val="24"/>
          <w:highlight w:val="none"/>
        </w:rPr>
      </w:pPr>
      <w:r>
        <w:rPr>
          <w:rStyle w:val="33"/>
          <w:rFonts w:hint="eastAsia" w:ascii="仿宋" w:hAnsi="仿宋" w:eastAsia="仿宋" w:cs="仿宋"/>
          <w:b w:val="0"/>
          <w:bCs w:val="0"/>
          <w:color w:val="auto"/>
          <w:sz w:val="24"/>
          <w:szCs w:val="24"/>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04C60B7D">
      <w:pPr>
        <w:keepNext w:val="0"/>
        <w:keepLines w:val="0"/>
        <w:pageBreakBefore w:val="0"/>
        <w:widowControl w:val="0"/>
        <w:kinsoku/>
        <w:wordWrap/>
        <w:overflowPunct/>
        <w:topLinePunct w:val="0"/>
        <w:autoSpaceDE/>
        <w:autoSpaceDN/>
        <w:bidi w:val="0"/>
        <w:adjustRightInd/>
        <w:snapToGrid/>
        <w:spacing w:line="440" w:lineRule="exact"/>
        <w:textAlignment w:val="auto"/>
        <w:rPr>
          <w:rStyle w:val="33"/>
          <w:rFonts w:hint="eastAsia" w:ascii="仿宋" w:hAnsi="仿宋" w:eastAsia="仿宋" w:cs="仿宋"/>
          <w:b w:val="0"/>
          <w:bCs w:val="0"/>
          <w:color w:val="auto"/>
          <w:sz w:val="24"/>
          <w:szCs w:val="24"/>
          <w:highlight w:val="none"/>
        </w:rPr>
      </w:pPr>
      <w:r>
        <w:rPr>
          <w:rStyle w:val="33"/>
          <w:rFonts w:hint="eastAsia" w:ascii="仿宋" w:hAnsi="仿宋" w:eastAsia="仿宋" w:cs="仿宋"/>
          <w:b w:val="0"/>
          <w:bCs w:val="0"/>
          <w:color w:val="auto"/>
          <w:sz w:val="24"/>
          <w:szCs w:val="24"/>
          <w:highlight w:val="none"/>
        </w:rPr>
        <w:t>　　八、本规定由工业和信息化部、国家统计局会同有关部门根据《国民经济行业分类》修订情况和企业发展变化情况适时修订。</w:t>
      </w:r>
    </w:p>
    <w:p w14:paraId="381BD25F">
      <w:pPr>
        <w:keepNext w:val="0"/>
        <w:keepLines w:val="0"/>
        <w:pageBreakBefore w:val="0"/>
        <w:widowControl w:val="0"/>
        <w:kinsoku/>
        <w:wordWrap/>
        <w:overflowPunct/>
        <w:topLinePunct w:val="0"/>
        <w:autoSpaceDE/>
        <w:autoSpaceDN/>
        <w:bidi w:val="0"/>
        <w:adjustRightInd/>
        <w:snapToGrid/>
        <w:spacing w:line="440" w:lineRule="exact"/>
        <w:textAlignment w:val="auto"/>
        <w:rPr>
          <w:rStyle w:val="33"/>
          <w:rFonts w:hint="eastAsia" w:ascii="仿宋" w:hAnsi="仿宋" w:eastAsia="仿宋" w:cs="仿宋"/>
          <w:b w:val="0"/>
          <w:bCs w:val="0"/>
          <w:color w:val="auto"/>
          <w:sz w:val="24"/>
          <w:szCs w:val="24"/>
          <w:highlight w:val="none"/>
        </w:rPr>
      </w:pPr>
      <w:r>
        <w:rPr>
          <w:rStyle w:val="33"/>
          <w:rFonts w:hint="eastAsia" w:ascii="仿宋" w:hAnsi="仿宋" w:eastAsia="仿宋" w:cs="仿宋"/>
          <w:b w:val="0"/>
          <w:bCs w:val="0"/>
          <w:color w:val="auto"/>
          <w:sz w:val="24"/>
          <w:szCs w:val="24"/>
          <w:highlight w:val="none"/>
        </w:rPr>
        <w:t>　　九、本规定由工业和信息化部、国家统计局会同有关部门负责解释。</w:t>
      </w:r>
    </w:p>
    <w:p w14:paraId="498AC3F4">
      <w:pPr>
        <w:keepNext w:val="0"/>
        <w:keepLines w:val="0"/>
        <w:pageBreakBefore w:val="0"/>
        <w:widowControl w:val="0"/>
        <w:kinsoku/>
        <w:wordWrap/>
        <w:overflowPunct/>
        <w:topLinePunct w:val="0"/>
        <w:autoSpaceDE/>
        <w:autoSpaceDN/>
        <w:bidi w:val="0"/>
        <w:adjustRightInd/>
        <w:snapToGrid/>
        <w:spacing w:line="440" w:lineRule="exact"/>
        <w:textAlignment w:val="auto"/>
        <w:rPr>
          <w:rStyle w:val="33"/>
          <w:rFonts w:hint="eastAsia" w:ascii="仿宋" w:hAnsi="仿宋" w:eastAsia="仿宋" w:cs="仿宋"/>
          <w:b w:val="0"/>
          <w:bCs w:val="0"/>
          <w:color w:val="auto"/>
          <w:sz w:val="24"/>
          <w:szCs w:val="24"/>
          <w:highlight w:val="none"/>
        </w:rPr>
      </w:pPr>
      <w:r>
        <w:rPr>
          <w:rStyle w:val="33"/>
          <w:rFonts w:hint="eastAsia" w:ascii="仿宋" w:hAnsi="仿宋" w:eastAsia="仿宋" w:cs="仿宋"/>
          <w:b w:val="0"/>
          <w:bCs w:val="0"/>
          <w:color w:val="auto"/>
          <w:sz w:val="24"/>
          <w:szCs w:val="24"/>
          <w:highlight w:val="none"/>
        </w:rPr>
        <w:t>十、本规定自发布之日起执行，原国家经贸委、原国家计委、财政部和国家统计局2003年颁布的《中小企业标准暂行规定》同时废止。</w:t>
      </w:r>
    </w:p>
    <w:p w14:paraId="4DE75B56">
      <w:pPr>
        <w:rPr>
          <w:rFonts w:hint="eastAsia" w:ascii="仿宋" w:hAnsi="仿宋" w:eastAsia="仿宋" w:cs="仿宋"/>
          <w:bCs/>
          <w:color w:val="auto"/>
          <w:sz w:val="36"/>
          <w:szCs w:val="36"/>
          <w:highlight w:val="none"/>
          <w:lang w:val="en-US" w:eastAsia="zh-CN"/>
        </w:rPr>
      </w:pPr>
      <w:bookmarkStart w:id="794" w:name="_Toc163492940"/>
      <w:r>
        <w:rPr>
          <w:rFonts w:hint="eastAsia" w:ascii="仿宋" w:hAnsi="仿宋" w:eastAsia="仿宋" w:cs="仿宋"/>
          <w:color w:val="auto"/>
          <w:spacing w:val="6"/>
          <w:sz w:val="21"/>
          <w:szCs w:val="21"/>
          <w:highlight w:val="none"/>
        </w:rPr>
        <w:br w:type="page"/>
      </w:r>
    </w:p>
    <w:p w14:paraId="5E34EE3E">
      <w:pPr>
        <w:pStyle w:val="4"/>
        <w:keepNext/>
        <w:keepLines/>
        <w:pageBreakBefore w:val="0"/>
        <w:widowControl w:val="0"/>
        <w:numPr>
          <w:ilvl w:val="0"/>
          <w:numId w:val="0"/>
        </w:numPr>
        <w:kinsoku/>
        <w:wordWrap/>
        <w:overflowPunct/>
        <w:topLinePunct w:val="0"/>
        <w:autoSpaceDE/>
        <w:autoSpaceDN/>
        <w:bidi w:val="0"/>
        <w:adjustRightInd/>
        <w:snapToGrid/>
        <w:spacing w:before="80" w:after="80" w:line="440" w:lineRule="exact"/>
        <w:ind w:left="420" w:leftChars="0" w:hanging="420" w:firstLineChars="0"/>
        <w:textAlignment w:val="auto"/>
        <w:rPr>
          <w:rFonts w:hint="eastAsia" w:ascii="仿宋" w:hAnsi="仿宋" w:eastAsia="仿宋" w:cs="仿宋"/>
          <w:b/>
          <w:bCs/>
          <w:color w:val="auto"/>
          <w:kern w:val="2"/>
          <w:sz w:val="24"/>
          <w:szCs w:val="24"/>
          <w:highlight w:val="none"/>
          <w:lang w:val="en-US" w:eastAsia="zh-CN" w:bidi="ar-SA"/>
        </w:rPr>
      </w:pPr>
      <w:bookmarkStart w:id="795" w:name="_Toc16227"/>
      <w:bookmarkStart w:id="796" w:name="_Toc30764"/>
      <w:r>
        <w:rPr>
          <w:rFonts w:hint="eastAsia" w:ascii="仿宋" w:hAnsi="仿宋" w:eastAsia="仿宋" w:cs="仿宋"/>
          <w:b/>
          <w:bCs/>
          <w:color w:val="auto"/>
          <w:kern w:val="2"/>
          <w:sz w:val="24"/>
          <w:szCs w:val="24"/>
          <w:highlight w:val="none"/>
          <w:lang w:val="en-US" w:eastAsia="zh-CN" w:bidi="ar-SA"/>
        </w:rPr>
        <w:t>监狱企业证明文件</w:t>
      </w:r>
      <w:r>
        <w:rPr>
          <w:rFonts w:hint="eastAsia" w:ascii="仿宋" w:hAnsi="仿宋" w:eastAsia="仿宋" w:cs="仿宋"/>
          <w:b w:val="0"/>
          <w:bCs w:val="0"/>
          <w:color w:val="auto"/>
          <w:kern w:val="2"/>
          <w:sz w:val="24"/>
          <w:szCs w:val="24"/>
          <w:highlight w:val="none"/>
          <w:lang w:val="en-US" w:eastAsia="zh-CN" w:bidi="ar-SA"/>
        </w:rPr>
        <w:t>【如适用】</w:t>
      </w:r>
      <w:bookmarkEnd w:id="794"/>
      <w:bookmarkEnd w:id="795"/>
      <w:bookmarkEnd w:id="796"/>
    </w:p>
    <w:p w14:paraId="1024B8FF">
      <w:pPr>
        <w:pageBreakBefore w:val="0"/>
        <w:widowControl w:val="0"/>
        <w:kinsoku/>
        <w:wordWrap/>
        <w:overflowPunct/>
        <w:topLinePunct w:val="0"/>
        <w:autoSpaceDE/>
        <w:autoSpaceDN/>
        <w:bidi w:val="0"/>
        <w:spacing w:line="440" w:lineRule="exact"/>
        <w:textAlignment w:val="auto"/>
        <w:rPr>
          <w:rFonts w:hint="eastAsia" w:ascii="仿宋" w:hAnsi="仿宋" w:eastAsia="仿宋" w:cs="仿宋"/>
          <w:b/>
          <w:color w:val="auto"/>
          <w:sz w:val="24"/>
          <w:szCs w:val="24"/>
          <w:highlight w:val="none"/>
        </w:rPr>
      </w:pPr>
    </w:p>
    <w:p w14:paraId="1E467948">
      <w:pPr>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【监狱企业应当提供由省级及以上监狱管理局、戒毒管理局（含新疆生产建设兵团）出具的监狱企业的证明文件，格式</w:t>
      </w:r>
      <w:r>
        <w:rPr>
          <w:rFonts w:hint="eastAsia" w:ascii="仿宋" w:hAnsi="仿宋" w:eastAsia="仿宋" w:cs="仿宋"/>
          <w:color w:val="auto"/>
          <w:sz w:val="24"/>
          <w:szCs w:val="24"/>
          <w:highlight w:val="none"/>
          <w:lang w:val="en-US" w:eastAsia="zh-CN"/>
        </w:rPr>
        <w:t>如下</w:t>
      </w:r>
      <w:r>
        <w:rPr>
          <w:rFonts w:hint="eastAsia" w:ascii="仿宋" w:hAnsi="仿宋" w:eastAsia="仿宋" w:cs="仿宋"/>
          <w:color w:val="auto"/>
          <w:sz w:val="24"/>
          <w:szCs w:val="24"/>
          <w:highlight w:val="none"/>
        </w:rPr>
        <w:t>】。</w:t>
      </w:r>
    </w:p>
    <w:p w14:paraId="79E743F5">
      <w:pPr>
        <w:pStyle w:val="18"/>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b/>
          <w:bCs w:val="0"/>
          <w:color w:val="auto"/>
          <w:sz w:val="32"/>
          <w:szCs w:val="32"/>
          <w:highlight w:val="none"/>
        </w:rPr>
      </w:pPr>
    </w:p>
    <w:p w14:paraId="486567C8">
      <w:pPr>
        <w:pStyle w:val="18"/>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监狱企业证明函</w:t>
      </w:r>
    </w:p>
    <w:p w14:paraId="4AE2EF96">
      <w:pPr>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32"/>
          <w:szCs w:val="32"/>
          <w:highlight w:val="none"/>
        </w:rPr>
      </w:pPr>
    </w:p>
    <w:p w14:paraId="098E84AB">
      <w:pPr>
        <w:pageBreakBefore w:val="0"/>
        <w:widowControl w:val="0"/>
        <w:kinsoku/>
        <w:wordWrap/>
        <w:overflowPunct/>
        <w:topLinePunct w:val="0"/>
        <w:autoSpaceDE/>
        <w:autoSpaceDN/>
        <w:bidi w:val="0"/>
        <w:spacing w:line="440" w:lineRule="exact"/>
        <w:ind w:firstLine="504" w:firstLineChars="200"/>
        <w:textAlignment w:val="auto"/>
        <w:rPr>
          <w:rFonts w:hint="eastAsia" w:ascii="仿宋" w:hAnsi="仿宋" w:eastAsia="仿宋" w:cs="仿宋"/>
          <w:color w:val="auto"/>
          <w:spacing w:val="6"/>
          <w:szCs w:val="24"/>
          <w:highlight w:val="none"/>
        </w:rPr>
      </w:pPr>
      <w:r>
        <w:rPr>
          <w:rFonts w:hint="eastAsia" w:ascii="仿宋" w:hAnsi="仿宋" w:eastAsia="仿宋" w:cs="仿宋"/>
          <w:color w:val="auto"/>
          <w:spacing w:val="6"/>
          <w:szCs w:val="24"/>
          <w:highlight w:val="none"/>
        </w:rPr>
        <w:t>本公司郑重声明，根据财政部、司法部《关于政府采购支持监狱企业发展有关问题的通知》（财库</w:t>
      </w:r>
      <w:r>
        <w:rPr>
          <w:rFonts w:hint="eastAsia" w:ascii="仿宋" w:hAnsi="仿宋" w:eastAsia="仿宋" w:cs="仿宋"/>
          <w:color w:val="auto"/>
          <w:spacing w:val="6"/>
          <w:szCs w:val="24"/>
          <w:highlight w:val="none"/>
          <w:lang w:eastAsia="zh-CN"/>
        </w:rPr>
        <w:t>〔</w:t>
      </w:r>
      <w:r>
        <w:rPr>
          <w:rFonts w:hint="eastAsia" w:ascii="仿宋" w:hAnsi="仿宋" w:eastAsia="仿宋" w:cs="仿宋"/>
          <w:color w:val="auto"/>
          <w:spacing w:val="6"/>
          <w:szCs w:val="24"/>
          <w:highlight w:val="none"/>
        </w:rPr>
        <w:t>2014</w:t>
      </w:r>
      <w:r>
        <w:rPr>
          <w:rFonts w:hint="eastAsia" w:ascii="仿宋" w:hAnsi="仿宋" w:eastAsia="仿宋" w:cs="仿宋"/>
          <w:color w:val="auto"/>
          <w:spacing w:val="6"/>
          <w:szCs w:val="24"/>
          <w:highlight w:val="none"/>
          <w:lang w:eastAsia="zh-CN"/>
        </w:rPr>
        <w:t>〕</w:t>
      </w:r>
      <w:r>
        <w:rPr>
          <w:rFonts w:hint="eastAsia" w:ascii="仿宋" w:hAnsi="仿宋" w:eastAsia="仿宋" w:cs="仿宋"/>
          <w:color w:val="auto"/>
          <w:spacing w:val="6"/>
          <w:szCs w:val="24"/>
          <w:highlight w:val="none"/>
        </w:rPr>
        <w:t>68号）的规定，本公司为监狱企业。</w:t>
      </w:r>
    </w:p>
    <w:p w14:paraId="06763A5F">
      <w:pPr>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rPr>
      </w:pPr>
    </w:p>
    <w:p w14:paraId="4576A320">
      <w:pPr>
        <w:pageBreakBefore w:val="0"/>
        <w:widowControl w:val="0"/>
        <w:kinsoku/>
        <w:wordWrap/>
        <w:overflowPunct/>
        <w:topLinePunct w:val="0"/>
        <w:autoSpaceDE/>
        <w:autoSpaceDN/>
        <w:bidi w:val="0"/>
        <w:spacing w:line="440" w:lineRule="exact"/>
        <w:ind w:firstLine="4440" w:firstLineChars="1850"/>
        <w:textAlignment w:val="auto"/>
        <w:rPr>
          <w:rFonts w:hint="eastAsia" w:ascii="仿宋" w:hAnsi="仿宋" w:eastAsia="仿宋" w:cs="仿宋"/>
          <w:color w:val="auto"/>
          <w:sz w:val="24"/>
          <w:szCs w:val="24"/>
          <w:highlight w:val="none"/>
        </w:rPr>
      </w:pPr>
    </w:p>
    <w:p w14:paraId="5562F73A">
      <w:pPr>
        <w:pageBreakBefore w:val="0"/>
        <w:widowControl w:val="0"/>
        <w:kinsoku/>
        <w:wordWrap/>
        <w:overflowPunct/>
        <w:topLinePunct w:val="0"/>
        <w:autoSpaceDE/>
        <w:autoSpaceDN/>
        <w:bidi w:val="0"/>
        <w:spacing w:line="440" w:lineRule="exact"/>
        <w:ind w:firstLine="4440" w:firstLineChars="1850"/>
        <w:textAlignment w:val="auto"/>
        <w:rPr>
          <w:rFonts w:hint="eastAsia" w:ascii="仿宋" w:hAnsi="仿宋" w:eastAsia="仿宋" w:cs="仿宋"/>
          <w:color w:val="auto"/>
          <w:sz w:val="24"/>
          <w:szCs w:val="24"/>
          <w:highlight w:val="none"/>
        </w:rPr>
      </w:pPr>
    </w:p>
    <w:p w14:paraId="6A0D1CA2">
      <w:pPr>
        <w:pageBreakBefore w:val="0"/>
        <w:widowControl w:val="0"/>
        <w:kinsoku/>
        <w:wordWrap/>
        <w:overflowPunct/>
        <w:topLinePunct w:val="0"/>
        <w:autoSpaceDE/>
        <w:autoSpaceDN/>
        <w:bidi w:val="0"/>
        <w:spacing w:line="440" w:lineRule="exact"/>
        <w:ind w:right="1008" w:firstLine="4284" w:firstLineChars="1700"/>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lang w:val="en-US" w:eastAsia="zh-CN"/>
        </w:rPr>
        <w:t>投标人</w:t>
      </w:r>
      <w:r>
        <w:rPr>
          <w:rFonts w:hint="eastAsia" w:ascii="仿宋" w:hAnsi="仿宋" w:eastAsia="仿宋" w:cs="仿宋"/>
          <w:color w:val="auto"/>
          <w:spacing w:val="6"/>
          <w:sz w:val="24"/>
          <w:szCs w:val="24"/>
          <w:highlight w:val="none"/>
        </w:rPr>
        <w:t>名称</w:t>
      </w:r>
      <w:r>
        <w:rPr>
          <w:rFonts w:hint="eastAsia" w:ascii="仿宋" w:hAnsi="仿宋" w:eastAsia="仿宋" w:cs="仿宋"/>
          <w:color w:val="auto"/>
          <w:szCs w:val="24"/>
          <w:highlight w:val="none"/>
          <w:lang w:eastAsia="zh-CN"/>
        </w:rPr>
        <w:t>（</w:t>
      </w:r>
      <w:r>
        <w:rPr>
          <w:rFonts w:hint="eastAsia" w:ascii="仿宋" w:hAnsi="仿宋" w:eastAsia="仿宋" w:cs="仿宋"/>
          <w:color w:val="auto"/>
          <w:kern w:val="0"/>
          <w:sz w:val="24"/>
          <w:szCs w:val="24"/>
          <w:highlight w:val="none"/>
          <w:lang w:val="en-US" w:eastAsia="zh-CN"/>
        </w:rPr>
        <w:t>公</w:t>
      </w:r>
      <w:r>
        <w:rPr>
          <w:rFonts w:hint="eastAsia" w:ascii="仿宋" w:hAnsi="仿宋" w:eastAsia="仿宋" w:cs="仿宋"/>
          <w:color w:val="auto"/>
          <w:kern w:val="0"/>
          <w:sz w:val="24"/>
          <w:szCs w:val="24"/>
          <w:highlight w:val="none"/>
          <w:lang w:eastAsia="zh-CN"/>
        </w:rPr>
        <w:t>章</w:t>
      </w:r>
      <w:r>
        <w:rPr>
          <w:rFonts w:hint="eastAsia" w:ascii="仿宋" w:hAnsi="仿宋" w:eastAsia="仿宋" w:cs="仿宋"/>
          <w:color w:val="auto"/>
          <w:kern w:val="0"/>
          <w:sz w:val="24"/>
          <w:highlight w:val="none"/>
          <w:lang w:val="zh-CN"/>
        </w:rPr>
        <w:t>)</w:t>
      </w:r>
      <w:r>
        <w:rPr>
          <w:rFonts w:hint="eastAsia" w:ascii="仿宋" w:hAnsi="仿宋" w:eastAsia="仿宋" w:cs="仿宋"/>
          <w:color w:val="auto"/>
          <w:spacing w:val="6"/>
          <w:sz w:val="24"/>
          <w:szCs w:val="24"/>
          <w:highlight w:val="none"/>
        </w:rPr>
        <w:t>：</w:t>
      </w:r>
    </w:p>
    <w:p w14:paraId="3301531A">
      <w:pPr>
        <w:pageBreakBefore w:val="0"/>
        <w:widowControl w:val="0"/>
        <w:kinsoku/>
        <w:wordWrap/>
        <w:overflowPunct/>
        <w:topLinePunct w:val="0"/>
        <w:autoSpaceDE/>
        <w:autoSpaceDN/>
        <w:bidi w:val="0"/>
        <w:spacing w:line="440" w:lineRule="exact"/>
        <w:ind w:right="1008" w:firstLine="4284" w:firstLineChars="1700"/>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rPr>
        <w:t>日期：</w:t>
      </w:r>
      <w:r>
        <w:rPr>
          <w:rFonts w:hint="eastAsia" w:ascii="仿宋" w:hAnsi="仿宋" w:eastAsia="仿宋" w:cs="仿宋"/>
          <w:color w:val="auto"/>
          <w:spacing w:val="6"/>
          <w:sz w:val="24"/>
          <w:szCs w:val="24"/>
          <w:highlight w:val="none"/>
          <w:lang w:val="en-US" w:eastAsia="zh-CN"/>
        </w:rPr>
        <w:t xml:space="preserve">  年  月  日</w:t>
      </w:r>
    </w:p>
    <w:p w14:paraId="553C4A1D">
      <w:pPr>
        <w:pageBreakBefore w:val="0"/>
        <w:widowControl w:val="0"/>
        <w:kinsoku/>
        <w:wordWrap/>
        <w:overflowPunct/>
        <w:topLinePunct w:val="0"/>
        <w:autoSpaceDE/>
        <w:autoSpaceDN/>
        <w:bidi w:val="0"/>
        <w:spacing w:line="440" w:lineRule="exact"/>
        <w:ind w:firstLine="240" w:firstLineChars="100"/>
        <w:textAlignment w:val="auto"/>
        <w:rPr>
          <w:rFonts w:hint="eastAsia" w:ascii="仿宋" w:hAnsi="仿宋" w:eastAsia="仿宋" w:cs="仿宋"/>
          <w:color w:val="auto"/>
          <w:sz w:val="24"/>
          <w:szCs w:val="24"/>
          <w:highlight w:val="none"/>
        </w:rPr>
      </w:pPr>
    </w:p>
    <w:p w14:paraId="65303458">
      <w:pPr>
        <w:pageBreakBefore w:val="0"/>
        <w:widowControl w:val="0"/>
        <w:kinsoku/>
        <w:wordWrap/>
        <w:overflowPunct/>
        <w:topLinePunct w:val="0"/>
        <w:autoSpaceDE/>
        <w:autoSpaceDN/>
        <w:bidi w:val="0"/>
        <w:spacing w:line="440" w:lineRule="exact"/>
        <w:ind w:firstLine="240" w:firstLineChars="100"/>
        <w:textAlignment w:val="auto"/>
        <w:rPr>
          <w:rFonts w:hint="eastAsia" w:ascii="仿宋" w:hAnsi="仿宋" w:eastAsia="仿宋" w:cs="仿宋"/>
          <w:color w:val="auto"/>
          <w:sz w:val="24"/>
          <w:szCs w:val="24"/>
          <w:highlight w:val="none"/>
        </w:rPr>
      </w:pPr>
    </w:p>
    <w:p w14:paraId="4DDF2CAE">
      <w:pPr>
        <w:pageBreakBefore w:val="0"/>
        <w:widowControl w:val="0"/>
        <w:kinsoku/>
        <w:wordWrap/>
        <w:overflowPunct/>
        <w:topLinePunct w:val="0"/>
        <w:autoSpaceDE/>
        <w:autoSpaceDN/>
        <w:bidi w:val="0"/>
        <w:spacing w:line="440" w:lineRule="exact"/>
        <w:ind w:firstLine="3360" w:firstLineChars="1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省级以上监狱管理局、戒毒管理局</w:t>
      </w:r>
    </w:p>
    <w:p w14:paraId="1DCD0E30">
      <w:pPr>
        <w:pageBreakBefore w:val="0"/>
        <w:widowControl w:val="0"/>
        <w:kinsoku/>
        <w:wordWrap/>
        <w:overflowPunct/>
        <w:topLinePunct w:val="0"/>
        <w:autoSpaceDE/>
        <w:autoSpaceDN/>
        <w:bidi w:val="0"/>
        <w:spacing w:line="440" w:lineRule="exact"/>
        <w:ind w:firstLine="3360" w:firstLineChars="1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（含新疆生产建设兵团）（盖章）：</w:t>
      </w:r>
    </w:p>
    <w:p w14:paraId="119171A4">
      <w:pPr>
        <w:pStyle w:val="4"/>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80" w:leftChars="200" w:firstLine="3660" w:firstLineChars="1525"/>
        <w:jc w:val="left"/>
        <w:textAlignment w:val="auto"/>
        <w:rPr>
          <w:rFonts w:hint="eastAsia" w:ascii="仿宋" w:hAnsi="仿宋" w:eastAsia="仿宋" w:cs="仿宋"/>
          <w:b w:val="0"/>
          <w:bCs w:val="0"/>
          <w:color w:val="auto"/>
          <w:spacing w:val="6"/>
          <w:sz w:val="24"/>
          <w:szCs w:val="24"/>
          <w:highlight w:val="none"/>
          <w:lang w:val="en-US" w:eastAsia="zh-CN"/>
        </w:rPr>
      </w:pPr>
      <w:r>
        <w:rPr>
          <w:rFonts w:hint="eastAsia" w:ascii="仿宋" w:hAnsi="仿宋" w:eastAsia="仿宋" w:cs="仿宋"/>
          <w:b w:val="0"/>
          <w:bCs w:val="0"/>
          <w:color w:val="auto"/>
          <w:sz w:val="24"/>
          <w:szCs w:val="24"/>
          <w:highlight w:val="none"/>
        </w:rPr>
        <w:t>日期：</w:t>
      </w:r>
      <w:r>
        <w:rPr>
          <w:rFonts w:hint="eastAsia" w:ascii="仿宋" w:hAnsi="仿宋" w:eastAsia="仿宋" w:cs="仿宋"/>
          <w:b w:val="0"/>
          <w:bCs w:val="0"/>
          <w:color w:val="auto"/>
          <w:spacing w:val="6"/>
          <w:sz w:val="24"/>
          <w:szCs w:val="24"/>
          <w:highlight w:val="none"/>
          <w:lang w:val="en-US" w:eastAsia="zh-CN"/>
        </w:rPr>
        <w:t xml:space="preserve">  年  月  日</w:t>
      </w:r>
      <w:bookmarkStart w:id="797" w:name="_Toc163492941"/>
      <w:bookmarkStart w:id="798" w:name="_Toc13465"/>
      <w:bookmarkStart w:id="799" w:name="_Toc31652"/>
    </w:p>
    <w:p w14:paraId="50A5C5AE">
      <w:pP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br w:type="page"/>
      </w:r>
    </w:p>
    <w:p w14:paraId="0A9FB5C3">
      <w:pPr>
        <w:pStyle w:val="4"/>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残疾人福利性单位声明函【</w:t>
      </w:r>
      <w:r>
        <w:rPr>
          <w:rFonts w:hint="eastAsia" w:ascii="仿宋" w:hAnsi="仿宋" w:eastAsia="仿宋" w:cs="仿宋"/>
          <w:b w:val="0"/>
          <w:bCs w:val="0"/>
          <w:color w:val="auto"/>
          <w:kern w:val="2"/>
          <w:sz w:val="24"/>
          <w:szCs w:val="24"/>
          <w:highlight w:val="none"/>
          <w:lang w:val="en-US" w:eastAsia="zh-CN" w:bidi="ar-SA"/>
        </w:rPr>
        <w:t>如适用</w:t>
      </w:r>
      <w:r>
        <w:rPr>
          <w:rFonts w:hint="eastAsia" w:ascii="仿宋" w:hAnsi="仿宋" w:eastAsia="仿宋" w:cs="仿宋"/>
          <w:b/>
          <w:bCs/>
          <w:color w:val="auto"/>
          <w:kern w:val="2"/>
          <w:sz w:val="24"/>
          <w:szCs w:val="24"/>
          <w:highlight w:val="none"/>
          <w:lang w:val="en-US" w:eastAsia="zh-CN" w:bidi="ar-SA"/>
        </w:rPr>
        <w:t>】</w:t>
      </w:r>
      <w:bookmarkEnd w:id="797"/>
      <w:bookmarkEnd w:id="798"/>
      <w:bookmarkEnd w:id="799"/>
    </w:p>
    <w:p w14:paraId="0EF6C35C">
      <w:pPr>
        <w:pStyle w:val="39"/>
        <w:numPr>
          <w:ilvl w:val="0"/>
          <w:numId w:val="0"/>
        </w:numPr>
        <w:ind w:left="420" w:leftChars="0" w:hanging="420" w:firstLineChars="0"/>
        <w:jc w:val="center"/>
        <w:rPr>
          <w:rFonts w:hint="eastAsia" w:ascii="仿宋" w:hAnsi="仿宋" w:eastAsia="仿宋" w:cs="仿宋"/>
          <w:b/>
          <w:bCs/>
          <w:color w:val="auto"/>
          <w:sz w:val="32"/>
          <w:szCs w:val="32"/>
          <w:highlight w:val="none"/>
        </w:rPr>
      </w:pPr>
    </w:p>
    <w:p w14:paraId="549950AD">
      <w:pPr>
        <w:pStyle w:val="39"/>
        <w:keepNext w:val="0"/>
        <w:keepLines w:val="0"/>
        <w:pageBreakBefore w:val="0"/>
        <w:widowControl w:val="0"/>
        <w:numPr>
          <w:ilvl w:val="0"/>
          <w:numId w:val="0"/>
        </w:numPr>
        <w:kinsoku/>
        <w:overflowPunct/>
        <w:topLinePunct w:val="0"/>
        <w:autoSpaceDE/>
        <w:autoSpaceDN/>
        <w:bidi w:val="0"/>
        <w:adjustRightInd/>
        <w:snapToGrid/>
        <w:spacing w:line="440" w:lineRule="exact"/>
        <w:ind w:left="420" w:leftChars="0" w:hanging="420" w:firstLineChars="0"/>
        <w:jc w:val="center"/>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残疾人福利性单位声明函</w:t>
      </w:r>
    </w:p>
    <w:p w14:paraId="1EDDD9F9">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Cs w:val="24"/>
          <w:highlight w:val="none"/>
        </w:rPr>
      </w:pPr>
    </w:p>
    <w:p w14:paraId="7ABB16DC">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olor w:val="auto"/>
          <w:szCs w:val="24"/>
          <w:highlight w:val="none"/>
        </w:rPr>
      </w:pPr>
      <w:r>
        <w:rPr>
          <w:rFonts w:hint="eastAsia" w:ascii="仿宋" w:hAnsi="仿宋" w:eastAsia="仿宋" w:cs="仿宋"/>
          <w:i w:val="0"/>
          <w:iCs w:val="0"/>
          <w:color w:val="auto"/>
          <w:szCs w:val="24"/>
          <w:highlight w:val="none"/>
        </w:rPr>
        <w:t>本公司（联合体）郑重声明，根据《财政部 民政部 中国残疾人联合会关于促进残疾人就业政府采购政策的通知》（财库〔2017〕141号）的规定，本公司（联合体）参加</w:t>
      </w:r>
      <w:r>
        <w:rPr>
          <w:rFonts w:hint="eastAsia" w:ascii="仿宋" w:hAnsi="仿宋" w:eastAsia="仿宋" w:cs="仿宋"/>
          <w:i w:val="0"/>
          <w:iCs w:val="0"/>
          <w:color w:val="auto"/>
          <w:szCs w:val="24"/>
          <w:highlight w:val="none"/>
          <w:u w:val="single"/>
        </w:rPr>
        <w:t xml:space="preserve"> （单位名称） </w:t>
      </w:r>
      <w:r>
        <w:rPr>
          <w:rFonts w:hint="eastAsia" w:ascii="仿宋" w:hAnsi="仿宋" w:eastAsia="仿宋" w:cs="仿宋"/>
          <w:i w:val="0"/>
          <w:iCs w:val="0"/>
          <w:color w:val="auto"/>
          <w:szCs w:val="24"/>
          <w:highlight w:val="none"/>
        </w:rPr>
        <w:t>的</w:t>
      </w:r>
      <w:r>
        <w:rPr>
          <w:rFonts w:hint="eastAsia" w:ascii="仿宋" w:hAnsi="仿宋" w:eastAsia="仿宋" w:cs="仿宋"/>
          <w:i w:val="0"/>
          <w:iCs w:val="0"/>
          <w:color w:val="auto"/>
          <w:szCs w:val="24"/>
          <w:highlight w:val="none"/>
          <w:u w:val="single"/>
        </w:rPr>
        <w:t xml:space="preserve"> （项目名称） </w:t>
      </w:r>
      <w:r>
        <w:rPr>
          <w:rFonts w:hint="eastAsia" w:ascii="仿宋" w:hAnsi="仿宋" w:eastAsia="仿宋" w:cs="仿宋"/>
          <w:i w:val="0"/>
          <w:iCs w:val="0"/>
          <w:color w:val="auto"/>
          <w:szCs w:val="24"/>
          <w:highlight w:val="none"/>
        </w:rPr>
        <w:t>采购活动，提供的</w:t>
      </w:r>
      <w:r>
        <w:rPr>
          <w:rFonts w:hint="eastAsia" w:ascii="仿宋" w:hAnsi="仿宋" w:eastAsia="仿宋" w:cs="仿宋"/>
          <w:i w:val="0"/>
          <w:iCs w:val="0"/>
          <w:color w:val="auto"/>
          <w:szCs w:val="24"/>
          <w:highlight w:val="none"/>
          <w:lang w:val="en-US" w:eastAsia="zh-CN"/>
        </w:rPr>
        <w:t>服务及</w:t>
      </w:r>
      <w:r>
        <w:rPr>
          <w:rFonts w:hint="eastAsia" w:ascii="仿宋" w:hAnsi="仿宋" w:eastAsia="仿宋" w:cs="仿宋"/>
          <w:i w:val="0"/>
          <w:iCs w:val="0"/>
          <w:color w:val="auto"/>
          <w:szCs w:val="24"/>
          <w:highlight w:val="none"/>
        </w:rPr>
        <w:t>货物</w:t>
      </w:r>
      <w:r>
        <w:rPr>
          <w:rFonts w:hint="eastAsia" w:ascii="仿宋" w:hAnsi="仿宋" w:eastAsia="仿宋" w:cs="仿宋"/>
          <w:b/>
          <w:i w:val="0"/>
          <w:iCs w:val="0"/>
          <w:color w:val="auto"/>
          <w:szCs w:val="24"/>
          <w:highlight w:val="none"/>
        </w:rPr>
        <w:t>全部由</w:t>
      </w:r>
      <w:r>
        <w:rPr>
          <w:rFonts w:hint="eastAsia" w:ascii="仿宋" w:hAnsi="仿宋" w:eastAsia="仿宋" w:cs="仿宋"/>
          <w:i w:val="0"/>
          <w:iCs w:val="0"/>
          <w:color w:val="auto"/>
          <w:szCs w:val="24"/>
          <w:highlight w:val="none"/>
        </w:rPr>
        <w:t>符合政策要求的</w:t>
      </w:r>
      <w:r>
        <w:rPr>
          <w:rFonts w:hint="eastAsia" w:ascii="仿宋" w:hAnsi="仿宋" w:eastAsia="仿宋" w:cs="仿宋"/>
          <w:b/>
          <w:i w:val="0"/>
          <w:iCs w:val="0"/>
          <w:color w:val="auto"/>
          <w:szCs w:val="24"/>
          <w:highlight w:val="none"/>
        </w:rPr>
        <w:t>残疾人福利性单位</w:t>
      </w:r>
      <w:r>
        <w:rPr>
          <w:rFonts w:hint="eastAsia" w:ascii="仿宋" w:hAnsi="仿宋" w:eastAsia="仿宋" w:cs="仿宋"/>
          <w:b/>
          <w:i w:val="0"/>
          <w:iCs w:val="0"/>
          <w:color w:val="auto"/>
          <w:szCs w:val="24"/>
          <w:highlight w:val="none"/>
          <w:lang w:val="en-US" w:eastAsia="zh-CN"/>
        </w:rPr>
        <w:t>提供和</w:t>
      </w:r>
      <w:r>
        <w:rPr>
          <w:rFonts w:hint="eastAsia" w:ascii="仿宋" w:hAnsi="仿宋" w:eastAsia="仿宋" w:cs="仿宋"/>
          <w:b/>
          <w:i w:val="0"/>
          <w:iCs w:val="0"/>
          <w:color w:val="auto"/>
          <w:szCs w:val="24"/>
          <w:highlight w:val="none"/>
        </w:rPr>
        <w:t>制造</w:t>
      </w:r>
      <w:r>
        <w:rPr>
          <w:rFonts w:hint="eastAsia" w:ascii="仿宋" w:hAnsi="仿宋" w:eastAsia="仿宋" w:cs="仿宋"/>
          <w:i w:val="0"/>
          <w:iCs w:val="0"/>
          <w:color w:val="auto"/>
          <w:szCs w:val="24"/>
          <w:highlight w:val="none"/>
        </w:rPr>
        <w:t>。相关企业（含联合体中的残疾人福利性单位、签订分包意向协议</w:t>
      </w:r>
      <w:r>
        <w:rPr>
          <w:rFonts w:hint="eastAsia" w:ascii="仿宋" w:hAnsi="仿宋" w:eastAsia="仿宋" w:cs="仿宋"/>
          <w:i w:val="0"/>
          <w:iCs w:val="0"/>
          <w:color w:val="auto"/>
          <w:szCs w:val="24"/>
          <w:highlight w:val="none"/>
          <w:lang w:val="en-US" w:eastAsia="zh-CN"/>
        </w:rPr>
        <w:t>书</w:t>
      </w:r>
      <w:r>
        <w:rPr>
          <w:rFonts w:hint="eastAsia" w:ascii="仿宋" w:hAnsi="仿宋" w:eastAsia="仿宋" w:cs="仿宋"/>
          <w:i w:val="0"/>
          <w:iCs w:val="0"/>
          <w:color w:val="auto"/>
          <w:szCs w:val="24"/>
          <w:highlight w:val="none"/>
        </w:rPr>
        <w:t>的残疾人福利性单位）的具体情况如下：</w:t>
      </w:r>
    </w:p>
    <w:p w14:paraId="47529AE7">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olor w:val="auto"/>
          <w:szCs w:val="24"/>
          <w:highlight w:val="none"/>
        </w:rPr>
      </w:pPr>
      <w:r>
        <w:rPr>
          <w:rFonts w:hint="eastAsia" w:ascii="仿宋" w:hAnsi="仿宋" w:eastAsia="仿宋" w:cs="仿宋"/>
          <w:i w:val="0"/>
          <w:iCs w:val="0"/>
          <w:color w:val="auto"/>
          <w:szCs w:val="24"/>
          <w:highlight w:val="none"/>
        </w:rPr>
        <w:t>1.</w:t>
      </w:r>
      <w:r>
        <w:rPr>
          <w:rFonts w:hint="eastAsia" w:ascii="仿宋" w:hAnsi="仿宋" w:eastAsia="仿宋" w:cs="仿宋"/>
          <w:i w:val="0"/>
          <w:iCs w:val="0"/>
          <w:color w:val="auto"/>
          <w:szCs w:val="24"/>
          <w:highlight w:val="none"/>
          <w:u w:val="single"/>
        </w:rPr>
        <w:t xml:space="preserve"> （标的名称） </w:t>
      </w:r>
      <w:r>
        <w:rPr>
          <w:rFonts w:hint="eastAsia" w:ascii="仿宋" w:hAnsi="仿宋" w:eastAsia="仿宋" w:cs="仿宋"/>
          <w:i w:val="0"/>
          <w:iCs w:val="0"/>
          <w:color w:val="auto"/>
          <w:szCs w:val="24"/>
          <w:highlight w:val="none"/>
        </w:rPr>
        <w:t>，</w:t>
      </w:r>
      <w:r>
        <w:rPr>
          <w:rFonts w:hint="eastAsia" w:ascii="仿宋" w:hAnsi="仿宋" w:eastAsia="仿宋" w:cs="仿宋"/>
          <w:i w:val="0"/>
          <w:iCs w:val="0"/>
          <w:color w:val="auto"/>
          <w:szCs w:val="24"/>
          <w:highlight w:val="none"/>
          <w:lang w:val="en-US" w:eastAsia="zh-CN"/>
        </w:rPr>
        <w:t>承接单位</w:t>
      </w:r>
      <w:r>
        <w:rPr>
          <w:rFonts w:hint="eastAsia" w:ascii="仿宋" w:hAnsi="仿宋" w:eastAsia="仿宋" w:cs="仿宋"/>
          <w:i w:val="0"/>
          <w:iCs w:val="0"/>
          <w:color w:val="auto"/>
          <w:szCs w:val="24"/>
          <w:highlight w:val="none"/>
        </w:rPr>
        <w:t xml:space="preserve">为 </w:t>
      </w:r>
      <w:r>
        <w:rPr>
          <w:rFonts w:hint="eastAsia" w:ascii="仿宋" w:hAnsi="仿宋" w:eastAsia="仿宋" w:cs="仿宋"/>
          <w:i w:val="0"/>
          <w:iCs w:val="0"/>
          <w:color w:val="auto"/>
          <w:szCs w:val="24"/>
          <w:highlight w:val="none"/>
          <w:u w:val="single"/>
        </w:rPr>
        <w:t xml:space="preserve">  （企业名称） </w:t>
      </w:r>
      <w:r>
        <w:rPr>
          <w:rFonts w:hint="eastAsia" w:ascii="仿宋" w:hAnsi="仿宋" w:eastAsia="仿宋" w:cs="仿宋"/>
          <w:i w:val="0"/>
          <w:iCs w:val="0"/>
          <w:color w:val="auto"/>
          <w:szCs w:val="24"/>
          <w:highlight w:val="none"/>
        </w:rPr>
        <w:t>，属于残疾人福利性单位；</w:t>
      </w:r>
    </w:p>
    <w:p w14:paraId="6D048676">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olor w:val="auto"/>
          <w:szCs w:val="24"/>
          <w:highlight w:val="none"/>
        </w:rPr>
      </w:pPr>
      <w:r>
        <w:rPr>
          <w:rFonts w:hint="eastAsia" w:ascii="仿宋" w:hAnsi="仿宋" w:eastAsia="仿宋" w:cs="仿宋"/>
          <w:i w:val="0"/>
          <w:iCs w:val="0"/>
          <w:color w:val="auto"/>
          <w:szCs w:val="24"/>
          <w:highlight w:val="none"/>
        </w:rPr>
        <w:t xml:space="preserve">2. </w:t>
      </w:r>
      <w:r>
        <w:rPr>
          <w:rFonts w:hint="eastAsia" w:ascii="仿宋" w:hAnsi="仿宋" w:eastAsia="仿宋" w:cs="仿宋"/>
          <w:i w:val="0"/>
          <w:iCs w:val="0"/>
          <w:color w:val="auto"/>
          <w:szCs w:val="24"/>
          <w:highlight w:val="none"/>
          <w:u w:val="single"/>
        </w:rPr>
        <w:t xml:space="preserve">（标的名称） </w:t>
      </w:r>
      <w:r>
        <w:rPr>
          <w:rFonts w:hint="eastAsia" w:ascii="仿宋" w:hAnsi="仿宋" w:eastAsia="仿宋" w:cs="仿宋"/>
          <w:i w:val="0"/>
          <w:iCs w:val="0"/>
          <w:color w:val="auto"/>
          <w:szCs w:val="24"/>
          <w:highlight w:val="none"/>
        </w:rPr>
        <w:t>，</w:t>
      </w:r>
      <w:r>
        <w:rPr>
          <w:rFonts w:hint="eastAsia" w:ascii="仿宋" w:hAnsi="仿宋" w:eastAsia="仿宋" w:cs="仿宋"/>
          <w:i w:val="0"/>
          <w:iCs w:val="0"/>
          <w:color w:val="auto"/>
          <w:szCs w:val="24"/>
          <w:highlight w:val="none"/>
          <w:lang w:val="en-US" w:eastAsia="zh-CN"/>
        </w:rPr>
        <w:t>承接单位</w:t>
      </w:r>
      <w:r>
        <w:rPr>
          <w:rFonts w:hint="eastAsia" w:ascii="仿宋" w:hAnsi="仿宋" w:eastAsia="仿宋" w:cs="仿宋"/>
          <w:i w:val="0"/>
          <w:iCs w:val="0"/>
          <w:color w:val="auto"/>
          <w:szCs w:val="24"/>
          <w:highlight w:val="none"/>
        </w:rPr>
        <w:t xml:space="preserve">为 </w:t>
      </w:r>
      <w:r>
        <w:rPr>
          <w:rFonts w:hint="eastAsia" w:ascii="仿宋" w:hAnsi="仿宋" w:eastAsia="仿宋" w:cs="仿宋"/>
          <w:i w:val="0"/>
          <w:iCs w:val="0"/>
          <w:color w:val="auto"/>
          <w:szCs w:val="24"/>
          <w:highlight w:val="none"/>
          <w:u w:val="single"/>
        </w:rPr>
        <w:t xml:space="preserve">  （企业名称） </w:t>
      </w:r>
      <w:r>
        <w:rPr>
          <w:rFonts w:hint="eastAsia" w:ascii="仿宋" w:hAnsi="仿宋" w:eastAsia="仿宋" w:cs="仿宋"/>
          <w:i w:val="0"/>
          <w:iCs w:val="0"/>
          <w:color w:val="auto"/>
          <w:szCs w:val="24"/>
          <w:highlight w:val="none"/>
        </w:rPr>
        <w:t>，属于残疾人福利性单位；</w:t>
      </w:r>
    </w:p>
    <w:p w14:paraId="490591DB">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olor w:val="auto"/>
          <w:szCs w:val="24"/>
          <w:highlight w:val="none"/>
        </w:rPr>
      </w:pPr>
      <w:r>
        <w:rPr>
          <w:rFonts w:hint="eastAsia" w:ascii="仿宋" w:hAnsi="仿宋" w:eastAsia="仿宋" w:cs="仿宋"/>
          <w:i w:val="0"/>
          <w:iCs w:val="0"/>
          <w:color w:val="auto"/>
          <w:szCs w:val="24"/>
          <w:highlight w:val="none"/>
        </w:rPr>
        <w:t>……</w:t>
      </w:r>
    </w:p>
    <w:p w14:paraId="02296E7C">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olor w:val="auto"/>
          <w:szCs w:val="24"/>
          <w:highlight w:val="none"/>
        </w:rPr>
      </w:pPr>
      <w:r>
        <w:rPr>
          <w:rFonts w:hint="eastAsia" w:ascii="仿宋" w:hAnsi="仿宋" w:eastAsia="仿宋" w:cs="仿宋"/>
          <w:i w:val="0"/>
          <w:iCs w:val="0"/>
          <w:color w:val="auto"/>
          <w:szCs w:val="24"/>
          <w:highlight w:val="none"/>
        </w:rPr>
        <w:t>以上企业，不属于大企业的分支机构，不存在控股股东为大企业的情形，也不存在与大企业的负责人为同一人的情形。</w:t>
      </w:r>
    </w:p>
    <w:p w14:paraId="347AD0C6">
      <w:pPr>
        <w:keepNext w:val="0"/>
        <w:keepLines w:val="0"/>
        <w:pageBreakBefore w:val="0"/>
        <w:widowControl w:val="0"/>
        <w:kinsoku/>
        <w:wordWrap w:val="0"/>
        <w:overflowPunct/>
        <w:topLinePunct w:val="0"/>
        <w:autoSpaceDE/>
        <w:autoSpaceDN/>
        <w:bidi w:val="0"/>
        <w:adjustRightInd/>
        <w:snapToGrid/>
        <w:spacing w:line="440" w:lineRule="exact"/>
        <w:ind w:left="1087" w:leftChars="200" w:hanging="607" w:hangingChars="253"/>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本企业对上述声明内容的真实性负责。如有虚假，将依法承担相应责任。</w:t>
      </w:r>
    </w:p>
    <w:p w14:paraId="4C8E8594">
      <w:pPr>
        <w:keepNext w:val="0"/>
        <w:keepLines w:val="0"/>
        <w:pageBreakBefore w:val="0"/>
        <w:widowControl w:val="0"/>
        <w:kinsoku/>
        <w:wordWrap w:val="0"/>
        <w:overflowPunct/>
        <w:topLinePunct w:val="0"/>
        <w:autoSpaceDE/>
        <w:autoSpaceDN/>
        <w:bidi w:val="0"/>
        <w:adjustRightInd/>
        <w:snapToGrid/>
        <w:spacing w:line="440" w:lineRule="exact"/>
        <w:ind w:left="1091" w:hanging="1091" w:hangingChars="453"/>
        <w:textAlignment w:val="auto"/>
        <w:rPr>
          <w:rFonts w:hint="eastAsia" w:ascii="仿宋" w:hAnsi="仿宋" w:eastAsia="仿宋" w:cs="仿宋"/>
          <w:b/>
          <w:bCs/>
          <w:color w:val="auto"/>
          <w:szCs w:val="24"/>
          <w:highlight w:val="none"/>
        </w:rPr>
      </w:pPr>
    </w:p>
    <w:p w14:paraId="091EA417">
      <w:pPr>
        <w:keepNext w:val="0"/>
        <w:keepLines w:val="0"/>
        <w:pageBreakBefore w:val="0"/>
        <w:widowControl w:val="0"/>
        <w:kinsoku/>
        <w:wordWrap w:val="0"/>
        <w:overflowPunct/>
        <w:topLinePunct w:val="0"/>
        <w:autoSpaceDE/>
        <w:autoSpaceDN/>
        <w:bidi w:val="0"/>
        <w:adjustRightInd/>
        <w:snapToGrid/>
        <w:spacing w:line="440" w:lineRule="exact"/>
        <w:ind w:left="1091" w:hanging="1091" w:hangingChars="453"/>
        <w:textAlignment w:val="auto"/>
        <w:rPr>
          <w:rFonts w:hint="eastAsia" w:ascii="仿宋" w:hAnsi="仿宋" w:eastAsia="仿宋" w:cs="仿宋"/>
          <w:bCs/>
          <w:color w:val="auto"/>
          <w:szCs w:val="24"/>
          <w:highlight w:val="none"/>
        </w:rPr>
      </w:pPr>
      <w:r>
        <w:rPr>
          <w:rFonts w:hint="eastAsia" w:ascii="仿宋" w:hAnsi="仿宋" w:eastAsia="仿宋" w:cs="仿宋"/>
          <w:b/>
          <w:bCs/>
          <w:color w:val="auto"/>
          <w:szCs w:val="24"/>
          <w:highlight w:val="none"/>
        </w:rPr>
        <w:t>说明：</w:t>
      </w:r>
      <w:r>
        <w:rPr>
          <w:rFonts w:hint="eastAsia" w:ascii="仿宋" w:hAnsi="仿宋" w:eastAsia="仿宋" w:cs="仿宋"/>
          <w:bCs/>
          <w:color w:val="auto"/>
          <w:szCs w:val="24"/>
          <w:highlight w:val="none"/>
        </w:rPr>
        <w:t>1、</w:t>
      </w:r>
      <w:r>
        <w:rPr>
          <w:rFonts w:hint="eastAsia" w:ascii="仿宋" w:hAnsi="仿宋" w:eastAsia="仿宋" w:cs="仿宋"/>
          <w:bCs/>
          <w:color w:val="auto"/>
          <w:szCs w:val="24"/>
          <w:highlight w:val="none"/>
          <w:lang w:val="en-US" w:eastAsia="zh-CN"/>
        </w:rPr>
        <w:t>服务及</w:t>
      </w:r>
      <w:r>
        <w:rPr>
          <w:rFonts w:hint="eastAsia" w:ascii="仿宋" w:hAnsi="仿宋" w:eastAsia="仿宋" w:cs="仿宋"/>
          <w:bCs/>
          <w:color w:val="auto"/>
          <w:szCs w:val="21"/>
          <w:highlight w:val="none"/>
          <w:lang w:val="zh-CN"/>
        </w:rPr>
        <w:t>货物应当全部由符合政策要求的残疾人福利性单位</w:t>
      </w:r>
      <w:r>
        <w:rPr>
          <w:rFonts w:hint="eastAsia" w:ascii="仿宋" w:hAnsi="仿宋" w:eastAsia="仿宋" w:cs="仿宋"/>
          <w:bCs/>
          <w:color w:val="auto"/>
          <w:szCs w:val="21"/>
          <w:highlight w:val="none"/>
          <w:lang w:val="en-US" w:eastAsia="zh-CN"/>
        </w:rPr>
        <w:t>提供及</w:t>
      </w:r>
      <w:r>
        <w:rPr>
          <w:rFonts w:hint="eastAsia" w:ascii="仿宋" w:hAnsi="仿宋" w:eastAsia="仿宋" w:cs="仿宋"/>
          <w:bCs/>
          <w:color w:val="auto"/>
          <w:szCs w:val="21"/>
          <w:highlight w:val="none"/>
          <w:lang w:val="zh-CN"/>
        </w:rPr>
        <w:t>生产且使用该残疾人福利性单位商号或注册商标（与代理商或投标人无关）；应当严格按上述格式及内容进行填写（应当明确每个标的的生产企业类型及相关数据），否则导致的后果由投标人自行承担；</w:t>
      </w:r>
    </w:p>
    <w:p w14:paraId="233595E3">
      <w:pPr>
        <w:keepNext w:val="0"/>
        <w:keepLines w:val="0"/>
        <w:pageBreakBefore w:val="0"/>
        <w:widowControl w:val="0"/>
        <w:kinsoku/>
        <w:wordWrap w:val="0"/>
        <w:overflowPunct/>
        <w:topLinePunct w:val="0"/>
        <w:autoSpaceDE/>
        <w:autoSpaceDN/>
        <w:bidi w:val="0"/>
        <w:adjustRightInd/>
        <w:snapToGrid/>
        <w:spacing w:line="440" w:lineRule="exact"/>
        <w:ind w:left="1080" w:leftChars="299" w:hanging="362" w:hangingChars="151"/>
        <w:textAlignment w:val="auto"/>
        <w:rPr>
          <w:rFonts w:hint="eastAsia" w:ascii="仿宋" w:hAnsi="仿宋" w:eastAsia="仿宋" w:cs="仿宋"/>
          <w:color w:val="auto"/>
          <w:szCs w:val="21"/>
          <w:highlight w:val="none"/>
        </w:rPr>
      </w:pPr>
      <w:r>
        <w:rPr>
          <w:rFonts w:hint="eastAsia" w:ascii="仿宋" w:hAnsi="仿宋" w:eastAsia="仿宋" w:cs="仿宋"/>
          <w:bCs/>
          <w:color w:val="auto"/>
          <w:szCs w:val="21"/>
          <w:highlight w:val="none"/>
          <w:lang w:val="zh-CN"/>
        </w:rPr>
        <w:t>2、</w:t>
      </w:r>
      <w:r>
        <w:rPr>
          <w:rFonts w:hint="eastAsia" w:ascii="仿宋" w:hAnsi="仿宋" w:eastAsia="仿宋" w:cs="仿宋"/>
          <w:color w:val="auto"/>
          <w:szCs w:val="21"/>
          <w:highlight w:val="none"/>
        </w:rPr>
        <w:t>以联合体形式参加的，应</w:t>
      </w:r>
      <w:r>
        <w:rPr>
          <w:rFonts w:hint="eastAsia" w:ascii="仿宋" w:hAnsi="仿宋" w:eastAsia="仿宋" w:cs="仿宋"/>
          <w:bCs/>
          <w:color w:val="auto"/>
          <w:szCs w:val="21"/>
          <w:highlight w:val="none"/>
          <w:lang w:val="zh-CN"/>
        </w:rPr>
        <w:t>当</w:t>
      </w:r>
      <w:r>
        <w:rPr>
          <w:rFonts w:hint="eastAsia" w:ascii="仿宋" w:hAnsi="仿宋" w:eastAsia="仿宋" w:cs="仿宋"/>
          <w:color w:val="auto"/>
          <w:szCs w:val="21"/>
          <w:highlight w:val="none"/>
        </w:rPr>
        <w:t>由联合体各方盖章。</w:t>
      </w:r>
    </w:p>
    <w:p w14:paraId="2BF41027">
      <w:pPr>
        <w:keepNext w:val="0"/>
        <w:keepLines w:val="0"/>
        <w:pageBreakBefore w:val="0"/>
        <w:widowControl w:val="0"/>
        <w:kinsoku/>
        <w:wordWrap w:val="0"/>
        <w:overflowPunct/>
        <w:topLinePunct w:val="0"/>
        <w:autoSpaceDE/>
        <w:autoSpaceDN/>
        <w:bidi w:val="0"/>
        <w:adjustRightInd/>
        <w:snapToGrid/>
        <w:spacing w:before="100" w:beforeAutospacing="1" w:after="100" w:afterAutospacing="1" w:line="440" w:lineRule="exact"/>
        <w:ind w:firstLine="3316" w:firstLineChars="1382"/>
        <w:textAlignment w:val="auto"/>
        <w:rPr>
          <w:rFonts w:hint="eastAsia" w:ascii="仿宋" w:hAnsi="仿宋" w:eastAsia="仿宋" w:cs="仿宋"/>
          <w:bCs/>
          <w:color w:val="auto"/>
          <w:szCs w:val="21"/>
          <w:highlight w:val="none"/>
          <w:lang w:val="zh-CN"/>
        </w:rPr>
      </w:pPr>
      <w:r>
        <w:rPr>
          <w:rFonts w:hint="eastAsia" w:ascii="仿宋" w:hAnsi="仿宋" w:eastAsia="仿宋" w:cs="仿宋"/>
          <w:bCs/>
          <w:color w:val="auto"/>
          <w:szCs w:val="21"/>
          <w:highlight w:val="none"/>
          <w:lang w:val="zh-CN"/>
        </w:rPr>
        <w:t>投标人</w:t>
      </w:r>
      <w:r>
        <w:rPr>
          <w:rFonts w:hint="eastAsia" w:ascii="仿宋" w:hAnsi="仿宋" w:eastAsia="仿宋" w:cs="仿宋"/>
          <w:bCs/>
          <w:color w:val="auto"/>
          <w:szCs w:val="21"/>
          <w:highlight w:val="none"/>
          <w:lang w:val="en-US" w:eastAsia="zh-CN"/>
        </w:rPr>
        <w:t>名称</w:t>
      </w:r>
      <w:r>
        <w:rPr>
          <w:rFonts w:hint="eastAsia" w:ascii="仿宋" w:hAnsi="仿宋" w:eastAsia="仿宋" w:cs="仿宋"/>
          <w:color w:val="auto"/>
          <w:szCs w:val="24"/>
          <w:highlight w:val="none"/>
          <w:lang w:eastAsia="zh-CN"/>
        </w:rPr>
        <w:t>（</w:t>
      </w:r>
      <w:r>
        <w:rPr>
          <w:rFonts w:hint="eastAsia" w:ascii="仿宋" w:hAnsi="仿宋" w:eastAsia="仿宋" w:cs="仿宋"/>
          <w:color w:val="auto"/>
          <w:kern w:val="0"/>
          <w:sz w:val="24"/>
          <w:szCs w:val="24"/>
          <w:highlight w:val="none"/>
          <w:lang w:val="en-US" w:eastAsia="zh-CN"/>
        </w:rPr>
        <w:t>公</w:t>
      </w:r>
      <w:r>
        <w:rPr>
          <w:rFonts w:hint="eastAsia" w:ascii="仿宋" w:hAnsi="仿宋" w:eastAsia="仿宋" w:cs="仿宋"/>
          <w:color w:val="auto"/>
          <w:kern w:val="0"/>
          <w:sz w:val="24"/>
          <w:szCs w:val="24"/>
          <w:highlight w:val="none"/>
          <w:lang w:eastAsia="zh-CN"/>
        </w:rPr>
        <w:t>章</w:t>
      </w:r>
      <w:r>
        <w:rPr>
          <w:rFonts w:hint="eastAsia" w:ascii="仿宋" w:hAnsi="仿宋" w:eastAsia="仿宋" w:cs="仿宋"/>
          <w:color w:val="auto"/>
          <w:kern w:val="0"/>
          <w:sz w:val="24"/>
          <w:highlight w:val="none"/>
          <w:lang w:val="zh-CN"/>
        </w:rPr>
        <w:t>)</w:t>
      </w:r>
      <w:r>
        <w:rPr>
          <w:rFonts w:hint="eastAsia" w:ascii="仿宋" w:hAnsi="仿宋" w:eastAsia="仿宋" w:cs="仿宋"/>
          <w:bCs/>
          <w:color w:val="auto"/>
          <w:szCs w:val="21"/>
          <w:highlight w:val="none"/>
          <w:lang w:val="zh-CN"/>
        </w:rPr>
        <w:t>：</w:t>
      </w:r>
      <w:r>
        <w:rPr>
          <w:rFonts w:hint="eastAsia" w:ascii="仿宋" w:hAnsi="仿宋" w:eastAsia="仿宋" w:cs="仿宋"/>
          <w:bCs/>
          <w:color w:val="auto"/>
          <w:szCs w:val="21"/>
          <w:highlight w:val="none"/>
          <w:u w:val="single"/>
          <w:lang w:val="zh-CN"/>
        </w:rPr>
        <w:t xml:space="preserve">              </w:t>
      </w:r>
    </w:p>
    <w:p w14:paraId="2DB3030F">
      <w:pPr>
        <w:keepNext w:val="0"/>
        <w:keepLines w:val="0"/>
        <w:pageBreakBefore w:val="0"/>
        <w:widowControl w:val="0"/>
        <w:kinsoku/>
        <w:wordWrap w:val="0"/>
        <w:overflowPunct/>
        <w:topLinePunct w:val="0"/>
        <w:autoSpaceDE/>
        <w:autoSpaceDN/>
        <w:bidi w:val="0"/>
        <w:adjustRightInd/>
        <w:snapToGrid/>
        <w:spacing w:before="100" w:beforeAutospacing="1" w:after="100" w:afterAutospacing="1" w:line="440" w:lineRule="exact"/>
        <w:ind w:firstLine="3316" w:firstLineChars="1382"/>
        <w:textAlignment w:val="auto"/>
        <w:rPr>
          <w:rFonts w:hint="eastAsia" w:ascii="仿宋" w:hAnsi="仿宋" w:eastAsia="仿宋" w:cs="仿宋"/>
          <w:color w:val="auto"/>
          <w:highlight w:val="none"/>
        </w:rPr>
      </w:pPr>
      <w:r>
        <w:rPr>
          <w:rFonts w:hint="eastAsia" w:ascii="仿宋" w:hAnsi="仿宋" w:eastAsia="仿宋" w:cs="仿宋"/>
          <w:color w:val="auto"/>
          <w:szCs w:val="24"/>
          <w:highlight w:val="none"/>
        </w:rPr>
        <w:t>日  期：</w:t>
      </w:r>
      <w:r>
        <w:rPr>
          <w:rFonts w:hint="eastAsia" w:ascii="仿宋" w:hAnsi="仿宋" w:eastAsia="仿宋" w:cs="仿宋"/>
          <w:bCs/>
          <w:color w:val="auto"/>
          <w:szCs w:val="24"/>
          <w:highlight w:val="none"/>
          <w:u w:val="single"/>
        </w:rPr>
        <w:t xml:space="preserve">                         </w:t>
      </w:r>
    </w:p>
    <w:p w14:paraId="3958B16E">
      <w:pPr>
        <w:rPr>
          <w:rFonts w:hint="eastAsia" w:ascii="仿宋" w:hAnsi="仿宋" w:eastAsia="仿宋" w:cs="仿宋"/>
          <w:color w:val="auto"/>
          <w:highlight w:val="none"/>
        </w:rPr>
      </w:pPr>
    </w:p>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BA7FD">
    <w:pPr>
      <w:pStyle w:val="2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3298"/>
                            <w:showingPlcHdr/>
                          </w:sdtPr>
                          <w:sdtContent>
                            <w:p w14:paraId="01F548D0">
                              <w:pPr>
                                <w:pStyle w:val="20"/>
                                <w:jc w:val="center"/>
                              </w:pPr>
                              <w:r>
                                <w:rPr>
                                  <w:rFonts w:hint="eastAsia"/>
                                  <w:lang w:eastAsia="zh-CN"/>
                                </w:rPr>
                                <w:t xml:space="preserve">     </w:t>
                              </w:r>
                            </w:p>
                          </w:sdtContent>
                        </w:sdt>
                        <w:p w14:paraId="1C2EE3E8"/>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sdt>
                    <w:sdtPr>
                      <w:id w:val="147453298"/>
                      <w:showingPlcHdr/>
                    </w:sdtPr>
                    <w:sdtContent>
                      <w:p w14:paraId="01F548D0">
                        <w:pPr>
                          <w:pStyle w:val="20"/>
                          <w:jc w:val="center"/>
                        </w:pPr>
                        <w:r>
                          <w:rPr>
                            <w:rFonts w:hint="eastAsia"/>
                            <w:lang w:eastAsia="zh-CN"/>
                          </w:rPr>
                          <w:t xml:space="preserve">     </w:t>
                        </w:r>
                      </w:p>
                    </w:sdtContent>
                  </w:sdt>
                  <w:p w14:paraId="1C2EE3E8"/>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27443">
    <w:pPr>
      <w:pStyle w:val="13"/>
      <w:spacing w:line="179" w:lineRule="auto"/>
      <w:ind w:left="3985"/>
      <w:rPr>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523CD5">
                          <w:pPr>
                            <w:pStyle w:val="2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173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6523CD5">
                    <w:pPr>
                      <w:pStyle w:val="2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173</w:t>
                    </w:r>
                    <w:r>
                      <w:rPr>
                        <w:rFonts w:hint="eastAsia" w:eastAsia="宋体"/>
                        <w:lang w:eastAsia="zh-CN"/>
                      </w:rPr>
                      <w:fldChar w:fldCharType="end"/>
                    </w:r>
                  </w:p>
                </w:txbxContent>
              </v:textbox>
            </v:shape>
          </w:pict>
        </mc:Fallback>
      </mc:AlternateContent>
    </w:r>
    <w:r>
      <w:rPr>
        <w:spacing w:val="-1"/>
        <w:sz w:val="20"/>
        <w:szCs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DAA29">
    <w:pPr>
      <w:pStyle w:val="20"/>
      <w:keepNext w:val="0"/>
      <w:keepLines w:val="0"/>
      <w:pageBreakBefore w:val="0"/>
      <w:widowControl w:val="0"/>
      <w:kinsoku/>
      <w:wordWrap/>
      <w:overflowPunct/>
      <w:topLinePunct w:val="0"/>
      <w:bidi w:val="0"/>
      <w:adjustRightInd/>
      <w:snapToGrid w:val="0"/>
      <w:textAlignment w:val="auto"/>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07612B">
                          <w:pPr>
                            <w:pStyle w:val="20"/>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F07612B">
                    <w:pPr>
                      <w:pStyle w:val="20"/>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0B13F">
    <w:pPr>
      <w:pStyle w:val="2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8428888"/>
                          </w:sdtPr>
                          <w:sdtContent>
                            <w:p w14:paraId="5BFB4C6E">
                              <w:pPr>
                                <w:pStyle w:val="20"/>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14:paraId="47154D70"/>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sdt>
                    <w:sdtPr>
                      <w:id w:val="-178428888"/>
                    </w:sdtPr>
                    <w:sdtContent>
                      <w:p w14:paraId="5BFB4C6E">
                        <w:pPr>
                          <w:pStyle w:val="20"/>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14:paraId="47154D70"/>
                </w:txbxContent>
              </v:textbox>
            </v:shape>
          </w:pict>
        </mc:Fallback>
      </mc:AlternateContent>
    </w:r>
  </w:p>
  <w:p w14:paraId="2123D6A0">
    <w:pPr>
      <w:pStyle w:val="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7FDBF">
    <w:pPr>
      <w:pStyle w:val="2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F03E1">
    <w:pPr>
      <w:pStyle w:val="21"/>
      <w:jc w:val="right"/>
      <w:rPr>
        <w:rFonts w:hint="eastAsia" w:ascii="仿宋" w:hAnsi="仿宋" w:eastAsia="仿宋" w:cs="仿宋"/>
        <w:b w:val="0"/>
        <w:bCs w:val="0"/>
        <w:u w:val="none"/>
        <w:lang w:eastAsia="zh-CN"/>
      </w:rPr>
    </w:pPr>
    <w:r>
      <w:rPr>
        <w:rFonts w:hint="eastAsia" w:ascii="仿宋" w:hAnsi="仿宋" w:eastAsia="仿宋" w:cs="仿宋"/>
        <w:b w:val="0"/>
        <w:bCs w:val="0"/>
        <w:u w:val="none"/>
        <w:lang w:eastAsia="zh-CN"/>
      </w:rPr>
      <w:t>乌鲁木齐市防洪规划报告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5B74C">
    <w:pPr>
      <w:pStyle w:val="21"/>
      <w:jc w:val="right"/>
    </w:pPr>
    <w:r>
      <w:rPr>
        <w:rFonts w:hint="eastAsia" w:ascii="仿宋" w:hAnsi="仿宋" w:eastAsia="仿宋" w:cs="仿宋"/>
        <w:sz w:val="21"/>
        <w:szCs w:val="21"/>
        <w:lang w:val="en-US" w:eastAsia="zh-CN"/>
      </w:rPr>
      <w:t>乌鲁木齐市防洪规划报告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070575"/>
    <w:multiLevelType w:val="singleLevel"/>
    <w:tmpl w:val="9C070575"/>
    <w:lvl w:ilvl="0" w:tentative="0">
      <w:start w:val="1"/>
      <w:numFmt w:val="decimal"/>
      <w:pStyle w:val="7"/>
      <w:lvlText w:val="%1."/>
      <w:lvlJc w:val="left"/>
      <w:pPr>
        <w:tabs>
          <w:tab w:val="left" w:pos="780"/>
        </w:tabs>
        <w:ind w:left="780" w:hanging="360"/>
      </w:pPr>
    </w:lvl>
  </w:abstractNum>
  <w:abstractNum w:abstractNumId="1">
    <w:nsid w:val="BC19B9D0"/>
    <w:multiLevelType w:val="singleLevel"/>
    <w:tmpl w:val="BC19B9D0"/>
    <w:lvl w:ilvl="0" w:tentative="0">
      <w:start w:val="1"/>
      <w:numFmt w:val="decimal"/>
      <w:lvlText w:val="%1."/>
      <w:lvlJc w:val="left"/>
      <w:pPr>
        <w:tabs>
          <w:tab w:val="left" w:pos="312"/>
        </w:tabs>
      </w:pPr>
    </w:lvl>
  </w:abstractNum>
  <w:abstractNum w:abstractNumId="2">
    <w:nsid w:val="CB8765B0"/>
    <w:multiLevelType w:val="singleLevel"/>
    <w:tmpl w:val="CB8765B0"/>
    <w:lvl w:ilvl="0" w:tentative="0">
      <w:start w:val="3"/>
      <w:numFmt w:val="decimal"/>
      <w:lvlText w:val="%1."/>
      <w:lvlJc w:val="left"/>
      <w:pPr>
        <w:tabs>
          <w:tab w:val="left" w:pos="312"/>
        </w:tabs>
      </w:pPr>
    </w:lvl>
  </w:abstractNum>
  <w:abstractNum w:abstractNumId="3">
    <w:nsid w:val="0000000A"/>
    <w:multiLevelType w:val="multilevel"/>
    <w:tmpl w:val="0000000A"/>
    <w:lvl w:ilvl="0" w:tentative="0">
      <w:start w:val="0"/>
      <w:numFmt w:val="bullet"/>
      <w:pStyle w:val="77"/>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428A3282"/>
    <w:multiLevelType w:val="singleLevel"/>
    <w:tmpl w:val="428A3282"/>
    <w:lvl w:ilvl="0" w:tentative="0">
      <w:start w:val="2"/>
      <w:numFmt w:val="decimal"/>
      <w:lvlText w:val="%1."/>
      <w:lvlJc w:val="left"/>
      <w:pPr>
        <w:tabs>
          <w:tab w:val="left" w:pos="312"/>
        </w:tabs>
      </w:pPr>
    </w:lvl>
  </w:abstractNum>
  <w:abstractNum w:abstractNumId="5">
    <w:nsid w:val="447B6378"/>
    <w:multiLevelType w:val="multilevel"/>
    <w:tmpl w:val="447B6378"/>
    <w:lvl w:ilvl="0" w:tentative="0">
      <w:start w:val="1"/>
      <w:numFmt w:val="decimal"/>
      <w:pStyle w:val="39"/>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5OGUwOWYzMzhlZDg2ZjA1MmQ4YWI1YjZjYmQ1NDgifQ=="/>
  </w:docVars>
  <w:rsids>
    <w:rsidRoot w:val="00172A27"/>
    <w:rsid w:val="0000366A"/>
    <w:rsid w:val="00006F7F"/>
    <w:rsid w:val="00007003"/>
    <w:rsid w:val="000075B7"/>
    <w:rsid w:val="000237EA"/>
    <w:rsid w:val="00027CD2"/>
    <w:rsid w:val="00031E0C"/>
    <w:rsid w:val="00040832"/>
    <w:rsid w:val="00040D23"/>
    <w:rsid w:val="000439DA"/>
    <w:rsid w:val="00063604"/>
    <w:rsid w:val="0006370A"/>
    <w:rsid w:val="00066832"/>
    <w:rsid w:val="00067934"/>
    <w:rsid w:val="000720BF"/>
    <w:rsid w:val="0008641D"/>
    <w:rsid w:val="000B39A0"/>
    <w:rsid w:val="000C3E03"/>
    <w:rsid w:val="000C488D"/>
    <w:rsid w:val="000C52EC"/>
    <w:rsid w:val="000D0230"/>
    <w:rsid w:val="000D0AD3"/>
    <w:rsid w:val="000E45BD"/>
    <w:rsid w:val="000E4E33"/>
    <w:rsid w:val="000E67CF"/>
    <w:rsid w:val="000F20FD"/>
    <w:rsid w:val="000F39B0"/>
    <w:rsid w:val="001008D8"/>
    <w:rsid w:val="001022A4"/>
    <w:rsid w:val="00115EF7"/>
    <w:rsid w:val="0013642D"/>
    <w:rsid w:val="00146410"/>
    <w:rsid w:val="00150D67"/>
    <w:rsid w:val="00156600"/>
    <w:rsid w:val="00160E9C"/>
    <w:rsid w:val="00172190"/>
    <w:rsid w:val="00173480"/>
    <w:rsid w:val="00181988"/>
    <w:rsid w:val="00182557"/>
    <w:rsid w:val="0018304A"/>
    <w:rsid w:val="001904E9"/>
    <w:rsid w:val="001A77DE"/>
    <w:rsid w:val="001B36EC"/>
    <w:rsid w:val="001D7B23"/>
    <w:rsid w:val="001E2F56"/>
    <w:rsid w:val="002062E6"/>
    <w:rsid w:val="00207131"/>
    <w:rsid w:val="0022214D"/>
    <w:rsid w:val="00223585"/>
    <w:rsid w:val="002235CA"/>
    <w:rsid w:val="002317DB"/>
    <w:rsid w:val="00232245"/>
    <w:rsid w:val="0023265E"/>
    <w:rsid w:val="00235B5A"/>
    <w:rsid w:val="00251060"/>
    <w:rsid w:val="002514A3"/>
    <w:rsid w:val="00256B32"/>
    <w:rsid w:val="00256D01"/>
    <w:rsid w:val="002706F2"/>
    <w:rsid w:val="00271135"/>
    <w:rsid w:val="00285E30"/>
    <w:rsid w:val="002A1AEC"/>
    <w:rsid w:val="002A1BCB"/>
    <w:rsid w:val="002A5262"/>
    <w:rsid w:val="002A6484"/>
    <w:rsid w:val="002A79C6"/>
    <w:rsid w:val="002C06B9"/>
    <w:rsid w:val="002C0FDD"/>
    <w:rsid w:val="002C5E37"/>
    <w:rsid w:val="002D11F7"/>
    <w:rsid w:val="002D48C5"/>
    <w:rsid w:val="002E0B52"/>
    <w:rsid w:val="002E1CF4"/>
    <w:rsid w:val="002E5FED"/>
    <w:rsid w:val="002F0DA9"/>
    <w:rsid w:val="003113C1"/>
    <w:rsid w:val="00312C3A"/>
    <w:rsid w:val="0031353D"/>
    <w:rsid w:val="0032200D"/>
    <w:rsid w:val="00333B37"/>
    <w:rsid w:val="0034487B"/>
    <w:rsid w:val="00347CC6"/>
    <w:rsid w:val="00347D88"/>
    <w:rsid w:val="00350BCD"/>
    <w:rsid w:val="0035643C"/>
    <w:rsid w:val="00366226"/>
    <w:rsid w:val="003746B0"/>
    <w:rsid w:val="00374A6B"/>
    <w:rsid w:val="00383E1C"/>
    <w:rsid w:val="0039029A"/>
    <w:rsid w:val="00390D4A"/>
    <w:rsid w:val="0039222E"/>
    <w:rsid w:val="0039288A"/>
    <w:rsid w:val="00393395"/>
    <w:rsid w:val="0039372E"/>
    <w:rsid w:val="00394AF5"/>
    <w:rsid w:val="003A19A4"/>
    <w:rsid w:val="003A1A1B"/>
    <w:rsid w:val="003A4485"/>
    <w:rsid w:val="003A4878"/>
    <w:rsid w:val="003B4310"/>
    <w:rsid w:val="003B60A6"/>
    <w:rsid w:val="003C5883"/>
    <w:rsid w:val="003C7C49"/>
    <w:rsid w:val="003D3327"/>
    <w:rsid w:val="003D6656"/>
    <w:rsid w:val="003E057C"/>
    <w:rsid w:val="003E2B14"/>
    <w:rsid w:val="003E314B"/>
    <w:rsid w:val="003F5655"/>
    <w:rsid w:val="003F5BC6"/>
    <w:rsid w:val="004021C6"/>
    <w:rsid w:val="00406BEF"/>
    <w:rsid w:val="00410595"/>
    <w:rsid w:val="00420F7C"/>
    <w:rsid w:val="0043307A"/>
    <w:rsid w:val="00433514"/>
    <w:rsid w:val="00446BB3"/>
    <w:rsid w:val="0045353D"/>
    <w:rsid w:val="004771C7"/>
    <w:rsid w:val="00481C3A"/>
    <w:rsid w:val="004851CA"/>
    <w:rsid w:val="0048656E"/>
    <w:rsid w:val="00493221"/>
    <w:rsid w:val="004A302C"/>
    <w:rsid w:val="004B539D"/>
    <w:rsid w:val="004C1FA1"/>
    <w:rsid w:val="004C3DCC"/>
    <w:rsid w:val="004E0BF9"/>
    <w:rsid w:val="004E0CF9"/>
    <w:rsid w:val="004F3FDD"/>
    <w:rsid w:val="004F46AB"/>
    <w:rsid w:val="00501A4A"/>
    <w:rsid w:val="00501E05"/>
    <w:rsid w:val="005032B9"/>
    <w:rsid w:val="005100F2"/>
    <w:rsid w:val="00510300"/>
    <w:rsid w:val="00511D7B"/>
    <w:rsid w:val="00513AD5"/>
    <w:rsid w:val="00523D37"/>
    <w:rsid w:val="00524831"/>
    <w:rsid w:val="0052616B"/>
    <w:rsid w:val="00532F25"/>
    <w:rsid w:val="00541D90"/>
    <w:rsid w:val="00542258"/>
    <w:rsid w:val="0054547C"/>
    <w:rsid w:val="0054632A"/>
    <w:rsid w:val="00551EDC"/>
    <w:rsid w:val="005544D1"/>
    <w:rsid w:val="00554509"/>
    <w:rsid w:val="00561523"/>
    <w:rsid w:val="00561527"/>
    <w:rsid w:val="005714C6"/>
    <w:rsid w:val="00594E7A"/>
    <w:rsid w:val="005A146E"/>
    <w:rsid w:val="005A7208"/>
    <w:rsid w:val="005A7987"/>
    <w:rsid w:val="005B5936"/>
    <w:rsid w:val="005C0D20"/>
    <w:rsid w:val="005D050C"/>
    <w:rsid w:val="005F7A46"/>
    <w:rsid w:val="00611383"/>
    <w:rsid w:val="00620B1C"/>
    <w:rsid w:val="00626E33"/>
    <w:rsid w:val="006407ED"/>
    <w:rsid w:val="0064251F"/>
    <w:rsid w:val="00643F74"/>
    <w:rsid w:val="006503AE"/>
    <w:rsid w:val="00651EE4"/>
    <w:rsid w:val="00654524"/>
    <w:rsid w:val="00654BCF"/>
    <w:rsid w:val="0066052B"/>
    <w:rsid w:val="006630EF"/>
    <w:rsid w:val="0066446E"/>
    <w:rsid w:val="0066601A"/>
    <w:rsid w:val="006662AB"/>
    <w:rsid w:val="00674212"/>
    <w:rsid w:val="0067621A"/>
    <w:rsid w:val="006815D1"/>
    <w:rsid w:val="00687DD5"/>
    <w:rsid w:val="006923C3"/>
    <w:rsid w:val="006937E9"/>
    <w:rsid w:val="00693EF9"/>
    <w:rsid w:val="006947A5"/>
    <w:rsid w:val="006A1A11"/>
    <w:rsid w:val="006A2C75"/>
    <w:rsid w:val="006A4105"/>
    <w:rsid w:val="006B0C84"/>
    <w:rsid w:val="006B543B"/>
    <w:rsid w:val="006B7E54"/>
    <w:rsid w:val="006C0BD1"/>
    <w:rsid w:val="006C30C8"/>
    <w:rsid w:val="006C5139"/>
    <w:rsid w:val="006C69FC"/>
    <w:rsid w:val="006D069F"/>
    <w:rsid w:val="006D2C95"/>
    <w:rsid w:val="006D5F8F"/>
    <w:rsid w:val="006D6CEA"/>
    <w:rsid w:val="006E3B5C"/>
    <w:rsid w:val="006E3EB8"/>
    <w:rsid w:val="00707B1D"/>
    <w:rsid w:val="00710909"/>
    <w:rsid w:val="00716369"/>
    <w:rsid w:val="00723649"/>
    <w:rsid w:val="007265C3"/>
    <w:rsid w:val="00735F23"/>
    <w:rsid w:val="00740CEF"/>
    <w:rsid w:val="00742261"/>
    <w:rsid w:val="00752C5E"/>
    <w:rsid w:val="007531F9"/>
    <w:rsid w:val="00764378"/>
    <w:rsid w:val="0076591F"/>
    <w:rsid w:val="00766F0F"/>
    <w:rsid w:val="00773B9A"/>
    <w:rsid w:val="0077582F"/>
    <w:rsid w:val="007862C9"/>
    <w:rsid w:val="0079007B"/>
    <w:rsid w:val="007A0F22"/>
    <w:rsid w:val="007B5C1A"/>
    <w:rsid w:val="007C03A0"/>
    <w:rsid w:val="007C2BEF"/>
    <w:rsid w:val="007D3D77"/>
    <w:rsid w:val="007E157B"/>
    <w:rsid w:val="007E2EF7"/>
    <w:rsid w:val="007E4818"/>
    <w:rsid w:val="007E6A7E"/>
    <w:rsid w:val="007F33F3"/>
    <w:rsid w:val="007F6124"/>
    <w:rsid w:val="00801BDF"/>
    <w:rsid w:val="00802B86"/>
    <w:rsid w:val="0082514B"/>
    <w:rsid w:val="00830599"/>
    <w:rsid w:val="008334B0"/>
    <w:rsid w:val="0083496F"/>
    <w:rsid w:val="0083530F"/>
    <w:rsid w:val="00836468"/>
    <w:rsid w:val="00843492"/>
    <w:rsid w:val="00845F16"/>
    <w:rsid w:val="00852AF3"/>
    <w:rsid w:val="00856D2D"/>
    <w:rsid w:val="00856F2E"/>
    <w:rsid w:val="00867FFD"/>
    <w:rsid w:val="00871560"/>
    <w:rsid w:val="00872D54"/>
    <w:rsid w:val="00872F2D"/>
    <w:rsid w:val="0087585D"/>
    <w:rsid w:val="00880E22"/>
    <w:rsid w:val="00882B6F"/>
    <w:rsid w:val="008834AE"/>
    <w:rsid w:val="00885F4D"/>
    <w:rsid w:val="008962E2"/>
    <w:rsid w:val="008A74EF"/>
    <w:rsid w:val="008B0539"/>
    <w:rsid w:val="008B1C98"/>
    <w:rsid w:val="008B5ADF"/>
    <w:rsid w:val="008D0B3B"/>
    <w:rsid w:val="008D1450"/>
    <w:rsid w:val="008D2E66"/>
    <w:rsid w:val="008D56A5"/>
    <w:rsid w:val="008E1546"/>
    <w:rsid w:val="008E189F"/>
    <w:rsid w:val="008E24ED"/>
    <w:rsid w:val="008E40FE"/>
    <w:rsid w:val="008E57AC"/>
    <w:rsid w:val="008E6D3B"/>
    <w:rsid w:val="00906396"/>
    <w:rsid w:val="0090770A"/>
    <w:rsid w:val="00916E4D"/>
    <w:rsid w:val="00917A63"/>
    <w:rsid w:val="00923C36"/>
    <w:rsid w:val="00924B8E"/>
    <w:rsid w:val="00930024"/>
    <w:rsid w:val="009344DE"/>
    <w:rsid w:val="009357E5"/>
    <w:rsid w:val="00936087"/>
    <w:rsid w:val="00945D17"/>
    <w:rsid w:val="00965FBF"/>
    <w:rsid w:val="00973941"/>
    <w:rsid w:val="0097751F"/>
    <w:rsid w:val="00980255"/>
    <w:rsid w:val="009804FA"/>
    <w:rsid w:val="00985B78"/>
    <w:rsid w:val="0098649F"/>
    <w:rsid w:val="00993AFA"/>
    <w:rsid w:val="0099686E"/>
    <w:rsid w:val="00996DF2"/>
    <w:rsid w:val="009A41B0"/>
    <w:rsid w:val="009A4756"/>
    <w:rsid w:val="009A4C46"/>
    <w:rsid w:val="009A4DBF"/>
    <w:rsid w:val="009B3513"/>
    <w:rsid w:val="009B39EA"/>
    <w:rsid w:val="009D3FC3"/>
    <w:rsid w:val="009D433D"/>
    <w:rsid w:val="009D4484"/>
    <w:rsid w:val="009D5889"/>
    <w:rsid w:val="009D7755"/>
    <w:rsid w:val="009F1D20"/>
    <w:rsid w:val="00A00548"/>
    <w:rsid w:val="00A00713"/>
    <w:rsid w:val="00A00731"/>
    <w:rsid w:val="00A11A5C"/>
    <w:rsid w:val="00A22235"/>
    <w:rsid w:val="00A22F7B"/>
    <w:rsid w:val="00A23801"/>
    <w:rsid w:val="00A2554C"/>
    <w:rsid w:val="00A33652"/>
    <w:rsid w:val="00A3798C"/>
    <w:rsid w:val="00A42866"/>
    <w:rsid w:val="00A461C1"/>
    <w:rsid w:val="00A46B5C"/>
    <w:rsid w:val="00A50D6E"/>
    <w:rsid w:val="00A51DD8"/>
    <w:rsid w:val="00A647EA"/>
    <w:rsid w:val="00A736C6"/>
    <w:rsid w:val="00A82472"/>
    <w:rsid w:val="00A83F1F"/>
    <w:rsid w:val="00A8416F"/>
    <w:rsid w:val="00AA0223"/>
    <w:rsid w:val="00AB28B8"/>
    <w:rsid w:val="00AB3B77"/>
    <w:rsid w:val="00AC57B7"/>
    <w:rsid w:val="00AC73C5"/>
    <w:rsid w:val="00AC755C"/>
    <w:rsid w:val="00AD0E13"/>
    <w:rsid w:val="00AD5ABF"/>
    <w:rsid w:val="00AF45C5"/>
    <w:rsid w:val="00AF5667"/>
    <w:rsid w:val="00B05DD5"/>
    <w:rsid w:val="00B12477"/>
    <w:rsid w:val="00B13343"/>
    <w:rsid w:val="00B1354B"/>
    <w:rsid w:val="00B220B2"/>
    <w:rsid w:val="00B23942"/>
    <w:rsid w:val="00B32474"/>
    <w:rsid w:val="00B4327E"/>
    <w:rsid w:val="00B467A4"/>
    <w:rsid w:val="00B5286D"/>
    <w:rsid w:val="00B545BC"/>
    <w:rsid w:val="00B61032"/>
    <w:rsid w:val="00B61D2E"/>
    <w:rsid w:val="00B71854"/>
    <w:rsid w:val="00B71DA4"/>
    <w:rsid w:val="00B7235B"/>
    <w:rsid w:val="00B76348"/>
    <w:rsid w:val="00B81261"/>
    <w:rsid w:val="00B82556"/>
    <w:rsid w:val="00B87655"/>
    <w:rsid w:val="00B87801"/>
    <w:rsid w:val="00B92871"/>
    <w:rsid w:val="00B928DA"/>
    <w:rsid w:val="00BA5AC3"/>
    <w:rsid w:val="00BA630D"/>
    <w:rsid w:val="00BB06B4"/>
    <w:rsid w:val="00BB2551"/>
    <w:rsid w:val="00BB4892"/>
    <w:rsid w:val="00BB5E9B"/>
    <w:rsid w:val="00BC1A44"/>
    <w:rsid w:val="00BC5C37"/>
    <w:rsid w:val="00BC757B"/>
    <w:rsid w:val="00BC7ED2"/>
    <w:rsid w:val="00BD0190"/>
    <w:rsid w:val="00BE212E"/>
    <w:rsid w:val="00BE4AAB"/>
    <w:rsid w:val="00BE5086"/>
    <w:rsid w:val="00BF4971"/>
    <w:rsid w:val="00C07F40"/>
    <w:rsid w:val="00C12E85"/>
    <w:rsid w:val="00C16A79"/>
    <w:rsid w:val="00C20278"/>
    <w:rsid w:val="00C22791"/>
    <w:rsid w:val="00C236DC"/>
    <w:rsid w:val="00C31B7F"/>
    <w:rsid w:val="00C32F79"/>
    <w:rsid w:val="00C33FD2"/>
    <w:rsid w:val="00C35271"/>
    <w:rsid w:val="00C4036A"/>
    <w:rsid w:val="00C50E28"/>
    <w:rsid w:val="00C62934"/>
    <w:rsid w:val="00C64428"/>
    <w:rsid w:val="00C74D6F"/>
    <w:rsid w:val="00C842DE"/>
    <w:rsid w:val="00C902FB"/>
    <w:rsid w:val="00C965AE"/>
    <w:rsid w:val="00CA0AED"/>
    <w:rsid w:val="00CA66E6"/>
    <w:rsid w:val="00CC29DE"/>
    <w:rsid w:val="00CC3B64"/>
    <w:rsid w:val="00CD37C6"/>
    <w:rsid w:val="00CD3BA4"/>
    <w:rsid w:val="00CD41AA"/>
    <w:rsid w:val="00CD6943"/>
    <w:rsid w:val="00CE6C2F"/>
    <w:rsid w:val="00CE73CC"/>
    <w:rsid w:val="00CE7E9C"/>
    <w:rsid w:val="00CF2EF3"/>
    <w:rsid w:val="00CF3298"/>
    <w:rsid w:val="00D02F3B"/>
    <w:rsid w:val="00D0657B"/>
    <w:rsid w:val="00D129CB"/>
    <w:rsid w:val="00D16A04"/>
    <w:rsid w:val="00D27C17"/>
    <w:rsid w:val="00D41B89"/>
    <w:rsid w:val="00D47F27"/>
    <w:rsid w:val="00D5541F"/>
    <w:rsid w:val="00D57923"/>
    <w:rsid w:val="00D66387"/>
    <w:rsid w:val="00D741B6"/>
    <w:rsid w:val="00D74BD0"/>
    <w:rsid w:val="00D74FED"/>
    <w:rsid w:val="00D75A81"/>
    <w:rsid w:val="00D7761F"/>
    <w:rsid w:val="00D86806"/>
    <w:rsid w:val="00D86C35"/>
    <w:rsid w:val="00DB04FB"/>
    <w:rsid w:val="00DB6DFF"/>
    <w:rsid w:val="00DC003F"/>
    <w:rsid w:val="00DE72B3"/>
    <w:rsid w:val="00DF4668"/>
    <w:rsid w:val="00E00172"/>
    <w:rsid w:val="00E0533A"/>
    <w:rsid w:val="00E0701A"/>
    <w:rsid w:val="00E131D1"/>
    <w:rsid w:val="00E17AA0"/>
    <w:rsid w:val="00E2655B"/>
    <w:rsid w:val="00E311AB"/>
    <w:rsid w:val="00E358BF"/>
    <w:rsid w:val="00E36EC8"/>
    <w:rsid w:val="00E51146"/>
    <w:rsid w:val="00E512A9"/>
    <w:rsid w:val="00E54AF9"/>
    <w:rsid w:val="00E5624E"/>
    <w:rsid w:val="00E601D4"/>
    <w:rsid w:val="00E64C88"/>
    <w:rsid w:val="00E7179D"/>
    <w:rsid w:val="00E74832"/>
    <w:rsid w:val="00E81B04"/>
    <w:rsid w:val="00E820C5"/>
    <w:rsid w:val="00E87550"/>
    <w:rsid w:val="00E9413F"/>
    <w:rsid w:val="00E973D2"/>
    <w:rsid w:val="00EC7C64"/>
    <w:rsid w:val="00ED00D6"/>
    <w:rsid w:val="00EE26DC"/>
    <w:rsid w:val="00EE3FF1"/>
    <w:rsid w:val="00EE5816"/>
    <w:rsid w:val="00EF3D7E"/>
    <w:rsid w:val="00F03292"/>
    <w:rsid w:val="00F0565C"/>
    <w:rsid w:val="00F121AE"/>
    <w:rsid w:val="00F15852"/>
    <w:rsid w:val="00F23F4B"/>
    <w:rsid w:val="00F46C50"/>
    <w:rsid w:val="00F56CD7"/>
    <w:rsid w:val="00F60B61"/>
    <w:rsid w:val="00F66E89"/>
    <w:rsid w:val="00F67822"/>
    <w:rsid w:val="00F70621"/>
    <w:rsid w:val="00F74182"/>
    <w:rsid w:val="00F7607A"/>
    <w:rsid w:val="00F8517B"/>
    <w:rsid w:val="00F90250"/>
    <w:rsid w:val="00F91395"/>
    <w:rsid w:val="00F961D7"/>
    <w:rsid w:val="00F97A2B"/>
    <w:rsid w:val="00FA0CA3"/>
    <w:rsid w:val="00FA3BC5"/>
    <w:rsid w:val="00FA40FE"/>
    <w:rsid w:val="00FB08DC"/>
    <w:rsid w:val="00FB0D30"/>
    <w:rsid w:val="00FB1AE0"/>
    <w:rsid w:val="00FB34C2"/>
    <w:rsid w:val="00FB42F5"/>
    <w:rsid w:val="00FD76E1"/>
    <w:rsid w:val="00FE0970"/>
    <w:rsid w:val="00FF3F3A"/>
    <w:rsid w:val="00FF400F"/>
    <w:rsid w:val="01064C9A"/>
    <w:rsid w:val="01137380"/>
    <w:rsid w:val="013E61E2"/>
    <w:rsid w:val="014F4893"/>
    <w:rsid w:val="01541EA9"/>
    <w:rsid w:val="01551D07"/>
    <w:rsid w:val="01580C56"/>
    <w:rsid w:val="01781929"/>
    <w:rsid w:val="0178685A"/>
    <w:rsid w:val="01877B89"/>
    <w:rsid w:val="019E3125"/>
    <w:rsid w:val="01D0068D"/>
    <w:rsid w:val="01D775B9"/>
    <w:rsid w:val="02026E30"/>
    <w:rsid w:val="020B6A0C"/>
    <w:rsid w:val="02132174"/>
    <w:rsid w:val="02186A33"/>
    <w:rsid w:val="0224187C"/>
    <w:rsid w:val="023130F5"/>
    <w:rsid w:val="024737BC"/>
    <w:rsid w:val="024C2B81"/>
    <w:rsid w:val="028604AE"/>
    <w:rsid w:val="029D33DC"/>
    <w:rsid w:val="02AD3196"/>
    <w:rsid w:val="02AE1145"/>
    <w:rsid w:val="02C44E0D"/>
    <w:rsid w:val="02DA63DE"/>
    <w:rsid w:val="02ED7EC0"/>
    <w:rsid w:val="03200295"/>
    <w:rsid w:val="035E2B6B"/>
    <w:rsid w:val="0361440A"/>
    <w:rsid w:val="036D7252"/>
    <w:rsid w:val="03773C2D"/>
    <w:rsid w:val="03922815"/>
    <w:rsid w:val="03C350C4"/>
    <w:rsid w:val="03E2554B"/>
    <w:rsid w:val="03EA08A3"/>
    <w:rsid w:val="03F51722"/>
    <w:rsid w:val="03F62DA4"/>
    <w:rsid w:val="04066E90"/>
    <w:rsid w:val="045126D0"/>
    <w:rsid w:val="045D72C7"/>
    <w:rsid w:val="047A5783"/>
    <w:rsid w:val="04820ADC"/>
    <w:rsid w:val="0487418D"/>
    <w:rsid w:val="04893C18"/>
    <w:rsid w:val="04B14F1D"/>
    <w:rsid w:val="04C17856"/>
    <w:rsid w:val="04F01EE9"/>
    <w:rsid w:val="04F574FF"/>
    <w:rsid w:val="04F72882"/>
    <w:rsid w:val="04FF212C"/>
    <w:rsid w:val="05235E1B"/>
    <w:rsid w:val="052D0A47"/>
    <w:rsid w:val="052E656D"/>
    <w:rsid w:val="053E0EA6"/>
    <w:rsid w:val="053F247C"/>
    <w:rsid w:val="05595CE0"/>
    <w:rsid w:val="056B1570"/>
    <w:rsid w:val="057C377D"/>
    <w:rsid w:val="05812B41"/>
    <w:rsid w:val="05AA653C"/>
    <w:rsid w:val="05C72C4A"/>
    <w:rsid w:val="05CB2336"/>
    <w:rsid w:val="05D15877"/>
    <w:rsid w:val="05D215EF"/>
    <w:rsid w:val="05D2339D"/>
    <w:rsid w:val="05D37841"/>
    <w:rsid w:val="05DB04A3"/>
    <w:rsid w:val="05E530D0"/>
    <w:rsid w:val="06127C3D"/>
    <w:rsid w:val="061A4B24"/>
    <w:rsid w:val="06231E4A"/>
    <w:rsid w:val="06253E14"/>
    <w:rsid w:val="0633208D"/>
    <w:rsid w:val="06587D46"/>
    <w:rsid w:val="067032E2"/>
    <w:rsid w:val="067D015E"/>
    <w:rsid w:val="067E3A29"/>
    <w:rsid w:val="06856661"/>
    <w:rsid w:val="069114AA"/>
    <w:rsid w:val="06AE7966"/>
    <w:rsid w:val="06B07B82"/>
    <w:rsid w:val="06DD649D"/>
    <w:rsid w:val="06EC66E0"/>
    <w:rsid w:val="06F04422"/>
    <w:rsid w:val="07020C1A"/>
    <w:rsid w:val="0709089A"/>
    <w:rsid w:val="071C5217"/>
    <w:rsid w:val="071D4AEC"/>
    <w:rsid w:val="07210A39"/>
    <w:rsid w:val="072242D3"/>
    <w:rsid w:val="072440CC"/>
    <w:rsid w:val="0735024D"/>
    <w:rsid w:val="0737795B"/>
    <w:rsid w:val="073F4A62"/>
    <w:rsid w:val="07442078"/>
    <w:rsid w:val="076C53FA"/>
    <w:rsid w:val="076D22AC"/>
    <w:rsid w:val="0784404A"/>
    <w:rsid w:val="078608E3"/>
    <w:rsid w:val="07941252"/>
    <w:rsid w:val="07A25DD3"/>
    <w:rsid w:val="07A64AE1"/>
    <w:rsid w:val="07B55348"/>
    <w:rsid w:val="07EA70C4"/>
    <w:rsid w:val="07F0083A"/>
    <w:rsid w:val="08687FE8"/>
    <w:rsid w:val="08935065"/>
    <w:rsid w:val="08997D8A"/>
    <w:rsid w:val="08A3561E"/>
    <w:rsid w:val="08A76D63"/>
    <w:rsid w:val="08AD2074"/>
    <w:rsid w:val="08BB45BC"/>
    <w:rsid w:val="08C6368D"/>
    <w:rsid w:val="08D306C7"/>
    <w:rsid w:val="08D538D0"/>
    <w:rsid w:val="08D77648"/>
    <w:rsid w:val="08E04023"/>
    <w:rsid w:val="08EE4992"/>
    <w:rsid w:val="09077801"/>
    <w:rsid w:val="091C32AD"/>
    <w:rsid w:val="09212671"/>
    <w:rsid w:val="0926010A"/>
    <w:rsid w:val="09664528"/>
    <w:rsid w:val="09970B85"/>
    <w:rsid w:val="09975029"/>
    <w:rsid w:val="09AC1C5B"/>
    <w:rsid w:val="09AD03A9"/>
    <w:rsid w:val="09CE174C"/>
    <w:rsid w:val="09E613EC"/>
    <w:rsid w:val="09EA6F07"/>
    <w:rsid w:val="09F23B8C"/>
    <w:rsid w:val="09F86F9A"/>
    <w:rsid w:val="09FE29B2"/>
    <w:rsid w:val="0A1C108A"/>
    <w:rsid w:val="0A2148F3"/>
    <w:rsid w:val="0A391C3C"/>
    <w:rsid w:val="0A3D172D"/>
    <w:rsid w:val="0A3E680D"/>
    <w:rsid w:val="0A831432"/>
    <w:rsid w:val="0A9B6453"/>
    <w:rsid w:val="0AAB338B"/>
    <w:rsid w:val="0AAF1EFF"/>
    <w:rsid w:val="0ABF0394"/>
    <w:rsid w:val="0AD84599"/>
    <w:rsid w:val="0B05734A"/>
    <w:rsid w:val="0B0E131B"/>
    <w:rsid w:val="0B115FB9"/>
    <w:rsid w:val="0B1A381C"/>
    <w:rsid w:val="0B352404"/>
    <w:rsid w:val="0B386398"/>
    <w:rsid w:val="0B536D2E"/>
    <w:rsid w:val="0B5C2086"/>
    <w:rsid w:val="0B6727D9"/>
    <w:rsid w:val="0B674587"/>
    <w:rsid w:val="0B6B4077"/>
    <w:rsid w:val="0B6E5916"/>
    <w:rsid w:val="0B745622"/>
    <w:rsid w:val="0B76679F"/>
    <w:rsid w:val="0B7F5D75"/>
    <w:rsid w:val="0BB24C22"/>
    <w:rsid w:val="0BE45BD8"/>
    <w:rsid w:val="0BF202F5"/>
    <w:rsid w:val="0BFE313E"/>
    <w:rsid w:val="0C02649C"/>
    <w:rsid w:val="0C0A3890"/>
    <w:rsid w:val="0C1E6205"/>
    <w:rsid w:val="0C265CFF"/>
    <w:rsid w:val="0C28640C"/>
    <w:rsid w:val="0C3C5A14"/>
    <w:rsid w:val="0C41302A"/>
    <w:rsid w:val="0C5A4DAC"/>
    <w:rsid w:val="0C874EE1"/>
    <w:rsid w:val="0C88488C"/>
    <w:rsid w:val="0C8A677F"/>
    <w:rsid w:val="0CC04897"/>
    <w:rsid w:val="0CD520F0"/>
    <w:rsid w:val="0CD67C16"/>
    <w:rsid w:val="0CD81BE1"/>
    <w:rsid w:val="0D0C53E6"/>
    <w:rsid w:val="0D1C7D1F"/>
    <w:rsid w:val="0D2210AE"/>
    <w:rsid w:val="0D2766C4"/>
    <w:rsid w:val="0D4747DB"/>
    <w:rsid w:val="0D6B6E82"/>
    <w:rsid w:val="0D9D0734"/>
    <w:rsid w:val="0DA90E87"/>
    <w:rsid w:val="0DAF0B93"/>
    <w:rsid w:val="0DB241E0"/>
    <w:rsid w:val="0DB74AC1"/>
    <w:rsid w:val="0DC14423"/>
    <w:rsid w:val="0DC83A03"/>
    <w:rsid w:val="0DCD1019"/>
    <w:rsid w:val="0DE10B00"/>
    <w:rsid w:val="0DEF71E2"/>
    <w:rsid w:val="0E0D58BA"/>
    <w:rsid w:val="0E0F1632"/>
    <w:rsid w:val="0E342E47"/>
    <w:rsid w:val="0E460DCC"/>
    <w:rsid w:val="0E464928"/>
    <w:rsid w:val="0E651252"/>
    <w:rsid w:val="0E653000"/>
    <w:rsid w:val="0E6D45AA"/>
    <w:rsid w:val="0E72396F"/>
    <w:rsid w:val="0E796AAB"/>
    <w:rsid w:val="0E7C0027"/>
    <w:rsid w:val="0E7F6315"/>
    <w:rsid w:val="0E9543D1"/>
    <w:rsid w:val="0EA33B28"/>
    <w:rsid w:val="0EB208AB"/>
    <w:rsid w:val="0EB36461"/>
    <w:rsid w:val="0EB45D35"/>
    <w:rsid w:val="0EBD75FE"/>
    <w:rsid w:val="0EC817E1"/>
    <w:rsid w:val="0ECA5559"/>
    <w:rsid w:val="0ED53B2A"/>
    <w:rsid w:val="0EF600FC"/>
    <w:rsid w:val="0F096081"/>
    <w:rsid w:val="0F1B5913"/>
    <w:rsid w:val="0F2442A2"/>
    <w:rsid w:val="0F3D21CF"/>
    <w:rsid w:val="0F4C0664"/>
    <w:rsid w:val="0F5A5835"/>
    <w:rsid w:val="0F812983"/>
    <w:rsid w:val="0F9D4A1B"/>
    <w:rsid w:val="0FA638D0"/>
    <w:rsid w:val="0FAB538A"/>
    <w:rsid w:val="0FD23CC7"/>
    <w:rsid w:val="0FD33C3D"/>
    <w:rsid w:val="0FE8213B"/>
    <w:rsid w:val="0FF52AA9"/>
    <w:rsid w:val="10047D52"/>
    <w:rsid w:val="10150A56"/>
    <w:rsid w:val="10240C99"/>
    <w:rsid w:val="102723E9"/>
    <w:rsid w:val="102B64CB"/>
    <w:rsid w:val="107439CE"/>
    <w:rsid w:val="1090632E"/>
    <w:rsid w:val="109220A6"/>
    <w:rsid w:val="10961B97"/>
    <w:rsid w:val="109B71AD"/>
    <w:rsid w:val="10A92DD3"/>
    <w:rsid w:val="10AF4A06"/>
    <w:rsid w:val="10BD54A5"/>
    <w:rsid w:val="10C55FD8"/>
    <w:rsid w:val="10C85AC8"/>
    <w:rsid w:val="11036B00"/>
    <w:rsid w:val="11082369"/>
    <w:rsid w:val="11357D2A"/>
    <w:rsid w:val="113849FC"/>
    <w:rsid w:val="113A4C18"/>
    <w:rsid w:val="11457119"/>
    <w:rsid w:val="1147614B"/>
    <w:rsid w:val="116E48C1"/>
    <w:rsid w:val="11785740"/>
    <w:rsid w:val="11845E93"/>
    <w:rsid w:val="11867E5D"/>
    <w:rsid w:val="11A2456B"/>
    <w:rsid w:val="11AE5258"/>
    <w:rsid w:val="11B30526"/>
    <w:rsid w:val="11DA1F57"/>
    <w:rsid w:val="11DF30C9"/>
    <w:rsid w:val="11FA6155"/>
    <w:rsid w:val="12130FC5"/>
    <w:rsid w:val="12371157"/>
    <w:rsid w:val="12483364"/>
    <w:rsid w:val="127001C5"/>
    <w:rsid w:val="12771554"/>
    <w:rsid w:val="127759F8"/>
    <w:rsid w:val="127A0C92"/>
    <w:rsid w:val="127F48AC"/>
    <w:rsid w:val="129E4D32"/>
    <w:rsid w:val="12AD766B"/>
    <w:rsid w:val="12B91B6C"/>
    <w:rsid w:val="12BA7692"/>
    <w:rsid w:val="12BC165D"/>
    <w:rsid w:val="12CC5D44"/>
    <w:rsid w:val="12DE7825"/>
    <w:rsid w:val="12E3308D"/>
    <w:rsid w:val="12EF558E"/>
    <w:rsid w:val="12FC7CAB"/>
    <w:rsid w:val="13021765"/>
    <w:rsid w:val="13037AFF"/>
    <w:rsid w:val="13453400"/>
    <w:rsid w:val="13456351"/>
    <w:rsid w:val="134C0C32"/>
    <w:rsid w:val="137B79E1"/>
    <w:rsid w:val="137D0DEC"/>
    <w:rsid w:val="13833F28"/>
    <w:rsid w:val="13A03104"/>
    <w:rsid w:val="13E62E35"/>
    <w:rsid w:val="14065285"/>
    <w:rsid w:val="143F42F3"/>
    <w:rsid w:val="144731A8"/>
    <w:rsid w:val="1457788F"/>
    <w:rsid w:val="14717C9A"/>
    <w:rsid w:val="147F2942"/>
    <w:rsid w:val="14AF7789"/>
    <w:rsid w:val="14B11ADF"/>
    <w:rsid w:val="14BF5434"/>
    <w:rsid w:val="14D50D33"/>
    <w:rsid w:val="14EF1875"/>
    <w:rsid w:val="14F50E56"/>
    <w:rsid w:val="151E65FF"/>
    <w:rsid w:val="152030DE"/>
    <w:rsid w:val="1537321C"/>
    <w:rsid w:val="154020D1"/>
    <w:rsid w:val="15A840F3"/>
    <w:rsid w:val="15C9656A"/>
    <w:rsid w:val="15FB249C"/>
    <w:rsid w:val="15FF3D3A"/>
    <w:rsid w:val="1602382A"/>
    <w:rsid w:val="16565924"/>
    <w:rsid w:val="16640041"/>
    <w:rsid w:val="16646293"/>
    <w:rsid w:val="16685D83"/>
    <w:rsid w:val="167C182F"/>
    <w:rsid w:val="167D1103"/>
    <w:rsid w:val="167D2FDD"/>
    <w:rsid w:val="168B406D"/>
    <w:rsid w:val="169052DA"/>
    <w:rsid w:val="16AE5760"/>
    <w:rsid w:val="16AE750E"/>
    <w:rsid w:val="16B40FC8"/>
    <w:rsid w:val="16BE3BF5"/>
    <w:rsid w:val="16C46D32"/>
    <w:rsid w:val="16D84122"/>
    <w:rsid w:val="16DC0C5E"/>
    <w:rsid w:val="16E1737A"/>
    <w:rsid w:val="16E3540A"/>
    <w:rsid w:val="16E442B3"/>
    <w:rsid w:val="1711641B"/>
    <w:rsid w:val="1719707D"/>
    <w:rsid w:val="17215F32"/>
    <w:rsid w:val="172872C1"/>
    <w:rsid w:val="17457E73"/>
    <w:rsid w:val="174C1201"/>
    <w:rsid w:val="174F6F43"/>
    <w:rsid w:val="176821F4"/>
    <w:rsid w:val="17710C68"/>
    <w:rsid w:val="177C760C"/>
    <w:rsid w:val="177E1C86"/>
    <w:rsid w:val="179B7A92"/>
    <w:rsid w:val="17AD77C6"/>
    <w:rsid w:val="17CB7119"/>
    <w:rsid w:val="17D2722C"/>
    <w:rsid w:val="17E51656"/>
    <w:rsid w:val="17FB49D5"/>
    <w:rsid w:val="18041ADC"/>
    <w:rsid w:val="182E6B59"/>
    <w:rsid w:val="184C2DB5"/>
    <w:rsid w:val="187C5B16"/>
    <w:rsid w:val="189246B5"/>
    <w:rsid w:val="18A706B9"/>
    <w:rsid w:val="18C272A1"/>
    <w:rsid w:val="18CB43A7"/>
    <w:rsid w:val="18DA283C"/>
    <w:rsid w:val="18DE13E4"/>
    <w:rsid w:val="18F733EE"/>
    <w:rsid w:val="18F90F15"/>
    <w:rsid w:val="19136C9A"/>
    <w:rsid w:val="19197809"/>
    <w:rsid w:val="192D6E10"/>
    <w:rsid w:val="1934019F"/>
    <w:rsid w:val="19373862"/>
    <w:rsid w:val="19520625"/>
    <w:rsid w:val="19526877"/>
    <w:rsid w:val="195E2798"/>
    <w:rsid w:val="19D2300F"/>
    <w:rsid w:val="1A0214BE"/>
    <w:rsid w:val="1A0E5C74"/>
    <w:rsid w:val="1A197394"/>
    <w:rsid w:val="1A352420"/>
    <w:rsid w:val="1A512FD2"/>
    <w:rsid w:val="1A5D54D3"/>
    <w:rsid w:val="1A5F124B"/>
    <w:rsid w:val="1A6124EF"/>
    <w:rsid w:val="1A710493"/>
    <w:rsid w:val="1AB33908"/>
    <w:rsid w:val="1ADA2FC8"/>
    <w:rsid w:val="1AE259D8"/>
    <w:rsid w:val="1AE35507"/>
    <w:rsid w:val="1AEB2ADF"/>
    <w:rsid w:val="1B3E3557"/>
    <w:rsid w:val="1B636B19"/>
    <w:rsid w:val="1B6805D3"/>
    <w:rsid w:val="1B7E1468"/>
    <w:rsid w:val="1B825739"/>
    <w:rsid w:val="1B83540D"/>
    <w:rsid w:val="1BC17CE4"/>
    <w:rsid w:val="1BCC0B62"/>
    <w:rsid w:val="1BDD4B1E"/>
    <w:rsid w:val="1BE718C7"/>
    <w:rsid w:val="1C146065"/>
    <w:rsid w:val="1C4032FE"/>
    <w:rsid w:val="1C406E5A"/>
    <w:rsid w:val="1C495921"/>
    <w:rsid w:val="1C744D56"/>
    <w:rsid w:val="1C7A6810"/>
    <w:rsid w:val="1C7B7E93"/>
    <w:rsid w:val="1C9C6787"/>
    <w:rsid w:val="1CA05B4B"/>
    <w:rsid w:val="1CA90EA4"/>
    <w:rsid w:val="1CAA6093"/>
    <w:rsid w:val="1CD770EC"/>
    <w:rsid w:val="1CD94FF6"/>
    <w:rsid w:val="1CE43C8A"/>
    <w:rsid w:val="1D183933"/>
    <w:rsid w:val="1D1B3B0E"/>
    <w:rsid w:val="1D210A3A"/>
    <w:rsid w:val="1D214EDE"/>
    <w:rsid w:val="1D4A4435"/>
    <w:rsid w:val="1D524C10"/>
    <w:rsid w:val="1D61177E"/>
    <w:rsid w:val="1D7E7C3A"/>
    <w:rsid w:val="1D8D4321"/>
    <w:rsid w:val="1D9C27B6"/>
    <w:rsid w:val="1DAA4ED3"/>
    <w:rsid w:val="1DC53ABB"/>
    <w:rsid w:val="1DC835AB"/>
    <w:rsid w:val="1DE2466D"/>
    <w:rsid w:val="1E206F43"/>
    <w:rsid w:val="1E2F7187"/>
    <w:rsid w:val="1E340C41"/>
    <w:rsid w:val="1E401394"/>
    <w:rsid w:val="1E4E3AB1"/>
    <w:rsid w:val="1E51534F"/>
    <w:rsid w:val="1E5310C7"/>
    <w:rsid w:val="1E58492F"/>
    <w:rsid w:val="1E6908EA"/>
    <w:rsid w:val="1E766B63"/>
    <w:rsid w:val="1E9B2A6E"/>
    <w:rsid w:val="1EAC07D7"/>
    <w:rsid w:val="1EBA1146"/>
    <w:rsid w:val="1EC45B21"/>
    <w:rsid w:val="1EC73863"/>
    <w:rsid w:val="1EC765D1"/>
    <w:rsid w:val="1ED63AA6"/>
    <w:rsid w:val="1EDF295B"/>
    <w:rsid w:val="1EF870BD"/>
    <w:rsid w:val="1F046865"/>
    <w:rsid w:val="1F0A70F1"/>
    <w:rsid w:val="1F1D16D5"/>
    <w:rsid w:val="1F2D3E92"/>
    <w:rsid w:val="1F4536E0"/>
    <w:rsid w:val="1F525822"/>
    <w:rsid w:val="1F58270D"/>
    <w:rsid w:val="1F5D7D23"/>
    <w:rsid w:val="1F5F1CED"/>
    <w:rsid w:val="1F7237CF"/>
    <w:rsid w:val="1F770DE5"/>
    <w:rsid w:val="1F8D0609"/>
    <w:rsid w:val="1FA96FA3"/>
    <w:rsid w:val="1FB82BC8"/>
    <w:rsid w:val="1FE31481"/>
    <w:rsid w:val="1FF468DA"/>
    <w:rsid w:val="200B6E05"/>
    <w:rsid w:val="200F101E"/>
    <w:rsid w:val="200F54C2"/>
    <w:rsid w:val="201B5C14"/>
    <w:rsid w:val="202D1DEC"/>
    <w:rsid w:val="2039253E"/>
    <w:rsid w:val="204607B7"/>
    <w:rsid w:val="204A02A8"/>
    <w:rsid w:val="204D7D98"/>
    <w:rsid w:val="20690166"/>
    <w:rsid w:val="207B2DC6"/>
    <w:rsid w:val="20803CC9"/>
    <w:rsid w:val="209239FD"/>
    <w:rsid w:val="20B47E17"/>
    <w:rsid w:val="20DA3F99"/>
    <w:rsid w:val="20E71F9A"/>
    <w:rsid w:val="20E97AC1"/>
    <w:rsid w:val="20EA2A65"/>
    <w:rsid w:val="20EF2BFD"/>
    <w:rsid w:val="210112AE"/>
    <w:rsid w:val="212F12B7"/>
    <w:rsid w:val="214E2A84"/>
    <w:rsid w:val="21817CF9"/>
    <w:rsid w:val="21884BA0"/>
    <w:rsid w:val="219519F6"/>
    <w:rsid w:val="2197576F"/>
    <w:rsid w:val="21A659B2"/>
    <w:rsid w:val="21B55BF5"/>
    <w:rsid w:val="21DE15EF"/>
    <w:rsid w:val="22105521"/>
    <w:rsid w:val="2217240B"/>
    <w:rsid w:val="222039B6"/>
    <w:rsid w:val="2228094B"/>
    <w:rsid w:val="222B5EB7"/>
    <w:rsid w:val="224A27E1"/>
    <w:rsid w:val="227635D6"/>
    <w:rsid w:val="22794E74"/>
    <w:rsid w:val="22AF6B26"/>
    <w:rsid w:val="22BB723B"/>
    <w:rsid w:val="22C87E24"/>
    <w:rsid w:val="22C95DFC"/>
    <w:rsid w:val="22EE06E2"/>
    <w:rsid w:val="22F84FC6"/>
    <w:rsid w:val="22FD3CF7"/>
    <w:rsid w:val="23250B58"/>
    <w:rsid w:val="23411E36"/>
    <w:rsid w:val="234D0B5D"/>
    <w:rsid w:val="235C6C70"/>
    <w:rsid w:val="23614286"/>
    <w:rsid w:val="237B69CA"/>
    <w:rsid w:val="23CC5B62"/>
    <w:rsid w:val="23CD510E"/>
    <w:rsid w:val="24170DE9"/>
    <w:rsid w:val="243472A5"/>
    <w:rsid w:val="2440076D"/>
    <w:rsid w:val="24A563F4"/>
    <w:rsid w:val="24B228BF"/>
    <w:rsid w:val="24C15199"/>
    <w:rsid w:val="24CE288D"/>
    <w:rsid w:val="24EF7670"/>
    <w:rsid w:val="24F46A34"/>
    <w:rsid w:val="25034EC9"/>
    <w:rsid w:val="251946ED"/>
    <w:rsid w:val="256E4A38"/>
    <w:rsid w:val="25777D91"/>
    <w:rsid w:val="25781413"/>
    <w:rsid w:val="257858B7"/>
    <w:rsid w:val="258506D6"/>
    <w:rsid w:val="258B383C"/>
    <w:rsid w:val="259455FA"/>
    <w:rsid w:val="259719F3"/>
    <w:rsid w:val="25AB17E9"/>
    <w:rsid w:val="25AD5EB4"/>
    <w:rsid w:val="25BF5294"/>
    <w:rsid w:val="25C2759F"/>
    <w:rsid w:val="25C63DCF"/>
    <w:rsid w:val="25C74149"/>
    <w:rsid w:val="25DC7BF4"/>
    <w:rsid w:val="25DE267C"/>
    <w:rsid w:val="25E46AA9"/>
    <w:rsid w:val="25E66CC5"/>
    <w:rsid w:val="25FA62CC"/>
    <w:rsid w:val="26143832"/>
    <w:rsid w:val="262275D1"/>
    <w:rsid w:val="26365741"/>
    <w:rsid w:val="263712CE"/>
    <w:rsid w:val="264B4D7A"/>
    <w:rsid w:val="264D6D44"/>
    <w:rsid w:val="26644EA7"/>
    <w:rsid w:val="26677F36"/>
    <w:rsid w:val="266A3452"/>
    <w:rsid w:val="26977FBF"/>
    <w:rsid w:val="26AF355A"/>
    <w:rsid w:val="26B50445"/>
    <w:rsid w:val="26DA55FB"/>
    <w:rsid w:val="26DC11F6"/>
    <w:rsid w:val="26EC191F"/>
    <w:rsid w:val="26F251F5"/>
    <w:rsid w:val="270C62B7"/>
    <w:rsid w:val="271E5FEA"/>
    <w:rsid w:val="272F7095"/>
    <w:rsid w:val="276B56D3"/>
    <w:rsid w:val="276E687B"/>
    <w:rsid w:val="27802801"/>
    <w:rsid w:val="278A123C"/>
    <w:rsid w:val="279F537D"/>
    <w:rsid w:val="27CB7F20"/>
    <w:rsid w:val="27D52B4D"/>
    <w:rsid w:val="27D843EB"/>
    <w:rsid w:val="27EE00B2"/>
    <w:rsid w:val="27FC457D"/>
    <w:rsid w:val="2802590C"/>
    <w:rsid w:val="280451E0"/>
    <w:rsid w:val="280E7BD2"/>
    <w:rsid w:val="28153891"/>
    <w:rsid w:val="28177609"/>
    <w:rsid w:val="281C077C"/>
    <w:rsid w:val="28245427"/>
    <w:rsid w:val="28247630"/>
    <w:rsid w:val="282615FA"/>
    <w:rsid w:val="283E4B96"/>
    <w:rsid w:val="28414686"/>
    <w:rsid w:val="2849353B"/>
    <w:rsid w:val="284D6B87"/>
    <w:rsid w:val="28550131"/>
    <w:rsid w:val="28612632"/>
    <w:rsid w:val="28757E8C"/>
    <w:rsid w:val="287E4F92"/>
    <w:rsid w:val="28887BBF"/>
    <w:rsid w:val="28AB1AFF"/>
    <w:rsid w:val="28CB21A2"/>
    <w:rsid w:val="28E62B38"/>
    <w:rsid w:val="28F96D0F"/>
    <w:rsid w:val="290B7A2E"/>
    <w:rsid w:val="292A6EC8"/>
    <w:rsid w:val="293B10D5"/>
    <w:rsid w:val="2944442E"/>
    <w:rsid w:val="294550C5"/>
    <w:rsid w:val="29493E9D"/>
    <w:rsid w:val="294F2293"/>
    <w:rsid w:val="29606D8E"/>
    <w:rsid w:val="2964062C"/>
    <w:rsid w:val="29787C34"/>
    <w:rsid w:val="29927747"/>
    <w:rsid w:val="29A749BD"/>
    <w:rsid w:val="29C9048F"/>
    <w:rsid w:val="29CB06AB"/>
    <w:rsid w:val="2A0108B7"/>
    <w:rsid w:val="2A04596B"/>
    <w:rsid w:val="2A0E67EA"/>
    <w:rsid w:val="2A133E00"/>
    <w:rsid w:val="2A1536D4"/>
    <w:rsid w:val="2A1A0CEB"/>
    <w:rsid w:val="2A202079"/>
    <w:rsid w:val="2A30050E"/>
    <w:rsid w:val="2A3B6D1B"/>
    <w:rsid w:val="2A411154"/>
    <w:rsid w:val="2A506E02"/>
    <w:rsid w:val="2A526D38"/>
    <w:rsid w:val="2A7A5C2D"/>
    <w:rsid w:val="2A88659C"/>
    <w:rsid w:val="2A954815"/>
    <w:rsid w:val="2AB35B68"/>
    <w:rsid w:val="2AD0584D"/>
    <w:rsid w:val="2AD464A0"/>
    <w:rsid w:val="2AEE4B12"/>
    <w:rsid w:val="2AFE685E"/>
    <w:rsid w:val="2B027774"/>
    <w:rsid w:val="2B0D0850"/>
    <w:rsid w:val="2B116592"/>
    <w:rsid w:val="2B122D8D"/>
    <w:rsid w:val="2B193698"/>
    <w:rsid w:val="2B1C4F36"/>
    <w:rsid w:val="2B2160A9"/>
    <w:rsid w:val="2B3202B6"/>
    <w:rsid w:val="2B361B54"/>
    <w:rsid w:val="2B367DA6"/>
    <w:rsid w:val="2B400C25"/>
    <w:rsid w:val="2B4714A0"/>
    <w:rsid w:val="2B606BD1"/>
    <w:rsid w:val="2B6C5576"/>
    <w:rsid w:val="2B717030"/>
    <w:rsid w:val="2B74267D"/>
    <w:rsid w:val="2B93739B"/>
    <w:rsid w:val="2B994370"/>
    <w:rsid w:val="2BA50A88"/>
    <w:rsid w:val="2BB60EE7"/>
    <w:rsid w:val="2BC034DB"/>
    <w:rsid w:val="2BEF4305"/>
    <w:rsid w:val="2C077995"/>
    <w:rsid w:val="2C235EB7"/>
    <w:rsid w:val="2C2B5431"/>
    <w:rsid w:val="2C3C763E"/>
    <w:rsid w:val="2C610E53"/>
    <w:rsid w:val="2C646B95"/>
    <w:rsid w:val="2C6646BB"/>
    <w:rsid w:val="2C83526D"/>
    <w:rsid w:val="2C9A0B92"/>
    <w:rsid w:val="2C9A604A"/>
    <w:rsid w:val="2C9F3729"/>
    <w:rsid w:val="2CB73169"/>
    <w:rsid w:val="2CC94C4A"/>
    <w:rsid w:val="2CE47D2A"/>
    <w:rsid w:val="2CED0939"/>
    <w:rsid w:val="2CED6B8B"/>
    <w:rsid w:val="2CF27CFD"/>
    <w:rsid w:val="2CFA3055"/>
    <w:rsid w:val="2D012636"/>
    <w:rsid w:val="2D016C6B"/>
    <w:rsid w:val="2D0B5263"/>
    <w:rsid w:val="2D0D2D89"/>
    <w:rsid w:val="2D2B1461"/>
    <w:rsid w:val="2D2D1B91"/>
    <w:rsid w:val="2D404F0C"/>
    <w:rsid w:val="2D5B3AF4"/>
    <w:rsid w:val="2D8D7A26"/>
    <w:rsid w:val="2DA2135E"/>
    <w:rsid w:val="2DB9081B"/>
    <w:rsid w:val="2DCB70CE"/>
    <w:rsid w:val="2DCE2518"/>
    <w:rsid w:val="2DD218DC"/>
    <w:rsid w:val="2DDB69E3"/>
    <w:rsid w:val="2DEF7457"/>
    <w:rsid w:val="2E045F3A"/>
    <w:rsid w:val="2E093AD9"/>
    <w:rsid w:val="2E2A34C6"/>
    <w:rsid w:val="2E426A62"/>
    <w:rsid w:val="2E6C48D9"/>
    <w:rsid w:val="2E73077A"/>
    <w:rsid w:val="2E786928"/>
    <w:rsid w:val="2E8F4F19"/>
    <w:rsid w:val="2EA63495"/>
    <w:rsid w:val="2EB57234"/>
    <w:rsid w:val="2ED7364E"/>
    <w:rsid w:val="2EF35FAE"/>
    <w:rsid w:val="2EFA6A37"/>
    <w:rsid w:val="2F167CA6"/>
    <w:rsid w:val="2F1A353B"/>
    <w:rsid w:val="2F3A6A1F"/>
    <w:rsid w:val="2F452CAE"/>
    <w:rsid w:val="2F5D70AC"/>
    <w:rsid w:val="2F8B61E7"/>
    <w:rsid w:val="2FA36C75"/>
    <w:rsid w:val="2FBE036A"/>
    <w:rsid w:val="302428C3"/>
    <w:rsid w:val="30297EDA"/>
    <w:rsid w:val="302C5C1C"/>
    <w:rsid w:val="303074BA"/>
    <w:rsid w:val="30405223"/>
    <w:rsid w:val="306929CC"/>
    <w:rsid w:val="306B405E"/>
    <w:rsid w:val="30832D34"/>
    <w:rsid w:val="30872E52"/>
    <w:rsid w:val="308C4B30"/>
    <w:rsid w:val="30A75681"/>
    <w:rsid w:val="30C714A1"/>
    <w:rsid w:val="30F41419"/>
    <w:rsid w:val="30FC114A"/>
    <w:rsid w:val="310D77FB"/>
    <w:rsid w:val="310E0E7D"/>
    <w:rsid w:val="314618C4"/>
    <w:rsid w:val="314A68DF"/>
    <w:rsid w:val="315620B8"/>
    <w:rsid w:val="317F1D7B"/>
    <w:rsid w:val="31841AC8"/>
    <w:rsid w:val="31A737AC"/>
    <w:rsid w:val="31A87524"/>
    <w:rsid w:val="31B00187"/>
    <w:rsid w:val="31CB6D6E"/>
    <w:rsid w:val="31D200FD"/>
    <w:rsid w:val="31D87198"/>
    <w:rsid w:val="31E64732"/>
    <w:rsid w:val="31EA5447"/>
    <w:rsid w:val="32140715"/>
    <w:rsid w:val="321E5C13"/>
    <w:rsid w:val="32230959"/>
    <w:rsid w:val="324059AE"/>
    <w:rsid w:val="326351F9"/>
    <w:rsid w:val="326C6C55"/>
    <w:rsid w:val="327D078A"/>
    <w:rsid w:val="3284589B"/>
    <w:rsid w:val="32933D30"/>
    <w:rsid w:val="32B31CDC"/>
    <w:rsid w:val="32C75788"/>
    <w:rsid w:val="32CC7242"/>
    <w:rsid w:val="32E165BD"/>
    <w:rsid w:val="32FA3DAF"/>
    <w:rsid w:val="330C712C"/>
    <w:rsid w:val="334F40FB"/>
    <w:rsid w:val="33641229"/>
    <w:rsid w:val="337B243F"/>
    <w:rsid w:val="338673F1"/>
    <w:rsid w:val="339D48A3"/>
    <w:rsid w:val="33BF2903"/>
    <w:rsid w:val="33CF6FEA"/>
    <w:rsid w:val="33EA3E24"/>
    <w:rsid w:val="33F64577"/>
    <w:rsid w:val="33FB1B8D"/>
    <w:rsid w:val="34056568"/>
    <w:rsid w:val="34525525"/>
    <w:rsid w:val="346040E6"/>
    <w:rsid w:val="34945B3E"/>
    <w:rsid w:val="34A0589E"/>
    <w:rsid w:val="34A67F96"/>
    <w:rsid w:val="34B0508B"/>
    <w:rsid w:val="34B1049E"/>
    <w:rsid w:val="34DF440A"/>
    <w:rsid w:val="34E502E4"/>
    <w:rsid w:val="34F605A6"/>
    <w:rsid w:val="350031D3"/>
    <w:rsid w:val="350A581B"/>
    <w:rsid w:val="352275ED"/>
    <w:rsid w:val="352E7D40"/>
    <w:rsid w:val="35304164"/>
    <w:rsid w:val="35426A60"/>
    <w:rsid w:val="35571045"/>
    <w:rsid w:val="35586B6B"/>
    <w:rsid w:val="355A1520"/>
    <w:rsid w:val="355E7319"/>
    <w:rsid w:val="35690D78"/>
    <w:rsid w:val="35CE6E2D"/>
    <w:rsid w:val="35DB7EC8"/>
    <w:rsid w:val="35EE2046"/>
    <w:rsid w:val="35F41640"/>
    <w:rsid w:val="362A0508"/>
    <w:rsid w:val="36431203"/>
    <w:rsid w:val="364652E8"/>
    <w:rsid w:val="36603F29"/>
    <w:rsid w:val="36653C36"/>
    <w:rsid w:val="366A4DA8"/>
    <w:rsid w:val="36897924"/>
    <w:rsid w:val="369116D0"/>
    <w:rsid w:val="36941E25"/>
    <w:rsid w:val="3699568D"/>
    <w:rsid w:val="369F7E9A"/>
    <w:rsid w:val="36B67FED"/>
    <w:rsid w:val="36C46BAE"/>
    <w:rsid w:val="36CC15BF"/>
    <w:rsid w:val="370E607B"/>
    <w:rsid w:val="37112969"/>
    <w:rsid w:val="37180CA8"/>
    <w:rsid w:val="372907BF"/>
    <w:rsid w:val="37294C63"/>
    <w:rsid w:val="372A1930"/>
    <w:rsid w:val="373830F8"/>
    <w:rsid w:val="374D6BA3"/>
    <w:rsid w:val="375647D6"/>
    <w:rsid w:val="377A726D"/>
    <w:rsid w:val="377D7EF3"/>
    <w:rsid w:val="377E4FAF"/>
    <w:rsid w:val="37893954"/>
    <w:rsid w:val="37971BCD"/>
    <w:rsid w:val="37A75B88"/>
    <w:rsid w:val="37D921E5"/>
    <w:rsid w:val="37F92887"/>
    <w:rsid w:val="37FC2378"/>
    <w:rsid w:val="380C2A2C"/>
    <w:rsid w:val="384B3FA8"/>
    <w:rsid w:val="3854528C"/>
    <w:rsid w:val="38565141"/>
    <w:rsid w:val="38602906"/>
    <w:rsid w:val="389F176C"/>
    <w:rsid w:val="38A00F55"/>
    <w:rsid w:val="38B95B73"/>
    <w:rsid w:val="38C26142"/>
    <w:rsid w:val="38C509BB"/>
    <w:rsid w:val="38C8225A"/>
    <w:rsid w:val="38CF183A"/>
    <w:rsid w:val="38CF3003"/>
    <w:rsid w:val="38E30E42"/>
    <w:rsid w:val="38EF5A38"/>
    <w:rsid w:val="39036257"/>
    <w:rsid w:val="390F1199"/>
    <w:rsid w:val="393618B9"/>
    <w:rsid w:val="39367F12"/>
    <w:rsid w:val="394538AA"/>
    <w:rsid w:val="39495149"/>
    <w:rsid w:val="394D5E49"/>
    <w:rsid w:val="39553AED"/>
    <w:rsid w:val="3986014B"/>
    <w:rsid w:val="39993E51"/>
    <w:rsid w:val="39AD02F7"/>
    <w:rsid w:val="39B5458C"/>
    <w:rsid w:val="39B60304"/>
    <w:rsid w:val="39DA2245"/>
    <w:rsid w:val="39DA3FF3"/>
    <w:rsid w:val="39DF3CFF"/>
    <w:rsid w:val="39E81075"/>
    <w:rsid w:val="39F71049"/>
    <w:rsid w:val="3A013C75"/>
    <w:rsid w:val="3A12378C"/>
    <w:rsid w:val="3A2B6F44"/>
    <w:rsid w:val="3A322081"/>
    <w:rsid w:val="3A331955"/>
    <w:rsid w:val="3A361B71"/>
    <w:rsid w:val="3A456E52"/>
    <w:rsid w:val="3A463AB7"/>
    <w:rsid w:val="3A4B6C9E"/>
    <w:rsid w:val="3A631110"/>
    <w:rsid w:val="3A7C32FC"/>
    <w:rsid w:val="3AC70A1B"/>
    <w:rsid w:val="3AD66EB0"/>
    <w:rsid w:val="3AEA64B7"/>
    <w:rsid w:val="3AF92B9E"/>
    <w:rsid w:val="3AFA0DF0"/>
    <w:rsid w:val="3B236ECD"/>
    <w:rsid w:val="3B337E5E"/>
    <w:rsid w:val="3B343BD6"/>
    <w:rsid w:val="3B382E53"/>
    <w:rsid w:val="3B3C653D"/>
    <w:rsid w:val="3B497682"/>
    <w:rsid w:val="3B49769C"/>
    <w:rsid w:val="3B53405D"/>
    <w:rsid w:val="3B691AD2"/>
    <w:rsid w:val="3B6E533A"/>
    <w:rsid w:val="3B783ACF"/>
    <w:rsid w:val="3B792482"/>
    <w:rsid w:val="3B7F30A4"/>
    <w:rsid w:val="3B8561E0"/>
    <w:rsid w:val="3B8B1A48"/>
    <w:rsid w:val="3B9A415A"/>
    <w:rsid w:val="3BA2244B"/>
    <w:rsid w:val="3BB07701"/>
    <w:rsid w:val="3BB2349B"/>
    <w:rsid w:val="3BB865B6"/>
    <w:rsid w:val="3BBF7944"/>
    <w:rsid w:val="3BC82C9D"/>
    <w:rsid w:val="3BEE1F9C"/>
    <w:rsid w:val="3C0D4B53"/>
    <w:rsid w:val="3C2105FF"/>
    <w:rsid w:val="3C372D23"/>
    <w:rsid w:val="3C447E49"/>
    <w:rsid w:val="3C4B380F"/>
    <w:rsid w:val="3C4F6F1A"/>
    <w:rsid w:val="3C511E12"/>
    <w:rsid w:val="3C5F2ED5"/>
    <w:rsid w:val="3C97441D"/>
    <w:rsid w:val="3C9B3F0D"/>
    <w:rsid w:val="3CA408E8"/>
    <w:rsid w:val="3CA64660"/>
    <w:rsid w:val="3CBD0327"/>
    <w:rsid w:val="3CC14C1F"/>
    <w:rsid w:val="3CD0758C"/>
    <w:rsid w:val="3CDE6FFD"/>
    <w:rsid w:val="3CE55188"/>
    <w:rsid w:val="3CF56BC9"/>
    <w:rsid w:val="3D0A4BEF"/>
    <w:rsid w:val="3D1F37E4"/>
    <w:rsid w:val="3D211F38"/>
    <w:rsid w:val="3D235CB1"/>
    <w:rsid w:val="3D31113A"/>
    <w:rsid w:val="3D37175C"/>
    <w:rsid w:val="3D3F4F70"/>
    <w:rsid w:val="3D695DB9"/>
    <w:rsid w:val="3D762284"/>
    <w:rsid w:val="3D864BBD"/>
    <w:rsid w:val="3DDD67A7"/>
    <w:rsid w:val="3DE23DBE"/>
    <w:rsid w:val="3E1A70B4"/>
    <w:rsid w:val="3E330175"/>
    <w:rsid w:val="3E655E3A"/>
    <w:rsid w:val="3E667746"/>
    <w:rsid w:val="3E885B96"/>
    <w:rsid w:val="3E8E35FE"/>
    <w:rsid w:val="3EB43064"/>
    <w:rsid w:val="3EB92D70"/>
    <w:rsid w:val="3ECD4126"/>
    <w:rsid w:val="3EF1250A"/>
    <w:rsid w:val="3EFC2C5D"/>
    <w:rsid w:val="3F0C66A8"/>
    <w:rsid w:val="3F163D1F"/>
    <w:rsid w:val="3F281CA4"/>
    <w:rsid w:val="3F2B709E"/>
    <w:rsid w:val="3F4500E9"/>
    <w:rsid w:val="3F450160"/>
    <w:rsid w:val="3F4C14EF"/>
    <w:rsid w:val="3F692622"/>
    <w:rsid w:val="3F7153F9"/>
    <w:rsid w:val="3F720A50"/>
    <w:rsid w:val="3F917849"/>
    <w:rsid w:val="3F9B0612"/>
    <w:rsid w:val="3F9D1D4A"/>
    <w:rsid w:val="3FA241A2"/>
    <w:rsid w:val="3FAA4467"/>
    <w:rsid w:val="3FAC01DF"/>
    <w:rsid w:val="3FB4343D"/>
    <w:rsid w:val="3FD85478"/>
    <w:rsid w:val="3FF37BBC"/>
    <w:rsid w:val="40155D85"/>
    <w:rsid w:val="403A57EB"/>
    <w:rsid w:val="404B3E9C"/>
    <w:rsid w:val="4061546E"/>
    <w:rsid w:val="4079067E"/>
    <w:rsid w:val="4093139F"/>
    <w:rsid w:val="409343AF"/>
    <w:rsid w:val="409A0980"/>
    <w:rsid w:val="40AC655D"/>
    <w:rsid w:val="40D75730"/>
    <w:rsid w:val="40E63BC5"/>
    <w:rsid w:val="40FA4F7A"/>
    <w:rsid w:val="41362456"/>
    <w:rsid w:val="413C37E5"/>
    <w:rsid w:val="41487F61"/>
    <w:rsid w:val="414A5F02"/>
    <w:rsid w:val="415648A7"/>
    <w:rsid w:val="415A71E1"/>
    <w:rsid w:val="41630D72"/>
    <w:rsid w:val="419B675D"/>
    <w:rsid w:val="419F484B"/>
    <w:rsid w:val="41AA69A0"/>
    <w:rsid w:val="41B15F81"/>
    <w:rsid w:val="41C31810"/>
    <w:rsid w:val="41E225DE"/>
    <w:rsid w:val="41F8595E"/>
    <w:rsid w:val="420C600C"/>
    <w:rsid w:val="42100EF9"/>
    <w:rsid w:val="4214206C"/>
    <w:rsid w:val="421B164C"/>
    <w:rsid w:val="422246E7"/>
    <w:rsid w:val="422B5D33"/>
    <w:rsid w:val="42312D26"/>
    <w:rsid w:val="42454372"/>
    <w:rsid w:val="42573796"/>
    <w:rsid w:val="426E5C20"/>
    <w:rsid w:val="42755200"/>
    <w:rsid w:val="42786A9F"/>
    <w:rsid w:val="428B67D2"/>
    <w:rsid w:val="428E0070"/>
    <w:rsid w:val="42943344"/>
    <w:rsid w:val="42975177"/>
    <w:rsid w:val="42C615B8"/>
    <w:rsid w:val="42D77C69"/>
    <w:rsid w:val="42EB2B81"/>
    <w:rsid w:val="42FC322C"/>
    <w:rsid w:val="43046BE3"/>
    <w:rsid w:val="43171E14"/>
    <w:rsid w:val="4329542D"/>
    <w:rsid w:val="43484F88"/>
    <w:rsid w:val="435C1F1C"/>
    <w:rsid w:val="437216C9"/>
    <w:rsid w:val="4385588B"/>
    <w:rsid w:val="4387343D"/>
    <w:rsid w:val="43882D11"/>
    <w:rsid w:val="43884ABF"/>
    <w:rsid w:val="43911BC6"/>
    <w:rsid w:val="43972F54"/>
    <w:rsid w:val="439E42E3"/>
    <w:rsid w:val="43A124B3"/>
    <w:rsid w:val="43A538C3"/>
    <w:rsid w:val="43BB4E95"/>
    <w:rsid w:val="43C55D14"/>
    <w:rsid w:val="43D85A47"/>
    <w:rsid w:val="43DE0B83"/>
    <w:rsid w:val="43E73EDC"/>
    <w:rsid w:val="43E97C54"/>
    <w:rsid w:val="43F839F3"/>
    <w:rsid w:val="44022AC4"/>
    <w:rsid w:val="44044A8E"/>
    <w:rsid w:val="44236B1E"/>
    <w:rsid w:val="44244662"/>
    <w:rsid w:val="444158E6"/>
    <w:rsid w:val="44564BBE"/>
    <w:rsid w:val="445C09D8"/>
    <w:rsid w:val="445F34D1"/>
    <w:rsid w:val="44641089"/>
    <w:rsid w:val="446948F1"/>
    <w:rsid w:val="449A14D1"/>
    <w:rsid w:val="44C11AA6"/>
    <w:rsid w:val="44D04970"/>
    <w:rsid w:val="44D426B2"/>
    <w:rsid w:val="44E346A3"/>
    <w:rsid w:val="44E67CEF"/>
    <w:rsid w:val="44F3240C"/>
    <w:rsid w:val="44F82370"/>
    <w:rsid w:val="45110AAC"/>
    <w:rsid w:val="45123CB8"/>
    <w:rsid w:val="451A208F"/>
    <w:rsid w:val="45350C77"/>
    <w:rsid w:val="45415D40"/>
    <w:rsid w:val="45435142"/>
    <w:rsid w:val="45451DF1"/>
    <w:rsid w:val="45490111"/>
    <w:rsid w:val="45570447"/>
    <w:rsid w:val="4565330A"/>
    <w:rsid w:val="45682DFA"/>
    <w:rsid w:val="45723C79"/>
    <w:rsid w:val="457378F7"/>
    <w:rsid w:val="45DB537A"/>
    <w:rsid w:val="45DE130F"/>
    <w:rsid w:val="45E00BE3"/>
    <w:rsid w:val="45EF3280"/>
    <w:rsid w:val="45F43872"/>
    <w:rsid w:val="460D5750"/>
    <w:rsid w:val="46113492"/>
    <w:rsid w:val="461B3AA5"/>
    <w:rsid w:val="462C5BD6"/>
    <w:rsid w:val="462E5DF2"/>
    <w:rsid w:val="46362EF9"/>
    <w:rsid w:val="464C0026"/>
    <w:rsid w:val="46590D6C"/>
    <w:rsid w:val="465E4A23"/>
    <w:rsid w:val="4672304E"/>
    <w:rsid w:val="46843C64"/>
    <w:rsid w:val="468A661A"/>
    <w:rsid w:val="469F45FA"/>
    <w:rsid w:val="46A460B4"/>
    <w:rsid w:val="46AF05B5"/>
    <w:rsid w:val="46D30747"/>
    <w:rsid w:val="46E14C12"/>
    <w:rsid w:val="46F04E55"/>
    <w:rsid w:val="470D3C59"/>
    <w:rsid w:val="472B1462"/>
    <w:rsid w:val="473B0E1B"/>
    <w:rsid w:val="473F27FF"/>
    <w:rsid w:val="476017C6"/>
    <w:rsid w:val="476B0980"/>
    <w:rsid w:val="47745A86"/>
    <w:rsid w:val="477A0BC3"/>
    <w:rsid w:val="477C6AB3"/>
    <w:rsid w:val="47811F51"/>
    <w:rsid w:val="47833F1C"/>
    <w:rsid w:val="478E2D76"/>
    <w:rsid w:val="47A65E5C"/>
    <w:rsid w:val="47AB6FCE"/>
    <w:rsid w:val="47B71E17"/>
    <w:rsid w:val="47CA7D9C"/>
    <w:rsid w:val="47E67FE2"/>
    <w:rsid w:val="47F0014A"/>
    <w:rsid w:val="481903DC"/>
    <w:rsid w:val="486C0E54"/>
    <w:rsid w:val="48740AF8"/>
    <w:rsid w:val="487B247F"/>
    <w:rsid w:val="48907EB9"/>
    <w:rsid w:val="48B56357"/>
    <w:rsid w:val="48B955C2"/>
    <w:rsid w:val="48B9571B"/>
    <w:rsid w:val="48BA396D"/>
    <w:rsid w:val="48F30C2D"/>
    <w:rsid w:val="48F86243"/>
    <w:rsid w:val="490177EE"/>
    <w:rsid w:val="49025314"/>
    <w:rsid w:val="490270C2"/>
    <w:rsid w:val="490D6193"/>
    <w:rsid w:val="490E1F0B"/>
    <w:rsid w:val="492B090F"/>
    <w:rsid w:val="4932003B"/>
    <w:rsid w:val="49382AE4"/>
    <w:rsid w:val="49417BEA"/>
    <w:rsid w:val="4968786D"/>
    <w:rsid w:val="496F0BFB"/>
    <w:rsid w:val="49734B65"/>
    <w:rsid w:val="49843F7B"/>
    <w:rsid w:val="498E0956"/>
    <w:rsid w:val="49911DC2"/>
    <w:rsid w:val="499A718B"/>
    <w:rsid w:val="49B52386"/>
    <w:rsid w:val="49DF11B1"/>
    <w:rsid w:val="49EC3FFA"/>
    <w:rsid w:val="49F72751"/>
    <w:rsid w:val="4A1B668D"/>
    <w:rsid w:val="4A1E3C56"/>
    <w:rsid w:val="4A1E617D"/>
    <w:rsid w:val="4A280647"/>
    <w:rsid w:val="4A3B69AF"/>
    <w:rsid w:val="4A421E6C"/>
    <w:rsid w:val="4A730023"/>
    <w:rsid w:val="4A8833F8"/>
    <w:rsid w:val="4A8A619F"/>
    <w:rsid w:val="4AA2290B"/>
    <w:rsid w:val="4AD46AF0"/>
    <w:rsid w:val="4ADF76BB"/>
    <w:rsid w:val="4AE1272C"/>
    <w:rsid w:val="4B125FF6"/>
    <w:rsid w:val="4B2B2900"/>
    <w:rsid w:val="4B3F45FD"/>
    <w:rsid w:val="4B4614E8"/>
    <w:rsid w:val="4B6C4CC7"/>
    <w:rsid w:val="4B7D0C82"/>
    <w:rsid w:val="4B8057E5"/>
    <w:rsid w:val="4B865D88"/>
    <w:rsid w:val="4B8B339F"/>
    <w:rsid w:val="4B92472D"/>
    <w:rsid w:val="4BA97CC9"/>
    <w:rsid w:val="4BD016F9"/>
    <w:rsid w:val="4BF47196"/>
    <w:rsid w:val="4C0575F5"/>
    <w:rsid w:val="4C0D46FC"/>
    <w:rsid w:val="4C2B503E"/>
    <w:rsid w:val="4C312198"/>
    <w:rsid w:val="4C3253A4"/>
    <w:rsid w:val="4C481290"/>
    <w:rsid w:val="4C5C4D3B"/>
    <w:rsid w:val="4C63273B"/>
    <w:rsid w:val="4C787DC7"/>
    <w:rsid w:val="4C8449BE"/>
    <w:rsid w:val="4C987D10"/>
    <w:rsid w:val="4CA94424"/>
    <w:rsid w:val="4CAA3CF8"/>
    <w:rsid w:val="4CBE77A4"/>
    <w:rsid w:val="4CD62D3F"/>
    <w:rsid w:val="4CE0771A"/>
    <w:rsid w:val="4CF051AC"/>
    <w:rsid w:val="4D0C050F"/>
    <w:rsid w:val="4D275349"/>
    <w:rsid w:val="4D331F40"/>
    <w:rsid w:val="4D3B0DF4"/>
    <w:rsid w:val="4D7F6F33"/>
    <w:rsid w:val="4D8409ED"/>
    <w:rsid w:val="4D9549A9"/>
    <w:rsid w:val="4D9D16E6"/>
    <w:rsid w:val="4DB017E2"/>
    <w:rsid w:val="4DB82445"/>
    <w:rsid w:val="4DC25072"/>
    <w:rsid w:val="4DC96400"/>
    <w:rsid w:val="4DE02C4F"/>
    <w:rsid w:val="4DE106CB"/>
    <w:rsid w:val="4DEB281B"/>
    <w:rsid w:val="4E10402F"/>
    <w:rsid w:val="4E121B55"/>
    <w:rsid w:val="4E2B2C17"/>
    <w:rsid w:val="4E505C68"/>
    <w:rsid w:val="4E573A0C"/>
    <w:rsid w:val="4E5C1022"/>
    <w:rsid w:val="4E6E30AF"/>
    <w:rsid w:val="4E760336"/>
    <w:rsid w:val="4E7C16C5"/>
    <w:rsid w:val="4E9425A3"/>
    <w:rsid w:val="4EAC6FD6"/>
    <w:rsid w:val="4EB250E6"/>
    <w:rsid w:val="4EBE1CDD"/>
    <w:rsid w:val="4EC05A55"/>
    <w:rsid w:val="4EC83203"/>
    <w:rsid w:val="4ECA0682"/>
    <w:rsid w:val="4ECC6B37"/>
    <w:rsid w:val="4ECD0674"/>
    <w:rsid w:val="4EE47996"/>
    <w:rsid w:val="4EE74D90"/>
    <w:rsid w:val="4EEF633A"/>
    <w:rsid w:val="4EFB083B"/>
    <w:rsid w:val="4F1D6A04"/>
    <w:rsid w:val="4F2935FA"/>
    <w:rsid w:val="4F495A4B"/>
    <w:rsid w:val="4F587A3C"/>
    <w:rsid w:val="4F6C6BDA"/>
    <w:rsid w:val="4F7E394E"/>
    <w:rsid w:val="4F7F2029"/>
    <w:rsid w:val="4F870321"/>
    <w:rsid w:val="4F9071D6"/>
    <w:rsid w:val="4F9547EC"/>
    <w:rsid w:val="4F993FF4"/>
    <w:rsid w:val="4FAB64AD"/>
    <w:rsid w:val="4FBD3D43"/>
    <w:rsid w:val="4FE6773D"/>
    <w:rsid w:val="4FF43AC5"/>
    <w:rsid w:val="4FF77255"/>
    <w:rsid w:val="4FFE4A87"/>
    <w:rsid w:val="50021FFF"/>
    <w:rsid w:val="50106568"/>
    <w:rsid w:val="501222E0"/>
    <w:rsid w:val="501F0559"/>
    <w:rsid w:val="5023629C"/>
    <w:rsid w:val="503A5393"/>
    <w:rsid w:val="503F29AA"/>
    <w:rsid w:val="5043249A"/>
    <w:rsid w:val="505521CD"/>
    <w:rsid w:val="50800FC2"/>
    <w:rsid w:val="50827466"/>
    <w:rsid w:val="50A078EC"/>
    <w:rsid w:val="50B679A2"/>
    <w:rsid w:val="50D21A70"/>
    <w:rsid w:val="50D457E8"/>
    <w:rsid w:val="50D75B0C"/>
    <w:rsid w:val="50FB4B23"/>
    <w:rsid w:val="51163F32"/>
    <w:rsid w:val="51183927"/>
    <w:rsid w:val="51226553"/>
    <w:rsid w:val="514E7348"/>
    <w:rsid w:val="51516E38"/>
    <w:rsid w:val="51522100"/>
    <w:rsid w:val="519A433C"/>
    <w:rsid w:val="51AE366B"/>
    <w:rsid w:val="51D823BF"/>
    <w:rsid w:val="51DF0427"/>
    <w:rsid w:val="51E67581"/>
    <w:rsid w:val="51F83758"/>
    <w:rsid w:val="520B3E30"/>
    <w:rsid w:val="521A547C"/>
    <w:rsid w:val="521F6F37"/>
    <w:rsid w:val="5246001F"/>
    <w:rsid w:val="52972F71"/>
    <w:rsid w:val="52B0193D"/>
    <w:rsid w:val="52BC29D7"/>
    <w:rsid w:val="52C8312A"/>
    <w:rsid w:val="52DB5A27"/>
    <w:rsid w:val="52DD4E28"/>
    <w:rsid w:val="52DE4AD3"/>
    <w:rsid w:val="52E70521"/>
    <w:rsid w:val="52FB52AE"/>
    <w:rsid w:val="52FE08FA"/>
    <w:rsid w:val="531F04EC"/>
    <w:rsid w:val="532145E9"/>
    <w:rsid w:val="53220A8C"/>
    <w:rsid w:val="532E2213"/>
    <w:rsid w:val="533026AA"/>
    <w:rsid w:val="53487DC7"/>
    <w:rsid w:val="534C78B7"/>
    <w:rsid w:val="534D3630"/>
    <w:rsid w:val="53807561"/>
    <w:rsid w:val="5382152B"/>
    <w:rsid w:val="538708F0"/>
    <w:rsid w:val="538E7D0E"/>
    <w:rsid w:val="53973DEB"/>
    <w:rsid w:val="53A56FC8"/>
    <w:rsid w:val="53B4545D"/>
    <w:rsid w:val="53B8319F"/>
    <w:rsid w:val="53DF24DA"/>
    <w:rsid w:val="53F65A75"/>
    <w:rsid w:val="53FB308C"/>
    <w:rsid w:val="5416466D"/>
    <w:rsid w:val="541A1764"/>
    <w:rsid w:val="542F214A"/>
    <w:rsid w:val="54302D35"/>
    <w:rsid w:val="54316AAD"/>
    <w:rsid w:val="543640C4"/>
    <w:rsid w:val="543A3BB4"/>
    <w:rsid w:val="545463FE"/>
    <w:rsid w:val="54640C31"/>
    <w:rsid w:val="54661645"/>
    <w:rsid w:val="547F3CBD"/>
    <w:rsid w:val="54956E0B"/>
    <w:rsid w:val="54A343F4"/>
    <w:rsid w:val="54AA0D3A"/>
    <w:rsid w:val="54AB6860"/>
    <w:rsid w:val="54BB2F47"/>
    <w:rsid w:val="54BE216E"/>
    <w:rsid w:val="54BF40B9"/>
    <w:rsid w:val="54D73AF9"/>
    <w:rsid w:val="54D933CD"/>
    <w:rsid w:val="54DF37FA"/>
    <w:rsid w:val="550D2661"/>
    <w:rsid w:val="550F3292"/>
    <w:rsid w:val="552A3C28"/>
    <w:rsid w:val="55563AD1"/>
    <w:rsid w:val="555D2250"/>
    <w:rsid w:val="558722C8"/>
    <w:rsid w:val="55AC6D33"/>
    <w:rsid w:val="55AD03B6"/>
    <w:rsid w:val="55BD221A"/>
    <w:rsid w:val="55C027DF"/>
    <w:rsid w:val="55CE2806"/>
    <w:rsid w:val="55D63DB0"/>
    <w:rsid w:val="55DB3175"/>
    <w:rsid w:val="55EE4C56"/>
    <w:rsid w:val="55F61D5C"/>
    <w:rsid w:val="56051FA0"/>
    <w:rsid w:val="56222B52"/>
    <w:rsid w:val="562A1B91"/>
    <w:rsid w:val="562B40FC"/>
    <w:rsid w:val="562B5B9A"/>
    <w:rsid w:val="56331D5B"/>
    <w:rsid w:val="5637484F"/>
    <w:rsid w:val="5640122A"/>
    <w:rsid w:val="564927D4"/>
    <w:rsid w:val="56570A4D"/>
    <w:rsid w:val="565E627F"/>
    <w:rsid w:val="568A7075"/>
    <w:rsid w:val="56AB7BA5"/>
    <w:rsid w:val="56AF3861"/>
    <w:rsid w:val="56B85264"/>
    <w:rsid w:val="56CA56C3"/>
    <w:rsid w:val="56CF0F2B"/>
    <w:rsid w:val="56DC53F6"/>
    <w:rsid w:val="571406EC"/>
    <w:rsid w:val="5714693E"/>
    <w:rsid w:val="573F67D1"/>
    <w:rsid w:val="575C2093"/>
    <w:rsid w:val="576D604E"/>
    <w:rsid w:val="57706229"/>
    <w:rsid w:val="57862E7B"/>
    <w:rsid w:val="578C2978"/>
    <w:rsid w:val="57BE4AFC"/>
    <w:rsid w:val="57C2639A"/>
    <w:rsid w:val="57CE11E3"/>
    <w:rsid w:val="57CF2865"/>
    <w:rsid w:val="57E07028"/>
    <w:rsid w:val="57E207EA"/>
    <w:rsid w:val="57EC78BB"/>
    <w:rsid w:val="57F549C2"/>
    <w:rsid w:val="580764A3"/>
    <w:rsid w:val="58260F8E"/>
    <w:rsid w:val="582C5F09"/>
    <w:rsid w:val="586C6306"/>
    <w:rsid w:val="58737694"/>
    <w:rsid w:val="587F072F"/>
    <w:rsid w:val="58A27A6B"/>
    <w:rsid w:val="58BA1767"/>
    <w:rsid w:val="59215342"/>
    <w:rsid w:val="5928001D"/>
    <w:rsid w:val="592941F7"/>
    <w:rsid w:val="592A3C50"/>
    <w:rsid w:val="594026BD"/>
    <w:rsid w:val="59460076"/>
    <w:rsid w:val="59515D8A"/>
    <w:rsid w:val="595C637A"/>
    <w:rsid w:val="5960477C"/>
    <w:rsid w:val="5967574F"/>
    <w:rsid w:val="596B66F6"/>
    <w:rsid w:val="596C2A61"/>
    <w:rsid w:val="596F6178"/>
    <w:rsid w:val="597E2795"/>
    <w:rsid w:val="59A5674B"/>
    <w:rsid w:val="59AD4E28"/>
    <w:rsid w:val="59BD150F"/>
    <w:rsid w:val="59BE0DE3"/>
    <w:rsid w:val="59C53F20"/>
    <w:rsid w:val="59D535F0"/>
    <w:rsid w:val="5A0228E9"/>
    <w:rsid w:val="5A0507C0"/>
    <w:rsid w:val="5A146C55"/>
    <w:rsid w:val="5A151F73"/>
    <w:rsid w:val="5A582FE6"/>
    <w:rsid w:val="5AA77AC9"/>
    <w:rsid w:val="5AA91A93"/>
    <w:rsid w:val="5ABE4B07"/>
    <w:rsid w:val="5AC266B1"/>
    <w:rsid w:val="5AEE74A6"/>
    <w:rsid w:val="5AFA409D"/>
    <w:rsid w:val="5AFA5E4B"/>
    <w:rsid w:val="5B031265"/>
    <w:rsid w:val="5B307ABF"/>
    <w:rsid w:val="5B321A89"/>
    <w:rsid w:val="5B32273E"/>
    <w:rsid w:val="5B353327"/>
    <w:rsid w:val="5B386973"/>
    <w:rsid w:val="5B4602DF"/>
    <w:rsid w:val="5B4A6DD2"/>
    <w:rsid w:val="5B57329D"/>
    <w:rsid w:val="5B6854AA"/>
    <w:rsid w:val="5B6F6839"/>
    <w:rsid w:val="5B751975"/>
    <w:rsid w:val="5B765E19"/>
    <w:rsid w:val="5B8147BE"/>
    <w:rsid w:val="5B920779"/>
    <w:rsid w:val="5B977B3E"/>
    <w:rsid w:val="5BB74B2C"/>
    <w:rsid w:val="5BBB382C"/>
    <w:rsid w:val="5BCC1E57"/>
    <w:rsid w:val="5BD41E6E"/>
    <w:rsid w:val="5BEA2363"/>
    <w:rsid w:val="5BEA5EBF"/>
    <w:rsid w:val="5BF64864"/>
    <w:rsid w:val="5BF705DC"/>
    <w:rsid w:val="5C2C64D8"/>
    <w:rsid w:val="5C3A6E47"/>
    <w:rsid w:val="5C3B1922"/>
    <w:rsid w:val="5C537F09"/>
    <w:rsid w:val="5C5477DD"/>
    <w:rsid w:val="5C5E2B95"/>
    <w:rsid w:val="5C9A5B38"/>
    <w:rsid w:val="5C9C18B0"/>
    <w:rsid w:val="5CA17B70"/>
    <w:rsid w:val="5CA40764"/>
    <w:rsid w:val="5CAB5170"/>
    <w:rsid w:val="5CBD5382"/>
    <w:rsid w:val="5CD32DF8"/>
    <w:rsid w:val="5CE62B2B"/>
    <w:rsid w:val="5D0C07A2"/>
    <w:rsid w:val="5D290C69"/>
    <w:rsid w:val="5D397E35"/>
    <w:rsid w:val="5DA0717E"/>
    <w:rsid w:val="5DB42C29"/>
    <w:rsid w:val="5DBD1FCA"/>
    <w:rsid w:val="5DD15589"/>
    <w:rsid w:val="5DEF65CC"/>
    <w:rsid w:val="5E192A8C"/>
    <w:rsid w:val="5E1C432A"/>
    <w:rsid w:val="5E257683"/>
    <w:rsid w:val="5E282CCF"/>
    <w:rsid w:val="5E4D0988"/>
    <w:rsid w:val="5E510478"/>
    <w:rsid w:val="5E714676"/>
    <w:rsid w:val="5E8425FB"/>
    <w:rsid w:val="5E8C6F99"/>
    <w:rsid w:val="5E8E347A"/>
    <w:rsid w:val="5EA010F6"/>
    <w:rsid w:val="5ECF75EF"/>
    <w:rsid w:val="5ED54C05"/>
    <w:rsid w:val="5EF2352E"/>
    <w:rsid w:val="5EF300AC"/>
    <w:rsid w:val="5EF57055"/>
    <w:rsid w:val="5EF763C6"/>
    <w:rsid w:val="5F08322C"/>
    <w:rsid w:val="5F4E6765"/>
    <w:rsid w:val="5F5A5163"/>
    <w:rsid w:val="5F5D7160"/>
    <w:rsid w:val="5F7206A6"/>
    <w:rsid w:val="5F7408C2"/>
    <w:rsid w:val="5F887EC9"/>
    <w:rsid w:val="5F893C41"/>
    <w:rsid w:val="5F8B79B9"/>
    <w:rsid w:val="5FA52946"/>
    <w:rsid w:val="5FB23198"/>
    <w:rsid w:val="5FD70E51"/>
    <w:rsid w:val="5FEF7F48"/>
    <w:rsid w:val="5FF217E7"/>
    <w:rsid w:val="5FF27A39"/>
    <w:rsid w:val="5FF76DFD"/>
    <w:rsid w:val="5FFE1F39"/>
    <w:rsid w:val="6005776C"/>
    <w:rsid w:val="60060FEE"/>
    <w:rsid w:val="602A0F80"/>
    <w:rsid w:val="60462E90"/>
    <w:rsid w:val="60536729"/>
    <w:rsid w:val="608368E3"/>
    <w:rsid w:val="608F7035"/>
    <w:rsid w:val="60A30D33"/>
    <w:rsid w:val="60A96349"/>
    <w:rsid w:val="60C2740B"/>
    <w:rsid w:val="60D94755"/>
    <w:rsid w:val="60F021CA"/>
    <w:rsid w:val="611834CF"/>
    <w:rsid w:val="61530A39"/>
    <w:rsid w:val="6183303E"/>
    <w:rsid w:val="61923281"/>
    <w:rsid w:val="61AC3CD1"/>
    <w:rsid w:val="61B054B5"/>
    <w:rsid w:val="61E04EB2"/>
    <w:rsid w:val="61FA4982"/>
    <w:rsid w:val="61FE695C"/>
    <w:rsid w:val="621912AD"/>
    <w:rsid w:val="621C6FEF"/>
    <w:rsid w:val="623076A4"/>
    <w:rsid w:val="62326812"/>
    <w:rsid w:val="62392C11"/>
    <w:rsid w:val="62571DD5"/>
    <w:rsid w:val="625B7377"/>
    <w:rsid w:val="6278019C"/>
    <w:rsid w:val="6285420B"/>
    <w:rsid w:val="628C1A7E"/>
    <w:rsid w:val="629B7F14"/>
    <w:rsid w:val="62A96AD4"/>
    <w:rsid w:val="62B2525D"/>
    <w:rsid w:val="62B66AFB"/>
    <w:rsid w:val="62C0797A"/>
    <w:rsid w:val="62E01AAE"/>
    <w:rsid w:val="62FB09B2"/>
    <w:rsid w:val="62FE04A2"/>
    <w:rsid w:val="631D29EB"/>
    <w:rsid w:val="633C6169"/>
    <w:rsid w:val="63500CFE"/>
    <w:rsid w:val="637A3FCD"/>
    <w:rsid w:val="63822EAD"/>
    <w:rsid w:val="63B70D7D"/>
    <w:rsid w:val="63D23E09"/>
    <w:rsid w:val="63E234B7"/>
    <w:rsid w:val="63F773CC"/>
    <w:rsid w:val="64047D3A"/>
    <w:rsid w:val="64300F47"/>
    <w:rsid w:val="64483336"/>
    <w:rsid w:val="644F0FB6"/>
    <w:rsid w:val="645E38EF"/>
    <w:rsid w:val="646C600B"/>
    <w:rsid w:val="64942E6C"/>
    <w:rsid w:val="64AC6408"/>
    <w:rsid w:val="64AE53F9"/>
    <w:rsid w:val="64D63485"/>
    <w:rsid w:val="6500647B"/>
    <w:rsid w:val="65085608"/>
    <w:rsid w:val="65091AAC"/>
    <w:rsid w:val="65110961"/>
    <w:rsid w:val="6518767F"/>
    <w:rsid w:val="65237AC1"/>
    <w:rsid w:val="653603C7"/>
    <w:rsid w:val="65362175"/>
    <w:rsid w:val="656767D3"/>
    <w:rsid w:val="65801643"/>
    <w:rsid w:val="6598698C"/>
    <w:rsid w:val="65A13CC9"/>
    <w:rsid w:val="65E120E1"/>
    <w:rsid w:val="660D737A"/>
    <w:rsid w:val="661A38C3"/>
    <w:rsid w:val="661E2CB4"/>
    <w:rsid w:val="66227891"/>
    <w:rsid w:val="6632293D"/>
    <w:rsid w:val="664E603D"/>
    <w:rsid w:val="666F1DE3"/>
    <w:rsid w:val="66A870A3"/>
    <w:rsid w:val="66AD46B9"/>
    <w:rsid w:val="66C1550E"/>
    <w:rsid w:val="66C739CD"/>
    <w:rsid w:val="66CD4D5B"/>
    <w:rsid w:val="66DD6797"/>
    <w:rsid w:val="66F66060"/>
    <w:rsid w:val="66F67E0E"/>
    <w:rsid w:val="670818F0"/>
    <w:rsid w:val="671D183F"/>
    <w:rsid w:val="67293782"/>
    <w:rsid w:val="673646AF"/>
    <w:rsid w:val="675114E9"/>
    <w:rsid w:val="675863D3"/>
    <w:rsid w:val="679703E1"/>
    <w:rsid w:val="67A17496"/>
    <w:rsid w:val="67A965FC"/>
    <w:rsid w:val="67BD092C"/>
    <w:rsid w:val="67D839B8"/>
    <w:rsid w:val="67F72090"/>
    <w:rsid w:val="68182006"/>
    <w:rsid w:val="681C1AF7"/>
    <w:rsid w:val="683926A8"/>
    <w:rsid w:val="685272C6"/>
    <w:rsid w:val="68537CAF"/>
    <w:rsid w:val="685F3791"/>
    <w:rsid w:val="68725BBA"/>
    <w:rsid w:val="68757459"/>
    <w:rsid w:val="687A4A6F"/>
    <w:rsid w:val="688C5099"/>
    <w:rsid w:val="68953657"/>
    <w:rsid w:val="68B735CD"/>
    <w:rsid w:val="68C1444C"/>
    <w:rsid w:val="68D73C6F"/>
    <w:rsid w:val="68E51EE8"/>
    <w:rsid w:val="68EA5751"/>
    <w:rsid w:val="68F570FB"/>
    <w:rsid w:val="69227DA0"/>
    <w:rsid w:val="69456E2B"/>
    <w:rsid w:val="69531548"/>
    <w:rsid w:val="6958090C"/>
    <w:rsid w:val="696F3EA8"/>
    <w:rsid w:val="69731BEA"/>
    <w:rsid w:val="69765236"/>
    <w:rsid w:val="69790883"/>
    <w:rsid w:val="697A2F79"/>
    <w:rsid w:val="69935DE8"/>
    <w:rsid w:val="69A47FF6"/>
    <w:rsid w:val="69A87C65"/>
    <w:rsid w:val="69DE2100"/>
    <w:rsid w:val="69DF77E8"/>
    <w:rsid w:val="69EE301F"/>
    <w:rsid w:val="69FB1963"/>
    <w:rsid w:val="6A3F35DF"/>
    <w:rsid w:val="6A5D1F52"/>
    <w:rsid w:val="6A7C062B"/>
    <w:rsid w:val="6AA25BA0"/>
    <w:rsid w:val="6AA3205B"/>
    <w:rsid w:val="6AAB0F10"/>
    <w:rsid w:val="6AAD2EDA"/>
    <w:rsid w:val="6AB8548E"/>
    <w:rsid w:val="6ABC577D"/>
    <w:rsid w:val="6ACD70D8"/>
    <w:rsid w:val="6AE12B83"/>
    <w:rsid w:val="6AE42367"/>
    <w:rsid w:val="6AFE7291"/>
    <w:rsid w:val="6B054AC4"/>
    <w:rsid w:val="6B106FC5"/>
    <w:rsid w:val="6B225676"/>
    <w:rsid w:val="6B3A462E"/>
    <w:rsid w:val="6B422808"/>
    <w:rsid w:val="6B476E8A"/>
    <w:rsid w:val="6B4B5217"/>
    <w:rsid w:val="6B5C5F4B"/>
    <w:rsid w:val="6B680BAF"/>
    <w:rsid w:val="6B8A1717"/>
    <w:rsid w:val="6B8C6F93"/>
    <w:rsid w:val="6BC56001"/>
    <w:rsid w:val="6BCC7390"/>
    <w:rsid w:val="6BD36970"/>
    <w:rsid w:val="6BD526E8"/>
    <w:rsid w:val="6C092392"/>
    <w:rsid w:val="6C17069E"/>
    <w:rsid w:val="6C2225DD"/>
    <w:rsid w:val="6C2830FF"/>
    <w:rsid w:val="6C5850C7"/>
    <w:rsid w:val="6C6B0957"/>
    <w:rsid w:val="6C832144"/>
    <w:rsid w:val="6C89702F"/>
    <w:rsid w:val="6C9C18EB"/>
    <w:rsid w:val="6CCD7863"/>
    <w:rsid w:val="6CD504C6"/>
    <w:rsid w:val="6CD52274"/>
    <w:rsid w:val="6CDD364E"/>
    <w:rsid w:val="6CF46B9E"/>
    <w:rsid w:val="6CF92406"/>
    <w:rsid w:val="6CFC3CA5"/>
    <w:rsid w:val="6D0824AC"/>
    <w:rsid w:val="6D147240"/>
    <w:rsid w:val="6D196605"/>
    <w:rsid w:val="6D21370B"/>
    <w:rsid w:val="6D3B18E0"/>
    <w:rsid w:val="6D3B18E9"/>
    <w:rsid w:val="6D57537F"/>
    <w:rsid w:val="6D6C42DF"/>
    <w:rsid w:val="6D77332B"/>
    <w:rsid w:val="6D800432"/>
    <w:rsid w:val="6D940381"/>
    <w:rsid w:val="6D9C3AFC"/>
    <w:rsid w:val="6DAC1227"/>
    <w:rsid w:val="6DBB76BC"/>
    <w:rsid w:val="6DD469CF"/>
    <w:rsid w:val="6E22773B"/>
    <w:rsid w:val="6E2A4841"/>
    <w:rsid w:val="6E443B55"/>
    <w:rsid w:val="6E4D48BB"/>
    <w:rsid w:val="6E4E0530"/>
    <w:rsid w:val="6E5B2C4D"/>
    <w:rsid w:val="6E5F44EB"/>
    <w:rsid w:val="6E6164B5"/>
    <w:rsid w:val="6E6236E7"/>
    <w:rsid w:val="6E6935BC"/>
    <w:rsid w:val="6E91041D"/>
    <w:rsid w:val="6E9F4B86"/>
    <w:rsid w:val="6EB02F99"/>
    <w:rsid w:val="6EB8556A"/>
    <w:rsid w:val="6EBC36EB"/>
    <w:rsid w:val="6EDC5B3C"/>
    <w:rsid w:val="6EDE1649"/>
    <w:rsid w:val="6EEE586F"/>
    <w:rsid w:val="6F064E06"/>
    <w:rsid w:val="6F094457"/>
    <w:rsid w:val="6F155FCF"/>
    <w:rsid w:val="6F176B74"/>
    <w:rsid w:val="6F2E4DF8"/>
    <w:rsid w:val="6F360C58"/>
    <w:rsid w:val="6F636421"/>
    <w:rsid w:val="6F6B5112"/>
    <w:rsid w:val="6F6E6EC3"/>
    <w:rsid w:val="6F7264A0"/>
    <w:rsid w:val="6F765F90"/>
    <w:rsid w:val="6F9401C4"/>
    <w:rsid w:val="6FB915A7"/>
    <w:rsid w:val="6FC14D32"/>
    <w:rsid w:val="6FC64E5B"/>
    <w:rsid w:val="6FCD1928"/>
    <w:rsid w:val="6FD902CD"/>
    <w:rsid w:val="6FDE58E3"/>
    <w:rsid w:val="6FE61F3E"/>
    <w:rsid w:val="6FF9428D"/>
    <w:rsid w:val="70161521"/>
    <w:rsid w:val="702F613F"/>
    <w:rsid w:val="703244E4"/>
    <w:rsid w:val="705636CC"/>
    <w:rsid w:val="70D31B19"/>
    <w:rsid w:val="70FD0CB3"/>
    <w:rsid w:val="711E0B5E"/>
    <w:rsid w:val="712A5284"/>
    <w:rsid w:val="7130216F"/>
    <w:rsid w:val="713C4FB8"/>
    <w:rsid w:val="71687AE4"/>
    <w:rsid w:val="718F158B"/>
    <w:rsid w:val="71A004FF"/>
    <w:rsid w:val="71C50B09"/>
    <w:rsid w:val="71C8684B"/>
    <w:rsid w:val="71DC40A5"/>
    <w:rsid w:val="71E03B95"/>
    <w:rsid w:val="71E116BB"/>
    <w:rsid w:val="71F615DC"/>
    <w:rsid w:val="71FE04BF"/>
    <w:rsid w:val="720F7FD6"/>
    <w:rsid w:val="72121874"/>
    <w:rsid w:val="7229553C"/>
    <w:rsid w:val="72323CC5"/>
    <w:rsid w:val="724B2077"/>
    <w:rsid w:val="72691DDC"/>
    <w:rsid w:val="726F4F19"/>
    <w:rsid w:val="726F7FB0"/>
    <w:rsid w:val="72A46970"/>
    <w:rsid w:val="72B50B7E"/>
    <w:rsid w:val="72C139C6"/>
    <w:rsid w:val="72C62D8B"/>
    <w:rsid w:val="72D57833"/>
    <w:rsid w:val="72DC25AE"/>
    <w:rsid w:val="72FC49FE"/>
    <w:rsid w:val="732D75E2"/>
    <w:rsid w:val="732E0930"/>
    <w:rsid w:val="73335F46"/>
    <w:rsid w:val="73373C88"/>
    <w:rsid w:val="733E4E7F"/>
    <w:rsid w:val="7358775B"/>
    <w:rsid w:val="735C7C30"/>
    <w:rsid w:val="73634FBB"/>
    <w:rsid w:val="73661E78"/>
    <w:rsid w:val="73683E42"/>
    <w:rsid w:val="73697BBA"/>
    <w:rsid w:val="73775E2C"/>
    <w:rsid w:val="737C2E55"/>
    <w:rsid w:val="738A025C"/>
    <w:rsid w:val="73B61051"/>
    <w:rsid w:val="73BB6668"/>
    <w:rsid w:val="73C365CB"/>
    <w:rsid w:val="73E95EE8"/>
    <w:rsid w:val="73EA4857"/>
    <w:rsid w:val="73F6144E"/>
    <w:rsid w:val="73F97190"/>
    <w:rsid w:val="73FE5541"/>
    <w:rsid w:val="74085625"/>
    <w:rsid w:val="740D4274"/>
    <w:rsid w:val="74185868"/>
    <w:rsid w:val="742023C5"/>
    <w:rsid w:val="744C3764"/>
    <w:rsid w:val="74534AF2"/>
    <w:rsid w:val="74766D79"/>
    <w:rsid w:val="747E57F8"/>
    <w:rsid w:val="748D1686"/>
    <w:rsid w:val="74F040EF"/>
    <w:rsid w:val="751122B7"/>
    <w:rsid w:val="75157FF9"/>
    <w:rsid w:val="75360DBC"/>
    <w:rsid w:val="75387844"/>
    <w:rsid w:val="756920F3"/>
    <w:rsid w:val="756B5E6B"/>
    <w:rsid w:val="756D0E75"/>
    <w:rsid w:val="756D573F"/>
    <w:rsid w:val="75866801"/>
    <w:rsid w:val="758807CB"/>
    <w:rsid w:val="759F78C3"/>
    <w:rsid w:val="75BA64AB"/>
    <w:rsid w:val="75E35A02"/>
    <w:rsid w:val="75EA3234"/>
    <w:rsid w:val="762027B2"/>
    <w:rsid w:val="7630676D"/>
    <w:rsid w:val="76312C11"/>
    <w:rsid w:val="763224E5"/>
    <w:rsid w:val="76361FD5"/>
    <w:rsid w:val="76505878"/>
    <w:rsid w:val="767945B8"/>
    <w:rsid w:val="76794AF8"/>
    <w:rsid w:val="76850C08"/>
    <w:rsid w:val="76BB24DB"/>
    <w:rsid w:val="76C84BF7"/>
    <w:rsid w:val="76D11CFE"/>
    <w:rsid w:val="76D67314"/>
    <w:rsid w:val="76FC6DDC"/>
    <w:rsid w:val="772E2227"/>
    <w:rsid w:val="77302EC9"/>
    <w:rsid w:val="7731279D"/>
    <w:rsid w:val="77533CC6"/>
    <w:rsid w:val="775748F9"/>
    <w:rsid w:val="7760252B"/>
    <w:rsid w:val="776058DA"/>
    <w:rsid w:val="77626DFA"/>
    <w:rsid w:val="777032C5"/>
    <w:rsid w:val="777803CC"/>
    <w:rsid w:val="777D1E86"/>
    <w:rsid w:val="779276DF"/>
    <w:rsid w:val="77B70517"/>
    <w:rsid w:val="77E043E3"/>
    <w:rsid w:val="77F40160"/>
    <w:rsid w:val="78342545"/>
    <w:rsid w:val="78412EB3"/>
    <w:rsid w:val="785030F6"/>
    <w:rsid w:val="78550E5C"/>
    <w:rsid w:val="78632E2A"/>
    <w:rsid w:val="78654DF4"/>
    <w:rsid w:val="787B0173"/>
    <w:rsid w:val="787D0429"/>
    <w:rsid w:val="78911745"/>
    <w:rsid w:val="78B24F5D"/>
    <w:rsid w:val="78EF46BD"/>
    <w:rsid w:val="78F16688"/>
    <w:rsid w:val="790740FD"/>
    <w:rsid w:val="791660EE"/>
    <w:rsid w:val="791D122B"/>
    <w:rsid w:val="791F31F5"/>
    <w:rsid w:val="79265756"/>
    <w:rsid w:val="793D68B5"/>
    <w:rsid w:val="793F5645"/>
    <w:rsid w:val="794511BD"/>
    <w:rsid w:val="794A5D98"/>
    <w:rsid w:val="794C38BE"/>
    <w:rsid w:val="794E7636"/>
    <w:rsid w:val="79892D64"/>
    <w:rsid w:val="798E037A"/>
    <w:rsid w:val="79960FDD"/>
    <w:rsid w:val="79997202"/>
    <w:rsid w:val="799E680F"/>
    <w:rsid w:val="7A1B2F49"/>
    <w:rsid w:val="7A1B3962"/>
    <w:rsid w:val="7A2111EE"/>
    <w:rsid w:val="7A2F56B9"/>
    <w:rsid w:val="7A6D48C0"/>
    <w:rsid w:val="7A7268AA"/>
    <w:rsid w:val="7A765096"/>
    <w:rsid w:val="7A974046"/>
    <w:rsid w:val="7AAD65DE"/>
    <w:rsid w:val="7AC53928"/>
    <w:rsid w:val="7AC878BC"/>
    <w:rsid w:val="7ACA7190"/>
    <w:rsid w:val="7AEF309B"/>
    <w:rsid w:val="7AEF799D"/>
    <w:rsid w:val="7AFD2AA0"/>
    <w:rsid w:val="7AFD57B8"/>
    <w:rsid w:val="7AFF1FD8"/>
    <w:rsid w:val="7B007056"/>
    <w:rsid w:val="7B02692A"/>
    <w:rsid w:val="7B2368A0"/>
    <w:rsid w:val="7B566C76"/>
    <w:rsid w:val="7B627C76"/>
    <w:rsid w:val="7B705F89"/>
    <w:rsid w:val="7B735A7A"/>
    <w:rsid w:val="7B887EC5"/>
    <w:rsid w:val="7B914152"/>
    <w:rsid w:val="7BAE0860"/>
    <w:rsid w:val="7BB17EFC"/>
    <w:rsid w:val="7BC60184"/>
    <w:rsid w:val="7BD5403F"/>
    <w:rsid w:val="7BD61B65"/>
    <w:rsid w:val="7BE349AD"/>
    <w:rsid w:val="7BE73A8B"/>
    <w:rsid w:val="7BEC3136"/>
    <w:rsid w:val="7BF471EA"/>
    <w:rsid w:val="7C011556"/>
    <w:rsid w:val="7C18217D"/>
    <w:rsid w:val="7C1A68B8"/>
    <w:rsid w:val="7C3C40BE"/>
    <w:rsid w:val="7C507B69"/>
    <w:rsid w:val="7C596A1E"/>
    <w:rsid w:val="7C5E2286"/>
    <w:rsid w:val="7C701FB9"/>
    <w:rsid w:val="7C817D22"/>
    <w:rsid w:val="7CC540B3"/>
    <w:rsid w:val="7CD24A22"/>
    <w:rsid w:val="7CEA1D6C"/>
    <w:rsid w:val="7CF95D03"/>
    <w:rsid w:val="7D0C3A90"/>
    <w:rsid w:val="7D0E5A5A"/>
    <w:rsid w:val="7D2C6680"/>
    <w:rsid w:val="7D360B0D"/>
    <w:rsid w:val="7D406A1E"/>
    <w:rsid w:val="7D494CE4"/>
    <w:rsid w:val="7D637428"/>
    <w:rsid w:val="7D717D97"/>
    <w:rsid w:val="7D7653AD"/>
    <w:rsid w:val="7D823D52"/>
    <w:rsid w:val="7D851A94"/>
    <w:rsid w:val="7D8E1E41"/>
    <w:rsid w:val="7D9121E7"/>
    <w:rsid w:val="7D965A4F"/>
    <w:rsid w:val="7DC73E5B"/>
    <w:rsid w:val="7DCB56F9"/>
    <w:rsid w:val="7DF17F72"/>
    <w:rsid w:val="7DF34C50"/>
    <w:rsid w:val="7E0D00F2"/>
    <w:rsid w:val="7E105802"/>
    <w:rsid w:val="7E1A21DD"/>
    <w:rsid w:val="7E486D4A"/>
    <w:rsid w:val="7E5F22E5"/>
    <w:rsid w:val="7E7C7B82"/>
    <w:rsid w:val="7E960CC1"/>
    <w:rsid w:val="7EA36676"/>
    <w:rsid w:val="7EAD12A3"/>
    <w:rsid w:val="7EB702F4"/>
    <w:rsid w:val="7ED625A7"/>
    <w:rsid w:val="7EDA196C"/>
    <w:rsid w:val="7EE56707"/>
    <w:rsid w:val="7EED715E"/>
    <w:rsid w:val="7EF42A2E"/>
    <w:rsid w:val="7EF46ED2"/>
    <w:rsid w:val="7EFD7F37"/>
    <w:rsid w:val="7F2271E4"/>
    <w:rsid w:val="7F2D7CEE"/>
    <w:rsid w:val="7F313C82"/>
    <w:rsid w:val="7F4A61E1"/>
    <w:rsid w:val="7F596D35"/>
    <w:rsid w:val="7F967F89"/>
    <w:rsid w:val="7F9935D5"/>
    <w:rsid w:val="7FA51F7A"/>
    <w:rsid w:val="7FB073FA"/>
    <w:rsid w:val="7FB328E9"/>
    <w:rsid w:val="7FD30895"/>
    <w:rsid w:val="7FDD1714"/>
    <w:rsid w:val="7FE231CE"/>
    <w:rsid w:val="7FFA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宋体" w:hAnsi="宋体" w:eastAsia="宋体" w:cstheme="minorBidi"/>
      <w:kern w:val="2"/>
      <w:sz w:val="24"/>
      <w:szCs w:val="22"/>
      <w:lang w:val="en-US" w:eastAsia="zh-CN" w:bidi="ar-SA"/>
    </w:rPr>
  </w:style>
  <w:style w:type="paragraph" w:styleId="2">
    <w:name w:val="heading 1"/>
    <w:basedOn w:val="1"/>
    <w:next w:val="1"/>
    <w:link w:val="38"/>
    <w:qFormat/>
    <w:uiPriority w:val="9"/>
    <w:pPr>
      <w:keepNext/>
      <w:keepLines/>
      <w:spacing w:before="340" w:after="330" w:line="578" w:lineRule="auto"/>
      <w:jc w:val="center"/>
      <w:outlineLvl w:val="0"/>
    </w:pPr>
    <w:rPr>
      <w:rFonts w:eastAsia="黑体"/>
      <w:b/>
      <w:bCs/>
      <w:kern w:val="44"/>
      <w:sz w:val="44"/>
      <w:szCs w:val="44"/>
    </w:rPr>
  </w:style>
  <w:style w:type="paragraph" w:styleId="3">
    <w:name w:val="heading 2"/>
    <w:basedOn w:val="1"/>
    <w:next w:val="1"/>
    <w:link w:val="42"/>
    <w:unhideWhenUsed/>
    <w:qFormat/>
    <w:uiPriority w:val="9"/>
    <w:pPr>
      <w:keepNext/>
      <w:keepLines/>
      <w:spacing w:before="260" w:after="260" w:line="416" w:lineRule="auto"/>
      <w:outlineLvl w:val="1"/>
    </w:pPr>
    <w:rPr>
      <w:rFonts w:asciiTheme="majorHAnsi" w:hAnsiTheme="majorHAnsi" w:cstheme="majorBidi"/>
      <w:b/>
      <w:bCs/>
      <w:sz w:val="32"/>
      <w:szCs w:val="32"/>
    </w:rPr>
  </w:style>
  <w:style w:type="paragraph" w:styleId="4">
    <w:name w:val="heading 3"/>
    <w:basedOn w:val="1"/>
    <w:next w:val="1"/>
    <w:link w:val="45"/>
    <w:unhideWhenUsed/>
    <w:qFormat/>
    <w:uiPriority w:val="9"/>
    <w:pPr>
      <w:keepNext/>
      <w:keepLines/>
      <w:spacing w:before="260" w:after="260" w:line="416" w:lineRule="auto"/>
      <w:outlineLvl w:val="2"/>
    </w:pPr>
    <w:rPr>
      <w:b/>
      <w:bCs/>
      <w:sz w:val="30"/>
      <w:szCs w:val="32"/>
    </w:rPr>
  </w:style>
  <w:style w:type="paragraph" w:styleId="5">
    <w:name w:val="heading 4"/>
    <w:basedOn w:val="1"/>
    <w:next w:val="1"/>
    <w:link w:val="46"/>
    <w:unhideWhenUsed/>
    <w:qFormat/>
    <w:uiPriority w:val="9"/>
    <w:pPr>
      <w:keepNext/>
      <w:keepLines/>
      <w:spacing w:before="280" w:after="290" w:line="376" w:lineRule="auto"/>
      <w:outlineLvl w:val="3"/>
    </w:pPr>
    <w:rPr>
      <w:rFonts w:asciiTheme="majorHAnsi" w:hAnsiTheme="majorHAnsi" w:cstheme="majorBidi"/>
      <w:b/>
      <w:bCs/>
      <w:sz w:val="28"/>
      <w:szCs w:val="28"/>
    </w:rPr>
  </w:style>
  <w:style w:type="paragraph" w:styleId="6">
    <w:name w:val="heading 5"/>
    <w:basedOn w:val="7"/>
    <w:next w:val="8"/>
    <w:qFormat/>
    <w:uiPriority w:val="1"/>
    <w:pPr>
      <w:tabs>
        <w:tab w:val="left" w:pos="780"/>
      </w:tabs>
      <w:ind w:left="638" w:firstLine="561"/>
      <w:outlineLvl w:val="4"/>
    </w:pPr>
    <w:rPr>
      <w:rFonts w:ascii="仿宋" w:hAnsi="仿宋" w:eastAsia="仿宋" w:cs="仿宋"/>
      <w:b/>
      <w:bCs/>
      <w:kern w:val="0"/>
      <w:sz w:val="28"/>
      <w:szCs w:val="28"/>
      <w:lang w:val="zh-CN" w:bidi="zh-CN"/>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7">
    <w:name w:val="List Number 2"/>
    <w:basedOn w:val="1"/>
    <w:semiHidden/>
    <w:unhideWhenUsed/>
    <w:qFormat/>
    <w:uiPriority w:val="99"/>
    <w:pPr>
      <w:numPr>
        <w:ilvl w:val="0"/>
        <w:numId w:val="1"/>
      </w:numPr>
    </w:pPr>
  </w:style>
  <w:style w:type="paragraph" w:styleId="8">
    <w:name w:val="Normal (Web)"/>
    <w:basedOn w:val="1"/>
    <w:qFormat/>
    <w:uiPriority w:val="99"/>
    <w:pPr>
      <w:widowControl/>
      <w:spacing w:before="100" w:beforeAutospacing="1" w:after="100" w:afterAutospacing="1"/>
    </w:pPr>
    <w:rPr>
      <w:rFonts w:cs="宋体"/>
      <w:color w:val="000000"/>
      <w:kern w:val="0"/>
      <w:szCs w:val="24"/>
    </w:rPr>
  </w:style>
  <w:style w:type="paragraph" w:styleId="9">
    <w:name w:val="toc 7"/>
    <w:basedOn w:val="1"/>
    <w:next w:val="1"/>
    <w:unhideWhenUsed/>
    <w:qFormat/>
    <w:uiPriority w:val="39"/>
    <w:pPr>
      <w:ind w:left="1440"/>
    </w:pPr>
    <w:rPr>
      <w:rFonts w:asciiTheme="minorHAnsi" w:eastAsiaTheme="minorHAnsi"/>
      <w:sz w:val="18"/>
      <w:szCs w:val="18"/>
    </w:rPr>
  </w:style>
  <w:style w:type="paragraph" w:styleId="10">
    <w:name w:val="Normal Indent"/>
    <w:basedOn w:val="1"/>
    <w:next w:val="1"/>
    <w:unhideWhenUsed/>
    <w:qFormat/>
    <w:uiPriority w:val="0"/>
    <w:pPr>
      <w:ind w:firstLine="420" w:firstLineChars="200"/>
    </w:pPr>
    <w:rPr>
      <w:rFonts w:ascii="Calibri" w:hAnsi="Calibri"/>
      <w:szCs w:val="22"/>
    </w:rPr>
  </w:style>
  <w:style w:type="paragraph" w:styleId="11">
    <w:name w:val="List Bullet"/>
    <w:basedOn w:val="1"/>
    <w:unhideWhenUsed/>
    <w:qFormat/>
    <w:uiPriority w:val="99"/>
    <w:pPr>
      <w:tabs>
        <w:tab w:val="left" w:pos="360"/>
        <w:tab w:val="left" w:pos="1134"/>
      </w:tabs>
      <w:spacing w:line="240" w:lineRule="auto"/>
      <w:ind w:left="1134" w:hanging="1134"/>
      <w:contextualSpacing/>
      <w:jc w:val="both"/>
    </w:pPr>
    <w:rPr>
      <w:rFonts w:ascii="Times New Roman" w:hAnsi="Times New Roman" w:cs="Times New Roman"/>
      <w:kern w:val="0"/>
      <w:sz w:val="20"/>
      <w:szCs w:val="20"/>
    </w:rPr>
  </w:style>
  <w:style w:type="paragraph" w:styleId="12">
    <w:name w:val="annotation text"/>
    <w:basedOn w:val="1"/>
    <w:link w:val="43"/>
    <w:qFormat/>
    <w:uiPriority w:val="0"/>
    <w:pPr>
      <w:spacing w:line="240" w:lineRule="auto"/>
    </w:pPr>
    <w:rPr>
      <w:rFonts w:eastAsiaTheme="minorEastAsia"/>
      <w:sz w:val="21"/>
      <w:szCs w:val="24"/>
    </w:rPr>
  </w:style>
  <w:style w:type="paragraph" w:styleId="13">
    <w:name w:val="Body Text"/>
    <w:basedOn w:val="1"/>
    <w:next w:val="1"/>
    <w:link w:val="47"/>
    <w:qFormat/>
    <w:uiPriority w:val="99"/>
    <w:pPr>
      <w:spacing w:after="120" w:line="240" w:lineRule="auto"/>
      <w:jc w:val="both"/>
    </w:pPr>
    <w:rPr>
      <w:rFonts w:eastAsiaTheme="minorEastAsia"/>
      <w:sz w:val="21"/>
      <w:szCs w:val="24"/>
    </w:rPr>
  </w:style>
  <w:style w:type="paragraph" w:styleId="14">
    <w:name w:val="Body Text Indent"/>
    <w:basedOn w:val="1"/>
    <w:next w:val="15"/>
    <w:unhideWhenUsed/>
    <w:qFormat/>
    <w:uiPriority w:val="0"/>
    <w:pPr>
      <w:ind w:firstLine="630"/>
    </w:pPr>
    <w:rPr>
      <w:rFonts w:eastAsia="仿宋_GB2312"/>
      <w:kern w:val="0"/>
      <w:sz w:val="32"/>
      <w:szCs w:val="20"/>
    </w:rPr>
  </w:style>
  <w:style w:type="paragraph" w:customStyle="1" w:styleId="15">
    <w:name w:val="Default"/>
    <w:qFormat/>
    <w:uiPriority w:val="0"/>
    <w:pPr>
      <w:widowControl w:val="0"/>
      <w:autoSpaceDE w:val="0"/>
      <w:autoSpaceDN w:val="0"/>
      <w:adjustRightInd w:val="0"/>
    </w:pPr>
    <w:rPr>
      <w:rFonts w:ascii="宋体" w:hAnsi="宋体" w:cs="宋体" w:eastAsiaTheme="minorEastAsia"/>
      <w:color w:val="000000"/>
      <w:kern w:val="0"/>
      <w:sz w:val="24"/>
      <w:szCs w:val="24"/>
      <w:lang w:val="en-US" w:eastAsia="zh-CN" w:bidi="ar-SA"/>
    </w:rPr>
  </w:style>
  <w:style w:type="paragraph" w:styleId="16">
    <w:name w:val="toc 5"/>
    <w:basedOn w:val="1"/>
    <w:next w:val="1"/>
    <w:unhideWhenUsed/>
    <w:qFormat/>
    <w:uiPriority w:val="39"/>
    <w:pPr>
      <w:ind w:left="960"/>
    </w:pPr>
    <w:rPr>
      <w:rFonts w:asciiTheme="minorHAnsi" w:eastAsiaTheme="minorHAnsi"/>
      <w:sz w:val="18"/>
      <w:szCs w:val="18"/>
    </w:rPr>
  </w:style>
  <w:style w:type="paragraph" w:styleId="17">
    <w:name w:val="toc 3"/>
    <w:basedOn w:val="1"/>
    <w:next w:val="1"/>
    <w:unhideWhenUsed/>
    <w:qFormat/>
    <w:uiPriority w:val="39"/>
    <w:pPr>
      <w:ind w:left="480"/>
    </w:pPr>
    <w:rPr>
      <w:rFonts w:asciiTheme="minorHAnsi" w:eastAsiaTheme="minorHAnsi"/>
      <w:i/>
      <w:iCs/>
      <w:sz w:val="20"/>
      <w:szCs w:val="20"/>
    </w:rPr>
  </w:style>
  <w:style w:type="paragraph" w:styleId="18">
    <w:name w:val="Plain Text"/>
    <w:basedOn w:val="1"/>
    <w:unhideWhenUsed/>
    <w:qFormat/>
    <w:uiPriority w:val="0"/>
    <w:rPr>
      <w:rFonts w:ascii="宋体" w:hAnsi="Courier New"/>
      <w:kern w:val="0"/>
      <w:sz w:val="20"/>
      <w:szCs w:val="20"/>
    </w:rPr>
  </w:style>
  <w:style w:type="paragraph" w:styleId="19">
    <w:name w:val="toc 8"/>
    <w:basedOn w:val="1"/>
    <w:next w:val="1"/>
    <w:unhideWhenUsed/>
    <w:qFormat/>
    <w:uiPriority w:val="39"/>
    <w:pPr>
      <w:ind w:left="1680"/>
    </w:pPr>
    <w:rPr>
      <w:rFonts w:asciiTheme="minorHAnsi" w:eastAsiaTheme="minorHAnsi"/>
      <w:sz w:val="18"/>
      <w:szCs w:val="18"/>
    </w:rPr>
  </w:style>
  <w:style w:type="paragraph" w:styleId="20">
    <w:name w:val="footer"/>
    <w:basedOn w:val="1"/>
    <w:link w:val="41"/>
    <w:unhideWhenUsed/>
    <w:qFormat/>
    <w:uiPriority w:val="99"/>
    <w:pPr>
      <w:tabs>
        <w:tab w:val="center" w:pos="4153"/>
        <w:tab w:val="right" w:pos="8306"/>
      </w:tabs>
      <w:snapToGrid w:val="0"/>
      <w:spacing w:line="240" w:lineRule="auto"/>
    </w:pPr>
    <w:rPr>
      <w:sz w:val="18"/>
      <w:szCs w:val="18"/>
    </w:rPr>
  </w:style>
  <w:style w:type="paragraph" w:styleId="21">
    <w:name w:val="header"/>
    <w:basedOn w:val="1"/>
    <w:link w:val="40"/>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2">
    <w:name w:val="toc 1"/>
    <w:basedOn w:val="1"/>
    <w:next w:val="1"/>
    <w:unhideWhenUsed/>
    <w:qFormat/>
    <w:uiPriority w:val="39"/>
    <w:pPr>
      <w:spacing w:before="120" w:after="120"/>
    </w:pPr>
    <w:rPr>
      <w:rFonts w:asciiTheme="minorHAnsi" w:eastAsiaTheme="minorHAnsi"/>
      <w:b/>
      <w:bCs/>
      <w:caps/>
      <w:sz w:val="20"/>
      <w:szCs w:val="20"/>
    </w:rPr>
  </w:style>
  <w:style w:type="paragraph" w:styleId="23">
    <w:name w:val="toc 4"/>
    <w:basedOn w:val="1"/>
    <w:next w:val="1"/>
    <w:unhideWhenUsed/>
    <w:qFormat/>
    <w:uiPriority w:val="39"/>
    <w:pPr>
      <w:ind w:left="720"/>
    </w:pPr>
    <w:rPr>
      <w:rFonts w:asciiTheme="minorHAnsi" w:eastAsiaTheme="minorHAnsi"/>
      <w:sz w:val="18"/>
      <w:szCs w:val="18"/>
    </w:rPr>
  </w:style>
  <w:style w:type="paragraph" w:styleId="24">
    <w:name w:val="footnote text"/>
    <w:basedOn w:val="1"/>
    <w:qFormat/>
    <w:uiPriority w:val="0"/>
    <w:pPr>
      <w:widowControl/>
      <w:jc w:val="left"/>
    </w:pPr>
    <w:rPr>
      <w:kern w:val="0"/>
      <w:sz w:val="20"/>
      <w:szCs w:val="20"/>
      <w:lang w:val="de-DE"/>
    </w:rPr>
  </w:style>
  <w:style w:type="paragraph" w:styleId="25">
    <w:name w:val="toc 6"/>
    <w:basedOn w:val="1"/>
    <w:next w:val="1"/>
    <w:unhideWhenUsed/>
    <w:qFormat/>
    <w:uiPriority w:val="39"/>
    <w:pPr>
      <w:ind w:left="1200"/>
    </w:pPr>
    <w:rPr>
      <w:rFonts w:asciiTheme="minorHAnsi" w:eastAsiaTheme="minorHAnsi"/>
      <w:sz w:val="18"/>
      <w:szCs w:val="18"/>
    </w:rPr>
  </w:style>
  <w:style w:type="paragraph" w:styleId="26">
    <w:name w:val="toc 2"/>
    <w:basedOn w:val="1"/>
    <w:next w:val="1"/>
    <w:unhideWhenUsed/>
    <w:qFormat/>
    <w:uiPriority w:val="39"/>
    <w:pPr>
      <w:ind w:left="240"/>
    </w:pPr>
    <w:rPr>
      <w:rFonts w:asciiTheme="minorHAnsi" w:eastAsiaTheme="minorHAnsi"/>
      <w:smallCaps/>
      <w:sz w:val="20"/>
      <w:szCs w:val="20"/>
    </w:rPr>
  </w:style>
  <w:style w:type="paragraph" w:styleId="27">
    <w:name w:val="toc 9"/>
    <w:basedOn w:val="1"/>
    <w:next w:val="1"/>
    <w:unhideWhenUsed/>
    <w:qFormat/>
    <w:uiPriority w:val="39"/>
    <w:pPr>
      <w:ind w:left="1920"/>
    </w:pPr>
    <w:rPr>
      <w:rFonts w:asciiTheme="minorHAnsi" w:eastAsiaTheme="minorHAnsi"/>
      <w:sz w:val="18"/>
      <w:szCs w:val="18"/>
    </w:rPr>
  </w:style>
  <w:style w:type="paragraph" w:styleId="28">
    <w:name w:val="annotation subject"/>
    <w:basedOn w:val="12"/>
    <w:next w:val="12"/>
    <w:link w:val="51"/>
    <w:semiHidden/>
    <w:unhideWhenUsed/>
    <w:qFormat/>
    <w:uiPriority w:val="99"/>
    <w:pPr>
      <w:spacing w:line="360" w:lineRule="auto"/>
    </w:pPr>
    <w:rPr>
      <w:rFonts w:eastAsia="宋体"/>
      <w:b/>
      <w:bCs/>
      <w:sz w:val="24"/>
      <w:szCs w:val="22"/>
    </w:rPr>
  </w:style>
  <w:style w:type="paragraph" w:styleId="29">
    <w:name w:val="Body Text First Indent 2"/>
    <w:basedOn w:val="14"/>
    <w:next w:val="1"/>
    <w:qFormat/>
    <w:uiPriority w:val="0"/>
    <w:pPr>
      <w:snapToGrid/>
      <w:spacing w:after="120" w:line="240" w:lineRule="auto"/>
      <w:ind w:left="420" w:leftChars="200" w:right="0" w:firstLine="420" w:firstLineChars="200"/>
    </w:pPr>
    <w:rPr>
      <w:rFonts w:ascii="Times New Roman" w:eastAsia="宋体"/>
      <w:spacing w:val="0"/>
      <w:sz w:val="21"/>
      <w:szCs w:val="24"/>
    </w:rPr>
  </w:style>
  <w:style w:type="table" w:styleId="31">
    <w:name w:val="Table Grid"/>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0"/>
    <w:rPr>
      <w:b/>
      <w:bCs/>
    </w:rPr>
  </w:style>
  <w:style w:type="character" w:styleId="34">
    <w:name w:val="Hyperlink"/>
    <w:basedOn w:val="32"/>
    <w:unhideWhenUsed/>
    <w:qFormat/>
    <w:uiPriority w:val="99"/>
    <w:rPr>
      <w:color w:val="0563C1" w:themeColor="hyperlink"/>
      <w:u w:val="single"/>
      <w14:textFill>
        <w14:solidFill>
          <w14:schemeClr w14:val="hlink"/>
        </w14:solidFill>
      </w14:textFill>
    </w:rPr>
  </w:style>
  <w:style w:type="character" w:styleId="35">
    <w:name w:val="annotation reference"/>
    <w:basedOn w:val="32"/>
    <w:qFormat/>
    <w:uiPriority w:val="0"/>
    <w:rPr>
      <w:sz w:val="21"/>
      <w:szCs w:val="21"/>
    </w:rPr>
  </w:style>
  <w:style w:type="paragraph" w:customStyle="1" w:styleId="3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7">
    <w:name w:val="正文缩进2"/>
    <w:basedOn w:val="1"/>
    <w:qFormat/>
    <w:uiPriority w:val="0"/>
    <w:pPr>
      <w:wordWrap w:val="0"/>
      <w:ind w:firstLine="480"/>
    </w:pPr>
    <w:rPr>
      <w:iCs/>
      <w:shd w:val="clear" w:color="auto" w:fill="FFFFFF" w:themeFill="background1"/>
      <w:lang w:val="zh-CN"/>
    </w:rPr>
  </w:style>
  <w:style w:type="character" w:customStyle="1" w:styleId="38">
    <w:name w:val="标题 1 字符"/>
    <w:basedOn w:val="32"/>
    <w:link w:val="2"/>
    <w:qFormat/>
    <w:uiPriority w:val="9"/>
    <w:rPr>
      <w:rFonts w:eastAsia="黑体"/>
      <w:b/>
      <w:bCs/>
      <w:kern w:val="44"/>
      <w:sz w:val="44"/>
      <w:szCs w:val="44"/>
    </w:rPr>
  </w:style>
  <w:style w:type="paragraph" w:styleId="39">
    <w:name w:val="List Paragraph"/>
    <w:basedOn w:val="1"/>
    <w:qFormat/>
    <w:uiPriority w:val="34"/>
    <w:pPr>
      <w:numPr>
        <w:ilvl w:val="0"/>
        <w:numId w:val="2"/>
      </w:numPr>
    </w:pPr>
  </w:style>
  <w:style w:type="character" w:customStyle="1" w:styleId="40">
    <w:name w:val="页眉 字符"/>
    <w:basedOn w:val="32"/>
    <w:link w:val="21"/>
    <w:qFormat/>
    <w:uiPriority w:val="99"/>
    <w:rPr>
      <w:rFonts w:eastAsia="宋体"/>
      <w:sz w:val="18"/>
      <w:szCs w:val="18"/>
    </w:rPr>
  </w:style>
  <w:style w:type="character" w:customStyle="1" w:styleId="41">
    <w:name w:val="页脚 字符"/>
    <w:basedOn w:val="32"/>
    <w:link w:val="20"/>
    <w:qFormat/>
    <w:uiPriority w:val="99"/>
    <w:rPr>
      <w:rFonts w:eastAsia="宋体"/>
      <w:sz w:val="18"/>
      <w:szCs w:val="18"/>
    </w:rPr>
  </w:style>
  <w:style w:type="character" w:customStyle="1" w:styleId="42">
    <w:name w:val="标题 2 字符"/>
    <w:basedOn w:val="32"/>
    <w:link w:val="3"/>
    <w:qFormat/>
    <w:uiPriority w:val="0"/>
    <w:rPr>
      <w:rFonts w:eastAsia="宋体" w:asciiTheme="majorHAnsi" w:hAnsiTheme="majorHAnsi" w:cstheme="majorBidi"/>
      <w:b/>
      <w:bCs/>
      <w:sz w:val="32"/>
      <w:szCs w:val="32"/>
    </w:rPr>
  </w:style>
  <w:style w:type="character" w:customStyle="1" w:styleId="43">
    <w:name w:val="批注文字 字符"/>
    <w:basedOn w:val="32"/>
    <w:link w:val="12"/>
    <w:qFormat/>
    <w:uiPriority w:val="0"/>
    <w:rPr>
      <w:szCs w:val="24"/>
    </w:rPr>
  </w:style>
  <w:style w:type="paragraph" w:customStyle="1" w:styleId="44">
    <w:name w:val="Char1 Char Char Char"/>
    <w:basedOn w:val="1"/>
    <w:qFormat/>
    <w:uiPriority w:val="0"/>
    <w:pPr>
      <w:adjustRightInd w:val="0"/>
      <w:jc w:val="both"/>
    </w:pPr>
    <w:rPr>
      <w:rFonts w:ascii="Times New Roman" w:hAnsi="Times New Roman" w:cs="Times New Roman"/>
      <w:kern w:val="0"/>
      <w:szCs w:val="20"/>
    </w:rPr>
  </w:style>
  <w:style w:type="character" w:customStyle="1" w:styleId="45">
    <w:name w:val="标题 3 字符"/>
    <w:basedOn w:val="32"/>
    <w:link w:val="4"/>
    <w:qFormat/>
    <w:uiPriority w:val="9"/>
    <w:rPr>
      <w:rFonts w:eastAsia="宋体"/>
      <w:b/>
      <w:bCs/>
      <w:sz w:val="30"/>
      <w:szCs w:val="32"/>
    </w:rPr>
  </w:style>
  <w:style w:type="character" w:customStyle="1" w:styleId="46">
    <w:name w:val="标题 4 字符"/>
    <w:basedOn w:val="32"/>
    <w:link w:val="5"/>
    <w:qFormat/>
    <w:uiPriority w:val="9"/>
    <w:rPr>
      <w:rFonts w:eastAsia="宋体" w:asciiTheme="majorHAnsi" w:hAnsiTheme="majorHAnsi" w:cstheme="majorBidi"/>
      <w:b/>
      <w:bCs/>
      <w:sz w:val="28"/>
      <w:szCs w:val="28"/>
    </w:rPr>
  </w:style>
  <w:style w:type="character" w:customStyle="1" w:styleId="47">
    <w:name w:val="正文文本 字符"/>
    <w:basedOn w:val="32"/>
    <w:link w:val="13"/>
    <w:qFormat/>
    <w:uiPriority w:val="99"/>
    <w:rPr>
      <w:szCs w:val="24"/>
    </w:rPr>
  </w:style>
  <w:style w:type="paragraph" w:customStyle="1" w:styleId="48">
    <w:name w:val="样式"/>
    <w:basedOn w:val="1"/>
    <w:qFormat/>
    <w:uiPriority w:val="0"/>
    <w:pPr>
      <w:autoSpaceDE w:val="0"/>
      <w:autoSpaceDN w:val="0"/>
      <w:snapToGrid w:val="0"/>
      <w:spacing w:before="120" w:after="120"/>
      <w:jc w:val="both"/>
    </w:pPr>
    <w:rPr>
      <w:rFonts w:hAnsi="Times New Roman" w:cs="Times New Roman"/>
      <w:kern w:val="0"/>
      <w:szCs w:val="20"/>
    </w:rPr>
  </w:style>
  <w:style w:type="paragraph" w:styleId="49">
    <w:name w:val="No Spacing"/>
    <w:qFormat/>
    <w:uiPriority w:val="1"/>
    <w:pPr>
      <w:widowControl w:val="0"/>
    </w:pPr>
    <w:rPr>
      <w:rFonts w:ascii="宋体" w:hAnsi="宋体" w:eastAsia="宋体" w:cstheme="minorBidi"/>
      <w:kern w:val="2"/>
      <w:sz w:val="24"/>
      <w:szCs w:val="22"/>
      <w:lang w:val="en-US" w:eastAsia="zh-CN" w:bidi="ar-SA"/>
    </w:rPr>
  </w:style>
  <w:style w:type="character" w:customStyle="1" w:styleId="50">
    <w:name w:val="未处理的提及1"/>
    <w:basedOn w:val="32"/>
    <w:semiHidden/>
    <w:unhideWhenUsed/>
    <w:qFormat/>
    <w:uiPriority w:val="99"/>
    <w:rPr>
      <w:color w:val="605E5C"/>
      <w:shd w:val="clear" w:color="auto" w:fill="E1DFDD"/>
    </w:rPr>
  </w:style>
  <w:style w:type="character" w:customStyle="1" w:styleId="51">
    <w:name w:val="批注主题 字符"/>
    <w:basedOn w:val="43"/>
    <w:link w:val="28"/>
    <w:semiHidden/>
    <w:qFormat/>
    <w:uiPriority w:val="99"/>
    <w:rPr>
      <w:rFonts w:ascii="宋体" w:hAnsi="宋体" w:cstheme="minorBidi"/>
      <w:b/>
      <w:bCs/>
      <w:kern w:val="2"/>
      <w:sz w:val="24"/>
      <w:szCs w:val="22"/>
    </w:rPr>
  </w:style>
  <w:style w:type="character" w:customStyle="1" w:styleId="52">
    <w:name w:val="未处理的提及2"/>
    <w:basedOn w:val="32"/>
    <w:semiHidden/>
    <w:unhideWhenUsed/>
    <w:qFormat/>
    <w:uiPriority w:val="99"/>
    <w:rPr>
      <w:color w:val="605E5C"/>
      <w:shd w:val="clear" w:color="auto" w:fill="E1DFDD"/>
    </w:rPr>
  </w:style>
  <w:style w:type="paragraph" w:customStyle="1" w:styleId="53">
    <w:name w:val="正文_2"/>
    <w:basedOn w:val="54"/>
    <w:next w:val="56"/>
    <w:qFormat/>
    <w:uiPriority w:val="0"/>
    <w:pPr>
      <w:widowControl w:val="0"/>
      <w:jc w:val="both"/>
    </w:pPr>
    <w:rPr>
      <w:rFonts w:ascii="Calibri" w:hAnsi="Calibri" w:eastAsia="宋体" w:cs="Times New Roman"/>
      <w:lang w:val="en-US" w:eastAsia="zh-CN" w:bidi="ar-SA"/>
    </w:rPr>
  </w:style>
  <w:style w:type="paragraph" w:customStyle="1" w:styleId="54">
    <w:name w:val="正文_1"/>
    <w:next w:val="5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列表_0"/>
    <w:basedOn w:val="54"/>
    <w:semiHidden/>
    <w:qFormat/>
    <w:locked/>
    <w:uiPriority w:val="0"/>
    <w:pPr>
      <w:ind w:left="200" w:hanging="200" w:hangingChars="200"/>
    </w:pPr>
  </w:style>
  <w:style w:type="paragraph" w:customStyle="1" w:styleId="56">
    <w:name w:val="正文文本_1"/>
    <w:basedOn w:val="57"/>
    <w:unhideWhenUsed/>
    <w:qFormat/>
    <w:uiPriority w:val="0"/>
    <w:pPr>
      <w:spacing w:after="120"/>
    </w:pPr>
  </w:style>
  <w:style w:type="paragraph" w:customStyle="1" w:styleId="57">
    <w:name w:val="正文_1_0"/>
    <w:next w:val="58"/>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58">
    <w:name w:val="正文首行缩进1"/>
    <w:basedOn w:val="59"/>
    <w:unhideWhenUsed/>
    <w:qFormat/>
    <w:uiPriority w:val="99"/>
    <w:pPr>
      <w:ind w:firstLine="420" w:firstLineChars="100"/>
    </w:pPr>
    <w:rPr>
      <w:szCs w:val="22"/>
    </w:rPr>
  </w:style>
  <w:style w:type="paragraph" w:customStyle="1" w:styleId="59">
    <w:name w:val="正文文本_0_0"/>
    <w:basedOn w:val="60"/>
    <w:qFormat/>
    <w:uiPriority w:val="0"/>
    <w:pPr>
      <w:spacing w:after="120"/>
    </w:pPr>
    <w:rPr>
      <w:rFonts w:ascii="Times New Roman" w:hAnsi="Times New Roman" w:eastAsia="宋体"/>
      <w:szCs w:val="24"/>
    </w:rPr>
  </w:style>
  <w:style w:type="paragraph" w:customStyle="1" w:styleId="60">
    <w:name w:val="正文_1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
    <w:name w:val="Normal"/>
    <w:basedOn w:val="63"/>
    <w:qFormat/>
    <w:uiPriority w:val="0"/>
    <w:pPr>
      <w:widowControl w:val="0"/>
      <w:jc w:val="both"/>
    </w:pPr>
    <w:rPr>
      <w:rFonts w:ascii="Times New Roman" w:hAnsi="Times New Roman" w:eastAsia="Times New Roman" w:cs="Times New Roman"/>
      <w:lang w:val="en-US" w:eastAsia="zh-CN" w:bidi="ar-SA"/>
    </w:rPr>
  </w:style>
  <w:style w:type="paragraph" w:customStyle="1" w:styleId="63">
    <w:name w:val="正文_5"/>
    <w:basedOn w:val="6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4">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
    <w:name w:val="正文_2_0_0"/>
    <w:qFormat/>
    <w:uiPriority w:val="99"/>
    <w:pPr>
      <w:widowControl w:val="0"/>
      <w:jc w:val="both"/>
    </w:pPr>
    <w:rPr>
      <w:rFonts w:ascii="Calibri" w:hAnsi="Calibri" w:eastAsia="宋体" w:cs="Times New Roman"/>
      <w:lang w:val="en-US" w:eastAsia="zh-CN" w:bidi="ar-SA"/>
    </w:rPr>
  </w:style>
  <w:style w:type="paragraph" w:customStyle="1" w:styleId="66">
    <w:name w:val="正文_1_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67">
    <w:name w:val="Normal Indent1"/>
    <w:basedOn w:val="1"/>
    <w:qFormat/>
    <w:uiPriority w:val="0"/>
    <w:pPr>
      <w:ind w:firstLine="420" w:firstLineChars="200"/>
    </w:pPr>
  </w:style>
  <w:style w:type="paragraph" w:customStyle="1" w:styleId="68">
    <w:name w:val="LO-Normal"/>
    <w:qFormat/>
    <w:uiPriority w:val="0"/>
    <w:pPr>
      <w:suppressAutoHyphens/>
    </w:pPr>
    <w:rPr>
      <w:rFonts w:ascii="Times New Roman" w:hAnsi="Times New Roman" w:eastAsia="宋体" w:cs="Times New Roman"/>
      <w:sz w:val="24"/>
      <w:szCs w:val="24"/>
      <w:lang w:val="en-US" w:eastAsia="zh-CN" w:bidi="ar-SA"/>
    </w:rPr>
  </w:style>
  <w:style w:type="paragraph" w:customStyle="1" w:styleId="69">
    <w:name w:val="Normal_22"/>
    <w:qFormat/>
    <w:uiPriority w:val="0"/>
    <w:rPr>
      <w:rFonts w:ascii="Times New Roman" w:hAnsi="Times New Roman" w:eastAsia="Times New Roman" w:cs="Times New Roman"/>
      <w:sz w:val="24"/>
      <w:szCs w:val="24"/>
      <w:lang w:bidi="ar-SA"/>
    </w:rPr>
  </w:style>
  <w:style w:type="paragraph" w:customStyle="1" w:styleId="70">
    <w:name w:val="正文_6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71">
    <w:name w:val="正文_0_0_0 Char"/>
    <w:link w:val="72"/>
    <w:qFormat/>
    <w:locked/>
    <w:uiPriority w:val="0"/>
    <w:rPr>
      <w:rFonts w:ascii="Calibri" w:hAnsi="Calibri" w:cs="Calibri"/>
      <w:kern w:val="2"/>
      <w:sz w:val="28"/>
      <w:szCs w:val="22"/>
      <w:lang w:val="en-US" w:eastAsia="zh-CN" w:bidi="ar-SA"/>
    </w:rPr>
  </w:style>
  <w:style w:type="paragraph" w:customStyle="1" w:styleId="72">
    <w:name w:val="正文_0_0_0_0_0"/>
    <w:link w:val="71"/>
    <w:qFormat/>
    <w:uiPriority w:val="0"/>
    <w:pPr>
      <w:spacing w:before="120" w:after="120" w:line="360" w:lineRule="auto"/>
      <w:ind w:left="1072" w:hanging="1072"/>
      <w:jc w:val="both"/>
    </w:pPr>
    <w:rPr>
      <w:rFonts w:ascii="Calibri" w:hAnsi="Calibri" w:eastAsia="宋体" w:cs="Calibri"/>
      <w:kern w:val="2"/>
      <w:sz w:val="28"/>
      <w:szCs w:val="22"/>
      <w:lang w:val="en-US" w:eastAsia="zh-CN" w:bidi="ar-SA"/>
    </w:rPr>
  </w:style>
  <w:style w:type="paragraph" w:customStyle="1" w:styleId="73">
    <w:name w:val="正文文本_0_1"/>
    <w:basedOn w:val="74"/>
    <w:qFormat/>
    <w:uiPriority w:val="99"/>
    <w:pPr>
      <w:spacing w:after="120"/>
    </w:pPr>
    <w:rPr>
      <w:rFonts w:ascii="Calibri" w:hAnsi="Calibri" w:eastAsia="宋体"/>
      <w:kern w:val="0"/>
      <w:sz w:val="24"/>
      <w:szCs w:val="20"/>
    </w:rPr>
  </w:style>
  <w:style w:type="paragraph" w:customStyle="1" w:styleId="74">
    <w:name w:val="正文_6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5">
    <w:name w:val="Table Paragraph_1"/>
    <w:basedOn w:val="74"/>
    <w:qFormat/>
    <w:uiPriority w:val="0"/>
    <w:pPr>
      <w:jc w:val="left"/>
    </w:pPr>
    <w:rPr>
      <w:rFonts w:ascii="Calibri" w:hAnsi="Calibri" w:eastAsia="宋体"/>
      <w:kern w:val="0"/>
      <w:sz w:val="22"/>
      <w:lang w:eastAsia="en-US"/>
    </w:rPr>
  </w:style>
  <w:style w:type="paragraph" w:customStyle="1" w:styleId="76">
    <w:name w:val="正文1"/>
    <w:basedOn w:val="77"/>
    <w:qFormat/>
    <w:uiPriority w:val="0"/>
    <w:pPr>
      <w:widowControl w:val="0"/>
      <w:tabs>
        <w:tab w:val="left" w:pos="360"/>
      </w:tabs>
      <w:jc w:val="both"/>
    </w:pPr>
    <w:rPr>
      <w:rFonts w:ascii="Calibri" w:hAnsi="Calibri" w:eastAsia="宋体" w:cs="Times New Roman"/>
      <w:lang w:val="en-US" w:eastAsia="zh-CN" w:bidi="ar-SA"/>
    </w:rPr>
  </w:style>
  <w:style w:type="paragraph" w:customStyle="1" w:styleId="77">
    <w:name w:val="样式1"/>
    <w:basedOn w:val="78"/>
    <w:qFormat/>
    <w:uiPriority w:val="0"/>
    <w:pPr>
      <w:numPr>
        <w:ilvl w:val="0"/>
        <w:numId w:val="3"/>
      </w:numPr>
      <w:adjustRightInd w:val="0"/>
      <w:textAlignment w:val="baseline"/>
    </w:pPr>
    <w:rPr>
      <w:rFonts w:ascii="宋体" w:hAnsi="宋体"/>
      <w:szCs w:val="21"/>
    </w:rPr>
  </w:style>
  <w:style w:type="paragraph" w:customStyle="1" w:styleId="78">
    <w:name w:val="Normal_0"/>
    <w:basedOn w:val="53"/>
    <w:next w:val="79"/>
    <w:qFormat/>
    <w:uiPriority w:val="0"/>
    <w:pPr>
      <w:widowControl w:val="0"/>
      <w:spacing w:after="160" w:line="259" w:lineRule="auto"/>
      <w:jc w:val="both"/>
    </w:pPr>
    <w:rPr>
      <w:rFonts w:ascii="Times New Roman" w:hAnsi="Times New Roman" w:eastAsia="宋体" w:cs="Times New Roman"/>
      <w:kern w:val="2"/>
      <w:sz w:val="21"/>
      <w:szCs w:val="24"/>
      <w:lang w:eastAsia="en-US"/>
    </w:rPr>
  </w:style>
  <w:style w:type="paragraph" w:customStyle="1" w:styleId="79">
    <w:name w:val="Heading 2_0"/>
    <w:basedOn w:val="78"/>
    <w:next w:val="78"/>
    <w:qFormat/>
    <w:uiPriority w:val="0"/>
    <w:pPr>
      <w:keepNext/>
      <w:keepLines/>
      <w:spacing w:before="260" w:after="260" w:line="412" w:lineRule="auto"/>
      <w:outlineLvl w:val="1"/>
    </w:pPr>
    <w:rPr>
      <w:rFonts w:ascii="Arial" w:hAnsi="Arial" w:eastAsia="黑体"/>
      <w:b/>
      <w:sz w:val="32"/>
      <w:szCs w:val="20"/>
    </w:rPr>
  </w:style>
  <w:style w:type="paragraph" w:customStyle="1" w:styleId="80">
    <w:name w:val="列出段落1"/>
    <w:basedOn w:val="1"/>
    <w:qFormat/>
    <w:uiPriority w:val="0"/>
    <w:pPr>
      <w:ind w:firstLine="420" w:firstLineChars="200"/>
    </w:pPr>
    <w:rPr>
      <w:szCs w:val="21"/>
    </w:rPr>
  </w:style>
  <w:style w:type="paragraph" w:customStyle="1" w:styleId="81">
    <w:name w:val="xl31"/>
    <w:basedOn w:val="1"/>
    <w:qFormat/>
    <w:uiPriority w:val="0"/>
    <w:pPr>
      <w:widowControl/>
      <w:spacing w:before="100" w:beforeAutospacing="1" w:after="100" w:afterAutospacing="1"/>
      <w:jc w:val="center"/>
    </w:pPr>
    <w:rPr>
      <w:b/>
      <w:bCs/>
      <w:kern w:val="0"/>
      <w:sz w:val="28"/>
      <w:szCs w:val="28"/>
    </w:rPr>
  </w:style>
  <w:style w:type="paragraph" w:customStyle="1" w:styleId="82">
    <w:name w:val="正文2"/>
    <w:basedOn w:val="1"/>
    <w:qFormat/>
    <w:uiPriority w:val="0"/>
    <w:pPr>
      <w:spacing w:before="156" w:line="360" w:lineRule="auto"/>
      <w:ind w:firstLine="510" w:firstLineChars="200"/>
    </w:pPr>
    <w:rPr>
      <w:sz w:val="24"/>
      <w:szCs w:val="20"/>
    </w:rPr>
  </w:style>
  <w:style w:type="paragraph" w:customStyle="1" w:styleId="83">
    <w:name w:val="Char Char Char Char Char Char Char1 Char"/>
    <w:basedOn w:val="1"/>
    <w:qFormat/>
    <w:uiPriority w:val="0"/>
    <w:rPr>
      <w:rFonts w:ascii="Arial" w:hAnsi="Arial" w:eastAsia="宋体" w:cs="Arial"/>
      <w:sz w:val="24"/>
    </w:rPr>
  </w:style>
  <w:style w:type="paragraph" w:customStyle="1" w:styleId="84">
    <w:name w:val="正文缩进2格"/>
    <w:basedOn w:val="1"/>
    <w:qFormat/>
    <w:uiPriority w:val="0"/>
    <w:pPr>
      <w:spacing w:line="600" w:lineRule="exact"/>
      <w:ind w:firstLine="639" w:firstLineChars="206"/>
    </w:pPr>
    <w:rPr>
      <w:rFonts w:ascii="仿宋_GB2312" w:hAnsi="宋体" w:eastAsia="仿宋_GB2312"/>
      <w:kern w:val="0"/>
      <w:sz w:val="31"/>
      <w:szCs w:val="20"/>
    </w:rPr>
  </w:style>
  <w:style w:type="paragraph" w:customStyle="1" w:styleId="85">
    <w:name w:val="正文_0"/>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86">
    <w:name w:val="Table Text"/>
    <w:basedOn w:val="1"/>
    <w:semiHidden/>
    <w:qFormat/>
    <w:uiPriority w:val="0"/>
    <w:rPr>
      <w:rFonts w:ascii="宋体" w:hAnsi="宋体" w:eastAsia="宋体" w:cs="宋体"/>
      <w:sz w:val="24"/>
      <w:szCs w:val="24"/>
      <w:lang w:val="en-US" w:eastAsia="en-US" w:bidi="ar-SA"/>
    </w:rPr>
  </w:style>
  <w:style w:type="paragraph" w:customStyle="1" w:styleId="87">
    <w:name w:val="页脚_0"/>
    <w:basedOn w:val="54"/>
    <w:unhideWhenUsed/>
    <w:qFormat/>
    <w:uiPriority w:val="99"/>
    <w:pPr>
      <w:tabs>
        <w:tab w:val="center" w:pos="4153"/>
        <w:tab w:val="right" w:pos="8306"/>
      </w:tabs>
      <w:snapToGrid w:val="0"/>
      <w:jc w:val="left"/>
    </w:pPr>
    <w:rPr>
      <w:sz w:val="18"/>
      <w:szCs w:val="18"/>
    </w:rPr>
  </w:style>
  <w:style w:type="paragraph" w:customStyle="1" w:styleId="88">
    <w:name w:val="正文_4"/>
    <w:basedOn w:val="63"/>
    <w:qFormat/>
    <w:uiPriority w:val="0"/>
    <w:pPr>
      <w:widowControl w:val="0"/>
      <w:jc w:val="both"/>
    </w:pPr>
    <w:rPr>
      <w:rFonts w:ascii="Calibri" w:hAnsi="Calibri"/>
      <w:kern w:val="2"/>
      <w:sz w:val="21"/>
      <w:szCs w:val="22"/>
      <w:lang w:val="en-US" w:eastAsia="zh-CN" w:bidi="ar-SA"/>
    </w:rPr>
  </w:style>
  <w:style w:type="paragraph" w:customStyle="1" w:styleId="89">
    <w:name w:val="Table Paragraph"/>
    <w:basedOn w:val="1"/>
    <w:qFormat/>
    <w:uiPriority w:val="1"/>
    <w:pPr>
      <w:autoSpaceDE w:val="0"/>
      <w:autoSpaceDN w:val="0"/>
      <w:jc w:val="left"/>
    </w:pPr>
    <w:rPr>
      <w:rFonts w:ascii="宋体" w:hAnsi="宋体" w:eastAsia="宋体" w:cs="宋体"/>
      <w:kern w:val="0"/>
      <w:sz w:val="22"/>
      <w:lang w:val="zh-CN" w:bidi="zh-CN"/>
    </w:rPr>
  </w:style>
  <w:style w:type="paragraph" w:customStyle="1" w:styleId="90">
    <w:name w:val="正文_10"/>
    <w:qFormat/>
    <w:uiPriority w:val="0"/>
    <w:pPr>
      <w:widowControl w:val="0"/>
      <w:jc w:val="both"/>
    </w:pPr>
    <w:rPr>
      <w:rFonts w:ascii="Calibri" w:hAnsi="Calibri" w:eastAsia="宋体" w:cs="Times New Roman"/>
      <w:kern w:val="2"/>
      <w:sz w:val="21"/>
      <w:szCs w:val="22"/>
      <w:lang w:val="en-US" w:eastAsia="zh-CN" w:bidi="ar-SA"/>
    </w:rPr>
  </w:style>
  <w:style w:type="table" w:customStyle="1" w:styleId="91">
    <w:name w:val="Table Normal"/>
    <w:semiHidden/>
    <w:unhideWhenUsed/>
    <w:qFormat/>
    <w:uiPriority w:val="0"/>
    <w:tblPr>
      <w:tblCellMar>
        <w:top w:w="0" w:type="dxa"/>
        <w:left w:w="0" w:type="dxa"/>
        <w:bottom w:w="0" w:type="dxa"/>
        <w:right w:w="0" w:type="dxa"/>
      </w:tblCellMar>
    </w:tblPr>
  </w:style>
  <w:style w:type="paragraph" w:customStyle="1" w:styleId="92">
    <w:name w:val="正文_0_1_0_0"/>
    <w:basedOn w:val="93"/>
    <w:qFormat/>
    <w:uiPriority w:val="0"/>
    <w:rPr>
      <w:rFonts w:ascii="Calibri" w:hAnsi="Calibri" w:eastAsia="宋体" w:cs="Calibri"/>
      <w:szCs w:val="21"/>
    </w:rPr>
  </w:style>
  <w:style w:type="paragraph" w:customStyle="1" w:styleId="93">
    <w:name w:val="正文_0_2"/>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88</Pages>
  <Words>27320</Words>
  <Characters>29089</Characters>
  <Lines>328</Lines>
  <Paragraphs>92</Paragraphs>
  <TotalTime>36</TotalTime>
  <ScaleCrop>false</ScaleCrop>
  <LinksUpToDate>false</LinksUpToDate>
  <CharactersWithSpaces>29414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2024-01-02T05:57:00Z</dcterms:created>
  <dc:creator>admin</dc:creator>
  <cp:lastModifiedBy>NTKO</cp:lastModifiedBy>
  <cp:lastPrinted>2024-12-28T09:34:00Z</cp:lastPrinted>
  <dcterms:modified xsi:type="dcterms:W3CDTF">2025-07-17T02:53:22Z</dcterms:modified>
  <cp:revision>425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FB71F9ACC9BE4824A3202D9196BAE1EA_13</vt:lpwstr>
  </property>
  <property fmtid="{D5CDD505-2E9C-101B-9397-08002B2CF9AE}" pid="4" name="KSOTemplateDocerSaveRecord">
    <vt:lpwstr>eyJoZGlkIjoiNTE5OGUwOWYzMzhlZDg2ZjA1MmQ4YWI1YjZjYmQ1NDgiLCJ1c2VySWQiOiI0ODUzODMyMTgifQ==</vt:lpwstr>
  </property>
</Properties>
</file>